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05257" w14:textId="77777777" w:rsidR="00EB649B" w:rsidRPr="00CB631B" w:rsidRDefault="00EB649B" w:rsidP="00EB649B">
      <w:pPr>
        <w:spacing w:after="160" w:line="259" w:lineRule="auto"/>
        <w:jc w:val="center"/>
        <w:rPr>
          <w:rFonts w:ascii="Arial" w:hAnsi="Arial"/>
          <w:b/>
          <w:bCs/>
          <w:color w:val="000000" w:themeColor="text1"/>
          <w:sz w:val="40"/>
          <w:szCs w:val="40"/>
        </w:rPr>
      </w:pPr>
      <w:r w:rsidRPr="00CB631B">
        <w:rPr>
          <w:rFonts w:ascii="Arial" w:hAnsi="Arial"/>
          <w:b/>
          <w:bCs/>
          <w:color w:val="000000" w:themeColor="text1"/>
          <w:sz w:val="40"/>
          <w:szCs w:val="40"/>
        </w:rPr>
        <w:t xml:space="preserve">Internship Report </w:t>
      </w:r>
    </w:p>
    <w:p w14:paraId="6B73B6E2" w14:textId="77777777" w:rsidR="00EB649B" w:rsidRDefault="00EB649B" w:rsidP="00EB649B">
      <w:pPr>
        <w:spacing w:after="160" w:line="259" w:lineRule="auto"/>
        <w:jc w:val="center"/>
        <w:rPr>
          <w:rFonts w:ascii="Arial" w:hAnsi="Arial"/>
          <w:b/>
          <w:bCs/>
          <w:color w:val="000000" w:themeColor="text1"/>
          <w:sz w:val="40"/>
          <w:szCs w:val="40"/>
        </w:rPr>
      </w:pPr>
      <w:r w:rsidRPr="00CB631B">
        <w:rPr>
          <w:rFonts w:ascii="Arial" w:hAnsi="Arial"/>
          <w:b/>
          <w:bCs/>
          <w:color w:val="000000" w:themeColor="text1"/>
          <w:sz w:val="40"/>
          <w:szCs w:val="40"/>
        </w:rPr>
        <w:t>On</w:t>
      </w:r>
    </w:p>
    <w:p w14:paraId="2F9C3EA9" w14:textId="77777777" w:rsidR="00E359C0" w:rsidRPr="00CB631B" w:rsidRDefault="00E359C0" w:rsidP="00EB649B">
      <w:pPr>
        <w:spacing w:after="160" w:line="259" w:lineRule="auto"/>
        <w:jc w:val="center"/>
        <w:rPr>
          <w:rFonts w:ascii="Arial" w:hAnsi="Arial"/>
          <w:b/>
          <w:bCs/>
          <w:color w:val="000000" w:themeColor="text1"/>
          <w:sz w:val="40"/>
          <w:szCs w:val="40"/>
        </w:rPr>
      </w:pPr>
    </w:p>
    <w:p w14:paraId="13619B05" w14:textId="16F22B45" w:rsidR="000432A5" w:rsidRPr="002F2B78" w:rsidRDefault="000432A5" w:rsidP="00FB7073">
      <w:pPr>
        <w:jc w:val="center"/>
        <w:rPr>
          <w:rFonts w:ascii="Arial" w:hAnsi="Arial"/>
          <w:b/>
          <w:bCs/>
          <w:sz w:val="40"/>
          <w:szCs w:val="40"/>
        </w:rPr>
      </w:pPr>
      <w:r w:rsidRPr="002F2B78">
        <w:rPr>
          <w:rFonts w:ascii="Arial" w:hAnsi="Arial"/>
          <w:b/>
          <w:bCs/>
          <w:sz w:val="40"/>
          <w:szCs w:val="40"/>
        </w:rPr>
        <w:t>Working Capital Management Practices:</w:t>
      </w:r>
    </w:p>
    <w:p w14:paraId="2284C6DD" w14:textId="77777777" w:rsidR="000432A5" w:rsidRPr="002F2B78" w:rsidRDefault="000432A5" w:rsidP="00FB7073">
      <w:pPr>
        <w:jc w:val="center"/>
        <w:rPr>
          <w:rFonts w:ascii="Arial" w:hAnsi="Arial"/>
          <w:b/>
          <w:bCs/>
          <w:sz w:val="40"/>
          <w:szCs w:val="40"/>
        </w:rPr>
      </w:pPr>
      <w:r w:rsidRPr="002F2B78">
        <w:rPr>
          <w:rFonts w:ascii="Arial" w:hAnsi="Arial"/>
          <w:b/>
          <w:bCs/>
          <w:sz w:val="40"/>
          <w:szCs w:val="40"/>
        </w:rPr>
        <w:t>A Study on Tokyo Consulting Firm Limited, Bangladesh</w:t>
      </w:r>
    </w:p>
    <w:p w14:paraId="7A950528" w14:textId="77777777" w:rsidR="000432A5" w:rsidRPr="00FB7073" w:rsidRDefault="000432A5" w:rsidP="000432A5">
      <w:pPr>
        <w:rPr>
          <w:rFonts w:ascii="Arial" w:hAnsi="Arial"/>
        </w:rPr>
      </w:pPr>
    </w:p>
    <w:p w14:paraId="41F3C3BF" w14:textId="77777777" w:rsidR="000432A5" w:rsidRPr="00FB7073" w:rsidRDefault="000432A5" w:rsidP="000432A5">
      <w:pPr>
        <w:rPr>
          <w:rFonts w:ascii="Arial" w:hAnsi="Arial"/>
        </w:rPr>
      </w:pPr>
    </w:p>
    <w:p w14:paraId="3FA945BC" w14:textId="77777777" w:rsidR="000432A5" w:rsidRPr="00FB7073" w:rsidRDefault="000432A5" w:rsidP="000432A5">
      <w:pPr>
        <w:rPr>
          <w:rFonts w:ascii="Arial" w:hAnsi="Arial"/>
        </w:rPr>
      </w:pPr>
    </w:p>
    <w:p w14:paraId="5BE524D9" w14:textId="77777777" w:rsidR="000432A5" w:rsidRPr="00FB7073" w:rsidRDefault="000432A5" w:rsidP="000432A5">
      <w:pPr>
        <w:rPr>
          <w:rFonts w:ascii="Arial" w:hAnsi="Arial"/>
        </w:rPr>
      </w:pPr>
    </w:p>
    <w:p w14:paraId="00C373B9" w14:textId="77777777" w:rsidR="000432A5" w:rsidRPr="00FB7073" w:rsidRDefault="000432A5" w:rsidP="000432A5">
      <w:pPr>
        <w:rPr>
          <w:rFonts w:ascii="Arial" w:hAnsi="Arial"/>
        </w:rPr>
      </w:pPr>
    </w:p>
    <w:p w14:paraId="653B4058" w14:textId="77777777" w:rsidR="000432A5" w:rsidRPr="00FB7073" w:rsidRDefault="000432A5" w:rsidP="000432A5">
      <w:pPr>
        <w:rPr>
          <w:rFonts w:ascii="Arial" w:hAnsi="Arial"/>
        </w:rPr>
      </w:pPr>
    </w:p>
    <w:p w14:paraId="2D205C65" w14:textId="77777777" w:rsidR="000432A5" w:rsidRPr="00FB7073" w:rsidRDefault="000432A5" w:rsidP="000432A5">
      <w:pPr>
        <w:rPr>
          <w:rFonts w:ascii="Arial" w:hAnsi="Arial"/>
        </w:rPr>
      </w:pPr>
    </w:p>
    <w:p w14:paraId="4D854743" w14:textId="77777777" w:rsidR="000432A5" w:rsidRPr="00FB7073" w:rsidRDefault="000432A5" w:rsidP="000432A5">
      <w:pPr>
        <w:rPr>
          <w:rFonts w:ascii="Arial" w:hAnsi="Arial"/>
        </w:rPr>
      </w:pPr>
    </w:p>
    <w:p w14:paraId="450EF0A4" w14:textId="77777777" w:rsidR="005875BD" w:rsidRPr="002F2B78" w:rsidRDefault="005875BD" w:rsidP="005875BD">
      <w:pPr>
        <w:jc w:val="center"/>
        <w:rPr>
          <w:rFonts w:ascii="Arial" w:hAnsi="Arial"/>
          <w:szCs w:val="24"/>
        </w:rPr>
      </w:pPr>
      <w:r w:rsidRPr="002F2B78">
        <w:rPr>
          <w:rFonts w:ascii="Arial" w:hAnsi="Arial"/>
          <w:szCs w:val="24"/>
        </w:rPr>
        <w:t>Md. Manik Hossain Bappy</w:t>
      </w:r>
    </w:p>
    <w:p w14:paraId="15186034" w14:textId="77777777" w:rsidR="000432A5" w:rsidRPr="00FB7073" w:rsidRDefault="000432A5" w:rsidP="000432A5">
      <w:pPr>
        <w:rPr>
          <w:rFonts w:ascii="Arial" w:hAnsi="Arial"/>
        </w:rPr>
      </w:pPr>
    </w:p>
    <w:p w14:paraId="632F6C3A" w14:textId="77777777" w:rsidR="000432A5" w:rsidRPr="00FB7073" w:rsidRDefault="000432A5" w:rsidP="000432A5">
      <w:pPr>
        <w:rPr>
          <w:rFonts w:ascii="Arial" w:hAnsi="Arial"/>
        </w:rPr>
      </w:pPr>
    </w:p>
    <w:p w14:paraId="2D57D5E5" w14:textId="77777777" w:rsidR="000432A5" w:rsidRPr="00FB7073" w:rsidRDefault="000432A5" w:rsidP="000432A5">
      <w:pPr>
        <w:rPr>
          <w:rFonts w:ascii="Arial" w:hAnsi="Arial"/>
        </w:rPr>
      </w:pPr>
    </w:p>
    <w:p w14:paraId="1DB59074" w14:textId="77777777" w:rsidR="000432A5" w:rsidRPr="00FB7073" w:rsidRDefault="000432A5" w:rsidP="000432A5">
      <w:pPr>
        <w:rPr>
          <w:rFonts w:ascii="Arial" w:hAnsi="Arial"/>
        </w:rPr>
      </w:pPr>
    </w:p>
    <w:p w14:paraId="597378F2" w14:textId="77777777" w:rsidR="000432A5" w:rsidRPr="00FB7073" w:rsidRDefault="000432A5" w:rsidP="000432A5">
      <w:pPr>
        <w:rPr>
          <w:rFonts w:ascii="Arial" w:hAnsi="Arial"/>
        </w:rPr>
      </w:pPr>
    </w:p>
    <w:p w14:paraId="3DF3CEB4" w14:textId="77777777" w:rsidR="000432A5" w:rsidRPr="00FB7073" w:rsidRDefault="000432A5" w:rsidP="000432A5">
      <w:pPr>
        <w:rPr>
          <w:rFonts w:ascii="Arial" w:hAnsi="Arial"/>
        </w:rPr>
      </w:pPr>
    </w:p>
    <w:p w14:paraId="38F47C00" w14:textId="77777777" w:rsidR="000432A5" w:rsidRPr="00FB7073" w:rsidRDefault="000432A5" w:rsidP="000432A5">
      <w:pPr>
        <w:rPr>
          <w:rFonts w:ascii="Arial" w:hAnsi="Arial"/>
        </w:rPr>
      </w:pPr>
    </w:p>
    <w:p w14:paraId="1645E3E5" w14:textId="77777777" w:rsidR="000432A5" w:rsidRPr="00FB7073" w:rsidRDefault="000432A5" w:rsidP="000432A5">
      <w:pPr>
        <w:rPr>
          <w:rFonts w:ascii="Arial" w:hAnsi="Arial"/>
        </w:rPr>
      </w:pPr>
    </w:p>
    <w:p w14:paraId="2C24FED2" w14:textId="77777777" w:rsidR="000432A5" w:rsidRPr="00FB7073" w:rsidRDefault="000432A5" w:rsidP="000432A5">
      <w:pPr>
        <w:rPr>
          <w:rFonts w:ascii="Arial" w:hAnsi="Arial"/>
        </w:rPr>
      </w:pPr>
    </w:p>
    <w:p w14:paraId="3867A329" w14:textId="77777777" w:rsidR="000432A5" w:rsidRPr="00FB7073" w:rsidRDefault="000432A5" w:rsidP="000432A5">
      <w:pPr>
        <w:rPr>
          <w:rFonts w:ascii="Arial" w:hAnsi="Arial"/>
        </w:rPr>
      </w:pPr>
    </w:p>
    <w:p w14:paraId="372E6AAB" w14:textId="77777777" w:rsidR="000432A5" w:rsidRPr="00FB7073" w:rsidRDefault="000432A5" w:rsidP="000432A5">
      <w:pPr>
        <w:rPr>
          <w:rFonts w:ascii="Arial" w:hAnsi="Arial"/>
        </w:rPr>
      </w:pPr>
    </w:p>
    <w:p w14:paraId="12447E25" w14:textId="77777777" w:rsidR="000432A5" w:rsidRPr="00FB7073" w:rsidRDefault="000432A5" w:rsidP="000432A5">
      <w:pPr>
        <w:rPr>
          <w:rFonts w:ascii="Arial" w:hAnsi="Arial"/>
        </w:rPr>
      </w:pPr>
    </w:p>
    <w:p w14:paraId="0F8F8B88" w14:textId="77777777" w:rsidR="000432A5" w:rsidRPr="00FB7073" w:rsidRDefault="000432A5" w:rsidP="00CB631B">
      <w:pPr>
        <w:jc w:val="center"/>
        <w:rPr>
          <w:rFonts w:ascii="Arial" w:hAnsi="Arial"/>
          <w:szCs w:val="24"/>
        </w:rPr>
      </w:pPr>
      <w:r w:rsidRPr="00FB7073">
        <w:rPr>
          <w:rFonts w:ascii="Arial" w:hAnsi="Arial"/>
          <w:szCs w:val="24"/>
        </w:rPr>
        <w:t>This report is submitted to the school of Business and Economics, United International University as a partial requirement for the degree fulfillment of Bachelor of Business Administration</w:t>
      </w:r>
    </w:p>
    <w:p w14:paraId="2D501CAB" w14:textId="77777777" w:rsidR="009D48F5" w:rsidRPr="009D48F5" w:rsidRDefault="002A7F0D" w:rsidP="000432A5">
      <w:pPr>
        <w:spacing w:after="160" w:line="259" w:lineRule="auto"/>
        <w:jc w:val="center"/>
        <w:rPr>
          <w:rFonts w:ascii="Arial" w:hAnsi="Arial"/>
          <w:b/>
          <w:bCs/>
          <w:color w:val="000000" w:themeColor="text1"/>
          <w:sz w:val="36"/>
          <w:szCs w:val="36"/>
        </w:rPr>
      </w:pPr>
      <w:r w:rsidRPr="00FB7073">
        <w:rPr>
          <w:rFonts w:ascii="Arial" w:hAnsi="Arial"/>
          <w:b/>
          <w:bCs/>
          <w:color w:val="0F4761" w:themeColor="accent1" w:themeShade="BF"/>
          <w:sz w:val="36"/>
          <w:szCs w:val="36"/>
        </w:rPr>
        <w:br w:type="page"/>
      </w:r>
      <w:r w:rsidR="009D48F5" w:rsidRPr="009D48F5">
        <w:rPr>
          <w:rFonts w:ascii="Arial" w:hAnsi="Arial"/>
          <w:b/>
          <w:bCs/>
          <w:color w:val="000000" w:themeColor="text1"/>
          <w:sz w:val="36"/>
          <w:szCs w:val="36"/>
        </w:rPr>
        <w:lastRenderedPageBreak/>
        <w:t xml:space="preserve">Internship Report </w:t>
      </w:r>
    </w:p>
    <w:p w14:paraId="49DC09BD" w14:textId="77777777" w:rsidR="009D48F5" w:rsidRDefault="009D48F5" w:rsidP="000432A5">
      <w:pPr>
        <w:spacing w:after="160" w:line="259" w:lineRule="auto"/>
        <w:jc w:val="center"/>
        <w:rPr>
          <w:rFonts w:ascii="Arial" w:hAnsi="Arial"/>
          <w:b/>
          <w:bCs/>
          <w:color w:val="000000" w:themeColor="text1"/>
          <w:sz w:val="36"/>
          <w:szCs w:val="36"/>
        </w:rPr>
      </w:pPr>
      <w:r w:rsidRPr="009D48F5">
        <w:rPr>
          <w:rFonts w:ascii="Arial" w:hAnsi="Arial"/>
          <w:b/>
          <w:bCs/>
          <w:color w:val="000000" w:themeColor="text1"/>
          <w:sz w:val="36"/>
          <w:szCs w:val="36"/>
        </w:rPr>
        <w:t>On</w:t>
      </w:r>
    </w:p>
    <w:p w14:paraId="59D972E5" w14:textId="77777777" w:rsidR="00E359C0" w:rsidRPr="009D48F5" w:rsidRDefault="00E359C0" w:rsidP="000432A5">
      <w:pPr>
        <w:spacing w:after="160" w:line="259" w:lineRule="auto"/>
        <w:jc w:val="center"/>
        <w:rPr>
          <w:rFonts w:ascii="Arial" w:hAnsi="Arial"/>
          <w:b/>
          <w:bCs/>
          <w:color w:val="000000" w:themeColor="text1"/>
          <w:sz w:val="36"/>
          <w:szCs w:val="36"/>
        </w:rPr>
      </w:pPr>
    </w:p>
    <w:p w14:paraId="23AE17DD" w14:textId="7568A056" w:rsidR="00335224" w:rsidRPr="000D4AC2" w:rsidRDefault="00335224" w:rsidP="000432A5">
      <w:pPr>
        <w:spacing w:after="160" w:line="259" w:lineRule="auto"/>
        <w:jc w:val="center"/>
        <w:rPr>
          <w:rFonts w:ascii="Arial" w:hAnsi="Arial"/>
          <w:color w:val="000000" w:themeColor="text1"/>
          <w:sz w:val="36"/>
          <w:szCs w:val="36"/>
        </w:rPr>
      </w:pPr>
      <w:r w:rsidRPr="000D4AC2">
        <w:rPr>
          <w:rFonts w:ascii="Arial" w:hAnsi="Arial"/>
          <w:b/>
          <w:bCs/>
          <w:color w:val="000000" w:themeColor="text1"/>
          <w:sz w:val="36"/>
          <w:szCs w:val="36"/>
        </w:rPr>
        <w:t>Working Capital Management Practices:</w:t>
      </w:r>
    </w:p>
    <w:p w14:paraId="5C2C7345" w14:textId="68D633F4" w:rsidR="00D32C25" w:rsidRPr="000D4AC2" w:rsidRDefault="00335224" w:rsidP="000432A5">
      <w:pPr>
        <w:jc w:val="center"/>
        <w:rPr>
          <w:rFonts w:ascii="Arial" w:hAnsi="Arial"/>
          <w:b/>
          <w:bCs/>
          <w:color w:val="000000" w:themeColor="text1"/>
          <w:sz w:val="36"/>
          <w:szCs w:val="36"/>
        </w:rPr>
      </w:pPr>
      <w:r w:rsidRPr="000D4AC2">
        <w:rPr>
          <w:rFonts w:ascii="Arial" w:hAnsi="Arial"/>
          <w:b/>
          <w:bCs/>
          <w:color w:val="000000" w:themeColor="text1"/>
          <w:sz w:val="36"/>
          <w:szCs w:val="36"/>
        </w:rPr>
        <w:t>A Study on Tokyo Consulting Firm Limited, Bangladesh</w:t>
      </w:r>
    </w:p>
    <w:p w14:paraId="3F13AB32" w14:textId="77777777" w:rsidR="00453DBE" w:rsidRPr="009C5283" w:rsidRDefault="00453DBE" w:rsidP="00071344">
      <w:pPr>
        <w:spacing w:line="276" w:lineRule="auto"/>
        <w:rPr>
          <w:rFonts w:ascii="Cambria Math" w:hAnsi="Cambria Math"/>
          <w:b/>
          <w:bCs/>
          <w:color w:val="333333"/>
          <w:sz w:val="32"/>
          <w:szCs w:val="32"/>
        </w:rPr>
      </w:pPr>
    </w:p>
    <w:p w14:paraId="18FD1E59" w14:textId="77777777" w:rsidR="00453DBE" w:rsidRPr="009C5283" w:rsidRDefault="00453DBE" w:rsidP="00E13EDB">
      <w:pPr>
        <w:spacing w:line="276" w:lineRule="auto"/>
        <w:jc w:val="center"/>
        <w:rPr>
          <w:rFonts w:ascii="Cambria Math" w:hAnsi="Cambria Math"/>
          <w:b/>
          <w:bCs/>
          <w:color w:val="333333"/>
          <w:sz w:val="32"/>
          <w:szCs w:val="32"/>
        </w:rPr>
      </w:pPr>
    </w:p>
    <w:p w14:paraId="59020383" w14:textId="71B94639" w:rsidR="00335224" w:rsidRPr="002F2B78" w:rsidRDefault="00F67115" w:rsidP="00A610C7">
      <w:pPr>
        <w:jc w:val="center"/>
        <w:rPr>
          <w:rFonts w:ascii="Arial" w:hAnsi="Arial"/>
          <w:color w:val="000000" w:themeColor="text1"/>
          <w:sz w:val="28"/>
          <w:szCs w:val="28"/>
        </w:rPr>
      </w:pPr>
      <w:r w:rsidRPr="002F2B78">
        <w:rPr>
          <w:rFonts w:ascii="Arial" w:hAnsi="Arial"/>
          <w:b/>
          <w:bCs/>
          <w:color w:val="000000" w:themeColor="text1"/>
          <w:sz w:val="28"/>
          <w:szCs w:val="28"/>
        </w:rPr>
        <w:t>Submitted To</w:t>
      </w:r>
      <w:r w:rsidR="00335224" w:rsidRPr="002F2B78">
        <w:rPr>
          <w:rFonts w:ascii="Arial" w:hAnsi="Arial"/>
          <w:b/>
          <w:bCs/>
          <w:color w:val="000000" w:themeColor="text1"/>
          <w:sz w:val="28"/>
          <w:szCs w:val="28"/>
        </w:rPr>
        <w:t>:</w:t>
      </w:r>
    </w:p>
    <w:p w14:paraId="3D4D8B9C" w14:textId="7D8307DF" w:rsidR="00335224" w:rsidRPr="00F67115" w:rsidRDefault="00F67115" w:rsidP="00A610C7">
      <w:pPr>
        <w:jc w:val="center"/>
        <w:rPr>
          <w:rFonts w:ascii="Arial" w:hAnsi="Arial"/>
          <w:szCs w:val="24"/>
        </w:rPr>
      </w:pPr>
      <w:r w:rsidRPr="00F67115">
        <w:rPr>
          <w:rFonts w:ascii="Arial" w:hAnsi="Arial"/>
          <w:szCs w:val="24"/>
        </w:rPr>
        <w:t>Mr. Muhammad Enamul Haque</w:t>
      </w:r>
    </w:p>
    <w:p w14:paraId="6C15529C" w14:textId="06468CC4" w:rsidR="00F67115" w:rsidRDefault="00F67115" w:rsidP="00A610C7">
      <w:pPr>
        <w:jc w:val="center"/>
        <w:rPr>
          <w:rFonts w:ascii="Arial" w:hAnsi="Arial"/>
          <w:szCs w:val="24"/>
        </w:rPr>
      </w:pPr>
      <w:r w:rsidRPr="00F67115">
        <w:rPr>
          <w:rFonts w:ascii="Arial" w:hAnsi="Arial"/>
          <w:szCs w:val="24"/>
        </w:rPr>
        <w:t>Ass</w:t>
      </w:r>
      <w:r w:rsidR="00E978F3">
        <w:rPr>
          <w:rFonts w:ascii="Arial" w:hAnsi="Arial"/>
          <w:szCs w:val="24"/>
        </w:rPr>
        <w:t>ociate</w:t>
      </w:r>
      <w:r w:rsidRPr="00F67115">
        <w:rPr>
          <w:rFonts w:ascii="Arial" w:hAnsi="Arial"/>
          <w:szCs w:val="24"/>
        </w:rPr>
        <w:t xml:space="preserve"> Professor,</w:t>
      </w:r>
    </w:p>
    <w:p w14:paraId="50F9ED25" w14:textId="277F9C5E" w:rsidR="00760824" w:rsidRPr="00F67115" w:rsidRDefault="00760824" w:rsidP="00A610C7">
      <w:pPr>
        <w:jc w:val="center"/>
        <w:rPr>
          <w:rFonts w:ascii="Arial" w:hAnsi="Arial"/>
          <w:szCs w:val="24"/>
        </w:rPr>
      </w:pPr>
      <w:r>
        <w:rPr>
          <w:rFonts w:ascii="Arial" w:hAnsi="Arial"/>
          <w:szCs w:val="24"/>
        </w:rPr>
        <w:t>School of Business and Economics</w:t>
      </w:r>
    </w:p>
    <w:p w14:paraId="5E6F7E48" w14:textId="1016D50F" w:rsidR="00F67115" w:rsidRPr="00F67115" w:rsidRDefault="00F67115" w:rsidP="00A610C7">
      <w:pPr>
        <w:jc w:val="center"/>
        <w:rPr>
          <w:rFonts w:ascii="Arial" w:hAnsi="Arial"/>
          <w:szCs w:val="24"/>
        </w:rPr>
      </w:pPr>
      <w:r w:rsidRPr="00F67115">
        <w:rPr>
          <w:rFonts w:ascii="Arial" w:hAnsi="Arial"/>
          <w:szCs w:val="24"/>
        </w:rPr>
        <w:t>Major: Finance &amp; FinTech</w:t>
      </w:r>
    </w:p>
    <w:p w14:paraId="5C268DFF" w14:textId="77777777" w:rsidR="00335224" w:rsidRPr="009C5283" w:rsidRDefault="00335224" w:rsidP="00E13EDB">
      <w:pPr>
        <w:spacing w:after="120" w:line="276" w:lineRule="auto"/>
        <w:rPr>
          <w:rFonts w:ascii="Cambria Math" w:hAnsi="Cambria Math"/>
          <w:sz w:val="28"/>
          <w:szCs w:val="28"/>
        </w:rPr>
      </w:pPr>
    </w:p>
    <w:p w14:paraId="4E226439" w14:textId="4AD9EF3A" w:rsidR="00335224" w:rsidRPr="002F2B78" w:rsidRDefault="00335224" w:rsidP="00A610C7">
      <w:pPr>
        <w:jc w:val="center"/>
        <w:rPr>
          <w:rFonts w:ascii="Arial" w:hAnsi="Arial"/>
          <w:color w:val="000000" w:themeColor="text1"/>
          <w:sz w:val="28"/>
          <w:szCs w:val="28"/>
        </w:rPr>
      </w:pPr>
      <w:r w:rsidRPr="002F2B78">
        <w:rPr>
          <w:rFonts w:ascii="Arial" w:hAnsi="Arial"/>
          <w:b/>
          <w:bCs/>
          <w:color w:val="000000" w:themeColor="text1"/>
          <w:sz w:val="28"/>
          <w:szCs w:val="28"/>
        </w:rPr>
        <w:t>Su</w:t>
      </w:r>
      <w:r w:rsidR="00F67115" w:rsidRPr="002F2B78">
        <w:rPr>
          <w:rFonts w:ascii="Arial" w:hAnsi="Arial"/>
          <w:b/>
          <w:bCs/>
          <w:color w:val="000000" w:themeColor="text1"/>
          <w:sz w:val="28"/>
          <w:szCs w:val="28"/>
        </w:rPr>
        <w:t>bmitted</w:t>
      </w:r>
      <w:r w:rsidRPr="002F2B78">
        <w:rPr>
          <w:rFonts w:ascii="Arial" w:hAnsi="Arial"/>
          <w:b/>
          <w:bCs/>
          <w:color w:val="000000" w:themeColor="text1"/>
          <w:sz w:val="28"/>
          <w:szCs w:val="28"/>
        </w:rPr>
        <w:t xml:space="preserve"> By:</w:t>
      </w:r>
    </w:p>
    <w:p w14:paraId="186BD0D3" w14:textId="593994B1" w:rsidR="00335224" w:rsidRPr="00F67115" w:rsidRDefault="00335224" w:rsidP="00A610C7">
      <w:pPr>
        <w:jc w:val="center"/>
        <w:rPr>
          <w:rFonts w:ascii="Arial" w:hAnsi="Arial"/>
          <w:szCs w:val="24"/>
        </w:rPr>
      </w:pPr>
      <w:r w:rsidRPr="00F67115">
        <w:rPr>
          <w:rFonts w:ascii="Arial" w:hAnsi="Arial"/>
          <w:szCs w:val="24"/>
        </w:rPr>
        <w:t>M</w:t>
      </w:r>
      <w:r w:rsidR="00F67115" w:rsidRPr="00F67115">
        <w:rPr>
          <w:rFonts w:ascii="Arial" w:hAnsi="Arial"/>
          <w:szCs w:val="24"/>
        </w:rPr>
        <w:t>d. Manik Hossain Bappy</w:t>
      </w:r>
    </w:p>
    <w:p w14:paraId="3357E550" w14:textId="480D6A1D" w:rsidR="002D5A4F" w:rsidRPr="00F67115" w:rsidRDefault="00F67115" w:rsidP="00A610C7">
      <w:pPr>
        <w:jc w:val="center"/>
        <w:rPr>
          <w:rFonts w:ascii="Arial" w:hAnsi="Arial"/>
          <w:szCs w:val="24"/>
        </w:rPr>
      </w:pPr>
      <w:r w:rsidRPr="00F67115">
        <w:rPr>
          <w:rFonts w:ascii="Arial" w:hAnsi="Arial"/>
          <w:szCs w:val="24"/>
        </w:rPr>
        <w:t>ID: 111 221 043</w:t>
      </w:r>
    </w:p>
    <w:p w14:paraId="7B36FAA0" w14:textId="17DBD404" w:rsidR="00335224" w:rsidRPr="00F67115" w:rsidRDefault="00F67115" w:rsidP="00A610C7">
      <w:pPr>
        <w:jc w:val="center"/>
        <w:rPr>
          <w:rFonts w:ascii="Arial" w:hAnsi="Arial"/>
          <w:szCs w:val="24"/>
        </w:rPr>
      </w:pPr>
      <w:r w:rsidRPr="00F67115">
        <w:rPr>
          <w:rFonts w:ascii="Arial" w:hAnsi="Arial"/>
          <w:szCs w:val="24"/>
        </w:rPr>
        <w:t>Major: Finance &amp; FinTech</w:t>
      </w:r>
    </w:p>
    <w:p w14:paraId="252AC077" w14:textId="5CF81501" w:rsidR="00D52BB2" w:rsidRPr="00065847" w:rsidRDefault="00F67115" w:rsidP="00065847">
      <w:pPr>
        <w:jc w:val="center"/>
        <w:rPr>
          <w:rFonts w:ascii="Arial" w:hAnsi="Arial"/>
          <w:szCs w:val="24"/>
        </w:rPr>
      </w:pPr>
      <w:r w:rsidRPr="00F67115">
        <w:rPr>
          <w:rFonts w:ascii="Arial" w:hAnsi="Arial"/>
          <w:szCs w:val="24"/>
        </w:rPr>
        <w:t xml:space="preserve">Registration Trimester: </w:t>
      </w:r>
      <w:r w:rsidR="002F2B78">
        <w:rPr>
          <w:rFonts w:ascii="Arial" w:hAnsi="Arial"/>
          <w:szCs w:val="24"/>
        </w:rPr>
        <w:t>Spring 261</w:t>
      </w:r>
    </w:p>
    <w:p w14:paraId="161996D4" w14:textId="3177501E" w:rsidR="00335224" w:rsidRPr="00F67115" w:rsidRDefault="00335224" w:rsidP="00F67115">
      <w:pPr>
        <w:rPr>
          <w:rFonts w:ascii="Arial" w:hAnsi="Arial"/>
          <w:szCs w:val="24"/>
        </w:rPr>
      </w:pPr>
    </w:p>
    <w:p w14:paraId="46944B3C" w14:textId="77777777" w:rsidR="008627E7" w:rsidRPr="009C5283" w:rsidRDefault="008627E7" w:rsidP="00F67115">
      <w:pPr>
        <w:spacing w:line="276" w:lineRule="auto"/>
        <w:rPr>
          <w:rFonts w:ascii="Cambria Math" w:hAnsi="Cambria Math"/>
          <w:color w:val="000000" w:themeColor="text1"/>
          <w:sz w:val="28"/>
          <w:szCs w:val="28"/>
        </w:rPr>
      </w:pPr>
    </w:p>
    <w:p w14:paraId="7C3EA01C" w14:textId="77777777" w:rsidR="008627E7" w:rsidRPr="009C5283" w:rsidRDefault="008627E7" w:rsidP="008627E7">
      <w:pPr>
        <w:pStyle w:val="BodyText"/>
        <w:jc w:val="center"/>
        <w:rPr>
          <w:rFonts w:ascii="Cambria Math" w:hAnsi="Cambria Math" w:cs="Arial"/>
          <w:b/>
          <w:sz w:val="28"/>
        </w:rPr>
      </w:pPr>
      <w:r w:rsidRPr="009C5283">
        <w:rPr>
          <w:rFonts w:ascii="Cambria Math" w:hAnsi="Cambria Math" w:cs="Arial"/>
          <w:b/>
          <w:noProof/>
          <w:sz w:val="28"/>
        </w:rPr>
        <w:drawing>
          <wp:inline distT="0" distB="0" distL="0" distR="0" wp14:anchorId="7C0DC544" wp14:editId="3755C341">
            <wp:extent cx="1066800" cy="1066800"/>
            <wp:effectExtent l="0" t="0" r="0" b="0"/>
            <wp:docPr id="1232718058"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718058" name="Picture 1232718058"/>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66800" cy="1066800"/>
                    </a:xfrm>
                    <a:prstGeom prst="rect">
                      <a:avLst/>
                    </a:prstGeom>
                  </pic:spPr>
                </pic:pic>
              </a:graphicData>
            </a:graphic>
          </wp:inline>
        </w:drawing>
      </w:r>
    </w:p>
    <w:p w14:paraId="09915CA5" w14:textId="77777777" w:rsidR="008627E7" w:rsidRPr="00F67115" w:rsidRDefault="008627E7" w:rsidP="008627E7">
      <w:pPr>
        <w:pStyle w:val="BodyText"/>
        <w:spacing w:line="276" w:lineRule="auto"/>
        <w:jc w:val="center"/>
        <w:rPr>
          <w:rFonts w:ascii="Arial" w:hAnsi="Arial" w:cs="Arial"/>
          <w:b/>
          <w:sz w:val="32"/>
          <w:szCs w:val="28"/>
        </w:rPr>
      </w:pPr>
      <w:r w:rsidRPr="00F67115">
        <w:rPr>
          <w:rFonts w:ascii="Arial" w:hAnsi="Arial" w:cs="Arial"/>
          <w:b/>
          <w:sz w:val="32"/>
          <w:szCs w:val="28"/>
        </w:rPr>
        <w:t>School of Business and Economics</w:t>
      </w:r>
    </w:p>
    <w:p w14:paraId="0B53A6B6" w14:textId="0619A2E5" w:rsidR="002A71B1" w:rsidRPr="00E359C0" w:rsidRDefault="008627E7" w:rsidP="00E359C0">
      <w:pPr>
        <w:pStyle w:val="BodyText"/>
        <w:spacing w:line="276" w:lineRule="auto"/>
        <w:jc w:val="center"/>
        <w:rPr>
          <w:rFonts w:ascii="Arial" w:hAnsi="Arial" w:cs="Arial"/>
          <w:b/>
          <w:sz w:val="40"/>
          <w:szCs w:val="40"/>
        </w:rPr>
      </w:pPr>
      <w:r w:rsidRPr="00F67115">
        <w:rPr>
          <w:rFonts w:ascii="Arial" w:hAnsi="Arial" w:cs="Arial"/>
          <w:b/>
          <w:sz w:val="40"/>
          <w:szCs w:val="40"/>
        </w:rPr>
        <w:t>United International University</w:t>
      </w:r>
    </w:p>
    <w:p w14:paraId="7FB15710" w14:textId="77777777" w:rsidR="005875BD" w:rsidRDefault="005875BD" w:rsidP="001A2C55">
      <w:pPr>
        <w:spacing w:line="276" w:lineRule="auto"/>
        <w:rPr>
          <w:rFonts w:ascii="Cambria Math" w:hAnsi="Cambria Math"/>
          <w:color w:val="000000" w:themeColor="text1"/>
          <w:sz w:val="28"/>
          <w:szCs w:val="28"/>
        </w:rPr>
      </w:pPr>
    </w:p>
    <w:p w14:paraId="65ECC20E" w14:textId="77777777" w:rsidR="002A7F0D" w:rsidRPr="009C5283" w:rsidRDefault="002A7F0D" w:rsidP="001A2C55">
      <w:pPr>
        <w:spacing w:line="276" w:lineRule="auto"/>
        <w:rPr>
          <w:rFonts w:ascii="Cambria Math" w:hAnsi="Cambria Math"/>
          <w:color w:val="000000" w:themeColor="text1"/>
          <w:sz w:val="28"/>
          <w:szCs w:val="28"/>
        </w:rPr>
      </w:pPr>
    </w:p>
    <w:p w14:paraId="5EB0EE5C" w14:textId="6B2016FA" w:rsidR="00160B0A" w:rsidRPr="00A610C7" w:rsidRDefault="00335224" w:rsidP="00F67115">
      <w:pPr>
        <w:spacing w:line="276" w:lineRule="auto"/>
        <w:jc w:val="center"/>
        <w:rPr>
          <w:rFonts w:ascii="Arial" w:hAnsi="Arial"/>
          <w:b/>
          <w:bCs/>
          <w:color w:val="000000" w:themeColor="text1"/>
          <w:sz w:val="28"/>
          <w:szCs w:val="28"/>
        </w:rPr>
        <w:sectPr w:rsidR="00160B0A" w:rsidRPr="00A610C7" w:rsidSect="000B5556">
          <w:pgSz w:w="11909" w:h="16834" w:code="9"/>
          <w:pgMar w:top="1440" w:right="1440" w:bottom="1440" w:left="1440" w:header="720" w:footer="720" w:gutter="0"/>
          <w:cols w:space="720"/>
          <w:docGrid w:linePitch="360"/>
        </w:sectPr>
      </w:pPr>
      <w:r w:rsidRPr="00A610C7">
        <w:rPr>
          <w:rFonts w:ascii="Arial" w:hAnsi="Arial"/>
          <w:b/>
          <w:bCs/>
          <w:color w:val="000000" w:themeColor="text1"/>
          <w:sz w:val="28"/>
          <w:szCs w:val="28"/>
        </w:rPr>
        <w:t xml:space="preserve">Date of Submission: </w:t>
      </w:r>
      <w:r w:rsidR="00223F57">
        <w:rPr>
          <w:rFonts w:ascii="Arial" w:hAnsi="Arial"/>
          <w:b/>
          <w:bCs/>
          <w:color w:val="000000" w:themeColor="text1"/>
          <w:sz w:val="28"/>
          <w:szCs w:val="28"/>
        </w:rPr>
        <w:t>July 2</w:t>
      </w:r>
      <w:r w:rsidR="008E51B2">
        <w:rPr>
          <w:rFonts w:ascii="Arial" w:hAnsi="Arial"/>
          <w:b/>
          <w:bCs/>
          <w:color w:val="000000" w:themeColor="text1"/>
          <w:sz w:val="28"/>
          <w:szCs w:val="28"/>
        </w:rPr>
        <w:t>2</w:t>
      </w:r>
      <w:r w:rsidR="00223F57">
        <w:rPr>
          <w:rFonts w:ascii="Arial" w:hAnsi="Arial"/>
          <w:b/>
          <w:bCs/>
          <w:color w:val="000000" w:themeColor="text1"/>
          <w:sz w:val="28"/>
          <w:szCs w:val="28"/>
        </w:rPr>
        <w:t>, 2026</w:t>
      </w:r>
    </w:p>
    <w:p w14:paraId="3129575A" w14:textId="39A32B00" w:rsidR="00335224" w:rsidRPr="00E65689" w:rsidRDefault="00335224" w:rsidP="00E13EDB">
      <w:pPr>
        <w:pStyle w:val="Heading1"/>
        <w:spacing w:before="0" w:line="276" w:lineRule="auto"/>
        <w:rPr>
          <w:rFonts w:ascii="Arial" w:hAnsi="Arial" w:cs="Arial"/>
          <w:sz w:val="32"/>
          <w:szCs w:val="32"/>
        </w:rPr>
      </w:pPr>
      <w:bookmarkStart w:id="0" w:name="_Toc235801907"/>
      <w:r w:rsidRPr="00E65689">
        <w:rPr>
          <w:rFonts w:ascii="Arial" w:hAnsi="Arial" w:cs="Arial"/>
          <w:sz w:val="32"/>
          <w:szCs w:val="32"/>
        </w:rPr>
        <w:lastRenderedPageBreak/>
        <w:t>Letter of Transmittal</w:t>
      </w:r>
      <w:bookmarkEnd w:id="0"/>
    </w:p>
    <w:p w14:paraId="1A08E639" w14:textId="77777777" w:rsidR="00335224" w:rsidRDefault="00335224" w:rsidP="00E13EDB">
      <w:pPr>
        <w:spacing w:after="120" w:line="276" w:lineRule="auto"/>
      </w:pPr>
    </w:p>
    <w:p w14:paraId="6274D9F8" w14:textId="2D2C3F01" w:rsidR="00335224" w:rsidRPr="00E65689" w:rsidRDefault="00335224" w:rsidP="00E65689">
      <w:pPr>
        <w:spacing w:after="80"/>
        <w:rPr>
          <w:rFonts w:ascii="Arial" w:hAnsi="Arial"/>
          <w:szCs w:val="24"/>
        </w:rPr>
      </w:pPr>
      <w:r w:rsidRPr="00E65689">
        <w:rPr>
          <w:rFonts w:ascii="Arial" w:hAnsi="Arial"/>
          <w:szCs w:val="24"/>
        </w:rPr>
        <w:t xml:space="preserve">Date: </w:t>
      </w:r>
      <w:r w:rsidR="003F54C8" w:rsidRPr="00E65689">
        <w:rPr>
          <w:rFonts w:ascii="Arial" w:hAnsi="Arial"/>
          <w:szCs w:val="24"/>
        </w:rPr>
        <w:t>2</w:t>
      </w:r>
      <w:r w:rsidR="008E51B2">
        <w:rPr>
          <w:rFonts w:ascii="Arial" w:hAnsi="Arial"/>
          <w:szCs w:val="24"/>
        </w:rPr>
        <w:t>2</w:t>
      </w:r>
      <w:r w:rsidR="002A5BA3" w:rsidRPr="00E65689">
        <w:rPr>
          <w:rFonts w:ascii="Arial" w:hAnsi="Arial"/>
          <w:szCs w:val="24"/>
        </w:rPr>
        <w:t>/07/2026</w:t>
      </w:r>
    </w:p>
    <w:p w14:paraId="37DAE0F3" w14:textId="77777777" w:rsidR="00335224" w:rsidRPr="00E65689" w:rsidRDefault="00335224" w:rsidP="00E65689">
      <w:pPr>
        <w:rPr>
          <w:rFonts w:ascii="Arial" w:hAnsi="Arial"/>
          <w:szCs w:val="24"/>
        </w:rPr>
      </w:pPr>
      <w:r w:rsidRPr="00E65689">
        <w:rPr>
          <w:rFonts w:ascii="Arial" w:hAnsi="Arial"/>
          <w:szCs w:val="24"/>
        </w:rPr>
        <w:t>Mr. Muhammad Enamul Haque</w:t>
      </w:r>
    </w:p>
    <w:p w14:paraId="5A6976BA" w14:textId="77777777" w:rsidR="00034C12" w:rsidRDefault="00335224" w:rsidP="00E65689">
      <w:pPr>
        <w:spacing w:after="80"/>
        <w:rPr>
          <w:rFonts w:ascii="Arial" w:hAnsi="Arial"/>
          <w:szCs w:val="24"/>
        </w:rPr>
      </w:pPr>
      <w:r w:rsidRPr="00E65689">
        <w:rPr>
          <w:rFonts w:ascii="Arial" w:hAnsi="Arial"/>
          <w:szCs w:val="24"/>
        </w:rPr>
        <w:t>Ass</w:t>
      </w:r>
      <w:r w:rsidR="00034C12">
        <w:rPr>
          <w:rFonts w:ascii="Arial" w:hAnsi="Arial"/>
          <w:szCs w:val="24"/>
        </w:rPr>
        <w:t>ociate</w:t>
      </w:r>
      <w:r w:rsidRPr="00E65689">
        <w:rPr>
          <w:rFonts w:ascii="Arial" w:hAnsi="Arial"/>
          <w:szCs w:val="24"/>
        </w:rPr>
        <w:t xml:space="preserve"> Professor</w:t>
      </w:r>
      <w:r w:rsidR="00E65689">
        <w:rPr>
          <w:rFonts w:ascii="Arial" w:hAnsi="Arial"/>
          <w:szCs w:val="24"/>
        </w:rPr>
        <w:t xml:space="preserve">, </w:t>
      </w:r>
    </w:p>
    <w:p w14:paraId="5F9095D3" w14:textId="0B15B265" w:rsidR="00335224" w:rsidRPr="00E65689" w:rsidRDefault="00335224" w:rsidP="00E65689">
      <w:pPr>
        <w:spacing w:after="80"/>
        <w:rPr>
          <w:rFonts w:ascii="Arial" w:hAnsi="Arial"/>
          <w:szCs w:val="24"/>
        </w:rPr>
      </w:pPr>
      <w:r w:rsidRPr="00E65689">
        <w:rPr>
          <w:rFonts w:ascii="Arial" w:hAnsi="Arial"/>
          <w:szCs w:val="24"/>
        </w:rPr>
        <w:t>School of Business &amp; Economics (</w:t>
      </w:r>
      <w:proofErr w:type="spellStart"/>
      <w:r w:rsidRPr="00E65689">
        <w:rPr>
          <w:rFonts w:ascii="Arial" w:hAnsi="Arial"/>
          <w:szCs w:val="24"/>
        </w:rPr>
        <w:t>SoBE</w:t>
      </w:r>
      <w:proofErr w:type="spellEnd"/>
      <w:r w:rsidRPr="00E65689">
        <w:rPr>
          <w:rFonts w:ascii="Arial" w:hAnsi="Arial"/>
          <w:szCs w:val="24"/>
        </w:rPr>
        <w:t>)</w:t>
      </w:r>
    </w:p>
    <w:p w14:paraId="48D0B5F7" w14:textId="77777777" w:rsidR="00335224" w:rsidRPr="00E65689" w:rsidRDefault="00335224" w:rsidP="00E65689">
      <w:pPr>
        <w:spacing w:after="80"/>
        <w:rPr>
          <w:rFonts w:ascii="Arial" w:hAnsi="Arial"/>
          <w:szCs w:val="24"/>
        </w:rPr>
      </w:pPr>
      <w:r w:rsidRPr="00E65689">
        <w:rPr>
          <w:rFonts w:ascii="Arial" w:hAnsi="Arial"/>
          <w:szCs w:val="24"/>
        </w:rPr>
        <w:t>United International University</w:t>
      </w:r>
    </w:p>
    <w:p w14:paraId="2E764542" w14:textId="77777777" w:rsidR="00335224" w:rsidRPr="00E65689" w:rsidRDefault="00335224" w:rsidP="00E65689">
      <w:pPr>
        <w:spacing w:after="80"/>
        <w:rPr>
          <w:rFonts w:ascii="Arial" w:hAnsi="Arial"/>
          <w:szCs w:val="24"/>
        </w:rPr>
      </w:pPr>
      <w:r w:rsidRPr="00E65689">
        <w:rPr>
          <w:rFonts w:ascii="Arial" w:hAnsi="Arial"/>
          <w:szCs w:val="24"/>
        </w:rPr>
        <w:t>Subject: Submission of Internship Report on 'Working Capital Management Practices: A Study on Tokyo Consulting Firm Limited, Bangladesh'</w:t>
      </w:r>
    </w:p>
    <w:p w14:paraId="15E300C9" w14:textId="77777777" w:rsidR="00335224" w:rsidRPr="00E65689" w:rsidRDefault="00335224" w:rsidP="00E65689">
      <w:pPr>
        <w:spacing w:after="80"/>
        <w:rPr>
          <w:rFonts w:ascii="Arial" w:hAnsi="Arial"/>
          <w:szCs w:val="24"/>
        </w:rPr>
      </w:pPr>
      <w:r w:rsidRPr="00E65689">
        <w:rPr>
          <w:rFonts w:ascii="Arial" w:hAnsi="Arial"/>
          <w:szCs w:val="24"/>
        </w:rPr>
        <w:t>Dear Sir,</w:t>
      </w:r>
    </w:p>
    <w:p w14:paraId="7E0B5D9F" w14:textId="2D2E9968" w:rsidR="00901264" w:rsidRPr="00E65689" w:rsidRDefault="00901264" w:rsidP="00E65689">
      <w:pPr>
        <w:spacing w:after="120"/>
        <w:rPr>
          <w:rFonts w:ascii="Arial" w:hAnsi="Arial"/>
          <w:szCs w:val="24"/>
        </w:rPr>
      </w:pPr>
      <w:r w:rsidRPr="00E65689">
        <w:rPr>
          <w:rFonts w:ascii="Arial" w:hAnsi="Arial"/>
          <w:szCs w:val="24"/>
        </w:rPr>
        <w:t xml:space="preserve">With due respect, I am happy to submit this Internship Report on "Working Capital Management Practices: A Study on Tokyo Consulting Firm Limited, Bangladesh" to fulfill partially the requirement of my Bachelor of Business Administration (BBA) in Finance &amp; FinTech Program. The internship report is based on practical knowledge and experience during internship at Tokyo Consulting Firm Limited, Bangladesh (TCF Bangladesh), with reference to annual Financial Statements (2021-2025) and financial ratios and a trend analysis performed by me. It encompasses working capital policies like cash management, receivable management, inventory management, credit policy and financing as the subject of analysis and include the general profile of the organization. I tried to be best possible as far as preparing an objective oriented report. </w:t>
      </w:r>
    </w:p>
    <w:p w14:paraId="7C4C3F90" w14:textId="64850972" w:rsidR="00901264" w:rsidRPr="00E65689" w:rsidRDefault="00901264" w:rsidP="00E65689">
      <w:pPr>
        <w:spacing w:after="120"/>
        <w:rPr>
          <w:rFonts w:ascii="Arial" w:hAnsi="Arial"/>
          <w:szCs w:val="24"/>
        </w:rPr>
      </w:pPr>
      <w:r w:rsidRPr="00E65689">
        <w:rPr>
          <w:rFonts w:ascii="Arial" w:hAnsi="Arial"/>
          <w:szCs w:val="24"/>
        </w:rPr>
        <w:t xml:space="preserve">It is expected that the working capital policies and practice of TCF Bangladesh will find a concrete shape in a rational direction for future policy guidance. I hope that my work presented in the report </w:t>
      </w:r>
      <w:r w:rsidR="0028141B" w:rsidRPr="00E65689">
        <w:rPr>
          <w:rFonts w:ascii="Arial" w:hAnsi="Arial"/>
          <w:szCs w:val="24"/>
        </w:rPr>
        <w:t>will</w:t>
      </w:r>
      <w:r w:rsidRPr="00E65689">
        <w:rPr>
          <w:rFonts w:ascii="Arial" w:hAnsi="Arial"/>
          <w:szCs w:val="24"/>
        </w:rPr>
        <w:t xml:space="preserve"> satisfy your criteria and a proper insight into the practice and theory of the financial area discussed will be found. I have done my best to complete this project with my current capabilities and will be happy to answer all the questions that might arise concerning this project.</w:t>
      </w:r>
    </w:p>
    <w:p w14:paraId="6176844D" w14:textId="79EC84B2" w:rsidR="008453A5" w:rsidRPr="00085989" w:rsidRDefault="008453A5" w:rsidP="00901264">
      <w:pPr>
        <w:spacing w:after="120" w:line="276" w:lineRule="auto"/>
        <w:rPr>
          <w:rFonts w:ascii="Ink Free" w:hAnsi="Ink Free" w:cs="Times New Roman"/>
          <w:b/>
          <w:bCs/>
          <w:sz w:val="36"/>
          <w:szCs w:val="36"/>
        </w:rPr>
      </w:pPr>
      <w:r w:rsidRPr="00085989">
        <w:rPr>
          <w:rFonts w:ascii="Ink Free" w:hAnsi="Ink Free" w:cs="Times New Roman"/>
          <w:b/>
          <w:bCs/>
          <w:sz w:val="36"/>
          <w:szCs w:val="36"/>
        </w:rPr>
        <w:t>M. H. Bappy</w:t>
      </w:r>
    </w:p>
    <w:p w14:paraId="3DED3120" w14:textId="77777777" w:rsidR="00335224" w:rsidRPr="00E65689" w:rsidRDefault="00335224" w:rsidP="00E65689">
      <w:pPr>
        <w:spacing w:after="80"/>
        <w:rPr>
          <w:rFonts w:ascii="Arial" w:hAnsi="Arial"/>
          <w:szCs w:val="24"/>
        </w:rPr>
      </w:pPr>
      <w:r w:rsidRPr="00E65689">
        <w:rPr>
          <w:rFonts w:ascii="Arial" w:hAnsi="Arial"/>
          <w:szCs w:val="24"/>
        </w:rPr>
        <w:t>Sincerely,</w:t>
      </w:r>
    </w:p>
    <w:p w14:paraId="4F8264AD" w14:textId="77777777" w:rsidR="00335224" w:rsidRPr="00E65689" w:rsidRDefault="00335224" w:rsidP="00E65689">
      <w:pPr>
        <w:spacing w:after="80"/>
        <w:rPr>
          <w:rFonts w:ascii="Arial" w:hAnsi="Arial"/>
          <w:szCs w:val="24"/>
        </w:rPr>
      </w:pPr>
      <w:r w:rsidRPr="00E65689">
        <w:rPr>
          <w:rFonts w:ascii="Arial" w:hAnsi="Arial"/>
          <w:szCs w:val="24"/>
        </w:rPr>
        <w:t>Md. Manik Hossain Bappy</w:t>
      </w:r>
    </w:p>
    <w:p w14:paraId="585D28B2" w14:textId="77777777" w:rsidR="00335224" w:rsidRPr="00E65689" w:rsidRDefault="00335224" w:rsidP="00E65689">
      <w:pPr>
        <w:spacing w:after="80"/>
        <w:rPr>
          <w:rFonts w:ascii="Arial" w:hAnsi="Arial"/>
          <w:szCs w:val="24"/>
        </w:rPr>
      </w:pPr>
      <w:r w:rsidRPr="00E65689">
        <w:rPr>
          <w:rFonts w:ascii="Arial" w:hAnsi="Arial"/>
          <w:szCs w:val="24"/>
        </w:rPr>
        <w:t>ID: 111 221 043</w:t>
      </w:r>
    </w:p>
    <w:p w14:paraId="0CF2CC96" w14:textId="14EE0783" w:rsidR="00C2004F" w:rsidRDefault="00C2004F" w:rsidP="00F33A1F">
      <w:pPr>
        <w:pStyle w:val="Heading1"/>
        <w:rPr>
          <w:rFonts w:ascii="Arial" w:hAnsi="Arial" w:cs="Arial"/>
          <w:sz w:val="32"/>
          <w:szCs w:val="32"/>
        </w:rPr>
      </w:pPr>
      <w:bookmarkStart w:id="1" w:name="_Toc224051564"/>
      <w:bookmarkStart w:id="2" w:name="_Toc235801908"/>
      <w:r w:rsidRPr="00085989">
        <w:rPr>
          <w:rFonts w:ascii="Arial" w:hAnsi="Arial" w:cs="Arial"/>
          <w:sz w:val="32"/>
          <w:szCs w:val="32"/>
        </w:rPr>
        <w:lastRenderedPageBreak/>
        <w:t>Certification of Similarity Index</w:t>
      </w:r>
      <w:bookmarkEnd w:id="1"/>
      <w:bookmarkEnd w:id="2"/>
    </w:p>
    <w:p w14:paraId="47A73726" w14:textId="6E135483" w:rsidR="00BB48D5" w:rsidRPr="00BB48D5" w:rsidRDefault="00BB48D5" w:rsidP="00BB48D5">
      <w:pPr>
        <w:jc w:val="center"/>
      </w:pPr>
      <w:r>
        <w:rPr>
          <w:noProof/>
          <w14:ligatures w14:val="standardContextual"/>
        </w:rPr>
        <w:drawing>
          <wp:inline distT="0" distB="0" distL="0" distR="0" wp14:anchorId="769E0C50" wp14:editId="7AEC59F5">
            <wp:extent cx="6217486" cy="3207434"/>
            <wp:effectExtent l="0" t="0" r="0" b="0"/>
            <wp:docPr id="15119767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976783" name="Picture 1511976783"/>
                    <pic:cNvPicPr/>
                  </pic:nvPicPr>
                  <pic:blipFill>
                    <a:blip r:embed="rId9">
                      <a:extLst>
                        <a:ext uri="{28A0092B-C50C-407E-A947-70E740481C1C}">
                          <a14:useLocalDpi xmlns:a14="http://schemas.microsoft.com/office/drawing/2010/main" val="0"/>
                        </a:ext>
                      </a:extLst>
                    </a:blip>
                    <a:stretch>
                      <a:fillRect/>
                    </a:stretch>
                  </pic:blipFill>
                  <pic:spPr>
                    <a:xfrm>
                      <a:off x="0" y="0"/>
                      <a:ext cx="6217486" cy="3207434"/>
                    </a:xfrm>
                    <a:prstGeom prst="rect">
                      <a:avLst/>
                    </a:prstGeom>
                  </pic:spPr>
                </pic:pic>
              </a:graphicData>
            </a:graphic>
          </wp:inline>
        </w:drawing>
      </w:r>
    </w:p>
    <w:p w14:paraId="5C6498A5" w14:textId="77777777" w:rsidR="00C2004F" w:rsidRDefault="00C2004F" w:rsidP="00E13EDB">
      <w:pPr>
        <w:spacing w:line="276" w:lineRule="auto"/>
      </w:pPr>
    </w:p>
    <w:p w14:paraId="6DC2BEB5" w14:textId="5480F9E0" w:rsidR="00C2004F" w:rsidRDefault="00BB48D5" w:rsidP="00884492">
      <w:pPr>
        <w:spacing w:line="276" w:lineRule="auto"/>
        <w:jc w:val="center"/>
      </w:pPr>
      <w:r>
        <w:rPr>
          <w:noProof/>
          <w14:ligatures w14:val="standardContextual"/>
        </w:rPr>
        <w:drawing>
          <wp:inline distT="0" distB="0" distL="0" distR="0" wp14:anchorId="72FEDB44" wp14:editId="36158CDF">
            <wp:extent cx="6216258" cy="4037428"/>
            <wp:effectExtent l="0" t="0" r="0" b="1270"/>
            <wp:docPr id="12476064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606458" name="Picture 1247606458"/>
                    <pic:cNvPicPr/>
                  </pic:nvPicPr>
                  <pic:blipFill>
                    <a:blip r:embed="rId10">
                      <a:extLst>
                        <a:ext uri="{28A0092B-C50C-407E-A947-70E740481C1C}">
                          <a14:useLocalDpi xmlns:a14="http://schemas.microsoft.com/office/drawing/2010/main" val="0"/>
                        </a:ext>
                      </a:extLst>
                    </a:blip>
                    <a:stretch>
                      <a:fillRect/>
                    </a:stretch>
                  </pic:blipFill>
                  <pic:spPr>
                    <a:xfrm>
                      <a:off x="0" y="0"/>
                      <a:ext cx="6237678" cy="4051340"/>
                    </a:xfrm>
                    <a:prstGeom prst="rect">
                      <a:avLst/>
                    </a:prstGeom>
                  </pic:spPr>
                </pic:pic>
              </a:graphicData>
            </a:graphic>
          </wp:inline>
        </w:drawing>
      </w:r>
    </w:p>
    <w:p w14:paraId="0FE8FA92" w14:textId="77777777" w:rsidR="00C2004F" w:rsidRDefault="00C2004F" w:rsidP="00E13EDB">
      <w:pPr>
        <w:spacing w:line="276" w:lineRule="auto"/>
      </w:pPr>
    </w:p>
    <w:p w14:paraId="166ABE83" w14:textId="1182B04C" w:rsidR="00C2004F" w:rsidRDefault="00C2004F" w:rsidP="00884492">
      <w:pPr>
        <w:spacing w:line="276" w:lineRule="auto"/>
        <w:jc w:val="center"/>
      </w:pPr>
    </w:p>
    <w:p w14:paraId="73048B60" w14:textId="77777777" w:rsidR="00C2004F" w:rsidRDefault="00C2004F" w:rsidP="00E13EDB">
      <w:pPr>
        <w:spacing w:line="276" w:lineRule="auto"/>
      </w:pPr>
    </w:p>
    <w:p w14:paraId="4166A813" w14:textId="77777777" w:rsidR="00C2004F" w:rsidRDefault="00C2004F" w:rsidP="00E13EDB">
      <w:pPr>
        <w:spacing w:line="276" w:lineRule="auto"/>
      </w:pPr>
    </w:p>
    <w:p w14:paraId="7F018940" w14:textId="77777777" w:rsidR="00C2004F" w:rsidRDefault="00C2004F" w:rsidP="00E13EDB">
      <w:pPr>
        <w:spacing w:line="276" w:lineRule="auto"/>
        <w:sectPr w:rsidR="00C2004F" w:rsidSect="00297034">
          <w:footerReference w:type="default" r:id="rId11"/>
          <w:pgSz w:w="11909" w:h="16834" w:code="9"/>
          <w:pgMar w:top="1440" w:right="1440" w:bottom="1440" w:left="1440" w:header="720" w:footer="720" w:gutter="0"/>
          <w:pgNumType w:fmt="lowerRoman" w:start="1"/>
          <w:cols w:space="720"/>
          <w:docGrid w:linePitch="360"/>
        </w:sectPr>
      </w:pPr>
    </w:p>
    <w:p w14:paraId="79392057" w14:textId="30F71F7F" w:rsidR="00335224" w:rsidRPr="00A610C7" w:rsidRDefault="0079359B" w:rsidP="00E13EDB">
      <w:pPr>
        <w:pStyle w:val="Heading1"/>
        <w:spacing w:before="0" w:line="276" w:lineRule="auto"/>
        <w:rPr>
          <w:rFonts w:ascii="Arial" w:hAnsi="Arial" w:cs="Arial"/>
          <w:sz w:val="32"/>
          <w:szCs w:val="32"/>
        </w:rPr>
      </w:pPr>
      <w:bookmarkStart w:id="3" w:name="_Toc235801909"/>
      <w:r>
        <w:rPr>
          <w:rFonts w:ascii="Arial" w:hAnsi="Arial" w:cs="Arial"/>
          <w:sz w:val="32"/>
          <w:szCs w:val="32"/>
        </w:rPr>
        <w:lastRenderedPageBreak/>
        <w:t>Declaration of the Student</w:t>
      </w:r>
      <w:bookmarkEnd w:id="3"/>
      <w:r>
        <w:rPr>
          <w:rFonts w:ascii="Arial" w:hAnsi="Arial" w:cs="Arial"/>
          <w:sz w:val="32"/>
          <w:szCs w:val="32"/>
        </w:rPr>
        <w:t xml:space="preserve"> </w:t>
      </w:r>
    </w:p>
    <w:p w14:paraId="1F9A943B" w14:textId="77777777" w:rsidR="00335224" w:rsidRPr="0015313B" w:rsidRDefault="00335224" w:rsidP="00E13EDB">
      <w:pPr>
        <w:spacing w:after="120" w:line="276" w:lineRule="auto"/>
        <w:rPr>
          <w:rFonts w:cs="Times New Roman"/>
        </w:rPr>
      </w:pPr>
    </w:p>
    <w:p w14:paraId="08356132" w14:textId="5AE1B036" w:rsidR="00335224" w:rsidRPr="00A610C7" w:rsidRDefault="00335224" w:rsidP="00A610C7">
      <w:pPr>
        <w:spacing w:after="80"/>
        <w:rPr>
          <w:rFonts w:ascii="Arial" w:hAnsi="Arial"/>
          <w:szCs w:val="24"/>
        </w:rPr>
      </w:pPr>
      <w:r w:rsidRPr="00A610C7">
        <w:rPr>
          <w:rFonts w:ascii="Arial" w:hAnsi="Arial"/>
          <w:szCs w:val="24"/>
        </w:rPr>
        <w:t xml:space="preserve">I </w:t>
      </w:r>
      <w:r w:rsidR="00453DBE" w:rsidRPr="00A610C7">
        <w:rPr>
          <w:rFonts w:ascii="Arial" w:hAnsi="Arial"/>
          <w:szCs w:val="24"/>
        </w:rPr>
        <w:t>hereby</w:t>
      </w:r>
      <w:r w:rsidRPr="00A610C7">
        <w:rPr>
          <w:rFonts w:ascii="Arial" w:hAnsi="Arial"/>
          <w:szCs w:val="24"/>
        </w:rPr>
        <w:t xml:space="preserve"> declare that the internship report titled </w:t>
      </w:r>
      <w:r w:rsidR="00B12B59" w:rsidRPr="00A610C7">
        <w:rPr>
          <w:rFonts w:ascii="Arial" w:hAnsi="Arial"/>
          <w:szCs w:val="24"/>
        </w:rPr>
        <w:t>“</w:t>
      </w:r>
      <w:r w:rsidRPr="00A610C7">
        <w:rPr>
          <w:rFonts w:ascii="Arial" w:hAnsi="Arial"/>
          <w:szCs w:val="24"/>
        </w:rPr>
        <w:t>Working Capital Management Practices: A Study on Tokyo Consulting Firm Limited, Bangladesh</w:t>
      </w:r>
      <w:r w:rsidR="00B12B59" w:rsidRPr="00A610C7">
        <w:rPr>
          <w:rFonts w:ascii="Arial" w:hAnsi="Arial"/>
          <w:szCs w:val="24"/>
        </w:rPr>
        <w:t>”</w:t>
      </w:r>
      <w:r w:rsidRPr="00A610C7">
        <w:rPr>
          <w:rFonts w:ascii="Arial" w:hAnsi="Arial"/>
          <w:szCs w:val="24"/>
        </w:rPr>
        <w:t xml:space="preserve"> has been prepared by me under the supervision of </w:t>
      </w:r>
      <w:r w:rsidRPr="002F2B78">
        <w:rPr>
          <w:rFonts w:ascii="Arial" w:hAnsi="Arial"/>
          <w:szCs w:val="24"/>
        </w:rPr>
        <w:t>Mr. Muhammad Enamul Haque</w:t>
      </w:r>
      <w:r w:rsidRPr="00A610C7">
        <w:rPr>
          <w:rFonts w:ascii="Arial" w:hAnsi="Arial"/>
          <w:szCs w:val="24"/>
        </w:rPr>
        <w:t>, Ass</w:t>
      </w:r>
      <w:r w:rsidR="00AA7923">
        <w:rPr>
          <w:rFonts w:ascii="Arial" w:hAnsi="Arial"/>
          <w:szCs w:val="24"/>
        </w:rPr>
        <w:t>ociate</w:t>
      </w:r>
      <w:r w:rsidRPr="00A610C7">
        <w:rPr>
          <w:rFonts w:ascii="Arial" w:hAnsi="Arial"/>
          <w:szCs w:val="24"/>
        </w:rPr>
        <w:t xml:space="preserve"> Professor Department of Bachelor of Business Administration (</w:t>
      </w:r>
      <w:proofErr w:type="spellStart"/>
      <w:r w:rsidRPr="00A610C7">
        <w:rPr>
          <w:rFonts w:ascii="Arial" w:hAnsi="Arial"/>
          <w:szCs w:val="24"/>
        </w:rPr>
        <w:t>SoBE</w:t>
      </w:r>
      <w:proofErr w:type="spellEnd"/>
      <w:r w:rsidRPr="00A610C7">
        <w:rPr>
          <w:rFonts w:ascii="Arial" w:hAnsi="Arial"/>
          <w:szCs w:val="24"/>
        </w:rPr>
        <w:t>), United International University.</w:t>
      </w:r>
    </w:p>
    <w:p w14:paraId="2AE57423" w14:textId="77777777" w:rsidR="00335224" w:rsidRPr="00A610C7" w:rsidRDefault="00335224" w:rsidP="00A610C7">
      <w:pPr>
        <w:spacing w:after="80"/>
        <w:rPr>
          <w:rFonts w:ascii="Arial" w:hAnsi="Arial"/>
          <w:szCs w:val="24"/>
        </w:rPr>
      </w:pPr>
      <w:r w:rsidRPr="00A610C7">
        <w:rPr>
          <w:rFonts w:ascii="Arial" w:hAnsi="Arial"/>
          <w:szCs w:val="24"/>
        </w:rPr>
        <w:t>I also declare that:</w:t>
      </w:r>
    </w:p>
    <w:p w14:paraId="3FA53FA1" w14:textId="77777777" w:rsidR="00335224" w:rsidRPr="00A610C7" w:rsidRDefault="00335224" w:rsidP="00A610C7">
      <w:pPr>
        <w:pStyle w:val="ListParagraph"/>
        <w:numPr>
          <w:ilvl w:val="0"/>
          <w:numId w:val="4"/>
        </w:numPr>
        <w:spacing w:after="60"/>
        <w:rPr>
          <w:rFonts w:ascii="Arial" w:hAnsi="Arial"/>
          <w:szCs w:val="24"/>
        </w:rPr>
      </w:pPr>
      <w:r w:rsidRPr="00A610C7">
        <w:rPr>
          <w:rFonts w:ascii="Arial" w:hAnsi="Arial"/>
          <w:szCs w:val="24"/>
        </w:rPr>
        <w:t>This report is my original work and has not been submitted elsewhere for any academic qualification.</w:t>
      </w:r>
    </w:p>
    <w:p w14:paraId="4186D6F5" w14:textId="77777777" w:rsidR="00335224" w:rsidRPr="00A610C7" w:rsidRDefault="00335224" w:rsidP="00A610C7">
      <w:pPr>
        <w:pStyle w:val="ListParagraph"/>
        <w:numPr>
          <w:ilvl w:val="0"/>
          <w:numId w:val="4"/>
        </w:numPr>
        <w:spacing w:after="60"/>
        <w:rPr>
          <w:rFonts w:ascii="Arial" w:hAnsi="Arial"/>
          <w:szCs w:val="24"/>
        </w:rPr>
      </w:pPr>
      <w:r w:rsidRPr="00A610C7">
        <w:rPr>
          <w:rFonts w:ascii="Arial" w:hAnsi="Arial"/>
          <w:szCs w:val="24"/>
        </w:rPr>
        <w:t>All data and information used in this report have been collected from the Annual Financial Statements of Tokyo Consulting Firm Limited, Bangladesh (2021-2025) and from my direct internship experience at the organization.</w:t>
      </w:r>
    </w:p>
    <w:p w14:paraId="6CF15C2E" w14:textId="77777777" w:rsidR="00335224" w:rsidRPr="00A610C7" w:rsidRDefault="00335224" w:rsidP="00A610C7">
      <w:pPr>
        <w:pStyle w:val="ListParagraph"/>
        <w:numPr>
          <w:ilvl w:val="0"/>
          <w:numId w:val="4"/>
        </w:numPr>
        <w:spacing w:after="60"/>
        <w:rPr>
          <w:rFonts w:ascii="Arial" w:hAnsi="Arial"/>
          <w:szCs w:val="24"/>
        </w:rPr>
      </w:pPr>
      <w:r w:rsidRPr="00A610C7">
        <w:rPr>
          <w:rFonts w:ascii="Arial" w:hAnsi="Arial"/>
          <w:szCs w:val="24"/>
        </w:rPr>
        <w:t>All sources of information and references have been properly acknowledged.</w:t>
      </w:r>
    </w:p>
    <w:p w14:paraId="026A2F20" w14:textId="77777777" w:rsidR="00335224" w:rsidRPr="00A610C7" w:rsidRDefault="00335224" w:rsidP="00A610C7">
      <w:pPr>
        <w:pStyle w:val="ListParagraph"/>
        <w:numPr>
          <w:ilvl w:val="0"/>
          <w:numId w:val="4"/>
        </w:numPr>
        <w:spacing w:after="60"/>
        <w:rPr>
          <w:rFonts w:ascii="Arial" w:hAnsi="Arial"/>
          <w:szCs w:val="24"/>
        </w:rPr>
      </w:pPr>
      <w:r w:rsidRPr="00A610C7">
        <w:rPr>
          <w:rFonts w:ascii="Arial" w:hAnsi="Arial"/>
          <w:szCs w:val="24"/>
        </w:rPr>
        <w:t>No part of this report is plagiarized or copied from any published work without proper citation.</w:t>
      </w:r>
    </w:p>
    <w:p w14:paraId="3E9E8D02" w14:textId="3F93461F" w:rsidR="00335224" w:rsidRDefault="00335224" w:rsidP="00E13EDB">
      <w:pPr>
        <w:spacing w:after="120" w:line="276" w:lineRule="auto"/>
      </w:pPr>
    </w:p>
    <w:p w14:paraId="3A1C754D" w14:textId="5A282BBD" w:rsidR="00667044" w:rsidRPr="00A610C7" w:rsidRDefault="00667044" w:rsidP="00A610C7">
      <w:pPr>
        <w:spacing w:after="80"/>
        <w:rPr>
          <w:rFonts w:ascii="Arial" w:hAnsi="Arial"/>
          <w:szCs w:val="24"/>
        </w:rPr>
      </w:pPr>
      <w:r w:rsidRPr="00A610C7">
        <w:rPr>
          <w:rFonts w:ascii="Arial" w:hAnsi="Arial"/>
          <w:szCs w:val="24"/>
        </w:rPr>
        <w:t>Signature:</w:t>
      </w:r>
      <w:r w:rsidR="0079309C" w:rsidRPr="00A610C7">
        <w:rPr>
          <w:rFonts w:ascii="Arial" w:hAnsi="Arial"/>
          <w:szCs w:val="24"/>
        </w:rPr>
        <w:t xml:space="preserve"> </w:t>
      </w:r>
      <w:r w:rsidR="0079309C" w:rsidRPr="00A610C7">
        <w:rPr>
          <w:rFonts w:ascii="Ink Free" w:hAnsi="Ink Free"/>
          <w:b/>
          <w:bCs/>
          <w:sz w:val="36"/>
          <w:szCs w:val="36"/>
        </w:rPr>
        <w:t>M.H. Bappy</w:t>
      </w:r>
    </w:p>
    <w:p w14:paraId="3805909E" w14:textId="77777777" w:rsidR="00335224" w:rsidRPr="00A610C7" w:rsidRDefault="00335224" w:rsidP="00A610C7">
      <w:pPr>
        <w:spacing w:after="80"/>
        <w:rPr>
          <w:rFonts w:ascii="Arial" w:hAnsi="Arial"/>
          <w:szCs w:val="24"/>
        </w:rPr>
      </w:pPr>
      <w:r w:rsidRPr="00A610C7">
        <w:rPr>
          <w:rFonts w:ascii="Arial" w:hAnsi="Arial"/>
          <w:szCs w:val="24"/>
        </w:rPr>
        <w:t>Md. Manik Hossain Bappy</w:t>
      </w:r>
    </w:p>
    <w:p w14:paraId="4889D344" w14:textId="77777777" w:rsidR="00335224" w:rsidRPr="00A610C7" w:rsidRDefault="00335224" w:rsidP="00A610C7">
      <w:pPr>
        <w:spacing w:after="80"/>
        <w:rPr>
          <w:rFonts w:ascii="Arial" w:hAnsi="Arial"/>
          <w:szCs w:val="24"/>
        </w:rPr>
      </w:pPr>
      <w:r w:rsidRPr="00A610C7">
        <w:rPr>
          <w:rFonts w:ascii="Arial" w:hAnsi="Arial"/>
          <w:szCs w:val="24"/>
        </w:rPr>
        <w:t>ID: 111 221 043</w:t>
      </w:r>
    </w:p>
    <w:p w14:paraId="7D745E44" w14:textId="02E85237" w:rsidR="003666EA" w:rsidRPr="00A610C7" w:rsidRDefault="003666EA" w:rsidP="00A610C7">
      <w:pPr>
        <w:spacing w:after="80"/>
        <w:rPr>
          <w:rFonts w:ascii="Arial" w:hAnsi="Arial"/>
          <w:szCs w:val="24"/>
        </w:rPr>
      </w:pPr>
      <w:r w:rsidRPr="00A610C7">
        <w:rPr>
          <w:rFonts w:ascii="Arial" w:hAnsi="Arial"/>
          <w:szCs w:val="24"/>
        </w:rPr>
        <w:t>BBA – Finance &amp; FinTech</w:t>
      </w:r>
    </w:p>
    <w:p w14:paraId="6A7AB7AF" w14:textId="382FF268" w:rsidR="00335224" w:rsidRPr="00A610C7" w:rsidRDefault="00335224" w:rsidP="00A610C7">
      <w:pPr>
        <w:spacing w:after="80"/>
        <w:rPr>
          <w:rFonts w:ascii="Arial" w:hAnsi="Arial"/>
          <w:szCs w:val="24"/>
        </w:rPr>
      </w:pPr>
      <w:r w:rsidRPr="00A610C7">
        <w:rPr>
          <w:rFonts w:ascii="Arial" w:hAnsi="Arial"/>
          <w:szCs w:val="24"/>
        </w:rPr>
        <w:t xml:space="preserve">Date: </w:t>
      </w:r>
      <w:r w:rsidR="003666EA" w:rsidRPr="00A610C7">
        <w:rPr>
          <w:rFonts w:ascii="Arial" w:hAnsi="Arial"/>
          <w:szCs w:val="24"/>
        </w:rPr>
        <w:t>2</w:t>
      </w:r>
      <w:r w:rsidR="008E51B2">
        <w:rPr>
          <w:rFonts w:ascii="Arial" w:hAnsi="Arial"/>
          <w:szCs w:val="24"/>
        </w:rPr>
        <w:t>2</w:t>
      </w:r>
      <w:r w:rsidRPr="00A610C7">
        <w:rPr>
          <w:rFonts w:ascii="Arial" w:hAnsi="Arial"/>
          <w:szCs w:val="24"/>
        </w:rPr>
        <w:t>/07/2026</w:t>
      </w:r>
    </w:p>
    <w:p w14:paraId="5E8E871E" w14:textId="77777777" w:rsidR="00335224" w:rsidRDefault="00335224" w:rsidP="00E13EDB">
      <w:pPr>
        <w:spacing w:line="276" w:lineRule="auto"/>
        <w:rPr>
          <w:rFonts w:cs="Times New Roman"/>
          <w:b/>
          <w:bCs/>
          <w:szCs w:val="24"/>
        </w:rPr>
      </w:pPr>
    </w:p>
    <w:p w14:paraId="29873B54" w14:textId="77777777" w:rsidR="00335224" w:rsidRDefault="00335224" w:rsidP="00E13EDB">
      <w:pPr>
        <w:spacing w:line="276" w:lineRule="auto"/>
        <w:rPr>
          <w:rFonts w:cs="Times New Roman"/>
          <w:b/>
          <w:bCs/>
          <w:szCs w:val="24"/>
        </w:rPr>
      </w:pPr>
    </w:p>
    <w:p w14:paraId="2CCF049C" w14:textId="77777777" w:rsidR="00335224" w:rsidRDefault="00335224" w:rsidP="00E13EDB">
      <w:pPr>
        <w:spacing w:line="276" w:lineRule="auto"/>
        <w:rPr>
          <w:rFonts w:cs="Times New Roman"/>
          <w:b/>
          <w:bCs/>
          <w:szCs w:val="24"/>
        </w:rPr>
      </w:pPr>
    </w:p>
    <w:p w14:paraId="5427FA04" w14:textId="77777777" w:rsidR="00335224" w:rsidRDefault="00335224" w:rsidP="00E13EDB">
      <w:pPr>
        <w:spacing w:line="276" w:lineRule="auto"/>
        <w:rPr>
          <w:rFonts w:cs="Times New Roman"/>
          <w:b/>
          <w:bCs/>
          <w:szCs w:val="24"/>
        </w:rPr>
      </w:pPr>
    </w:p>
    <w:p w14:paraId="0DCDDFB8" w14:textId="77777777" w:rsidR="00335224" w:rsidRDefault="00335224" w:rsidP="00E13EDB">
      <w:pPr>
        <w:spacing w:line="276" w:lineRule="auto"/>
        <w:rPr>
          <w:rFonts w:cs="Times New Roman"/>
          <w:b/>
          <w:bCs/>
          <w:szCs w:val="24"/>
        </w:rPr>
      </w:pPr>
    </w:p>
    <w:p w14:paraId="29C7308E" w14:textId="77777777" w:rsidR="00335224" w:rsidRDefault="00335224" w:rsidP="00E13EDB">
      <w:pPr>
        <w:spacing w:line="276" w:lineRule="auto"/>
        <w:rPr>
          <w:rFonts w:cs="Times New Roman"/>
          <w:b/>
          <w:bCs/>
          <w:szCs w:val="24"/>
        </w:rPr>
      </w:pPr>
    </w:p>
    <w:p w14:paraId="31F34325" w14:textId="77777777" w:rsidR="00335224" w:rsidRDefault="00335224" w:rsidP="00E13EDB">
      <w:pPr>
        <w:spacing w:line="276" w:lineRule="auto"/>
        <w:rPr>
          <w:rFonts w:cs="Times New Roman"/>
          <w:b/>
          <w:bCs/>
          <w:szCs w:val="24"/>
        </w:rPr>
      </w:pPr>
    </w:p>
    <w:p w14:paraId="75723368" w14:textId="77777777" w:rsidR="00335224" w:rsidRDefault="00335224" w:rsidP="00E13EDB">
      <w:pPr>
        <w:spacing w:line="276" w:lineRule="auto"/>
        <w:rPr>
          <w:rFonts w:cs="Times New Roman"/>
          <w:b/>
          <w:bCs/>
          <w:szCs w:val="24"/>
        </w:rPr>
      </w:pPr>
    </w:p>
    <w:p w14:paraId="471A94AD" w14:textId="77777777" w:rsidR="00335224" w:rsidRDefault="00335224" w:rsidP="00E13EDB">
      <w:pPr>
        <w:spacing w:line="276" w:lineRule="auto"/>
        <w:rPr>
          <w:rFonts w:cs="Times New Roman"/>
          <w:b/>
          <w:bCs/>
          <w:szCs w:val="24"/>
        </w:rPr>
      </w:pPr>
    </w:p>
    <w:p w14:paraId="6C99B62D" w14:textId="77777777" w:rsidR="007022B4" w:rsidRDefault="007022B4" w:rsidP="00E13EDB">
      <w:pPr>
        <w:spacing w:line="276" w:lineRule="auto"/>
        <w:rPr>
          <w:rFonts w:cs="Times New Roman"/>
          <w:b/>
          <w:bCs/>
          <w:szCs w:val="24"/>
        </w:rPr>
        <w:sectPr w:rsidR="007022B4" w:rsidSect="00C257FA">
          <w:pgSz w:w="11909" w:h="16834" w:code="9"/>
          <w:pgMar w:top="1440" w:right="1440" w:bottom="1440" w:left="1440" w:header="720" w:footer="720" w:gutter="0"/>
          <w:pgNumType w:fmt="lowerRoman"/>
          <w:cols w:space="720"/>
          <w:docGrid w:linePitch="360"/>
        </w:sectPr>
      </w:pPr>
    </w:p>
    <w:p w14:paraId="69C8D63D" w14:textId="6A0E6B74" w:rsidR="007022B4" w:rsidRPr="00836B90" w:rsidRDefault="00706298" w:rsidP="00836B90">
      <w:pPr>
        <w:pStyle w:val="Heading1"/>
        <w:rPr>
          <w:rFonts w:ascii="Arial" w:hAnsi="Arial" w:cs="Arial"/>
          <w:sz w:val="32"/>
          <w:szCs w:val="32"/>
        </w:rPr>
      </w:pPr>
      <w:bookmarkStart w:id="4" w:name="_Toc235801910"/>
      <w:r w:rsidRPr="00A610C7">
        <w:rPr>
          <w:rFonts w:ascii="Arial" w:hAnsi="Arial" w:cs="Arial"/>
          <w:b w:val="0"/>
          <w:bCs/>
          <w:noProof/>
          <w:sz w:val="32"/>
          <w:szCs w:val="32"/>
          <w14:ligatures w14:val="standardContextual"/>
        </w:rPr>
        <w:lastRenderedPageBreak/>
        <w:drawing>
          <wp:anchor distT="0" distB="0" distL="114300" distR="114300" simplePos="0" relativeHeight="251658240" behindDoc="0" locked="0" layoutInCell="1" allowOverlap="1" wp14:anchorId="278C1D10" wp14:editId="5F9365F2">
            <wp:simplePos x="0" y="0"/>
            <wp:positionH relativeFrom="margin">
              <wp:align>right</wp:align>
            </wp:positionH>
            <wp:positionV relativeFrom="paragraph">
              <wp:posOffset>688257</wp:posOffset>
            </wp:positionV>
            <wp:extent cx="5488305" cy="7460615"/>
            <wp:effectExtent l="76200" t="76200" r="131445" b="140335"/>
            <wp:wrapSquare wrapText="bothSides"/>
            <wp:docPr id="15034812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3481207" name="Picture 1503481207"/>
                    <pic:cNvPicPr/>
                  </pic:nvPicPr>
                  <pic:blipFill>
                    <a:blip r:embed="rId12">
                      <a:extLst>
                        <a:ext uri="{28A0092B-C50C-407E-A947-70E740481C1C}">
                          <a14:useLocalDpi xmlns:a14="http://schemas.microsoft.com/office/drawing/2010/main" val="0"/>
                        </a:ext>
                      </a:extLst>
                    </a:blip>
                    <a:stretch>
                      <a:fillRect/>
                    </a:stretch>
                  </pic:blipFill>
                  <pic:spPr>
                    <a:xfrm>
                      <a:off x="0" y="0"/>
                      <a:ext cx="5492119" cy="746585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7022B4" w:rsidRPr="00A610C7">
        <w:rPr>
          <w:rFonts w:ascii="Arial" w:hAnsi="Arial" w:cs="Arial"/>
          <w:sz w:val="32"/>
          <w:szCs w:val="32"/>
        </w:rPr>
        <w:t>Corporate Evidence</w:t>
      </w:r>
      <w:bookmarkEnd w:id="4"/>
      <w:r w:rsidR="00A83061" w:rsidRPr="00A610C7">
        <w:rPr>
          <w:rFonts w:ascii="Arial" w:hAnsi="Arial" w:cs="Arial"/>
          <w:sz w:val="32"/>
          <w:szCs w:val="32"/>
        </w:rPr>
        <w:t xml:space="preserve"> </w:t>
      </w:r>
    </w:p>
    <w:p w14:paraId="6FF34CF7" w14:textId="6F8C810C" w:rsidR="00706298" w:rsidRPr="00252A5D" w:rsidRDefault="00836B90" w:rsidP="00836B90">
      <w:pPr>
        <w:pStyle w:val="Caption"/>
        <w:jc w:val="center"/>
        <w:rPr>
          <w:rFonts w:cs="Times New Roman"/>
          <w:b/>
          <w:bCs/>
          <w:sz w:val="24"/>
          <w:szCs w:val="24"/>
        </w:rPr>
        <w:sectPr w:rsidR="00706298" w:rsidRPr="00252A5D" w:rsidSect="00C257FA">
          <w:pgSz w:w="11909" w:h="16834" w:code="9"/>
          <w:pgMar w:top="1440" w:right="1440" w:bottom="1440" w:left="1440" w:header="720" w:footer="720" w:gutter="0"/>
          <w:pgNumType w:fmt="lowerRoman"/>
          <w:cols w:space="720"/>
          <w:docGrid w:linePitch="360"/>
        </w:sectPr>
      </w:pPr>
      <w:bookmarkStart w:id="5" w:name="_Toc235308685"/>
      <w:r w:rsidRPr="00252A5D">
        <w:rPr>
          <w:sz w:val="24"/>
          <w:szCs w:val="24"/>
        </w:rPr>
        <w:t xml:space="preserve">Figure </w:t>
      </w:r>
      <w:r w:rsidR="00C15A61" w:rsidRPr="00252A5D">
        <w:rPr>
          <w:sz w:val="24"/>
          <w:szCs w:val="24"/>
        </w:rPr>
        <w:fldChar w:fldCharType="begin"/>
      </w:r>
      <w:r w:rsidR="00C15A61" w:rsidRPr="00252A5D">
        <w:rPr>
          <w:sz w:val="24"/>
          <w:szCs w:val="24"/>
        </w:rPr>
        <w:instrText xml:space="preserve"> SEQ Figure \* ARABIC </w:instrText>
      </w:r>
      <w:r w:rsidR="00C15A61" w:rsidRPr="00252A5D">
        <w:rPr>
          <w:sz w:val="24"/>
          <w:szCs w:val="24"/>
        </w:rPr>
        <w:fldChar w:fldCharType="separate"/>
      </w:r>
      <w:r w:rsidR="00C15A61" w:rsidRPr="00252A5D">
        <w:rPr>
          <w:noProof/>
          <w:sz w:val="24"/>
          <w:szCs w:val="24"/>
        </w:rPr>
        <w:t>1</w:t>
      </w:r>
      <w:r w:rsidR="00C15A61" w:rsidRPr="00252A5D">
        <w:rPr>
          <w:noProof/>
          <w:sz w:val="24"/>
          <w:szCs w:val="24"/>
        </w:rPr>
        <w:fldChar w:fldCharType="end"/>
      </w:r>
      <w:r w:rsidRPr="00252A5D">
        <w:rPr>
          <w:sz w:val="24"/>
          <w:szCs w:val="24"/>
        </w:rPr>
        <w:t>.1: Corporate Evidence</w:t>
      </w:r>
      <w:bookmarkEnd w:id="5"/>
    </w:p>
    <w:p w14:paraId="2A83C741" w14:textId="77777777" w:rsidR="00335224" w:rsidRPr="00A610C7" w:rsidRDefault="00335224" w:rsidP="00E13EDB">
      <w:pPr>
        <w:pStyle w:val="Heading1"/>
        <w:spacing w:before="0" w:line="276" w:lineRule="auto"/>
        <w:rPr>
          <w:rFonts w:ascii="Arial" w:hAnsi="Arial" w:cs="Arial"/>
          <w:b w:val="0"/>
          <w:bCs/>
          <w:sz w:val="32"/>
          <w:szCs w:val="32"/>
        </w:rPr>
      </w:pPr>
      <w:bookmarkStart w:id="6" w:name="_Toc235801911"/>
      <w:r w:rsidRPr="00A610C7">
        <w:rPr>
          <w:rFonts w:ascii="Arial" w:hAnsi="Arial" w:cs="Arial"/>
          <w:bCs/>
          <w:sz w:val="32"/>
          <w:szCs w:val="32"/>
        </w:rPr>
        <w:lastRenderedPageBreak/>
        <w:t>Acknowledgement</w:t>
      </w:r>
      <w:bookmarkEnd w:id="6"/>
    </w:p>
    <w:p w14:paraId="012F569A" w14:textId="77777777" w:rsidR="00335224" w:rsidRDefault="00335224" w:rsidP="00E13EDB">
      <w:pPr>
        <w:spacing w:after="80" w:line="276" w:lineRule="auto"/>
        <w:rPr>
          <w:rFonts w:cs="Times New Roman"/>
          <w:szCs w:val="24"/>
        </w:rPr>
      </w:pPr>
    </w:p>
    <w:p w14:paraId="03AD3FC2" w14:textId="395ACEF9" w:rsidR="00FC181C" w:rsidRPr="00A610C7" w:rsidRDefault="00FC181C" w:rsidP="00A610C7">
      <w:pPr>
        <w:spacing w:after="120"/>
        <w:rPr>
          <w:rFonts w:ascii="Arial" w:hAnsi="Arial"/>
          <w:szCs w:val="24"/>
        </w:rPr>
      </w:pPr>
      <w:r w:rsidRPr="00A610C7">
        <w:rPr>
          <w:rFonts w:ascii="Arial" w:hAnsi="Arial"/>
          <w:szCs w:val="24"/>
        </w:rPr>
        <w:t xml:space="preserve">Firstly, I offer deepest and ultimate praise to Almighty Allah for providing me with the ability </w:t>
      </w:r>
      <w:r w:rsidR="00B75BA2" w:rsidRPr="00A610C7">
        <w:rPr>
          <w:rFonts w:ascii="Arial" w:hAnsi="Arial"/>
          <w:szCs w:val="24"/>
        </w:rPr>
        <w:t>and</w:t>
      </w:r>
      <w:r w:rsidRPr="00A610C7">
        <w:rPr>
          <w:rFonts w:ascii="Arial" w:hAnsi="Arial"/>
          <w:szCs w:val="24"/>
        </w:rPr>
        <w:t xml:space="preserve"> capacity of successfully completing internship and the compilation of the report. I am greatly indebted to </w:t>
      </w:r>
      <w:r w:rsidRPr="00085989">
        <w:rPr>
          <w:rFonts w:ascii="Arial" w:hAnsi="Arial"/>
          <w:szCs w:val="24"/>
        </w:rPr>
        <w:t>Md. Muhammad Enamul Haque</w:t>
      </w:r>
      <w:r w:rsidRPr="00A610C7">
        <w:rPr>
          <w:rFonts w:ascii="Arial" w:hAnsi="Arial"/>
          <w:szCs w:val="24"/>
        </w:rPr>
        <w:t xml:space="preserve">, </w:t>
      </w:r>
      <w:r w:rsidRPr="00085989">
        <w:rPr>
          <w:rFonts w:ascii="Arial" w:hAnsi="Arial"/>
          <w:szCs w:val="24"/>
        </w:rPr>
        <w:t>Ass</w:t>
      </w:r>
      <w:r w:rsidR="007444E8">
        <w:rPr>
          <w:rFonts w:ascii="Arial" w:hAnsi="Arial"/>
          <w:szCs w:val="24"/>
        </w:rPr>
        <w:t>ociate</w:t>
      </w:r>
      <w:r w:rsidRPr="00085989">
        <w:rPr>
          <w:rFonts w:ascii="Arial" w:hAnsi="Arial"/>
          <w:szCs w:val="24"/>
        </w:rPr>
        <w:t xml:space="preserve"> Professor</w:t>
      </w:r>
      <w:r w:rsidRPr="00A610C7">
        <w:rPr>
          <w:rFonts w:ascii="Arial" w:hAnsi="Arial"/>
          <w:szCs w:val="24"/>
        </w:rPr>
        <w:t>, School of Business &amp; Economics (</w:t>
      </w:r>
      <w:proofErr w:type="spellStart"/>
      <w:r w:rsidRPr="00A610C7">
        <w:rPr>
          <w:rFonts w:ascii="Arial" w:hAnsi="Arial"/>
          <w:szCs w:val="24"/>
        </w:rPr>
        <w:t>SoBE</w:t>
      </w:r>
      <w:proofErr w:type="spellEnd"/>
      <w:r w:rsidRPr="00A610C7">
        <w:rPr>
          <w:rFonts w:ascii="Arial" w:hAnsi="Arial"/>
          <w:szCs w:val="24"/>
        </w:rPr>
        <w:t xml:space="preserve">), </w:t>
      </w:r>
      <w:r w:rsidRPr="00085989">
        <w:rPr>
          <w:rFonts w:ascii="Arial" w:hAnsi="Arial"/>
          <w:szCs w:val="24"/>
        </w:rPr>
        <w:t>United International University</w:t>
      </w:r>
      <w:r w:rsidRPr="00A610C7">
        <w:rPr>
          <w:rFonts w:ascii="Arial" w:hAnsi="Arial"/>
          <w:szCs w:val="24"/>
        </w:rPr>
        <w:t xml:space="preserve"> for his </w:t>
      </w:r>
      <w:r w:rsidR="005642CC" w:rsidRPr="00A610C7">
        <w:rPr>
          <w:rFonts w:ascii="Arial" w:hAnsi="Arial"/>
          <w:szCs w:val="24"/>
        </w:rPr>
        <w:t>ever-ready</w:t>
      </w:r>
      <w:r w:rsidRPr="00A610C7">
        <w:rPr>
          <w:rFonts w:ascii="Arial" w:hAnsi="Arial"/>
          <w:szCs w:val="24"/>
        </w:rPr>
        <w:t xml:space="preserve"> helping hand, guidance and constructive criticism throughout the report writing. It was his consistent motivation that really carried me </w:t>
      </w:r>
      <w:r w:rsidR="0028141B" w:rsidRPr="00A610C7">
        <w:rPr>
          <w:rFonts w:ascii="Arial" w:hAnsi="Arial"/>
          <w:szCs w:val="24"/>
        </w:rPr>
        <w:t>through</w:t>
      </w:r>
      <w:r w:rsidRPr="00A610C7">
        <w:rPr>
          <w:rFonts w:ascii="Arial" w:hAnsi="Arial"/>
          <w:szCs w:val="24"/>
        </w:rPr>
        <w:t xml:space="preserve"> the work. </w:t>
      </w:r>
    </w:p>
    <w:p w14:paraId="28739519" w14:textId="0930BF2E" w:rsidR="00FC181C" w:rsidRPr="00A610C7" w:rsidRDefault="00FC181C" w:rsidP="00A610C7">
      <w:pPr>
        <w:spacing w:after="120"/>
        <w:rPr>
          <w:rFonts w:ascii="Arial" w:hAnsi="Arial"/>
          <w:szCs w:val="24"/>
        </w:rPr>
      </w:pPr>
      <w:r w:rsidRPr="00A610C7">
        <w:rPr>
          <w:rFonts w:ascii="Arial" w:hAnsi="Arial"/>
          <w:szCs w:val="24"/>
        </w:rPr>
        <w:t xml:space="preserve">It is also my pleasure to thank </w:t>
      </w:r>
      <w:r w:rsidRPr="00085989">
        <w:rPr>
          <w:rFonts w:ascii="Arial" w:hAnsi="Arial"/>
          <w:szCs w:val="24"/>
        </w:rPr>
        <w:t>Md. Yousuf</w:t>
      </w:r>
      <w:r w:rsidR="00F9246C" w:rsidRPr="00A610C7">
        <w:rPr>
          <w:rFonts w:ascii="Arial" w:hAnsi="Arial"/>
          <w:b/>
          <w:bCs/>
          <w:szCs w:val="24"/>
        </w:rPr>
        <w:t xml:space="preserve">, </w:t>
      </w:r>
      <w:r w:rsidR="00F9246C" w:rsidRPr="00A610C7">
        <w:rPr>
          <w:rFonts w:ascii="Arial" w:hAnsi="Arial"/>
          <w:szCs w:val="24"/>
        </w:rPr>
        <w:t>Senior Associate</w:t>
      </w:r>
      <w:r w:rsidR="004D0392" w:rsidRPr="00A610C7">
        <w:rPr>
          <w:rFonts w:ascii="Arial" w:hAnsi="Arial"/>
          <w:szCs w:val="24"/>
        </w:rPr>
        <w:t xml:space="preserve"> (Accounts &amp; Taxation)</w:t>
      </w:r>
      <w:r w:rsidRPr="00A610C7">
        <w:rPr>
          <w:rFonts w:ascii="Arial" w:hAnsi="Arial"/>
          <w:szCs w:val="24"/>
        </w:rPr>
        <w:t xml:space="preserve"> of the Management of </w:t>
      </w:r>
      <w:r w:rsidRPr="00085989">
        <w:rPr>
          <w:rFonts w:ascii="Arial" w:hAnsi="Arial"/>
          <w:szCs w:val="24"/>
        </w:rPr>
        <w:t>Tokyo Consulting Firm Limited (TCF Bangladesh)</w:t>
      </w:r>
      <w:r w:rsidRPr="00A610C7">
        <w:rPr>
          <w:rFonts w:ascii="Arial" w:hAnsi="Arial"/>
          <w:szCs w:val="24"/>
        </w:rPr>
        <w:t xml:space="preserve"> for giving me this golden opportunity of having internship and giving the practical knowledge on financial consulting. Their helping attitudes help a lot to make this internship a wonderful experience. The organizers, School of Business &amp; Economics (</w:t>
      </w:r>
      <w:proofErr w:type="spellStart"/>
      <w:r w:rsidRPr="00A610C7">
        <w:rPr>
          <w:rFonts w:ascii="Arial" w:hAnsi="Arial"/>
          <w:szCs w:val="24"/>
        </w:rPr>
        <w:t>SoBE</w:t>
      </w:r>
      <w:proofErr w:type="spellEnd"/>
      <w:r w:rsidRPr="00A610C7">
        <w:rPr>
          <w:rFonts w:ascii="Arial" w:hAnsi="Arial"/>
          <w:szCs w:val="24"/>
        </w:rPr>
        <w:t xml:space="preserve">), United International </w:t>
      </w:r>
      <w:r w:rsidR="0028141B" w:rsidRPr="00A610C7">
        <w:rPr>
          <w:rFonts w:ascii="Arial" w:hAnsi="Arial"/>
          <w:szCs w:val="24"/>
        </w:rPr>
        <w:t>University,</w:t>
      </w:r>
      <w:r w:rsidRPr="00A610C7">
        <w:rPr>
          <w:rFonts w:ascii="Arial" w:hAnsi="Arial"/>
          <w:szCs w:val="24"/>
        </w:rPr>
        <w:t xml:space="preserve"> </w:t>
      </w:r>
      <w:r w:rsidR="0028141B" w:rsidRPr="00A610C7">
        <w:rPr>
          <w:rFonts w:ascii="Arial" w:hAnsi="Arial"/>
          <w:szCs w:val="24"/>
        </w:rPr>
        <w:t>are</w:t>
      </w:r>
      <w:r w:rsidRPr="00A610C7">
        <w:rPr>
          <w:rFonts w:ascii="Arial" w:hAnsi="Arial"/>
          <w:szCs w:val="24"/>
        </w:rPr>
        <w:t xml:space="preserve"> thanked for facilitating this program which enables me to combine academic training with industrial exposure. </w:t>
      </w:r>
    </w:p>
    <w:p w14:paraId="67F664EA" w14:textId="752BAC95" w:rsidR="00335224" w:rsidRPr="00A610C7" w:rsidRDefault="00FC181C" w:rsidP="00A610C7">
      <w:pPr>
        <w:spacing w:after="120"/>
        <w:rPr>
          <w:rFonts w:ascii="Arial" w:hAnsi="Arial"/>
          <w:szCs w:val="24"/>
        </w:rPr>
      </w:pPr>
      <w:r w:rsidRPr="00A610C7">
        <w:rPr>
          <w:rFonts w:ascii="Arial" w:hAnsi="Arial"/>
          <w:szCs w:val="24"/>
        </w:rPr>
        <w:t>Finally, I am grateful to my parents and friends who constantly encouraged and provided moral support.</w:t>
      </w:r>
    </w:p>
    <w:p w14:paraId="02DD312F" w14:textId="77777777" w:rsidR="00B75BA2" w:rsidRPr="0015313B" w:rsidRDefault="00B75BA2" w:rsidP="00FC181C">
      <w:pPr>
        <w:spacing w:after="120" w:line="276" w:lineRule="auto"/>
        <w:rPr>
          <w:rFonts w:cs="Times New Roman"/>
          <w:szCs w:val="24"/>
        </w:rPr>
      </w:pPr>
    </w:p>
    <w:p w14:paraId="728A5B8B" w14:textId="77777777" w:rsidR="00335224" w:rsidRPr="00A610C7" w:rsidRDefault="00335224" w:rsidP="00A610C7">
      <w:pPr>
        <w:spacing w:after="80"/>
        <w:rPr>
          <w:rFonts w:ascii="Arial" w:hAnsi="Arial"/>
          <w:szCs w:val="24"/>
        </w:rPr>
      </w:pPr>
      <w:r w:rsidRPr="00A610C7">
        <w:rPr>
          <w:rFonts w:ascii="Arial" w:hAnsi="Arial"/>
          <w:szCs w:val="24"/>
        </w:rPr>
        <w:t>Md. Manik Hossain Bappy</w:t>
      </w:r>
    </w:p>
    <w:p w14:paraId="148CA45D" w14:textId="7A9040D2" w:rsidR="0028141B" w:rsidRPr="00A610C7" w:rsidRDefault="0028141B" w:rsidP="00A610C7">
      <w:pPr>
        <w:spacing w:after="80"/>
        <w:rPr>
          <w:rFonts w:ascii="Arial" w:hAnsi="Arial"/>
          <w:szCs w:val="24"/>
        </w:rPr>
      </w:pPr>
      <w:r w:rsidRPr="00A610C7">
        <w:rPr>
          <w:rFonts w:ascii="Arial" w:hAnsi="Arial"/>
          <w:szCs w:val="24"/>
        </w:rPr>
        <w:t>BBA</w:t>
      </w:r>
      <w:r w:rsidR="003F54C8" w:rsidRPr="00A610C7">
        <w:rPr>
          <w:rFonts w:ascii="Arial" w:hAnsi="Arial"/>
          <w:szCs w:val="24"/>
        </w:rPr>
        <w:t xml:space="preserve">: </w:t>
      </w:r>
      <w:r w:rsidRPr="00A610C7">
        <w:rPr>
          <w:rFonts w:ascii="Arial" w:hAnsi="Arial"/>
          <w:szCs w:val="24"/>
        </w:rPr>
        <w:t>Finance &amp; FinTech</w:t>
      </w:r>
    </w:p>
    <w:p w14:paraId="38F9237E" w14:textId="31C5E064" w:rsidR="0028141B" w:rsidRPr="00A610C7" w:rsidRDefault="0028141B" w:rsidP="00A610C7">
      <w:pPr>
        <w:spacing w:after="80"/>
        <w:rPr>
          <w:rFonts w:ascii="Arial" w:hAnsi="Arial"/>
          <w:szCs w:val="24"/>
        </w:rPr>
      </w:pPr>
      <w:r w:rsidRPr="00A610C7">
        <w:rPr>
          <w:rFonts w:ascii="Arial" w:hAnsi="Arial"/>
          <w:szCs w:val="24"/>
        </w:rPr>
        <w:t>United International University</w:t>
      </w:r>
    </w:p>
    <w:p w14:paraId="40E6CAF9" w14:textId="3E6758C1" w:rsidR="00335224" w:rsidRPr="00A610C7" w:rsidRDefault="00335224" w:rsidP="00A610C7">
      <w:pPr>
        <w:spacing w:after="80"/>
        <w:rPr>
          <w:rFonts w:ascii="Arial" w:hAnsi="Arial"/>
          <w:szCs w:val="24"/>
        </w:rPr>
      </w:pPr>
      <w:r w:rsidRPr="00A610C7">
        <w:rPr>
          <w:rFonts w:ascii="Arial" w:hAnsi="Arial"/>
          <w:szCs w:val="24"/>
        </w:rPr>
        <w:t xml:space="preserve">Date: </w:t>
      </w:r>
      <w:r w:rsidR="003F54C8" w:rsidRPr="00A610C7">
        <w:rPr>
          <w:rFonts w:ascii="Arial" w:hAnsi="Arial"/>
          <w:szCs w:val="24"/>
        </w:rPr>
        <w:t>2</w:t>
      </w:r>
      <w:r w:rsidR="008E51B2">
        <w:rPr>
          <w:rFonts w:ascii="Arial" w:hAnsi="Arial"/>
          <w:szCs w:val="24"/>
        </w:rPr>
        <w:t>2</w:t>
      </w:r>
      <w:r w:rsidRPr="00A610C7">
        <w:rPr>
          <w:rFonts w:ascii="Arial" w:hAnsi="Arial"/>
          <w:szCs w:val="24"/>
        </w:rPr>
        <w:t>/07/2026</w:t>
      </w:r>
    </w:p>
    <w:p w14:paraId="380BC7B1" w14:textId="4330D7E3" w:rsidR="00335224" w:rsidRDefault="00335224" w:rsidP="00E13EDB">
      <w:pPr>
        <w:spacing w:line="276" w:lineRule="auto"/>
        <w:rPr>
          <w:rFonts w:cs="Times New Roman"/>
        </w:rPr>
      </w:pPr>
    </w:p>
    <w:p w14:paraId="26B73313" w14:textId="77777777" w:rsidR="00335224" w:rsidRDefault="00335224" w:rsidP="00E13EDB">
      <w:pPr>
        <w:spacing w:line="276" w:lineRule="auto"/>
        <w:rPr>
          <w:rFonts w:cs="Times New Roman"/>
        </w:rPr>
      </w:pPr>
    </w:p>
    <w:p w14:paraId="73BF0E1F" w14:textId="77777777" w:rsidR="00335224" w:rsidRDefault="00335224" w:rsidP="00E13EDB">
      <w:pPr>
        <w:spacing w:line="276" w:lineRule="auto"/>
        <w:rPr>
          <w:rFonts w:cs="Times New Roman"/>
        </w:rPr>
      </w:pPr>
    </w:p>
    <w:p w14:paraId="6CCB53AA" w14:textId="77777777" w:rsidR="00335224" w:rsidRDefault="00335224" w:rsidP="00E13EDB">
      <w:pPr>
        <w:spacing w:line="276" w:lineRule="auto"/>
        <w:rPr>
          <w:rFonts w:cs="Times New Roman"/>
        </w:rPr>
      </w:pPr>
    </w:p>
    <w:p w14:paraId="22C4F26D" w14:textId="77777777" w:rsidR="00335224" w:rsidRDefault="00335224" w:rsidP="00E13EDB">
      <w:pPr>
        <w:spacing w:line="276" w:lineRule="auto"/>
        <w:rPr>
          <w:rFonts w:cs="Times New Roman"/>
        </w:rPr>
      </w:pPr>
    </w:p>
    <w:p w14:paraId="05748F1F" w14:textId="77777777" w:rsidR="00335224" w:rsidRDefault="00335224" w:rsidP="00E13EDB">
      <w:pPr>
        <w:spacing w:line="276" w:lineRule="auto"/>
        <w:rPr>
          <w:rFonts w:cs="Times New Roman"/>
        </w:rPr>
      </w:pPr>
    </w:p>
    <w:p w14:paraId="0A52A6B3" w14:textId="77777777" w:rsidR="00335224" w:rsidRDefault="00335224" w:rsidP="00E13EDB">
      <w:pPr>
        <w:spacing w:line="276" w:lineRule="auto"/>
        <w:rPr>
          <w:rFonts w:cs="Times New Roman"/>
        </w:rPr>
      </w:pPr>
    </w:p>
    <w:p w14:paraId="4E903905" w14:textId="77777777" w:rsidR="00335224" w:rsidRDefault="00335224" w:rsidP="00E13EDB">
      <w:pPr>
        <w:spacing w:line="276" w:lineRule="auto"/>
        <w:rPr>
          <w:rFonts w:cs="Times New Roman"/>
        </w:rPr>
      </w:pPr>
    </w:p>
    <w:p w14:paraId="243B1369" w14:textId="77777777" w:rsidR="00335224" w:rsidRDefault="00335224" w:rsidP="00E13EDB">
      <w:pPr>
        <w:spacing w:line="276" w:lineRule="auto"/>
        <w:rPr>
          <w:rFonts w:cs="Times New Roman"/>
        </w:rPr>
      </w:pPr>
    </w:p>
    <w:p w14:paraId="6E9D26E8" w14:textId="77777777" w:rsidR="00335224" w:rsidRDefault="00335224" w:rsidP="00E13EDB">
      <w:pPr>
        <w:spacing w:line="276" w:lineRule="auto"/>
        <w:rPr>
          <w:rFonts w:cs="Times New Roman"/>
        </w:rPr>
      </w:pPr>
    </w:p>
    <w:p w14:paraId="495EC3AD" w14:textId="77777777" w:rsidR="00335224" w:rsidRDefault="00335224" w:rsidP="00E13EDB">
      <w:pPr>
        <w:spacing w:line="276" w:lineRule="auto"/>
        <w:rPr>
          <w:rFonts w:cs="Times New Roman"/>
        </w:rPr>
      </w:pPr>
    </w:p>
    <w:p w14:paraId="2995A52A" w14:textId="77777777" w:rsidR="00160B0A" w:rsidRDefault="00160B0A" w:rsidP="00E13EDB">
      <w:pPr>
        <w:spacing w:line="276" w:lineRule="auto"/>
        <w:sectPr w:rsidR="00160B0A" w:rsidSect="00241C46">
          <w:pgSz w:w="11909" w:h="16834" w:code="9"/>
          <w:pgMar w:top="1440" w:right="1440" w:bottom="1440" w:left="1440" w:header="720" w:footer="720" w:gutter="0"/>
          <w:pgNumType w:fmt="lowerRoman"/>
          <w:cols w:space="720"/>
          <w:docGrid w:linePitch="360"/>
        </w:sectPr>
      </w:pPr>
    </w:p>
    <w:p w14:paraId="2EC03C2D" w14:textId="77777777" w:rsidR="00335224" w:rsidRPr="00A610C7" w:rsidRDefault="00335224" w:rsidP="00E13EDB">
      <w:pPr>
        <w:pStyle w:val="Heading1"/>
        <w:spacing w:before="0" w:line="276" w:lineRule="auto"/>
        <w:rPr>
          <w:rFonts w:ascii="Arial" w:hAnsi="Arial" w:cs="Arial"/>
          <w:b w:val="0"/>
          <w:bCs/>
          <w:sz w:val="32"/>
          <w:szCs w:val="32"/>
        </w:rPr>
      </w:pPr>
      <w:bookmarkStart w:id="7" w:name="_Toc235801912"/>
      <w:r w:rsidRPr="00A610C7">
        <w:rPr>
          <w:rFonts w:ascii="Arial" w:hAnsi="Arial" w:cs="Arial"/>
          <w:bCs/>
          <w:sz w:val="32"/>
          <w:szCs w:val="32"/>
        </w:rPr>
        <w:lastRenderedPageBreak/>
        <w:t>Executive Summary</w:t>
      </w:r>
      <w:bookmarkEnd w:id="7"/>
    </w:p>
    <w:p w14:paraId="7C7458B9" w14:textId="77777777" w:rsidR="00916161" w:rsidRDefault="00916161" w:rsidP="003442A6">
      <w:pPr>
        <w:spacing w:after="240"/>
        <w:rPr>
          <w:rFonts w:ascii="Arial" w:hAnsi="Arial"/>
        </w:rPr>
      </w:pPr>
      <w:r w:rsidRPr="00916161">
        <w:rPr>
          <w:rFonts w:ascii="Arial" w:hAnsi="Arial"/>
        </w:rPr>
        <w:t xml:space="preserve">The purpose of this report is to examine the working capital management of Tokyo Consulting Firm (TCF) Bangladesh for the five financial years from 2021 to 2025 in detail. TCF Bangladesh was established in 2011, as a 100% subsidiary of Tokyo Consulting Group, Japan, a management and IT consulting service provider to companies around the world. TCF is primarily involved in assisting the Japanese companies to establish and operate business in Bangladesh and provide services such as company registration, tax and VAT related issues, bookkeeping and corporate secretarial issues in Bangladesh. </w:t>
      </w:r>
    </w:p>
    <w:p w14:paraId="54E33029" w14:textId="4CBFFDB1" w:rsidR="00916161" w:rsidRDefault="00916161" w:rsidP="003442A6">
      <w:pPr>
        <w:spacing w:after="240"/>
        <w:rPr>
          <w:rFonts w:ascii="Arial" w:hAnsi="Arial"/>
        </w:rPr>
      </w:pPr>
      <w:r w:rsidRPr="00916161">
        <w:rPr>
          <w:rFonts w:ascii="Arial" w:hAnsi="Arial"/>
        </w:rPr>
        <w:t>To sum up, TCF serves as a link between the regulatory set-up in Bangladesh and the Japanese investors. The core of this report is working capital management, which is a management issue of keeping a balance between short-term assets (such as cash and accounts receivable) and short-term liabilities (such as provisions and other current liabilities) of TCF. It's not just important to strike the balance, but it's also important that the company does not have so much sitting still that they are not taking advantage of the money.</w:t>
      </w:r>
    </w:p>
    <w:p w14:paraId="0AE632CE" w14:textId="2F3BE870" w:rsidR="00916161" w:rsidRPr="00916161" w:rsidRDefault="00916161" w:rsidP="00916161">
      <w:pPr>
        <w:spacing w:after="240"/>
        <w:rPr>
          <w:rFonts w:ascii="Arial" w:hAnsi="Arial"/>
        </w:rPr>
      </w:pPr>
      <w:r w:rsidRPr="00916161">
        <w:rPr>
          <w:rFonts w:ascii="Arial" w:hAnsi="Arial"/>
        </w:rPr>
        <w:t>For this purpose, the report is based on five years' data with reference to the various constituent parts such as cash and cash equivalents, advances against fees, accounts receivable, provisions for taxation, and other current assets and liabilities. All this is based on secondary data, namely the Audited Annual Financial Statements prepared and certified by a well-known audit firm in Bangladesh (TCF Bangladesh) in Bangladesh. The data presented in this report is based on certified financial statements and, therefore, is based on actual and verified numbers and not assumptions.</w:t>
      </w:r>
    </w:p>
    <w:p w14:paraId="71B75E7B" w14:textId="71EDD98D" w:rsidR="00916161" w:rsidRDefault="00916161" w:rsidP="00916161">
      <w:pPr>
        <w:spacing w:after="240"/>
        <w:rPr>
          <w:rFonts w:ascii="Arial" w:hAnsi="Arial"/>
        </w:rPr>
      </w:pPr>
      <w:r w:rsidRPr="00916161">
        <w:rPr>
          <w:rFonts w:ascii="Arial" w:hAnsi="Arial"/>
        </w:rPr>
        <w:t>The report is centered on the one idea: liquidity. In other words, the speed and simplicity with which TCF can convert its assets into cash should it be needed to meet short-term obligations. This information can help to explain not only TCF's financial results, but also to identify the potential for better cash and working capital management in the future.</w:t>
      </w:r>
    </w:p>
    <w:p w14:paraId="36AC85B5" w14:textId="77777777" w:rsidR="00335224" w:rsidRPr="00E65689" w:rsidRDefault="00335224" w:rsidP="00E13EDB">
      <w:pPr>
        <w:pStyle w:val="Heading1"/>
        <w:spacing w:before="0" w:line="276" w:lineRule="auto"/>
        <w:rPr>
          <w:rFonts w:ascii="Arial" w:hAnsi="Arial" w:cs="Arial"/>
          <w:sz w:val="32"/>
          <w:szCs w:val="32"/>
        </w:rPr>
      </w:pPr>
      <w:bookmarkStart w:id="8" w:name="_Toc235801913"/>
      <w:r w:rsidRPr="00E65689">
        <w:rPr>
          <w:rFonts w:ascii="Arial" w:hAnsi="Arial" w:cs="Arial"/>
          <w:sz w:val="32"/>
          <w:szCs w:val="32"/>
        </w:rPr>
        <w:lastRenderedPageBreak/>
        <w:t>Table of Contents</w:t>
      </w:r>
      <w:bookmarkEnd w:id="8"/>
    </w:p>
    <w:sdt>
      <w:sdtPr>
        <w:rPr>
          <w:rFonts w:ascii="Times New Roman" w:eastAsia="Arial" w:hAnsi="Times New Roman" w:cs="Arial"/>
          <w:color w:val="auto"/>
          <w:sz w:val="24"/>
          <w:szCs w:val="22"/>
        </w:rPr>
        <w:id w:val="-1223594204"/>
        <w:docPartObj>
          <w:docPartGallery w:val="Table of Contents"/>
          <w:docPartUnique/>
        </w:docPartObj>
      </w:sdtPr>
      <w:sdtEndPr>
        <w:rPr>
          <w:b/>
          <w:bCs/>
          <w:noProof/>
        </w:rPr>
      </w:sdtEndPr>
      <w:sdtContent>
        <w:p w14:paraId="43DAE9F4" w14:textId="132708CC" w:rsidR="0008441A" w:rsidRPr="00B26431" w:rsidRDefault="0008441A">
          <w:pPr>
            <w:pStyle w:val="TOCHeading"/>
            <w:rPr>
              <w:rFonts w:ascii="Arial" w:hAnsi="Arial" w:cs="Arial"/>
              <w:b/>
              <w:bCs/>
            </w:rPr>
          </w:pPr>
          <w:r w:rsidRPr="00B26431">
            <w:rPr>
              <w:rFonts w:ascii="Arial" w:hAnsi="Arial" w:cs="Arial"/>
              <w:b/>
              <w:bCs/>
            </w:rPr>
            <w:t>Contents</w:t>
          </w:r>
        </w:p>
        <w:p w14:paraId="32E9F73C" w14:textId="0EE93786" w:rsidR="00B26431" w:rsidRDefault="0008441A">
          <w:pPr>
            <w:pStyle w:val="TOC1"/>
            <w:rPr>
              <w:rFonts w:asciiTheme="minorHAnsi" w:eastAsiaTheme="minorEastAsia" w:hAnsiTheme="minorHAnsi" w:cstheme="minorBidi"/>
              <w:b w:val="0"/>
              <w:bCs w:val="0"/>
              <w:kern w:val="2"/>
              <w:szCs w:val="24"/>
              <w14:ligatures w14:val="standardContextual"/>
            </w:rPr>
          </w:pPr>
          <w:r w:rsidRPr="00DB4A46">
            <w:rPr>
              <w:b w:val="0"/>
              <w:bCs w:val="0"/>
            </w:rPr>
            <w:fldChar w:fldCharType="begin"/>
          </w:r>
          <w:r w:rsidRPr="00DB4A46">
            <w:rPr>
              <w:b w:val="0"/>
              <w:bCs w:val="0"/>
            </w:rPr>
            <w:instrText xml:space="preserve"> TOC \o "1-3" \h \z \u </w:instrText>
          </w:r>
          <w:r w:rsidRPr="00DB4A46">
            <w:rPr>
              <w:b w:val="0"/>
              <w:bCs w:val="0"/>
            </w:rPr>
            <w:fldChar w:fldCharType="separate"/>
          </w:r>
          <w:hyperlink w:anchor="_Toc235801907" w:history="1">
            <w:r w:rsidR="00B26431" w:rsidRPr="00A102A4">
              <w:rPr>
                <w:rStyle w:val="Hyperlink"/>
                <w:rFonts w:ascii="Arial" w:hAnsi="Arial"/>
              </w:rPr>
              <w:t>Letter of Transmittal</w:t>
            </w:r>
            <w:r w:rsidR="00B26431">
              <w:rPr>
                <w:webHidden/>
              </w:rPr>
              <w:tab/>
            </w:r>
            <w:r w:rsidR="00B26431">
              <w:rPr>
                <w:webHidden/>
              </w:rPr>
              <w:fldChar w:fldCharType="begin"/>
            </w:r>
            <w:r w:rsidR="00B26431">
              <w:rPr>
                <w:webHidden/>
              </w:rPr>
              <w:instrText xml:space="preserve"> PAGEREF _Toc235801907 \h </w:instrText>
            </w:r>
            <w:r w:rsidR="00B26431">
              <w:rPr>
                <w:webHidden/>
              </w:rPr>
            </w:r>
            <w:r w:rsidR="00B26431">
              <w:rPr>
                <w:webHidden/>
              </w:rPr>
              <w:fldChar w:fldCharType="separate"/>
            </w:r>
            <w:r w:rsidR="00B26431">
              <w:rPr>
                <w:webHidden/>
              </w:rPr>
              <w:t>i</w:t>
            </w:r>
            <w:r w:rsidR="00B26431">
              <w:rPr>
                <w:webHidden/>
              </w:rPr>
              <w:fldChar w:fldCharType="end"/>
            </w:r>
          </w:hyperlink>
        </w:p>
        <w:p w14:paraId="54BE7710" w14:textId="3EA4EFBD" w:rsidR="00B26431" w:rsidRDefault="00B26431">
          <w:pPr>
            <w:pStyle w:val="TOC1"/>
            <w:rPr>
              <w:rFonts w:asciiTheme="minorHAnsi" w:eastAsiaTheme="minorEastAsia" w:hAnsiTheme="minorHAnsi" w:cstheme="minorBidi"/>
              <w:b w:val="0"/>
              <w:bCs w:val="0"/>
              <w:kern w:val="2"/>
              <w:szCs w:val="24"/>
              <w14:ligatures w14:val="standardContextual"/>
            </w:rPr>
          </w:pPr>
          <w:hyperlink w:anchor="_Toc235801908" w:history="1">
            <w:r w:rsidRPr="00A102A4">
              <w:rPr>
                <w:rStyle w:val="Hyperlink"/>
                <w:rFonts w:ascii="Arial" w:hAnsi="Arial"/>
              </w:rPr>
              <w:t>Certification of Similarity Index</w:t>
            </w:r>
            <w:r>
              <w:rPr>
                <w:webHidden/>
              </w:rPr>
              <w:tab/>
            </w:r>
            <w:r>
              <w:rPr>
                <w:webHidden/>
              </w:rPr>
              <w:fldChar w:fldCharType="begin"/>
            </w:r>
            <w:r>
              <w:rPr>
                <w:webHidden/>
              </w:rPr>
              <w:instrText xml:space="preserve"> PAGEREF _Toc235801908 \h </w:instrText>
            </w:r>
            <w:r>
              <w:rPr>
                <w:webHidden/>
              </w:rPr>
            </w:r>
            <w:r>
              <w:rPr>
                <w:webHidden/>
              </w:rPr>
              <w:fldChar w:fldCharType="separate"/>
            </w:r>
            <w:r>
              <w:rPr>
                <w:webHidden/>
              </w:rPr>
              <w:t>ii</w:t>
            </w:r>
            <w:r>
              <w:rPr>
                <w:webHidden/>
              </w:rPr>
              <w:fldChar w:fldCharType="end"/>
            </w:r>
          </w:hyperlink>
        </w:p>
        <w:p w14:paraId="29EA787B" w14:textId="5B029DFF" w:rsidR="00B26431" w:rsidRDefault="00B26431">
          <w:pPr>
            <w:pStyle w:val="TOC1"/>
            <w:rPr>
              <w:rFonts w:asciiTheme="minorHAnsi" w:eastAsiaTheme="minorEastAsia" w:hAnsiTheme="minorHAnsi" w:cstheme="minorBidi"/>
              <w:b w:val="0"/>
              <w:bCs w:val="0"/>
              <w:kern w:val="2"/>
              <w:szCs w:val="24"/>
              <w14:ligatures w14:val="standardContextual"/>
            </w:rPr>
          </w:pPr>
          <w:hyperlink w:anchor="_Toc235801909" w:history="1">
            <w:r w:rsidRPr="00A102A4">
              <w:rPr>
                <w:rStyle w:val="Hyperlink"/>
                <w:rFonts w:ascii="Arial" w:hAnsi="Arial"/>
              </w:rPr>
              <w:t>Declaration of the Student</w:t>
            </w:r>
            <w:r>
              <w:rPr>
                <w:webHidden/>
              </w:rPr>
              <w:tab/>
            </w:r>
            <w:r>
              <w:rPr>
                <w:webHidden/>
              </w:rPr>
              <w:fldChar w:fldCharType="begin"/>
            </w:r>
            <w:r>
              <w:rPr>
                <w:webHidden/>
              </w:rPr>
              <w:instrText xml:space="preserve"> PAGEREF _Toc235801909 \h </w:instrText>
            </w:r>
            <w:r>
              <w:rPr>
                <w:webHidden/>
              </w:rPr>
            </w:r>
            <w:r>
              <w:rPr>
                <w:webHidden/>
              </w:rPr>
              <w:fldChar w:fldCharType="separate"/>
            </w:r>
            <w:r>
              <w:rPr>
                <w:webHidden/>
              </w:rPr>
              <w:t>iii</w:t>
            </w:r>
            <w:r>
              <w:rPr>
                <w:webHidden/>
              </w:rPr>
              <w:fldChar w:fldCharType="end"/>
            </w:r>
          </w:hyperlink>
        </w:p>
        <w:p w14:paraId="231CCE18" w14:textId="1AFBC137" w:rsidR="00B26431" w:rsidRDefault="00B26431">
          <w:pPr>
            <w:pStyle w:val="TOC1"/>
            <w:rPr>
              <w:rFonts w:asciiTheme="minorHAnsi" w:eastAsiaTheme="minorEastAsia" w:hAnsiTheme="minorHAnsi" w:cstheme="minorBidi"/>
              <w:b w:val="0"/>
              <w:bCs w:val="0"/>
              <w:kern w:val="2"/>
              <w:szCs w:val="24"/>
              <w14:ligatures w14:val="standardContextual"/>
            </w:rPr>
          </w:pPr>
          <w:hyperlink w:anchor="_Toc235801910" w:history="1">
            <w:r w:rsidRPr="00A102A4">
              <w:rPr>
                <w:rStyle w:val="Hyperlink"/>
                <w:rFonts w:ascii="Arial" w:hAnsi="Arial"/>
              </w:rPr>
              <w:t>Corporate Evidence</w:t>
            </w:r>
            <w:r>
              <w:rPr>
                <w:webHidden/>
              </w:rPr>
              <w:tab/>
            </w:r>
            <w:r>
              <w:rPr>
                <w:webHidden/>
              </w:rPr>
              <w:fldChar w:fldCharType="begin"/>
            </w:r>
            <w:r>
              <w:rPr>
                <w:webHidden/>
              </w:rPr>
              <w:instrText xml:space="preserve"> PAGEREF _Toc235801910 \h </w:instrText>
            </w:r>
            <w:r>
              <w:rPr>
                <w:webHidden/>
              </w:rPr>
            </w:r>
            <w:r>
              <w:rPr>
                <w:webHidden/>
              </w:rPr>
              <w:fldChar w:fldCharType="separate"/>
            </w:r>
            <w:r>
              <w:rPr>
                <w:webHidden/>
              </w:rPr>
              <w:t>iv</w:t>
            </w:r>
            <w:r>
              <w:rPr>
                <w:webHidden/>
              </w:rPr>
              <w:fldChar w:fldCharType="end"/>
            </w:r>
          </w:hyperlink>
        </w:p>
        <w:p w14:paraId="231B262B" w14:textId="196DF2C4" w:rsidR="00B26431" w:rsidRDefault="00B26431">
          <w:pPr>
            <w:pStyle w:val="TOC1"/>
            <w:rPr>
              <w:rFonts w:asciiTheme="minorHAnsi" w:eastAsiaTheme="minorEastAsia" w:hAnsiTheme="minorHAnsi" w:cstheme="minorBidi"/>
              <w:b w:val="0"/>
              <w:bCs w:val="0"/>
              <w:kern w:val="2"/>
              <w:szCs w:val="24"/>
              <w14:ligatures w14:val="standardContextual"/>
            </w:rPr>
          </w:pPr>
          <w:hyperlink w:anchor="_Toc235801911" w:history="1">
            <w:r w:rsidRPr="00A102A4">
              <w:rPr>
                <w:rStyle w:val="Hyperlink"/>
                <w:rFonts w:ascii="Arial" w:hAnsi="Arial"/>
              </w:rPr>
              <w:t>Acknowledgement</w:t>
            </w:r>
            <w:r>
              <w:rPr>
                <w:webHidden/>
              </w:rPr>
              <w:tab/>
            </w:r>
            <w:r>
              <w:rPr>
                <w:webHidden/>
              </w:rPr>
              <w:fldChar w:fldCharType="begin"/>
            </w:r>
            <w:r>
              <w:rPr>
                <w:webHidden/>
              </w:rPr>
              <w:instrText xml:space="preserve"> PAGEREF _Toc235801911 \h </w:instrText>
            </w:r>
            <w:r>
              <w:rPr>
                <w:webHidden/>
              </w:rPr>
            </w:r>
            <w:r>
              <w:rPr>
                <w:webHidden/>
              </w:rPr>
              <w:fldChar w:fldCharType="separate"/>
            </w:r>
            <w:r>
              <w:rPr>
                <w:webHidden/>
              </w:rPr>
              <w:t>v</w:t>
            </w:r>
            <w:r>
              <w:rPr>
                <w:webHidden/>
              </w:rPr>
              <w:fldChar w:fldCharType="end"/>
            </w:r>
          </w:hyperlink>
        </w:p>
        <w:p w14:paraId="639402FB" w14:textId="69E1A7D4" w:rsidR="00B26431" w:rsidRDefault="00B26431">
          <w:pPr>
            <w:pStyle w:val="TOC1"/>
            <w:rPr>
              <w:rFonts w:asciiTheme="minorHAnsi" w:eastAsiaTheme="minorEastAsia" w:hAnsiTheme="minorHAnsi" w:cstheme="minorBidi"/>
              <w:b w:val="0"/>
              <w:bCs w:val="0"/>
              <w:kern w:val="2"/>
              <w:szCs w:val="24"/>
              <w14:ligatures w14:val="standardContextual"/>
            </w:rPr>
          </w:pPr>
          <w:hyperlink w:anchor="_Toc235801912" w:history="1">
            <w:r w:rsidRPr="00A102A4">
              <w:rPr>
                <w:rStyle w:val="Hyperlink"/>
                <w:rFonts w:ascii="Arial" w:hAnsi="Arial"/>
              </w:rPr>
              <w:t>Executive Summary</w:t>
            </w:r>
            <w:r>
              <w:rPr>
                <w:webHidden/>
              </w:rPr>
              <w:tab/>
            </w:r>
            <w:r>
              <w:rPr>
                <w:webHidden/>
              </w:rPr>
              <w:fldChar w:fldCharType="begin"/>
            </w:r>
            <w:r>
              <w:rPr>
                <w:webHidden/>
              </w:rPr>
              <w:instrText xml:space="preserve"> PAGEREF _Toc235801912 \h </w:instrText>
            </w:r>
            <w:r>
              <w:rPr>
                <w:webHidden/>
              </w:rPr>
            </w:r>
            <w:r>
              <w:rPr>
                <w:webHidden/>
              </w:rPr>
              <w:fldChar w:fldCharType="separate"/>
            </w:r>
            <w:r>
              <w:rPr>
                <w:webHidden/>
              </w:rPr>
              <w:t>vi</w:t>
            </w:r>
            <w:r>
              <w:rPr>
                <w:webHidden/>
              </w:rPr>
              <w:fldChar w:fldCharType="end"/>
            </w:r>
          </w:hyperlink>
        </w:p>
        <w:p w14:paraId="40433C56" w14:textId="70000931" w:rsidR="00B26431" w:rsidRDefault="00B26431">
          <w:pPr>
            <w:pStyle w:val="TOC1"/>
            <w:rPr>
              <w:rFonts w:asciiTheme="minorHAnsi" w:eastAsiaTheme="minorEastAsia" w:hAnsiTheme="minorHAnsi" w:cstheme="minorBidi"/>
              <w:b w:val="0"/>
              <w:bCs w:val="0"/>
              <w:kern w:val="2"/>
              <w:szCs w:val="24"/>
              <w14:ligatures w14:val="standardContextual"/>
            </w:rPr>
          </w:pPr>
          <w:hyperlink w:anchor="_Toc235801913" w:history="1">
            <w:r w:rsidRPr="00A102A4">
              <w:rPr>
                <w:rStyle w:val="Hyperlink"/>
                <w:rFonts w:ascii="Arial" w:hAnsi="Arial"/>
              </w:rPr>
              <w:t>Table of Contents</w:t>
            </w:r>
            <w:r>
              <w:rPr>
                <w:webHidden/>
              </w:rPr>
              <w:tab/>
            </w:r>
            <w:r>
              <w:rPr>
                <w:webHidden/>
              </w:rPr>
              <w:fldChar w:fldCharType="begin"/>
            </w:r>
            <w:r>
              <w:rPr>
                <w:webHidden/>
              </w:rPr>
              <w:instrText xml:space="preserve"> PAGEREF _Toc235801913 \h </w:instrText>
            </w:r>
            <w:r>
              <w:rPr>
                <w:webHidden/>
              </w:rPr>
            </w:r>
            <w:r>
              <w:rPr>
                <w:webHidden/>
              </w:rPr>
              <w:fldChar w:fldCharType="separate"/>
            </w:r>
            <w:r>
              <w:rPr>
                <w:webHidden/>
              </w:rPr>
              <w:t>vii</w:t>
            </w:r>
            <w:r>
              <w:rPr>
                <w:webHidden/>
              </w:rPr>
              <w:fldChar w:fldCharType="end"/>
            </w:r>
          </w:hyperlink>
        </w:p>
        <w:p w14:paraId="6E6E9152" w14:textId="1F9DF59E" w:rsidR="00B26431" w:rsidRDefault="00B26431">
          <w:pPr>
            <w:pStyle w:val="TOC1"/>
            <w:rPr>
              <w:rFonts w:asciiTheme="minorHAnsi" w:eastAsiaTheme="minorEastAsia" w:hAnsiTheme="minorHAnsi" w:cstheme="minorBidi"/>
              <w:b w:val="0"/>
              <w:bCs w:val="0"/>
              <w:kern w:val="2"/>
              <w:szCs w:val="24"/>
              <w14:ligatures w14:val="standardContextual"/>
            </w:rPr>
          </w:pPr>
          <w:hyperlink w:anchor="_Toc235801914" w:history="1">
            <w:r w:rsidRPr="00A102A4">
              <w:rPr>
                <w:rStyle w:val="Hyperlink"/>
                <w:rFonts w:ascii="Arial" w:hAnsi="Arial"/>
              </w:rPr>
              <w:t>List of Figures</w:t>
            </w:r>
            <w:r>
              <w:rPr>
                <w:webHidden/>
              </w:rPr>
              <w:tab/>
            </w:r>
            <w:r>
              <w:rPr>
                <w:webHidden/>
              </w:rPr>
              <w:fldChar w:fldCharType="begin"/>
            </w:r>
            <w:r>
              <w:rPr>
                <w:webHidden/>
              </w:rPr>
              <w:instrText xml:space="preserve"> PAGEREF _Toc235801914 \h </w:instrText>
            </w:r>
            <w:r>
              <w:rPr>
                <w:webHidden/>
              </w:rPr>
            </w:r>
            <w:r>
              <w:rPr>
                <w:webHidden/>
              </w:rPr>
              <w:fldChar w:fldCharType="separate"/>
            </w:r>
            <w:r>
              <w:rPr>
                <w:webHidden/>
              </w:rPr>
              <w:t>10</w:t>
            </w:r>
            <w:r>
              <w:rPr>
                <w:webHidden/>
              </w:rPr>
              <w:fldChar w:fldCharType="end"/>
            </w:r>
          </w:hyperlink>
        </w:p>
        <w:p w14:paraId="22C9EE14" w14:textId="1E0C4C31" w:rsidR="00B26431" w:rsidRDefault="00B26431">
          <w:pPr>
            <w:pStyle w:val="TOC1"/>
            <w:rPr>
              <w:rFonts w:asciiTheme="minorHAnsi" w:eastAsiaTheme="minorEastAsia" w:hAnsiTheme="minorHAnsi" w:cstheme="minorBidi"/>
              <w:b w:val="0"/>
              <w:bCs w:val="0"/>
              <w:kern w:val="2"/>
              <w:szCs w:val="24"/>
              <w14:ligatures w14:val="standardContextual"/>
            </w:rPr>
          </w:pPr>
          <w:hyperlink w:anchor="_Toc235801915" w:history="1">
            <w:r w:rsidRPr="00A102A4">
              <w:rPr>
                <w:rStyle w:val="Hyperlink"/>
                <w:rFonts w:ascii="Arial" w:hAnsi="Arial"/>
              </w:rPr>
              <w:t>List of Tables</w:t>
            </w:r>
            <w:r>
              <w:rPr>
                <w:webHidden/>
              </w:rPr>
              <w:tab/>
            </w:r>
            <w:r>
              <w:rPr>
                <w:webHidden/>
              </w:rPr>
              <w:fldChar w:fldCharType="begin"/>
            </w:r>
            <w:r>
              <w:rPr>
                <w:webHidden/>
              </w:rPr>
              <w:instrText xml:space="preserve"> PAGEREF _Toc235801915 \h </w:instrText>
            </w:r>
            <w:r>
              <w:rPr>
                <w:webHidden/>
              </w:rPr>
            </w:r>
            <w:r>
              <w:rPr>
                <w:webHidden/>
              </w:rPr>
              <w:fldChar w:fldCharType="separate"/>
            </w:r>
            <w:r>
              <w:rPr>
                <w:webHidden/>
              </w:rPr>
              <w:t>11</w:t>
            </w:r>
            <w:r>
              <w:rPr>
                <w:webHidden/>
              </w:rPr>
              <w:fldChar w:fldCharType="end"/>
            </w:r>
          </w:hyperlink>
        </w:p>
        <w:p w14:paraId="37BF2F56" w14:textId="4A43C649" w:rsidR="00B26431" w:rsidRDefault="00B26431">
          <w:pPr>
            <w:pStyle w:val="TOC1"/>
            <w:rPr>
              <w:rFonts w:asciiTheme="minorHAnsi" w:eastAsiaTheme="minorEastAsia" w:hAnsiTheme="minorHAnsi" w:cstheme="minorBidi"/>
              <w:b w:val="0"/>
              <w:bCs w:val="0"/>
              <w:kern w:val="2"/>
              <w:szCs w:val="24"/>
              <w14:ligatures w14:val="standardContextual"/>
            </w:rPr>
          </w:pPr>
          <w:hyperlink w:anchor="_Toc235801916" w:history="1">
            <w:r w:rsidRPr="00A102A4">
              <w:rPr>
                <w:rStyle w:val="Hyperlink"/>
                <w:rFonts w:ascii="Arial" w:hAnsi="Arial"/>
              </w:rPr>
              <w:t>CHAPTER 1: INTRODUCTION</w:t>
            </w:r>
            <w:r>
              <w:rPr>
                <w:webHidden/>
              </w:rPr>
              <w:tab/>
            </w:r>
            <w:r>
              <w:rPr>
                <w:webHidden/>
              </w:rPr>
              <w:fldChar w:fldCharType="begin"/>
            </w:r>
            <w:r>
              <w:rPr>
                <w:webHidden/>
              </w:rPr>
              <w:instrText xml:space="preserve"> PAGEREF _Toc235801916 \h </w:instrText>
            </w:r>
            <w:r>
              <w:rPr>
                <w:webHidden/>
              </w:rPr>
            </w:r>
            <w:r>
              <w:rPr>
                <w:webHidden/>
              </w:rPr>
              <w:fldChar w:fldCharType="separate"/>
            </w:r>
            <w:r>
              <w:rPr>
                <w:webHidden/>
              </w:rPr>
              <w:t>12</w:t>
            </w:r>
            <w:r>
              <w:rPr>
                <w:webHidden/>
              </w:rPr>
              <w:fldChar w:fldCharType="end"/>
            </w:r>
          </w:hyperlink>
        </w:p>
        <w:p w14:paraId="3C87C751" w14:textId="0C19DEDE" w:rsidR="00B26431" w:rsidRDefault="00B26431">
          <w:pPr>
            <w:pStyle w:val="TOC2"/>
            <w:rPr>
              <w:rFonts w:asciiTheme="minorHAnsi" w:eastAsiaTheme="minorEastAsia" w:hAnsiTheme="minorHAnsi" w:cstheme="minorBidi"/>
              <w:kern w:val="2"/>
              <w:szCs w:val="24"/>
              <w14:ligatures w14:val="standardContextual"/>
            </w:rPr>
          </w:pPr>
          <w:hyperlink w:anchor="_Toc235801917" w:history="1">
            <w:r w:rsidRPr="00A102A4">
              <w:rPr>
                <w:rStyle w:val="Hyperlink"/>
              </w:rPr>
              <w:t>1.1 Background of the Report</w:t>
            </w:r>
            <w:r>
              <w:rPr>
                <w:webHidden/>
              </w:rPr>
              <w:tab/>
            </w:r>
            <w:r>
              <w:rPr>
                <w:webHidden/>
              </w:rPr>
              <w:fldChar w:fldCharType="begin"/>
            </w:r>
            <w:r>
              <w:rPr>
                <w:webHidden/>
              </w:rPr>
              <w:instrText xml:space="preserve"> PAGEREF _Toc235801917 \h </w:instrText>
            </w:r>
            <w:r>
              <w:rPr>
                <w:webHidden/>
              </w:rPr>
            </w:r>
            <w:r>
              <w:rPr>
                <w:webHidden/>
              </w:rPr>
              <w:fldChar w:fldCharType="separate"/>
            </w:r>
            <w:r>
              <w:rPr>
                <w:webHidden/>
              </w:rPr>
              <w:t>12</w:t>
            </w:r>
            <w:r>
              <w:rPr>
                <w:webHidden/>
              </w:rPr>
              <w:fldChar w:fldCharType="end"/>
            </w:r>
          </w:hyperlink>
        </w:p>
        <w:p w14:paraId="3FF6366F" w14:textId="076E32F3" w:rsidR="00B26431" w:rsidRDefault="00B26431">
          <w:pPr>
            <w:pStyle w:val="TOC2"/>
            <w:rPr>
              <w:rFonts w:asciiTheme="minorHAnsi" w:eastAsiaTheme="minorEastAsia" w:hAnsiTheme="minorHAnsi" w:cstheme="minorBidi"/>
              <w:kern w:val="2"/>
              <w:szCs w:val="24"/>
              <w14:ligatures w14:val="standardContextual"/>
            </w:rPr>
          </w:pPr>
          <w:hyperlink w:anchor="_Toc235801918" w:history="1">
            <w:r w:rsidRPr="00A102A4">
              <w:rPr>
                <w:rStyle w:val="Hyperlink"/>
              </w:rPr>
              <w:t>1.2 Objectives of the Report</w:t>
            </w:r>
            <w:r>
              <w:rPr>
                <w:webHidden/>
              </w:rPr>
              <w:tab/>
            </w:r>
            <w:r>
              <w:rPr>
                <w:webHidden/>
              </w:rPr>
              <w:fldChar w:fldCharType="begin"/>
            </w:r>
            <w:r>
              <w:rPr>
                <w:webHidden/>
              </w:rPr>
              <w:instrText xml:space="preserve"> PAGEREF _Toc235801918 \h </w:instrText>
            </w:r>
            <w:r>
              <w:rPr>
                <w:webHidden/>
              </w:rPr>
            </w:r>
            <w:r>
              <w:rPr>
                <w:webHidden/>
              </w:rPr>
              <w:fldChar w:fldCharType="separate"/>
            </w:r>
            <w:r>
              <w:rPr>
                <w:webHidden/>
              </w:rPr>
              <w:t>12</w:t>
            </w:r>
            <w:r>
              <w:rPr>
                <w:webHidden/>
              </w:rPr>
              <w:fldChar w:fldCharType="end"/>
            </w:r>
          </w:hyperlink>
        </w:p>
        <w:p w14:paraId="63930927" w14:textId="44AA69B1" w:rsidR="00B26431" w:rsidRDefault="00B26431">
          <w:pPr>
            <w:pStyle w:val="TOC2"/>
            <w:rPr>
              <w:rFonts w:asciiTheme="minorHAnsi" w:eastAsiaTheme="minorEastAsia" w:hAnsiTheme="minorHAnsi" w:cstheme="minorBidi"/>
              <w:kern w:val="2"/>
              <w:szCs w:val="24"/>
              <w14:ligatures w14:val="standardContextual"/>
            </w:rPr>
          </w:pPr>
          <w:hyperlink w:anchor="_Toc235801919" w:history="1">
            <w:r w:rsidRPr="00A102A4">
              <w:rPr>
                <w:rStyle w:val="Hyperlink"/>
              </w:rPr>
              <w:t>1.3 Rationale of the Report</w:t>
            </w:r>
            <w:r>
              <w:rPr>
                <w:webHidden/>
              </w:rPr>
              <w:tab/>
            </w:r>
            <w:r>
              <w:rPr>
                <w:webHidden/>
              </w:rPr>
              <w:fldChar w:fldCharType="begin"/>
            </w:r>
            <w:r>
              <w:rPr>
                <w:webHidden/>
              </w:rPr>
              <w:instrText xml:space="preserve"> PAGEREF _Toc235801919 \h </w:instrText>
            </w:r>
            <w:r>
              <w:rPr>
                <w:webHidden/>
              </w:rPr>
            </w:r>
            <w:r>
              <w:rPr>
                <w:webHidden/>
              </w:rPr>
              <w:fldChar w:fldCharType="separate"/>
            </w:r>
            <w:r>
              <w:rPr>
                <w:webHidden/>
              </w:rPr>
              <w:t>13</w:t>
            </w:r>
            <w:r>
              <w:rPr>
                <w:webHidden/>
              </w:rPr>
              <w:fldChar w:fldCharType="end"/>
            </w:r>
          </w:hyperlink>
        </w:p>
        <w:p w14:paraId="1AD30C4A" w14:textId="5F7338F3" w:rsidR="00B26431" w:rsidRDefault="00B26431">
          <w:pPr>
            <w:pStyle w:val="TOC2"/>
            <w:rPr>
              <w:rFonts w:asciiTheme="minorHAnsi" w:eastAsiaTheme="minorEastAsia" w:hAnsiTheme="minorHAnsi" w:cstheme="minorBidi"/>
              <w:kern w:val="2"/>
              <w:szCs w:val="24"/>
              <w14:ligatures w14:val="standardContextual"/>
            </w:rPr>
          </w:pPr>
          <w:hyperlink w:anchor="_Toc235801920" w:history="1">
            <w:r w:rsidRPr="00A102A4">
              <w:rPr>
                <w:rStyle w:val="Hyperlink"/>
              </w:rPr>
              <w:t>1.4 Scope of the Report</w:t>
            </w:r>
            <w:r>
              <w:rPr>
                <w:webHidden/>
              </w:rPr>
              <w:tab/>
            </w:r>
            <w:r>
              <w:rPr>
                <w:webHidden/>
              </w:rPr>
              <w:fldChar w:fldCharType="begin"/>
            </w:r>
            <w:r>
              <w:rPr>
                <w:webHidden/>
              </w:rPr>
              <w:instrText xml:space="preserve"> PAGEREF _Toc235801920 \h </w:instrText>
            </w:r>
            <w:r>
              <w:rPr>
                <w:webHidden/>
              </w:rPr>
            </w:r>
            <w:r>
              <w:rPr>
                <w:webHidden/>
              </w:rPr>
              <w:fldChar w:fldCharType="separate"/>
            </w:r>
            <w:r>
              <w:rPr>
                <w:webHidden/>
              </w:rPr>
              <w:t>14</w:t>
            </w:r>
            <w:r>
              <w:rPr>
                <w:webHidden/>
              </w:rPr>
              <w:fldChar w:fldCharType="end"/>
            </w:r>
          </w:hyperlink>
        </w:p>
        <w:p w14:paraId="2D8B34AC" w14:textId="17734A57" w:rsidR="00B26431" w:rsidRDefault="00B26431">
          <w:pPr>
            <w:pStyle w:val="TOC2"/>
            <w:rPr>
              <w:rFonts w:asciiTheme="minorHAnsi" w:eastAsiaTheme="minorEastAsia" w:hAnsiTheme="minorHAnsi" w:cstheme="minorBidi"/>
              <w:kern w:val="2"/>
              <w:szCs w:val="24"/>
              <w14:ligatures w14:val="standardContextual"/>
            </w:rPr>
          </w:pPr>
          <w:hyperlink w:anchor="_Toc235801921" w:history="1">
            <w:r w:rsidRPr="00A102A4">
              <w:rPr>
                <w:rStyle w:val="Hyperlink"/>
              </w:rPr>
              <w:t>1.5 Methodology</w:t>
            </w:r>
            <w:r>
              <w:rPr>
                <w:webHidden/>
              </w:rPr>
              <w:tab/>
            </w:r>
            <w:r>
              <w:rPr>
                <w:webHidden/>
              </w:rPr>
              <w:fldChar w:fldCharType="begin"/>
            </w:r>
            <w:r>
              <w:rPr>
                <w:webHidden/>
              </w:rPr>
              <w:instrText xml:space="preserve"> PAGEREF _Toc235801921 \h </w:instrText>
            </w:r>
            <w:r>
              <w:rPr>
                <w:webHidden/>
              </w:rPr>
            </w:r>
            <w:r>
              <w:rPr>
                <w:webHidden/>
              </w:rPr>
              <w:fldChar w:fldCharType="separate"/>
            </w:r>
            <w:r>
              <w:rPr>
                <w:webHidden/>
              </w:rPr>
              <w:t>14</w:t>
            </w:r>
            <w:r>
              <w:rPr>
                <w:webHidden/>
              </w:rPr>
              <w:fldChar w:fldCharType="end"/>
            </w:r>
          </w:hyperlink>
        </w:p>
        <w:p w14:paraId="50707064" w14:textId="01B5E4C8" w:rsidR="00B26431" w:rsidRDefault="00B26431">
          <w:pPr>
            <w:pStyle w:val="TOC2"/>
            <w:rPr>
              <w:rFonts w:asciiTheme="minorHAnsi" w:eastAsiaTheme="minorEastAsia" w:hAnsiTheme="minorHAnsi" w:cstheme="minorBidi"/>
              <w:kern w:val="2"/>
              <w:szCs w:val="24"/>
              <w14:ligatures w14:val="standardContextual"/>
            </w:rPr>
          </w:pPr>
          <w:hyperlink w:anchor="_Toc235801922" w:history="1">
            <w:r w:rsidRPr="00A102A4">
              <w:rPr>
                <w:rStyle w:val="Hyperlink"/>
                <w:bCs/>
              </w:rPr>
              <w:t>1.6 Limitations of the Report</w:t>
            </w:r>
            <w:r>
              <w:rPr>
                <w:webHidden/>
              </w:rPr>
              <w:tab/>
            </w:r>
            <w:r>
              <w:rPr>
                <w:webHidden/>
              </w:rPr>
              <w:fldChar w:fldCharType="begin"/>
            </w:r>
            <w:r>
              <w:rPr>
                <w:webHidden/>
              </w:rPr>
              <w:instrText xml:space="preserve"> PAGEREF _Toc235801922 \h </w:instrText>
            </w:r>
            <w:r>
              <w:rPr>
                <w:webHidden/>
              </w:rPr>
            </w:r>
            <w:r>
              <w:rPr>
                <w:webHidden/>
              </w:rPr>
              <w:fldChar w:fldCharType="separate"/>
            </w:r>
            <w:r>
              <w:rPr>
                <w:webHidden/>
              </w:rPr>
              <w:t>15</w:t>
            </w:r>
            <w:r>
              <w:rPr>
                <w:webHidden/>
              </w:rPr>
              <w:fldChar w:fldCharType="end"/>
            </w:r>
          </w:hyperlink>
        </w:p>
        <w:p w14:paraId="0494983B" w14:textId="0A755E98" w:rsidR="00B26431" w:rsidRDefault="00B26431">
          <w:pPr>
            <w:pStyle w:val="TOC1"/>
            <w:rPr>
              <w:rFonts w:asciiTheme="minorHAnsi" w:eastAsiaTheme="minorEastAsia" w:hAnsiTheme="minorHAnsi" w:cstheme="minorBidi"/>
              <w:b w:val="0"/>
              <w:bCs w:val="0"/>
              <w:kern w:val="2"/>
              <w:szCs w:val="24"/>
              <w14:ligatures w14:val="standardContextual"/>
            </w:rPr>
          </w:pPr>
          <w:hyperlink w:anchor="_Toc235801923" w:history="1">
            <w:r w:rsidRPr="00A102A4">
              <w:rPr>
                <w:rStyle w:val="Hyperlink"/>
                <w:rFonts w:ascii="Arial" w:hAnsi="Arial"/>
              </w:rPr>
              <w:t>CHAPTER 2: COMPANY &amp; INDUSTRY PROFILE</w:t>
            </w:r>
            <w:r>
              <w:rPr>
                <w:webHidden/>
              </w:rPr>
              <w:tab/>
            </w:r>
            <w:r>
              <w:rPr>
                <w:webHidden/>
              </w:rPr>
              <w:fldChar w:fldCharType="begin"/>
            </w:r>
            <w:r>
              <w:rPr>
                <w:webHidden/>
              </w:rPr>
              <w:instrText xml:space="preserve"> PAGEREF _Toc235801923 \h </w:instrText>
            </w:r>
            <w:r>
              <w:rPr>
                <w:webHidden/>
              </w:rPr>
            </w:r>
            <w:r>
              <w:rPr>
                <w:webHidden/>
              </w:rPr>
              <w:fldChar w:fldCharType="separate"/>
            </w:r>
            <w:r>
              <w:rPr>
                <w:webHidden/>
              </w:rPr>
              <w:t>16</w:t>
            </w:r>
            <w:r>
              <w:rPr>
                <w:webHidden/>
              </w:rPr>
              <w:fldChar w:fldCharType="end"/>
            </w:r>
          </w:hyperlink>
        </w:p>
        <w:p w14:paraId="53A0B220" w14:textId="37CAF452" w:rsidR="00B26431" w:rsidRDefault="00B26431">
          <w:pPr>
            <w:pStyle w:val="TOC2"/>
            <w:rPr>
              <w:rFonts w:asciiTheme="minorHAnsi" w:eastAsiaTheme="minorEastAsia" w:hAnsiTheme="minorHAnsi" w:cstheme="minorBidi"/>
              <w:kern w:val="2"/>
              <w:szCs w:val="24"/>
              <w14:ligatures w14:val="standardContextual"/>
            </w:rPr>
          </w:pPr>
          <w:hyperlink w:anchor="_Toc235801924" w:history="1">
            <w:r w:rsidRPr="00A102A4">
              <w:rPr>
                <w:rStyle w:val="Hyperlink"/>
              </w:rPr>
              <w:t>2.1 Company Analysis</w:t>
            </w:r>
            <w:r>
              <w:rPr>
                <w:webHidden/>
              </w:rPr>
              <w:tab/>
            </w:r>
            <w:r>
              <w:rPr>
                <w:webHidden/>
              </w:rPr>
              <w:fldChar w:fldCharType="begin"/>
            </w:r>
            <w:r>
              <w:rPr>
                <w:webHidden/>
              </w:rPr>
              <w:instrText xml:space="preserve"> PAGEREF _Toc235801924 \h </w:instrText>
            </w:r>
            <w:r>
              <w:rPr>
                <w:webHidden/>
              </w:rPr>
            </w:r>
            <w:r>
              <w:rPr>
                <w:webHidden/>
              </w:rPr>
              <w:fldChar w:fldCharType="separate"/>
            </w:r>
            <w:r>
              <w:rPr>
                <w:webHidden/>
              </w:rPr>
              <w:t>16</w:t>
            </w:r>
            <w:r>
              <w:rPr>
                <w:webHidden/>
              </w:rPr>
              <w:fldChar w:fldCharType="end"/>
            </w:r>
          </w:hyperlink>
        </w:p>
        <w:p w14:paraId="56DE5349" w14:textId="60662C9B" w:rsidR="00B26431" w:rsidRDefault="00B26431">
          <w:pPr>
            <w:pStyle w:val="TOC3"/>
            <w:tabs>
              <w:tab w:val="right" w:leader="dot" w:pos="9019"/>
            </w:tabs>
            <w:rPr>
              <w:rFonts w:asciiTheme="minorHAnsi" w:eastAsiaTheme="minorEastAsia" w:hAnsiTheme="minorHAnsi" w:cstheme="minorBidi"/>
              <w:noProof/>
              <w:kern w:val="2"/>
              <w:szCs w:val="24"/>
              <w14:ligatures w14:val="standardContextual"/>
            </w:rPr>
          </w:pPr>
          <w:hyperlink w:anchor="_Toc235801925" w:history="1">
            <w:r w:rsidRPr="00A102A4">
              <w:rPr>
                <w:rStyle w:val="Hyperlink"/>
                <w:rFonts w:ascii="Arial" w:hAnsi="Arial"/>
                <w:noProof/>
              </w:rPr>
              <w:t>2.1.1 Overview of Tokyo Consulting Firm Limited, Bangladesh</w:t>
            </w:r>
            <w:r>
              <w:rPr>
                <w:noProof/>
                <w:webHidden/>
              </w:rPr>
              <w:tab/>
            </w:r>
            <w:r>
              <w:rPr>
                <w:noProof/>
                <w:webHidden/>
              </w:rPr>
              <w:fldChar w:fldCharType="begin"/>
            </w:r>
            <w:r>
              <w:rPr>
                <w:noProof/>
                <w:webHidden/>
              </w:rPr>
              <w:instrText xml:space="preserve"> PAGEREF _Toc235801925 \h </w:instrText>
            </w:r>
            <w:r>
              <w:rPr>
                <w:noProof/>
                <w:webHidden/>
              </w:rPr>
            </w:r>
            <w:r>
              <w:rPr>
                <w:noProof/>
                <w:webHidden/>
              </w:rPr>
              <w:fldChar w:fldCharType="separate"/>
            </w:r>
            <w:r>
              <w:rPr>
                <w:noProof/>
                <w:webHidden/>
              </w:rPr>
              <w:t>16</w:t>
            </w:r>
            <w:r>
              <w:rPr>
                <w:noProof/>
                <w:webHidden/>
              </w:rPr>
              <w:fldChar w:fldCharType="end"/>
            </w:r>
          </w:hyperlink>
        </w:p>
        <w:p w14:paraId="2A2DF34F" w14:textId="46391156" w:rsidR="00B26431" w:rsidRDefault="00B26431">
          <w:pPr>
            <w:pStyle w:val="TOC3"/>
            <w:tabs>
              <w:tab w:val="right" w:leader="dot" w:pos="9019"/>
            </w:tabs>
            <w:rPr>
              <w:rFonts w:asciiTheme="minorHAnsi" w:eastAsiaTheme="minorEastAsia" w:hAnsiTheme="minorHAnsi" w:cstheme="minorBidi"/>
              <w:noProof/>
              <w:kern w:val="2"/>
              <w:szCs w:val="24"/>
              <w14:ligatures w14:val="standardContextual"/>
            </w:rPr>
          </w:pPr>
          <w:hyperlink w:anchor="_Toc235801926" w:history="1">
            <w:r w:rsidRPr="00A102A4">
              <w:rPr>
                <w:rStyle w:val="Hyperlink"/>
                <w:rFonts w:ascii="Arial" w:hAnsi="Arial"/>
                <w:noProof/>
              </w:rPr>
              <w:t>2.1.2 Trend and Growth</w:t>
            </w:r>
            <w:r>
              <w:rPr>
                <w:noProof/>
                <w:webHidden/>
              </w:rPr>
              <w:tab/>
            </w:r>
            <w:r>
              <w:rPr>
                <w:noProof/>
                <w:webHidden/>
              </w:rPr>
              <w:fldChar w:fldCharType="begin"/>
            </w:r>
            <w:r>
              <w:rPr>
                <w:noProof/>
                <w:webHidden/>
              </w:rPr>
              <w:instrText xml:space="preserve"> PAGEREF _Toc235801926 \h </w:instrText>
            </w:r>
            <w:r>
              <w:rPr>
                <w:noProof/>
                <w:webHidden/>
              </w:rPr>
            </w:r>
            <w:r>
              <w:rPr>
                <w:noProof/>
                <w:webHidden/>
              </w:rPr>
              <w:fldChar w:fldCharType="separate"/>
            </w:r>
            <w:r>
              <w:rPr>
                <w:noProof/>
                <w:webHidden/>
              </w:rPr>
              <w:t>16</w:t>
            </w:r>
            <w:r>
              <w:rPr>
                <w:noProof/>
                <w:webHidden/>
              </w:rPr>
              <w:fldChar w:fldCharType="end"/>
            </w:r>
          </w:hyperlink>
        </w:p>
        <w:p w14:paraId="3FDBE4BB" w14:textId="387CBD2E" w:rsidR="00B26431" w:rsidRDefault="00B26431">
          <w:pPr>
            <w:pStyle w:val="TOC3"/>
            <w:tabs>
              <w:tab w:val="right" w:leader="dot" w:pos="9019"/>
            </w:tabs>
            <w:rPr>
              <w:rFonts w:asciiTheme="minorHAnsi" w:eastAsiaTheme="minorEastAsia" w:hAnsiTheme="minorHAnsi" w:cstheme="minorBidi"/>
              <w:noProof/>
              <w:kern w:val="2"/>
              <w:szCs w:val="24"/>
              <w14:ligatures w14:val="standardContextual"/>
            </w:rPr>
          </w:pPr>
          <w:hyperlink w:anchor="_Toc235801927" w:history="1">
            <w:r w:rsidRPr="00A102A4">
              <w:rPr>
                <w:rStyle w:val="Hyperlink"/>
                <w:rFonts w:ascii="Arial" w:hAnsi="Arial"/>
                <w:noProof/>
              </w:rPr>
              <w:t>2.1.3 Services Offered</w:t>
            </w:r>
            <w:r>
              <w:rPr>
                <w:noProof/>
                <w:webHidden/>
              </w:rPr>
              <w:tab/>
            </w:r>
            <w:r>
              <w:rPr>
                <w:noProof/>
                <w:webHidden/>
              </w:rPr>
              <w:fldChar w:fldCharType="begin"/>
            </w:r>
            <w:r>
              <w:rPr>
                <w:noProof/>
                <w:webHidden/>
              </w:rPr>
              <w:instrText xml:space="preserve"> PAGEREF _Toc235801927 \h </w:instrText>
            </w:r>
            <w:r>
              <w:rPr>
                <w:noProof/>
                <w:webHidden/>
              </w:rPr>
            </w:r>
            <w:r>
              <w:rPr>
                <w:noProof/>
                <w:webHidden/>
              </w:rPr>
              <w:fldChar w:fldCharType="separate"/>
            </w:r>
            <w:r>
              <w:rPr>
                <w:noProof/>
                <w:webHidden/>
              </w:rPr>
              <w:t>17</w:t>
            </w:r>
            <w:r>
              <w:rPr>
                <w:noProof/>
                <w:webHidden/>
              </w:rPr>
              <w:fldChar w:fldCharType="end"/>
            </w:r>
          </w:hyperlink>
        </w:p>
        <w:p w14:paraId="71E2BB43" w14:textId="5531CFED" w:rsidR="00B26431" w:rsidRDefault="00B26431">
          <w:pPr>
            <w:pStyle w:val="TOC3"/>
            <w:tabs>
              <w:tab w:val="right" w:leader="dot" w:pos="9019"/>
            </w:tabs>
            <w:rPr>
              <w:rFonts w:asciiTheme="minorHAnsi" w:eastAsiaTheme="minorEastAsia" w:hAnsiTheme="minorHAnsi" w:cstheme="minorBidi"/>
              <w:noProof/>
              <w:kern w:val="2"/>
              <w:szCs w:val="24"/>
              <w14:ligatures w14:val="standardContextual"/>
            </w:rPr>
          </w:pPr>
          <w:hyperlink w:anchor="_Toc235801928" w:history="1">
            <w:r w:rsidRPr="00A102A4">
              <w:rPr>
                <w:rStyle w:val="Hyperlink"/>
                <w:rFonts w:ascii="Arial" w:hAnsi="Arial"/>
                <w:noProof/>
              </w:rPr>
              <w:t>2.1.4 Company Operations</w:t>
            </w:r>
            <w:r>
              <w:rPr>
                <w:noProof/>
                <w:webHidden/>
              </w:rPr>
              <w:tab/>
            </w:r>
            <w:r>
              <w:rPr>
                <w:noProof/>
                <w:webHidden/>
              </w:rPr>
              <w:fldChar w:fldCharType="begin"/>
            </w:r>
            <w:r>
              <w:rPr>
                <w:noProof/>
                <w:webHidden/>
              </w:rPr>
              <w:instrText xml:space="preserve"> PAGEREF _Toc235801928 \h </w:instrText>
            </w:r>
            <w:r>
              <w:rPr>
                <w:noProof/>
                <w:webHidden/>
              </w:rPr>
            </w:r>
            <w:r>
              <w:rPr>
                <w:noProof/>
                <w:webHidden/>
              </w:rPr>
              <w:fldChar w:fldCharType="separate"/>
            </w:r>
            <w:r>
              <w:rPr>
                <w:noProof/>
                <w:webHidden/>
              </w:rPr>
              <w:t>17</w:t>
            </w:r>
            <w:r>
              <w:rPr>
                <w:noProof/>
                <w:webHidden/>
              </w:rPr>
              <w:fldChar w:fldCharType="end"/>
            </w:r>
          </w:hyperlink>
        </w:p>
        <w:p w14:paraId="2236F7AC" w14:textId="46B83F41" w:rsidR="00B26431" w:rsidRDefault="00B26431">
          <w:pPr>
            <w:pStyle w:val="TOC3"/>
            <w:tabs>
              <w:tab w:val="right" w:leader="dot" w:pos="9019"/>
            </w:tabs>
            <w:rPr>
              <w:rFonts w:asciiTheme="minorHAnsi" w:eastAsiaTheme="minorEastAsia" w:hAnsiTheme="minorHAnsi" w:cstheme="minorBidi"/>
              <w:noProof/>
              <w:kern w:val="2"/>
              <w:szCs w:val="24"/>
              <w14:ligatures w14:val="standardContextual"/>
            </w:rPr>
          </w:pPr>
          <w:hyperlink w:anchor="_Toc235801929" w:history="1">
            <w:r w:rsidRPr="00A102A4">
              <w:rPr>
                <w:rStyle w:val="Hyperlink"/>
                <w:rFonts w:ascii="Arial" w:hAnsi="Arial"/>
                <w:noProof/>
              </w:rPr>
              <w:t>2.1.5 SWOT Analysis</w:t>
            </w:r>
            <w:r>
              <w:rPr>
                <w:noProof/>
                <w:webHidden/>
              </w:rPr>
              <w:tab/>
            </w:r>
            <w:r>
              <w:rPr>
                <w:noProof/>
                <w:webHidden/>
              </w:rPr>
              <w:fldChar w:fldCharType="begin"/>
            </w:r>
            <w:r>
              <w:rPr>
                <w:noProof/>
                <w:webHidden/>
              </w:rPr>
              <w:instrText xml:space="preserve"> PAGEREF _Toc235801929 \h </w:instrText>
            </w:r>
            <w:r>
              <w:rPr>
                <w:noProof/>
                <w:webHidden/>
              </w:rPr>
            </w:r>
            <w:r>
              <w:rPr>
                <w:noProof/>
                <w:webHidden/>
              </w:rPr>
              <w:fldChar w:fldCharType="separate"/>
            </w:r>
            <w:r>
              <w:rPr>
                <w:noProof/>
                <w:webHidden/>
              </w:rPr>
              <w:t>18</w:t>
            </w:r>
            <w:r>
              <w:rPr>
                <w:noProof/>
                <w:webHidden/>
              </w:rPr>
              <w:fldChar w:fldCharType="end"/>
            </w:r>
          </w:hyperlink>
        </w:p>
        <w:p w14:paraId="31C83E8D" w14:textId="594B986F" w:rsidR="00B26431" w:rsidRDefault="00B26431">
          <w:pPr>
            <w:pStyle w:val="TOC3"/>
            <w:tabs>
              <w:tab w:val="right" w:leader="dot" w:pos="9019"/>
            </w:tabs>
            <w:rPr>
              <w:rFonts w:asciiTheme="minorHAnsi" w:eastAsiaTheme="minorEastAsia" w:hAnsiTheme="minorHAnsi" w:cstheme="minorBidi"/>
              <w:noProof/>
              <w:kern w:val="2"/>
              <w:szCs w:val="24"/>
              <w14:ligatures w14:val="standardContextual"/>
            </w:rPr>
          </w:pPr>
          <w:hyperlink w:anchor="_Toc235801930" w:history="1">
            <w:r w:rsidRPr="00A102A4">
              <w:rPr>
                <w:rStyle w:val="Hyperlink"/>
                <w:rFonts w:ascii="Arial" w:hAnsi="Arial"/>
                <w:noProof/>
              </w:rPr>
              <w:t>2.1.6 Global Presence &amp; Positioning</w:t>
            </w:r>
            <w:r>
              <w:rPr>
                <w:noProof/>
                <w:webHidden/>
              </w:rPr>
              <w:tab/>
            </w:r>
            <w:r>
              <w:rPr>
                <w:noProof/>
                <w:webHidden/>
              </w:rPr>
              <w:fldChar w:fldCharType="begin"/>
            </w:r>
            <w:r>
              <w:rPr>
                <w:noProof/>
                <w:webHidden/>
              </w:rPr>
              <w:instrText xml:space="preserve"> PAGEREF _Toc235801930 \h </w:instrText>
            </w:r>
            <w:r>
              <w:rPr>
                <w:noProof/>
                <w:webHidden/>
              </w:rPr>
            </w:r>
            <w:r>
              <w:rPr>
                <w:noProof/>
                <w:webHidden/>
              </w:rPr>
              <w:fldChar w:fldCharType="separate"/>
            </w:r>
            <w:r>
              <w:rPr>
                <w:noProof/>
                <w:webHidden/>
              </w:rPr>
              <w:t>19</w:t>
            </w:r>
            <w:r>
              <w:rPr>
                <w:noProof/>
                <w:webHidden/>
              </w:rPr>
              <w:fldChar w:fldCharType="end"/>
            </w:r>
          </w:hyperlink>
        </w:p>
        <w:p w14:paraId="6A14827C" w14:textId="2B6422AB" w:rsidR="00B26431" w:rsidRDefault="00B26431">
          <w:pPr>
            <w:pStyle w:val="TOC2"/>
            <w:rPr>
              <w:rFonts w:asciiTheme="minorHAnsi" w:eastAsiaTheme="minorEastAsia" w:hAnsiTheme="minorHAnsi" w:cstheme="minorBidi"/>
              <w:kern w:val="2"/>
              <w:szCs w:val="24"/>
              <w14:ligatures w14:val="standardContextual"/>
            </w:rPr>
          </w:pPr>
          <w:hyperlink w:anchor="_Toc235801931" w:history="1">
            <w:r w:rsidRPr="00A102A4">
              <w:rPr>
                <w:rStyle w:val="Hyperlink"/>
              </w:rPr>
              <w:t>2.2 Industry Analysis</w:t>
            </w:r>
            <w:r>
              <w:rPr>
                <w:webHidden/>
              </w:rPr>
              <w:tab/>
            </w:r>
            <w:r>
              <w:rPr>
                <w:webHidden/>
              </w:rPr>
              <w:fldChar w:fldCharType="begin"/>
            </w:r>
            <w:r>
              <w:rPr>
                <w:webHidden/>
              </w:rPr>
              <w:instrText xml:space="preserve"> PAGEREF _Toc235801931 \h </w:instrText>
            </w:r>
            <w:r>
              <w:rPr>
                <w:webHidden/>
              </w:rPr>
            </w:r>
            <w:r>
              <w:rPr>
                <w:webHidden/>
              </w:rPr>
              <w:fldChar w:fldCharType="separate"/>
            </w:r>
            <w:r>
              <w:rPr>
                <w:webHidden/>
              </w:rPr>
              <w:t>19</w:t>
            </w:r>
            <w:r>
              <w:rPr>
                <w:webHidden/>
              </w:rPr>
              <w:fldChar w:fldCharType="end"/>
            </w:r>
          </w:hyperlink>
        </w:p>
        <w:p w14:paraId="2FDEB207" w14:textId="09FFDFDF" w:rsidR="00B26431" w:rsidRDefault="00B26431">
          <w:pPr>
            <w:pStyle w:val="TOC3"/>
            <w:tabs>
              <w:tab w:val="right" w:leader="dot" w:pos="9019"/>
            </w:tabs>
            <w:rPr>
              <w:rFonts w:asciiTheme="minorHAnsi" w:eastAsiaTheme="minorEastAsia" w:hAnsiTheme="minorHAnsi" w:cstheme="minorBidi"/>
              <w:noProof/>
              <w:kern w:val="2"/>
              <w:szCs w:val="24"/>
              <w14:ligatures w14:val="standardContextual"/>
            </w:rPr>
          </w:pPr>
          <w:hyperlink w:anchor="_Toc235801932" w:history="1">
            <w:r w:rsidRPr="00A102A4">
              <w:rPr>
                <w:rStyle w:val="Hyperlink"/>
                <w:rFonts w:ascii="Arial" w:hAnsi="Arial"/>
                <w:noProof/>
              </w:rPr>
              <w:t>2.2.1 Specification of the Industry</w:t>
            </w:r>
            <w:r>
              <w:rPr>
                <w:noProof/>
                <w:webHidden/>
              </w:rPr>
              <w:tab/>
            </w:r>
            <w:r>
              <w:rPr>
                <w:noProof/>
                <w:webHidden/>
              </w:rPr>
              <w:fldChar w:fldCharType="begin"/>
            </w:r>
            <w:r>
              <w:rPr>
                <w:noProof/>
                <w:webHidden/>
              </w:rPr>
              <w:instrText xml:space="preserve"> PAGEREF _Toc235801932 \h </w:instrText>
            </w:r>
            <w:r>
              <w:rPr>
                <w:noProof/>
                <w:webHidden/>
              </w:rPr>
            </w:r>
            <w:r>
              <w:rPr>
                <w:noProof/>
                <w:webHidden/>
              </w:rPr>
              <w:fldChar w:fldCharType="separate"/>
            </w:r>
            <w:r>
              <w:rPr>
                <w:noProof/>
                <w:webHidden/>
              </w:rPr>
              <w:t>19</w:t>
            </w:r>
            <w:r>
              <w:rPr>
                <w:noProof/>
                <w:webHidden/>
              </w:rPr>
              <w:fldChar w:fldCharType="end"/>
            </w:r>
          </w:hyperlink>
        </w:p>
        <w:p w14:paraId="0D608E5D" w14:textId="76BDBFFE" w:rsidR="00B26431" w:rsidRDefault="00B26431">
          <w:pPr>
            <w:pStyle w:val="TOC3"/>
            <w:tabs>
              <w:tab w:val="right" w:leader="dot" w:pos="9019"/>
            </w:tabs>
            <w:rPr>
              <w:rFonts w:asciiTheme="minorHAnsi" w:eastAsiaTheme="minorEastAsia" w:hAnsiTheme="minorHAnsi" w:cstheme="minorBidi"/>
              <w:noProof/>
              <w:kern w:val="2"/>
              <w:szCs w:val="24"/>
              <w14:ligatures w14:val="standardContextual"/>
            </w:rPr>
          </w:pPr>
          <w:hyperlink w:anchor="_Toc235801933" w:history="1">
            <w:r w:rsidRPr="00A102A4">
              <w:rPr>
                <w:rStyle w:val="Hyperlink"/>
                <w:rFonts w:ascii="Arial" w:hAnsi="Arial"/>
                <w:noProof/>
              </w:rPr>
              <w:t>2.2.2 Size, Trend, and Maturity of the Industry</w:t>
            </w:r>
            <w:r>
              <w:rPr>
                <w:noProof/>
                <w:webHidden/>
              </w:rPr>
              <w:tab/>
            </w:r>
            <w:r>
              <w:rPr>
                <w:noProof/>
                <w:webHidden/>
              </w:rPr>
              <w:fldChar w:fldCharType="begin"/>
            </w:r>
            <w:r>
              <w:rPr>
                <w:noProof/>
                <w:webHidden/>
              </w:rPr>
              <w:instrText xml:space="preserve"> PAGEREF _Toc235801933 \h </w:instrText>
            </w:r>
            <w:r>
              <w:rPr>
                <w:noProof/>
                <w:webHidden/>
              </w:rPr>
            </w:r>
            <w:r>
              <w:rPr>
                <w:noProof/>
                <w:webHidden/>
              </w:rPr>
              <w:fldChar w:fldCharType="separate"/>
            </w:r>
            <w:r>
              <w:rPr>
                <w:noProof/>
                <w:webHidden/>
              </w:rPr>
              <w:t>20</w:t>
            </w:r>
            <w:r>
              <w:rPr>
                <w:noProof/>
                <w:webHidden/>
              </w:rPr>
              <w:fldChar w:fldCharType="end"/>
            </w:r>
          </w:hyperlink>
        </w:p>
        <w:p w14:paraId="4C4234C4" w14:textId="60CAFAEE" w:rsidR="00B26431" w:rsidRDefault="00B26431">
          <w:pPr>
            <w:pStyle w:val="TOC3"/>
            <w:tabs>
              <w:tab w:val="right" w:leader="dot" w:pos="9019"/>
            </w:tabs>
            <w:rPr>
              <w:rFonts w:asciiTheme="minorHAnsi" w:eastAsiaTheme="minorEastAsia" w:hAnsiTheme="minorHAnsi" w:cstheme="minorBidi"/>
              <w:noProof/>
              <w:kern w:val="2"/>
              <w:szCs w:val="24"/>
              <w14:ligatures w14:val="standardContextual"/>
            </w:rPr>
          </w:pPr>
          <w:hyperlink w:anchor="_Toc235801934" w:history="1">
            <w:r w:rsidRPr="00A102A4">
              <w:rPr>
                <w:rStyle w:val="Hyperlink"/>
                <w:rFonts w:ascii="Arial" w:hAnsi="Arial"/>
                <w:noProof/>
              </w:rPr>
              <w:t>2.2.3 Industry SWOT Analysis</w:t>
            </w:r>
            <w:r>
              <w:rPr>
                <w:noProof/>
                <w:webHidden/>
              </w:rPr>
              <w:tab/>
            </w:r>
            <w:r>
              <w:rPr>
                <w:noProof/>
                <w:webHidden/>
              </w:rPr>
              <w:fldChar w:fldCharType="begin"/>
            </w:r>
            <w:r>
              <w:rPr>
                <w:noProof/>
                <w:webHidden/>
              </w:rPr>
              <w:instrText xml:space="preserve"> PAGEREF _Toc235801934 \h </w:instrText>
            </w:r>
            <w:r>
              <w:rPr>
                <w:noProof/>
                <w:webHidden/>
              </w:rPr>
            </w:r>
            <w:r>
              <w:rPr>
                <w:noProof/>
                <w:webHidden/>
              </w:rPr>
              <w:fldChar w:fldCharType="separate"/>
            </w:r>
            <w:r>
              <w:rPr>
                <w:noProof/>
                <w:webHidden/>
              </w:rPr>
              <w:t>20</w:t>
            </w:r>
            <w:r>
              <w:rPr>
                <w:noProof/>
                <w:webHidden/>
              </w:rPr>
              <w:fldChar w:fldCharType="end"/>
            </w:r>
          </w:hyperlink>
        </w:p>
        <w:p w14:paraId="22EF18C6" w14:textId="13038E53" w:rsidR="00B26431" w:rsidRDefault="00B26431">
          <w:pPr>
            <w:pStyle w:val="TOC1"/>
            <w:rPr>
              <w:rFonts w:asciiTheme="minorHAnsi" w:eastAsiaTheme="minorEastAsia" w:hAnsiTheme="minorHAnsi" w:cstheme="minorBidi"/>
              <w:b w:val="0"/>
              <w:bCs w:val="0"/>
              <w:kern w:val="2"/>
              <w:szCs w:val="24"/>
              <w14:ligatures w14:val="standardContextual"/>
            </w:rPr>
          </w:pPr>
          <w:hyperlink w:anchor="_Toc235801935" w:history="1">
            <w:r w:rsidRPr="00A102A4">
              <w:rPr>
                <w:rStyle w:val="Hyperlink"/>
                <w:rFonts w:ascii="Arial" w:hAnsi="Arial"/>
              </w:rPr>
              <w:t>CHAPTER 3: INTERNSHIP EXPERIENCE</w:t>
            </w:r>
            <w:r>
              <w:rPr>
                <w:webHidden/>
              </w:rPr>
              <w:tab/>
            </w:r>
            <w:r>
              <w:rPr>
                <w:webHidden/>
              </w:rPr>
              <w:fldChar w:fldCharType="begin"/>
            </w:r>
            <w:r>
              <w:rPr>
                <w:webHidden/>
              </w:rPr>
              <w:instrText xml:space="preserve"> PAGEREF _Toc235801935 \h </w:instrText>
            </w:r>
            <w:r>
              <w:rPr>
                <w:webHidden/>
              </w:rPr>
            </w:r>
            <w:r>
              <w:rPr>
                <w:webHidden/>
              </w:rPr>
              <w:fldChar w:fldCharType="separate"/>
            </w:r>
            <w:r>
              <w:rPr>
                <w:webHidden/>
              </w:rPr>
              <w:t>21</w:t>
            </w:r>
            <w:r>
              <w:rPr>
                <w:webHidden/>
              </w:rPr>
              <w:fldChar w:fldCharType="end"/>
            </w:r>
          </w:hyperlink>
        </w:p>
        <w:p w14:paraId="4996280A" w14:textId="2E1C0708" w:rsidR="00B26431" w:rsidRDefault="00B26431">
          <w:pPr>
            <w:pStyle w:val="TOC2"/>
            <w:rPr>
              <w:rFonts w:asciiTheme="minorHAnsi" w:eastAsiaTheme="minorEastAsia" w:hAnsiTheme="minorHAnsi" w:cstheme="minorBidi"/>
              <w:kern w:val="2"/>
              <w:szCs w:val="24"/>
              <w14:ligatures w14:val="standardContextual"/>
            </w:rPr>
          </w:pPr>
          <w:hyperlink w:anchor="_Toc235801936" w:history="1">
            <w:r w:rsidRPr="00A102A4">
              <w:rPr>
                <w:rStyle w:val="Hyperlink"/>
              </w:rPr>
              <w:t>3.1 Position, Duties, and Responsibilities</w:t>
            </w:r>
            <w:r>
              <w:rPr>
                <w:webHidden/>
              </w:rPr>
              <w:tab/>
            </w:r>
            <w:r>
              <w:rPr>
                <w:webHidden/>
              </w:rPr>
              <w:fldChar w:fldCharType="begin"/>
            </w:r>
            <w:r>
              <w:rPr>
                <w:webHidden/>
              </w:rPr>
              <w:instrText xml:space="preserve"> PAGEREF _Toc235801936 \h </w:instrText>
            </w:r>
            <w:r>
              <w:rPr>
                <w:webHidden/>
              </w:rPr>
            </w:r>
            <w:r>
              <w:rPr>
                <w:webHidden/>
              </w:rPr>
              <w:fldChar w:fldCharType="separate"/>
            </w:r>
            <w:r>
              <w:rPr>
                <w:webHidden/>
              </w:rPr>
              <w:t>21</w:t>
            </w:r>
            <w:r>
              <w:rPr>
                <w:webHidden/>
              </w:rPr>
              <w:fldChar w:fldCharType="end"/>
            </w:r>
          </w:hyperlink>
        </w:p>
        <w:p w14:paraId="208AE5BF" w14:textId="2288F3F3" w:rsidR="00B26431" w:rsidRDefault="00B26431">
          <w:pPr>
            <w:pStyle w:val="TOC2"/>
            <w:rPr>
              <w:rFonts w:asciiTheme="minorHAnsi" w:eastAsiaTheme="minorEastAsia" w:hAnsiTheme="minorHAnsi" w:cstheme="minorBidi"/>
              <w:kern w:val="2"/>
              <w:szCs w:val="24"/>
              <w14:ligatures w14:val="standardContextual"/>
            </w:rPr>
          </w:pPr>
          <w:hyperlink w:anchor="_Toc235801937" w:history="1">
            <w:r w:rsidRPr="00A102A4">
              <w:rPr>
                <w:rStyle w:val="Hyperlink"/>
              </w:rPr>
              <w:t>3.2 Training &amp; Development</w:t>
            </w:r>
            <w:r>
              <w:rPr>
                <w:webHidden/>
              </w:rPr>
              <w:tab/>
            </w:r>
            <w:r>
              <w:rPr>
                <w:webHidden/>
              </w:rPr>
              <w:fldChar w:fldCharType="begin"/>
            </w:r>
            <w:r>
              <w:rPr>
                <w:webHidden/>
              </w:rPr>
              <w:instrText xml:space="preserve"> PAGEREF _Toc235801937 \h </w:instrText>
            </w:r>
            <w:r>
              <w:rPr>
                <w:webHidden/>
              </w:rPr>
            </w:r>
            <w:r>
              <w:rPr>
                <w:webHidden/>
              </w:rPr>
              <w:fldChar w:fldCharType="separate"/>
            </w:r>
            <w:r>
              <w:rPr>
                <w:webHidden/>
              </w:rPr>
              <w:t>21</w:t>
            </w:r>
            <w:r>
              <w:rPr>
                <w:webHidden/>
              </w:rPr>
              <w:fldChar w:fldCharType="end"/>
            </w:r>
          </w:hyperlink>
        </w:p>
        <w:p w14:paraId="0B9C8943" w14:textId="4F594DF6" w:rsidR="00B26431" w:rsidRDefault="00B26431">
          <w:pPr>
            <w:pStyle w:val="TOC3"/>
            <w:tabs>
              <w:tab w:val="right" w:leader="dot" w:pos="9019"/>
            </w:tabs>
            <w:rPr>
              <w:rFonts w:asciiTheme="minorHAnsi" w:eastAsiaTheme="minorEastAsia" w:hAnsiTheme="minorHAnsi" w:cstheme="minorBidi"/>
              <w:noProof/>
              <w:kern w:val="2"/>
              <w:szCs w:val="24"/>
              <w14:ligatures w14:val="standardContextual"/>
            </w:rPr>
          </w:pPr>
          <w:hyperlink w:anchor="_Toc235801938" w:history="1">
            <w:r w:rsidRPr="00A102A4">
              <w:rPr>
                <w:rStyle w:val="Hyperlink"/>
                <w:rFonts w:ascii="Arial" w:hAnsi="Arial"/>
                <w:noProof/>
              </w:rPr>
              <w:t>3.2.1 Introduction</w:t>
            </w:r>
            <w:r>
              <w:rPr>
                <w:noProof/>
                <w:webHidden/>
              </w:rPr>
              <w:tab/>
            </w:r>
            <w:r>
              <w:rPr>
                <w:noProof/>
                <w:webHidden/>
              </w:rPr>
              <w:fldChar w:fldCharType="begin"/>
            </w:r>
            <w:r>
              <w:rPr>
                <w:noProof/>
                <w:webHidden/>
              </w:rPr>
              <w:instrText xml:space="preserve"> PAGEREF _Toc235801938 \h </w:instrText>
            </w:r>
            <w:r>
              <w:rPr>
                <w:noProof/>
                <w:webHidden/>
              </w:rPr>
            </w:r>
            <w:r>
              <w:rPr>
                <w:noProof/>
                <w:webHidden/>
              </w:rPr>
              <w:fldChar w:fldCharType="separate"/>
            </w:r>
            <w:r>
              <w:rPr>
                <w:noProof/>
                <w:webHidden/>
              </w:rPr>
              <w:t>21</w:t>
            </w:r>
            <w:r>
              <w:rPr>
                <w:noProof/>
                <w:webHidden/>
              </w:rPr>
              <w:fldChar w:fldCharType="end"/>
            </w:r>
          </w:hyperlink>
        </w:p>
        <w:p w14:paraId="0F4A7DA6" w14:textId="0C9DA369" w:rsidR="00B26431" w:rsidRDefault="00B26431">
          <w:pPr>
            <w:pStyle w:val="TOC3"/>
            <w:tabs>
              <w:tab w:val="right" w:leader="dot" w:pos="9019"/>
            </w:tabs>
            <w:rPr>
              <w:rFonts w:asciiTheme="minorHAnsi" w:eastAsiaTheme="minorEastAsia" w:hAnsiTheme="minorHAnsi" w:cstheme="minorBidi"/>
              <w:noProof/>
              <w:kern w:val="2"/>
              <w:szCs w:val="24"/>
              <w14:ligatures w14:val="standardContextual"/>
            </w:rPr>
          </w:pPr>
          <w:hyperlink w:anchor="_Toc235801939" w:history="1">
            <w:r w:rsidRPr="00A102A4">
              <w:rPr>
                <w:rStyle w:val="Hyperlink"/>
                <w:rFonts w:ascii="Arial" w:hAnsi="Arial"/>
                <w:noProof/>
              </w:rPr>
              <w:t>3.2.2 Training Overview</w:t>
            </w:r>
            <w:r>
              <w:rPr>
                <w:noProof/>
                <w:webHidden/>
              </w:rPr>
              <w:tab/>
            </w:r>
            <w:r>
              <w:rPr>
                <w:noProof/>
                <w:webHidden/>
              </w:rPr>
              <w:fldChar w:fldCharType="begin"/>
            </w:r>
            <w:r>
              <w:rPr>
                <w:noProof/>
                <w:webHidden/>
              </w:rPr>
              <w:instrText xml:space="preserve"> PAGEREF _Toc235801939 \h </w:instrText>
            </w:r>
            <w:r>
              <w:rPr>
                <w:noProof/>
                <w:webHidden/>
              </w:rPr>
            </w:r>
            <w:r>
              <w:rPr>
                <w:noProof/>
                <w:webHidden/>
              </w:rPr>
              <w:fldChar w:fldCharType="separate"/>
            </w:r>
            <w:r>
              <w:rPr>
                <w:noProof/>
                <w:webHidden/>
              </w:rPr>
              <w:t>22</w:t>
            </w:r>
            <w:r>
              <w:rPr>
                <w:noProof/>
                <w:webHidden/>
              </w:rPr>
              <w:fldChar w:fldCharType="end"/>
            </w:r>
          </w:hyperlink>
        </w:p>
        <w:p w14:paraId="37C30686" w14:textId="139EACF8" w:rsidR="00B26431" w:rsidRDefault="00B26431">
          <w:pPr>
            <w:pStyle w:val="TOC3"/>
            <w:tabs>
              <w:tab w:val="right" w:leader="dot" w:pos="9019"/>
            </w:tabs>
            <w:rPr>
              <w:rFonts w:asciiTheme="minorHAnsi" w:eastAsiaTheme="minorEastAsia" w:hAnsiTheme="minorHAnsi" w:cstheme="minorBidi"/>
              <w:noProof/>
              <w:kern w:val="2"/>
              <w:szCs w:val="24"/>
              <w14:ligatures w14:val="standardContextual"/>
            </w:rPr>
          </w:pPr>
          <w:hyperlink w:anchor="_Toc235801940" w:history="1">
            <w:r w:rsidRPr="00A102A4">
              <w:rPr>
                <w:rStyle w:val="Hyperlink"/>
                <w:rFonts w:ascii="Arial" w:hAnsi="Arial"/>
                <w:noProof/>
              </w:rPr>
              <w:t>3.2.3 Training Methods</w:t>
            </w:r>
            <w:r>
              <w:rPr>
                <w:noProof/>
                <w:webHidden/>
              </w:rPr>
              <w:tab/>
            </w:r>
            <w:r>
              <w:rPr>
                <w:noProof/>
                <w:webHidden/>
              </w:rPr>
              <w:fldChar w:fldCharType="begin"/>
            </w:r>
            <w:r>
              <w:rPr>
                <w:noProof/>
                <w:webHidden/>
              </w:rPr>
              <w:instrText xml:space="preserve"> PAGEREF _Toc235801940 \h </w:instrText>
            </w:r>
            <w:r>
              <w:rPr>
                <w:noProof/>
                <w:webHidden/>
              </w:rPr>
            </w:r>
            <w:r>
              <w:rPr>
                <w:noProof/>
                <w:webHidden/>
              </w:rPr>
              <w:fldChar w:fldCharType="separate"/>
            </w:r>
            <w:r>
              <w:rPr>
                <w:noProof/>
                <w:webHidden/>
              </w:rPr>
              <w:t>22</w:t>
            </w:r>
            <w:r>
              <w:rPr>
                <w:noProof/>
                <w:webHidden/>
              </w:rPr>
              <w:fldChar w:fldCharType="end"/>
            </w:r>
          </w:hyperlink>
        </w:p>
        <w:p w14:paraId="4FDE0584" w14:textId="472B5ED8" w:rsidR="00B26431" w:rsidRDefault="00B26431">
          <w:pPr>
            <w:pStyle w:val="TOC3"/>
            <w:tabs>
              <w:tab w:val="right" w:leader="dot" w:pos="9019"/>
            </w:tabs>
            <w:rPr>
              <w:rFonts w:asciiTheme="minorHAnsi" w:eastAsiaTheme="minorEastAsia" w:hAnsiTheme="minorHAnsi" w:cstheme="minorBidi"/>
              <w:noProof/>
              <w:kern w:val="2"/>
              <w:szCs w:val="24"/>
              <w14:ligatures w14:val="standardContextual"/>
            </w:rPr>
          </w:pPr>
          <w:hyperlink w:anchor="_Toc235801941" w:history="1">
            <w:r w:rsidRPr="00A102A4">
              <w:rPr>
                <w:rStyle w:val="Hyperlink"/>
                <w:rFonts w:ascii="Arial" w:hAnsi="Arial"/>
                <w:noProof/>
              </w:rPr>
              <w:t>3.2.4 Development Opportunities</w:t>
            </w:r>
            <w:r>
              <w:rPr>
                <w:noProof/>
                <w:webHidden/>
              </w:rPr>
              <w:tab/>
            </w:r>
            <w:r>
              <w:rPr>
                <w:noProof/>
                <w:webHidden/>
              </w:rPr>
              <w:fldChar w:fldCharType="begin"/>
            </w:r>
            <w:r>
              <w:rPr>
                <w:noProof/>
                <w:webHidden/>
              </w:rPr>
              <w:instrText xml:space="preserve"> PAGEREF _Toc235801941 \h </w:instrText>
            </w:r>
            <w:r>
              <w:rPr>
                <w:noProof/>
                <w:webHidden/>
              </w:rPr>
            </w:r>
            <w:r>
              <w:rPr>
                <w:noProof/>
                <w:webHidden/>
              </w:rPr>
              <w:fldChar w:fldCharType="separate"/>
            </w:r>
            <w:r>
              <w:rPr>
                <w:noProof/>
                <w:webHidden/>
              </w:rPr>
              <w:t>22</w:t>
            </w:r>
            <w:r>
              <w:rPr>
                <w:noProof/>
                <w:webHidden/>
              </w:rPr>
              <w:fldChar w:fldCharType="end"/>
            </w:r>
          </w:hyperlink>
        </w:p>
        <w:p w14:paraId="138673B2" w14:textId="38880B87" w:rsidR="00B26431" w:rsidRDefault="00B26431">
          <w:pPr>
            <w:pStyle w:val="TOC3"/>
            <w:tabs>
              <w:tab w:val="right" w:leader="dot" w:pos="9019"/>
            </w:tabs>
            <w:rPr>
              <w:rFonts w:asciiTheme="minorHAnsi" w:eastAsiaTheme="minorEastAsia" w:hAnsiTheme="minorHAnsi" w:cstheme="minorBidi"/>
              <w:noProof/>
              <w:kern w:val="2"/>
              <w:szCs w:val="24"/>
              <w14:ligatures w14:val="standardContextual"/>
            </w:rPr>
          </w:pPr>
          <w:hyperlink w:anchor="_Toc235801942" w:history="1">
            <w:r w:rsidRPr="00A102A4">
              <w:rPr>
                <w:rStyle w:val="Hyperlink"/>
                <w:rFonts w:ascii="Arial" w:hAnsi="Arial"/>
                <w:noProof/>
              </w:rPr>
              <w:t>3.2.5 Impact of Training</w:t>
            </w:r>
            <w:r>
              <w:rPr>
                <w:noProof/>
                <w:webHidden/>
              </w:rPr>
              <w:tab/>
            </w:r>
            <w:r>
              <w:rPr>
                <w:noProof/>
                <w:webHidden/>
              </w:rPr>
              <w:fldChar w:fldCharType="begin"/>
            </w:r>
            <w:r>
              <w:rPr>
                <w:noProof/>
                <w:webHidden/>
              </w:rPr>
              <w:instrText xml:space="preserve"> PAGEREF _Toc235801942 \h </w:instrText>
            </w:r>
            <w:r>
              <w:rPr>
                <w:noProof/>
                <w:webHidden/>
              </w:rPr>
            </w:r>
            <w:r>
              <w:rPr>
                <w:noProof/>
                <w:webHidden/>
              </w:rPr>
              <w:fldChar w:fldCharType="separate"/>
            </w:r>
            <w:r>
              <w:rPr>
                <w:noProof/>
                <w:webHidden/>
              </w:rPr>
              <w:t>23</w:t>
            </w:r>
            <w:r>
              <w:rPr>
                <w:noProof/>
                <w:webHidden/>
              </w:rPr>
              <w:fldChar w:fldCharType="end"/>
            </w:r>
          </w:hyperlink>
        </w:p>
        <w:p w14:paraId="281125DE" w14:textId="64F2AF9A" w:rsidR="00B26431" w:rsidRDefault="00B26431">
          <w:pPr>
            <w:pStyle w:val="TOC2"/>
            <w:rPr>
              <w:rFonts w:asciiTheme="minorHAnsi" w:eastAsiaTheme="minorEastAsia" w:hAnsiTheme="minorHAnsi" w:cstheme="minorBidi"/>
              <w:kern w:val="2"/>
              <w:szCs w:val="24"/>
              <w14:ligatures w14:val="standardContextual"/>
            </w:rPr>
          </w:pPr>
          <w:hyperlink w:anchor="_Toc235801943" w:history="1">
            <w:r w:rsidRPr="00A102A4">
              <w:rPr>
                <w:rStyle w:val="Hyperlink"/>
              </w:rPr>
              <w:t>3.3 Contribution to The TCF Bangladesh</w:t>
            </w:r>
            <w:r>
              <w:rPr>
                <w:webHidden/>
              </w:rPr>
              <w:tab/>
            </w:r>
            <w:r>
              <w:rPr>
                <w:webHidden/>
              </w:rPr>
              <w:fldChar w:fldCharType="begin"/>
            </w:r>
            <w:r>
              <w:rPr>
                <w:webHidden/>
              </w:rPr>
              <w:instrText xml:space="preserve"> PAGEREF _Toc235801943 \h </w:instrText>
            </w:r>
            <w:r>
              <w:rPr>
                <w:webHidden/>
              </w:rPr>
            </w:r>
            <w:r>
              <w:rPr>
                <w:webHidden/>
              </w:rPr>
              <w:fldChar w:fldCharType="separate"/>
            </w:r>
            <w:r>
              <w:rPr>
                <w:webHidden/>
              </w:rPr>
              <w:t>23</w:t>
            </w:r>
            <w:r>
              <w:rPr>
                <w:webHidden/>
              </w:rPr>
              <w:fldChar w:fldCharType="end"/>
            </w:r>
          </w:hyperlink>
        </w:p>
        <w:p w14:paraId="34E683F3" w14:textId="4EAB0815" w:rsidR="00B26431" w:rsidRDefault="00B26431">
          <w:pPr>
            <w:pStyle w:val="TOC2"/>
            <w:rPr>
              <w:rFonts w:asciiTheme="minorHAnsi" w:eastAsiaTheme="minorEastAsia" w:hAnsiTheme="minorHAnsi" w:cstheme="minorBidi"/>
              <w:kern w:val="2"/>
              <w:szCs w:val="24"/>
              <w14:ligatures w14:val="standardContextual"/>
            </w:rPr>
          </w:pPr>
          <w:hyperlink w:anchor="_Toc235801944" w:history="1">
            <w:r w:rsidRPr="00A102A4">
              <w:rPr>
                <w:rStyle w:val="Hyperlink"/>
              </w:rPr>
              <w:t>3.4 Evaluation</w:t>
            </w:r>
            <w:r>
              <w:rPr>
                <w:webHidden/>
              </w:rPr>
              <w:tab/>
            </w:r>
            <w:r>
              <w:rPr>
                <w:webHidden/>
              </w:rPr>
              <w:fldChar w:fldCharType="begin"/>
            </w:r>
            <w:r>
              <w:rPr>
                <w:webHidden/>
              </w:rPr>
              <w:instrText xml:space="preserve"> PAGEREF _Toc235801944 \h </w:instrText>
            </w:r>
            <w:r>
              <w:rPr>
                <w:webHidden/>
              </w:rPr>
            </w:r>
            <w:r>
              <w:rPr>
                <w:webHidden/>
              </w:rPr>
              <w:fldChar w:fldCharType="separate"/>
            </w:r>
            <w:r>
              <w:rPr>
                <w:webHidden/>
              </w:rPr>
              <w:t>25</w:t>
            </w:r>
            <w:r>
              <w:rPr>
                <w:webHidden/>
              </w:rPr>
              <w:fldChar w:fldCharType="end"/>
            </w:r>
          </w:hyperlink>
        </w:p>
        <w:p w14:paraId="0A60D400" w14:textId="52752732" w:rsidR="00B26431" w:rsidRDefault="00B26431">
          <w:pPr>
            <w:pStyle w:val="TOC2"/>
            <w:rPr>
              <w:rFonts w:asciiTheme="minorHAnsi" w:eastAsiaTheme="minorEastAsia" w:hAnsiTheme="minorHAnsi" w:cstheme="minorBidi"/>
              <w:kern w:val="2"/>
              <w:szCs w:val="24"/>
              <w14:ligatures w14:val="standardContextual"/>
            </w:rPr>
          </w:pPr>
          <w:hyperlink w:anchor="_Toc235801945" w:history="1">
            <w:r w:rsidRPr="00A102A4">
              <w:rPr>
                <w:rStyle w:val="Hyperlink"/>
              </w:rPr>
              <w:t>3.5 Skills Applied</w:t>
            </w:r>
            <w:r>
              <w:rPr>
                <w:webHidden/>
              </w:rPr>
              <w:tab/>
            </w:r>
            <w:r>
              <w:rPr>
                <w:webHidden/>
              </w:rPr>
              <w:fldChar w:fldCharType="begin"/>
            </w:r>
            <w:r>
              <w:rPr>
                <w:webHidden/>
              </w:rPr>
              <w:instrText xml:space="preserve"> PAGEREF _Toc235801945 \h </w:instrText>
            </w:r>
            <w:r>
              <w:rPr>
                <w:webHidden/>
              </w:rPr>
            </w:r>
            <w:r>
              <w:rPr>
                <w:webHidden/>
              </w:rPr>
              <w:fldChar w:fldCharType="separate"/>
            </w:r>
            <w:r>
              <w:rPr>
                <w:webHidden/>
              </w:rPr>
              <w:t>26</w:t>
            </w:r>
            <w:r>
              <w:rPr>
                <w:webHidden/>
              </w:rPr>
              <w:fldChar w:fldCharType="end"/>
            </w:r>
          </w:hyperlink>
        </w:p>
        <w:p w14:paraId="3FB1CBDB" w14:textId="4A2DDBB5" w:rsidR="00B26431" w:rsidRDefault="00B26431">
          <w:pPr>
            <w:pStyle w:val="TOC1"/>
            <w:rPr>
              <w:rFonts w:asciiTheme="minorHAnsi" w:eastAsiaTheme="minorEastAsia" w:hAnsiTheme="minorHAnsi" w:cstheme="minorBidi"/>
              <w:b w:val="0"/>
              <w:bCs w:val="0"/>
              <w:kern w:val="2"/>
              <w:szCs w:val="24"/>
              <w14:ligatures w14:val="standardContextual"/>
            </w:rPr>
          </w:pPr>
          <w:hyperlink w:anchor="_Toc235801946" w:history="1">
            <w:r w:rsidRPr="00A102A4">
              <w:rPr>
                <w:rStyle w:val="Hyperlink"/>
                <w:rFonts w:ascii="Arial" w:hAnsi="Arial"/>
              </w:rPr>
              <w:t>CHAPTER 4: DATA ANALYSIS AND INTERPRETATION</w:t>
            </w:r>
            <w:r>
              <w:rPr>
                <w:webHidden/>
              </w:rPr>
              <w:tab/>
            </w:r>
            <w:r>
              <w:rPr>
                <w:webHidden/>
              </w:rPr>
              <w:fldChar w:fldCharType="begin"/>
            </w:r>
            <w:r>
              <w:rPr>
                <w:webHidden/>
              </w:rPr>
              <w:instrText xml:space="preserve"> PAGEREF _Toc235801946 \h </w:instrText>
            </w:r>
            <w:r>
              <w:rPr>
                <w:webHidden/>
              </w:rPr>
            </w:r>
            <w:r>
              <w:rPr>
                <w:webHidden/>
              </w:rPr>
              <w:fldChar w:fldCharType="separate"/>
            </w:r>
            <w:r>
              <w:rPr>
                <w:webHidden/>
              </w:rPr>
              <w:t>27</w:t>
            </w:r>
            <w:r>
              <w:rPr>
                <w:webHidden/>
              </w:rPr>
              <w:fldChar w:fldCharType="end"/>
            </w:r>
          </w:hyperlink>
        </w:p>
        <w:p w14:paraId="22E671D1" w14:textId="6845DEBF" w:rsidR="00B26431" w:rsidRDefault="00B26431">
          <w:pPr>
            <w:pStyle w:val="TOC2"/>
            <w:rPr>
              <w:rFonts w:asciiTheme="minorHAnsi" w:eastAsiaTheme="minorEastAsia" w:hAnsiTheme="minorHAnsi" w:cstheme="minorBidi"/>
              <w:kern w:val="2"/>
              <w:szCs w:val="24"/>
              <w14:ligatures w14:val="standardContextual"/>
            </w:rPr>
          </w:pPr>
          <w:hyperlink w:anchor="_Toc235801947" w:history="1">
            <w:r w:rsidRPr="00A102A4">
              <w:rPr>
                <w:rStyle w:val="Hyperlink"/>
              </w:rPr>
              <w:t>4.1 Working Capital Management</w:t>
            </w:r>
            <w:r>
              <w:rPr>
                <w:webHidden/>
              </w:rPr>
              <w:tab/>
            </w:r>
            <w:r>
              <w:rPr>
                <w:webHidden/>
              </w:rPr>
              <w:fldChar w:fldCharType="begin"/>
            </w:r>
            <w:r>
              <w:rPr>
                <w:webHidden/>
              </w:rPr>
              <w:instrText xml:space="preserve"> PAGEREF _Toc235801947 \h </w:instrText>
            </w:r>
            <w:r>
              <w:rPr>
                <w:webHidden/>
              </w:rPr>
            </w:r>
            <w:r>
              <w:rPr>
                <w:webHidden/>
              </w:rPr>
              <w:fldChar w:fldCharType="separate"/>
            </w:r>
            <w:r>
              <w:rPr>
                <w:webHidden/>
              </w:rPr>
              <w:t>27</w:t>
            </w:r>
            <w:r>
              <w:rPr>
                <w:webHidden/>
              </w:rPr>
              <w:fldChar w:fldCharType="end"/>
            </w:r>
          </w:hyperlink>
        </w:p>
        <w:p w14:paraId="7DA92FEB" w14:textId="3A7B5C1A" w:rsidR="00B26431" w:rsidRDefault="00B26431">
          <w:pPr>
            <w:pStyle w:val="TOC2"/>
            <w:rPr>
              <w:rFonts w:asciiTheme="minorHAnsi" w:eastAsiaTheme="minorEastAsia" w:hAnsiTheme="minorHAnsi" w:cstheme="minorBidi"/>
              <w:kern w:val="2"/>
              <w:szCs w:val="24"/>
              <w14:ligatures w14:val="standardContextual"/>
            </w:rPr>
          </w:pPr>
          <w:hyperlink w:anchor="_Toc235801948" w:history="1">
            <w:r w:rsidRPr="00A102A4">
              <w:rPr>
                <w:rStyle w:val="Hyperlink"/>
              </w:rPr>
              <w:t>4.2 Working Capital Management Process</w:t>
            </w:r>
            <w:r>
              <w:rPr>
                <w:webHidden/>
              </w:rPr>
              <w:tab/>
            </w:r>
            <w:r>
              <w:rPr>
                <w:webHidden/>
              </w:rPr>
              <w:fldChar w:fldCharType="begin"/>
            </w:r>
            <w:r>
              <w:rPr>
                <w:webHidden/>
              </w:rPr>
              <w:instrText xml:space="preserve"> PAGEREF _Toc235801948 \h </w:instrText>
            </w:r>
            <w:r>
              <w:rPr>
                <w:webHidden/>
              </w:rPr>
            </w:r>
            <w:r>
              <w:rPr>
                <w:webHidden/>
              </w:rPr>
              <w:fldChar w:fldCharType="separate"/>
            </w:r>
            <w:r>
              <w:rPr>
                <w:webHidden/>
              </w:rPr>
              <w:t>28</w:t>
            </w:r>
            <w:r>
              <w:rPr>
                <w:webHidden/>
              </w:rPr>
              <w:fldChar w:fldCharType="end"/>
            </w:r>
          </w:hyperlink>
        </w:p>
        <w:p w14:paraId="5EA05822" w14:textId="0AD90907" w:rsidR="00B26431" w:rsidRDefault="00B26431">
          <w:pPr>
            <w:pStyle w:val="TOC2"/>
            <w:rPr>
              <w:rFonts w:asciiTheme="minorHAnsi" w:eastAsiaTheme="minorEastAsia" w:hAnsiTheme="minorHAnsi" w:cstheme="minorBidi"/>
              <w:kern w:val="2"/>
              <w:szCs w:val="24"/>
              <w14:ligatures w14:val="standardContextual"/>
            </w:rPr>
          </w:pPr>
          <w:hyperlink w:anchor="_Toc235801949" w:history="1">
            <w:r w:rsidRPr="00A102A4">
              <w:rPr>
                <w:rStyle w:val="Hyperlink"/>
              </w:rPr>
              <w:t>4.3 Policy Followed by Tokyo Consulting Firm (TCF) Bangladesh</w:t>
            </w:r>
            <w:r>
              <w:rPr>
                <w:webHidden/>
              </w:rPr>
              <w:tab/>
            </w:r>
            <w:r>
              <w:rPr>
                <w:webHidden/>
              </w:rPr>
              <w:fldChar w:fldCharType="begin"/>
            </w:r>
            <w:r>
              <w:rPr>
                <w:webHidden/>
              </w:rPr>
              <w:instrText xml:space="preserve"> PAGEREF _Toc235801949 \h </w:instrText>
            </w:r>
            <w:r>
              <w:rPr>
                <w:webHidden/>
              </w:rPr>
            </w:r>
            <w:r>
              <w:rPr>
                <w:webHidden/>
              </w:rPr>
              <w:fldChar w:fldCharType="separate"/>
            </w:r>
            <w:r>
              <w:rPr>
                <w:webHidden/>
              </w:rPr>
              <w:t>29</w:t>
            </w:r>
            <w:r>
              <w:rPr>
                <w:webHidden/>
              </w:rPr>
              <w:fldChar w:fldCharType="end"/>
            </w:r>
          </w:hyperlink>
        </w:p>
        <w:p w14:paraId="486203AA" w14:textId="71069D92" w:rsidR="00B26431" w:rsidRDefault="00B26431">
          <w:pPr>
            <w:pStyle w:val="TOC2"/>
            <w:rPr>
              <w:rFonts w:asciiTheme="minorHAnsi" w:eastAsiaTheme="minorEastAsia" w:hAnsiTheme="minorHAnsi" w:cstheme="minorBidi"/>
              <w:kern w:val="2"/>
              <w:szCs w:val="24"/>
              <w14:ligatures w14:val="standardContextual"/>
            </w:rPr>
          </w:pPr>
          <w:hyperlink w:anchor="_Toc235801950" w:history="1">
            <w:r w:rsidRPr="00A102A4">
              <w:rPr>
                <w:rStyle w:val="Hyperlink"/>
              </w:rPr>
              <w:t>4.4 Working Capital Management Policy</w:t>
            </w:r>
            <w:r>
              <w:rPr>
                <w:webHidden/>
              </w:rPr>
              <w:tab/>
            </w:r>
            <w:r>
              <w:rPr>
                <w:webHidden/>
              </w:rPr>
              <w:fldChar w:fldCharType="begin"/>
            </w:r>
            <w:r>
              <w:rPr>
                <w:webHidden/>
              </w:rPr>
              <w:instrText xml:space="preserve"> PAGEREF _Toc235801950 \h </w:instrText>
            </w:r>
            <w:r>
              <w:rPr>
                <w:webHidden/>
              </w:rPr>
            </w:r>
            <w:r>
              <w:rPr>
                <w:webHidden/>
              </w:rPr>
              <w:fldChar w:fldCharType="separate"/>
            </w:r>
            <w:r>
              <w:rPr>
                <w:webHidden/>
              </w:rPr>
              <w:t>30</w:t>
            </w:r>
            <w:r>
              <w:rPr>
                <w:webHidden/>
              </w:rPr>
              <w:fldChar w:fldCharType="end"/>
            </w:r>
          </w:hyperlink>
        </w:p>
        <w:p w14:paraId="73337F80" w14:textId="66B8247A" w:rsidR="00B26431" w:rsidRDefault="00B26431">
          <w:pPr>
            <w:pStyle w:val="TOC2"/>
            <w:rPr>
              <w:rFonts w:asciiTheme="minorHAnsi" w:eastAsiaTheme="minorEastAsia" w:hAnsiTheme="minorHAnsi" w:cstheme="minorBidi"/>
              <w:kern w:val="2"/>
              <w:szCs w:val="24"/>
              <w14:ligatures w14:val="standardContextual"/>
            </w:rPr>
          </w:pPr>
          <w:hyperlink w:anchor="_Toc235801951" w:history="1">
            <w:r w:rsidRPr="00A102A4">
              <w:rPr>
                <w:rStyle w:val="Hyperlink"/>
              </w:rPr>
              <w:t>4.5 Cash Conversion Cycle (CCC)</w:t>
            </w:r>
            <w:r>
              <w:rPr>
                <w:webHidden/>
              </w:rPr>
              <w:tab/>
            </w:r>
            <w:r>
              <w:rPr>
                <w:webHidden/>
              </w:rPr>
              <w:fldChar w:fldCharType="begin"/>
            </w:r>
            <w:r>
              <w:rPr>
                <w:webHidden/>
              </w:rPr>
              <w:instrText xml:space="preserve"> PAGEREF _Toc235801951 \h </w:instrText>
            </w:r>
            <w:r>
              <w:rPr>
                <w:webHidden/>
              </w:rPr>
            </w:r>
            <w:r>
              <w:rPr>
                <w:webHidden/>
              </w:rPr>
              <w:fldChar w:fldCharType="separate"/>
            </w:r>
            <w:r>
              <w:rPr>
                <w:webHidden/>
              </w:rPr>
              <w:t>34</w:t>
            </w:r>
            <w:r>
              <w:rPr>
                <w:webHidden/>
              </w:rPr>
              <w:fldChar w:fldCharType="end"/>
            </w:r>
          </w:hyperlink>
        </w:p>
        <w:p w14:paraId="19AF3D2D" w14:textId="0B769EF9" w:rsidR="00B26431" w:rsidRDefault="00B26431">
          <w:pPr>
            <w:pStyle w:val="TOC2"/>
            <w:rPr>
              <w:rFonts w:asciiTheme="minorHAnsi" w:eastAsiaTheme="minorEastAsia" w:hAnsiTheme="minorHAnsi" w:cstheme="minorBidi"/>
              <w:kern w:val="2"/>
              <w:szCs w:val="24"/>
              <w14:ligatures w14:val="standardContextual"/>
            </w:rPr>
          </w:pPr>
          <w:hyperlink w:anchor="_Toc235801952" w:history="1">
            <w:r w:rsidRPr="00A102A4">
              <w:rPr>
                <w:rStyle w:val="Hyperlink"/>
              </w:rPr>
              <w:t>4.6 Days of Inventory Outstanding (DIO)</w:t>
            </w:r>
            <w:r>
              <w:rPr>
                <w:webHidden/>
              </w:rPr>
              <w:tab/>
            </w:r>
            <w:r>
              <w:rPr>
                <w:webHidden/>
              </w:rPr>
              <w:fldChar w:fldCharType="begin"/>
            </w:r>
            <w:r>
              <w:rPr>
                <w:webHidden/>
              </w:rPr>
              <w:instrText xml:space="preserve"> PAGEREF _Toc235801952 \h </w:instrText>
            </w:r>
            <w:r>
              <w:rPr>
                <w:webHidden/>
              </w:rPr>
            </w:r>
            <w:r>
              <w:rPr>
                <w:webHidden/>
              </w:rPr>
              <w:fldChar w:fldCharType="separate"/>
            </w:r>
            <w:r>
              <w:rPr>
                <w:webHidden/>
              </w:rPr>
              <w:t>36</w:t>
            </w:r>
            <w:r>
              <w:rPr>
                <w:webHidden/>
              </w:rPr>
              <w:fldChar w:fldCharType="end"/>
            </w:r>
          </w:hyperlink>
        </w:p>
        <w:p w14:paraId="72CA9B92" w14:textId="5DDDA443" w:rsidR="00B26431" w:rsidRDefault="00B26431">
          <w:pPr>
            <w:pStyle w:val="TOC2"/>
            <w:rPr>
              <w:rFonts w:asciiTheme="minorHAnsi" w:eastAsiaTheme="minorEastAsia" w:hAnsiTheme="minorHAnsi" w:cstheme="minorBidi"/>
              <w:kern w:val="2"/>
              <w:szCs w:val="24"/>
              <w14:ligatures w14:val="standardContextual"/>
            </w:rPr>
          </w:pPr>
          <w:hyperlink w:anchor="_Toc235801953" w:history="1">
            <w:r w:rsidRPr="00A102A4">
              <w:rPr>
                <w:rStyle w:val="Hyperlink"/>
              </w:rPr>
              <w:t>4.7 Days Sales Outstanding (DSO)</w:t>
            </w:r>
            <w:r>
              <w:rPr>
                <w:webHidden/>
              </w:rPr>
              <w:tab/>
            </w:r>
            <w:r>
              <w:rPr>
                <w:webHidden/>
              </w:rPr>
              <w:fldChar w:fldCharType="begin"/>
            </w:r>
            <w:r>
              <w:rPr>
                <w:webHidden/>
              </w:rPr>
              <w:instrText xml:space="preserve"> PAGEREF _Toc235801953 \h </w:instrText>
            </w:r>
            <w:r>
              <w:rPr>
                <w:webHidden/>
              </w:rPr>
            </w:r>
            <w:r>
              <w:rPr>
                <w:webHidden/>
              </w:rPr>
              <w:fldChar w:fldCharType="separate"/>
            </w:r>
            <w:r>
              <w:rPr>
                <w:webHidden/>
              </w:rPr>
              <w:t>36</w:t>
            </w:r>
            <w:r>
              <w:rPr>
                <w:webHidden/>
              </w:rPr>
              <w:fldChar w:fldCharType="end"/>
            </w:r>
          </w:hyperlink>
        </w:p>
        <w:p w14:paraId="61BF2107" w14:textId="0B13DA57" w:rsidR="00B26431" w:rsidRDefault="00B26431">
          <w:pPr>
            <w:pStyle w:val="TOC2"/>
            <w:rPr>
              <w:rFonts w:asciiTheme="minorHAnsi" w:eastAsiaTheme="minorEastAsia" w:hAnsiTheme="minorHAnsi" w:cstheme="minorBidi"/>
              <w:kern w:val="2"/>
              <w:szCs w:val="24"/>
              <w14:ligatures w14:val="standardContextual"/>
            </w:rPr>
          </w:pPr>
          <w:hyperlink w:anchor="_Toc235801954" w:history="1">
            <w:r w:rsidRPr="00A102A4">
              <w:rPr>
                <w:rStyle w:val="Hyperlink"/>
              </w:rPr>
              <w:t>4.8 Days Payables Outstanding</w:t>
            </w:r>
            <w:r>
              <w:rPr>
                <w:webHidden/>
              </w:rPr>
              <w:tab/>
            </w:r>
            <w:r>
              <w:rPr>
                <w:webHidden/>
              </w:rPr>
              <w:fldChar w:fldCharType="begin"/>
            </w:r>
            <w:r>
              <w:rPr>
                <w:webHidden/>
              </w:rPr>
              <w:instrText xml:space="preserve"> PAGEREF _Toc235801954 \h </w:instrText>
            </w:r>
            <w:r>
              <w:rPr>
                <w:webHidden/>
              </w:rPr>
            </w:r>
            <w:r>
              <w:rPr>
                <w:webHidden/>
              </w:rPr>
              <w:fldChar w:fldCharType="separate"/>
            </w:r>
            <w:r>
              <w:rPr>
                <w:webHidden/>
              </w:rPr>
              <w:t>38</w:t>
            </w:r>
            <w:r>
              <w:rPr>
                <w:webHidden/>
              </w:rPr>
              <w:fldChar w:fldCharType="end"/>
            </w:r>
          </w:hyperlink>
        </w:p>
        <w:p w14:paraId="7C630672" w14:textId="47F113ED" w:rsidR="00B26431" w:rsidRDefault="00B26431">
          <w:pPr>
            <w:pStyle w:val="TOC2"/>
            <w:rPr>
              <w:rFonts w:asciiTheme="minorHAnsi" w:eastAsiaTheme="minorEastAsia" w:hAnsiTheme="minorHAnsi" w:cstheme="minorBidi"/>
              <w:kern w:val="2"/>
              <w:szCs w:val="24"/>
              <w14:ligatures w14:val="standardContextual"/>
            </w:rPr>
          </w:pPr>
          <w:hyperlink w:anchor="_Toc235801955" w:history="1">
            <w:r w:rsidRPr="00A102A4">
              <w:rPr>
                <w:rStyle w:val="Hyperlink"/>
              </w:rPr>
              <w:t>4.9 Identification of Working Capital</w:t>
            </w:r>
            <w:r>
              <w:rPr>
                <w:webHidden/>
              </w:rPr>
              <w:tab/>
            </w:r>
            <w:r>
              <w:rPr>
                <w:webHidden/>
              </w:rPr>
              <w:fldChar w:fldCharType="begin"/>
            </w:r>
            <w:r>
              <w:rPr>
                <w:webHidden/>
              </w:rPr>
              <w:instrText xml:space="preserve"> PAGEREF _Toc235801955 \h </w:instrText>
            </w:r>
            <w:r>
              <w:rPr>
                <w:webHidden/>
              </w:rPr>
            </w:r>
            <w:r>
              <w:rPr>
                <w:webHidden/>
              </w:rPr>
              <w:fldChar w:fldCharType="separate"/>
            </w:r>
            <w:r>
              <w:rPr>
                <w:webHidden/>
              </w:rPr>
              <w:t>39</w:t>
            </w:r>
            <w:r>
              <w:rPr>
                <w:webHidden/>
              </w:rPr>
              <w:fldChar w:fldCharType="end"/>
            </w:r>
          </w:hyperlink>
        </w:p>
        <w:p w14:paraId="7DFB3BBF" w14:textId="50328217" w:rsidR="00B26431" w:rsidRDefault="00B26431">
          <w:pPr>
            <w:pStyle w:val="TOC2"/>
            <w:rPr>
              <w:rFonts w:asciiTheme="minorHAnsi" w:eastAsiaTheme="minorEastAsia" w:hAnsiTheme="minorHAnsi" w:cstheme="minorBidi"/>
              <w:kern w:val="2"/>
              <w:szCs w:val="24"/>
              <w14:ligatures w14:val="standardContextual"/>
            </w:rPr>
          </w:pPr>
          <w:hyperlink w:anchor="_Toc235801956" w:history="1">
            <w:r w:rsidRPr="00A102A4">
              <w:rPr>
                <w:rStyle w:val="Hyperlink"/>
              </w:rPr>
              <w:t>4.10 Working Capital’s Impact on Tokyo Consulting Firm</w:t>
            </w:r>
            <w:r>
              <w:rPr>
                <w:webHidden/>
              </w:rPr>
              <w:tab/>
            </w:r>
            <w:r>
              <w:rPr>
                <w:webHidden/>
              </w:rPr>
              <w:fldChar w:fldCharType="begin"/>
            </w:r>
            <w:r>
              <w:rPr>
                <w:webHidden/>
              </w:rPr>
              <w:instrText xml:space="preserve"> PAGEREF _Toc235801956 \h </w:instrText>
            </w:r>
            <w:r>
              <w:rPr>
                <w:webHidden/>
              </w:rPr>
            </w:r>
            <w:r>
              <w:rPr>
                <w:webHidden/>
              </w:rPr>
              <w:fldChar w:fldCharType="separate"/>
            </w:r>
            <w:r>
              <w:rPr>
                <w:webHidden/>
              </w:rPr>
              <w:t>39</w:t>
            </w:r>
            <w:r>
              <w:rPr>
                <w:webHidden/>
              </w:rPr>
              <w:fldChar w:fldCharType="end"/>
            </w:r>
          </w:hyperlink>
        </w:p>
        <w:p w14:paraId="2A3003CD" w14:textId="197CEE43" w:rsidR="00B26431" w:rsidRDefault="00B26431">
          <w:pPr>
            <w:pStyle w:val="TOC2"/>
            <w:rPr>
              <w:rFonts w:asciiTheme="minorHAnsi" w:eastAsiaTheme="minorEastAsia" w:hAnsiTheme="minorHAnsi" w:cstheme="minorBidi"/>
              <w:kern w:val="2"/>
              <w:szCs w:val="24"/>
              <w14:ligatures w14:val="standardContextual"/>
            </w:rPr>
          </w:pPr>
          <w:hyperlink w:anchor="_Toc235801957" w:history="1">
            <w:r w:rsidRPr="00A102A4">
              <w:rPr>
                <w:rStyle w:val="Hyperlink"/>
              </w:rPr>
              <w:t>4.11 Operating Cycle of Working Capital of Firm</w:t>
            </w:r>
            <w:r>
              <w:rPr>
                <w:webHidden/>
              </w:rPr>
              <w:tab/>
            </w:r>
            <w:r>
              <w:rPr>
                <w:webHidden/>
              </w:rPr>
              <w:fldChar w:fldCharType="begin"/>
            </w:r>
            <w:r>
              <w:rPr>
                <w:webHidden/>
              </w:rPr>
              <w:instrText xml:space="preserve"> PAGEREF _Toc235801957 \h </w:instrText>
            </w:r>
            <w:r>
              <w:rPr>
                <w:webHidden/>
              </w:rPr>
            </w:r>
            <w:r>
              <w:rPr>
                <w:webHidden/>
              </w:rPr>
              <w:fldChar w:fldCharType="separate"/>
            </w:r>
            <w:r>
              <w:rPr>
                <w:webHidden/>
              </w:rPr>
              <w:t>40</w:t>
            </w:r>
            <w:r>
              <w:rPr>
                <w:webHidden/>
              </w:rPr>
              <w:fldChar w:fldCharType="end"/>
            </w:r>
          </w:hyperlink>
        </w:p>
        <w:p w14:paraId="0F0E9B3A" w14:textId="26EA20D4" w:rsidR="00B26431" w:rsidRDefault="00B26431">
          <w:pPr>
            <w:pStyle w:val="TOC2"/>
            <w:rPr>
              <w:rFonts w:asciiTheme="minorHAnsi" w:eastAsiaTheme="minorEastAsia" w:hAnsiTheme="minorHAnsi" w:cstheme="minorBidi"/>
              <w:kern w:val="2"/>
              <w:szCs w:val="24"/>
              <w14:ligatures w14:val="standardContextual"/>
            </w:rPr>
          </w:pPr>
          <w:hyperlink w:anchor="_Toc235801958" w:history="1">
            <w:r w:rsidRPr="00A102A4">
              <w:rPr>
                <w:rStyle w:val="Hyperlink"/>
              </w:rPr>
              <w:t>4.12 Ratio Analysis</w:t>
            </w:r>
            <w:r>
              <w:rPr>
                <w:webHidden/>
              </w:rPr>
              <w:tab/>
            </w:r>
            <w:r>
              <w:rPr>
                <w:webHidden/>
              </w:rPr>
              <w:fldChar w:fldCharType="begin"/>
            </w:r>
            <w:r>
              <w:rPr>
                <w:webHidden/>
              </w:rPr>
              <w:instrText xml:space="preserve"> PAGEREF _Toc235801958 \h </w:instrText>
            </w:r>
            <w:r>
              <w:rPr>
                <w:webHidden/>
              </w:rPr>
            </w:r>
            <w:r>
              <w:rPr>
                <w:webHidden/>
              </w:rPr>
              <w:fldChar w:fldCharType="separate"/>
            </w:r>
            <w:r>
              <w:rPr>
                <w:webHidden/>
              </w:rPr>
              <w:t>41</w:t>
            </w:r>
            <w:r>
              <w:rPr>
                <w:webHidden/>
              </w:rPr>
              <w:fldChar w:fldCharType="end"/>
            </w:r>
          </w:hyperlink>
        </w:p>
        <w:p w14:paraId="3E65CC0C" w14:textId="5D36B82D" w:rsidR="00B26431" w:rsidRDefault="00B26431">
          <w:pPr>
            <w:pStyle w:val="TOC3"/>
            <w:tabs>
              <w:tab w:val="right" w:leader="dot" w:pos="9019"/>
            </w:tabs>
            <w:rPr>
              <w:rFonts w:asciiTheme="minorHAnsi" w:eastAsiaTheme="minorEastAsia" w:hAnsiTheme="minorHAnsi" w:cstheme="minorBidi"/>
              <w:noProof/>
              <w:kern w:val="2"/>
              <w:szCs w:val="24"/>
              <w14:ligatures w14:val="standardContextual"/>
            </w:rPr>
          </w:pPr>
          <w:hyperlink w:anchor="_Toc235801959" w:history="1">
            <w:r w:rsidRPr="00A102A4">
              <w:rPr>
                <w:rStyle w:val="Hyperlink"/>
                <w:rFonts w:ascii="Arial" w:hAnsi="Arial"/>
                <w:noProof/>
              </w:rPr>
              <w:t>4.12.1 Current Ratio Analysis</w:t>
            </w:r>
            <w:r>
              <w:rPr>
                <w:noProof/>
                <w:webHidden/>
              </w:rPr>
              <w:tab/>
            </w:r>
            <w:r>
              <w:rPr>
                <w:noProof/>
                <w:webHidden/>
              </w:rPr>
              <w:fldChar w:fldCharType="begin"/>
            </w:r>
            <w:r>
              <w:rPr>
                <w:noProof/>
                <w:webHidden/>
              </w:rPr>
              <w:instrText xml:space="preserve"> PAGEREF _Toc235801959 \h </w:instrText>
            </w:r>
            <w:r>
              <w:rPr>
                <w:noProof/>
                <w:webHidden/>
              </w:rPr>
            </w:r>
            <w:r>
              <w:rPr>
                <w:noProof/>
                <w:webHidden/>
              </w:rPr>
              <w:fldChar w:fldCharType="separate"/>
            </w:r>
            <w:r>
              <w:rPr>
                <w:noProof/>
                <w:webHidden/>
              </w:rPr>
              <w:t>41</w:t>
            </w:r>
            <w:r>
              <w:rPr>
                <w:noProof/>
                <w:webHidden/>
              </w:rPr>
              <w:fldChar w:fldCharType="end"/>
            </w:r>
          </w:hyperlink>
        </w:p>
        <w:p w14:paraId="6251C93D" w14:textId="3779B425" w:rsidR="00B26431" w:rsidRDefault="00B26431">
          <w:pPr>
            <w:pStyle w:val="TOC3"/>
            <w:tabs>
              <w:tab w:val="right" w:leader="dot" w:pos="9019"/>
            </w:tabs>
            <w:rPr>
              <w:rFonts w:asciiTheme="minorHAnsi" w:eastAsiaTheme="minorEastAsia" w:hAnsiTheme="minorHAnsi" w:cstheme="minorBidi"/>
              <w:noProof/>
              <w:kern w:val="2"/>
              <w:szCs w:val="24"/>
              <w14:ligatures w14:val="standardContextual"/>
            </w:rPr>
          </w:pPr>
          <w:hyperlink w:anchor="_Toc235801960" w:history="1">
            <w:r w:rsidRPr="00A102A4">
              <w:rPr>
                <w:rStyle w:val="Hyperlink"/>
                <w:rFonts w:ascii="Arial" w:hAnsi="Arial"/>
                <w:noProof/>
              </w:rPr>
              <w:t>4.12.2 Quick Ratio Analysis</w:t>
            </w:r>
            <w:r>
              <w:rPr>
                <w:noProof/>
                <w:webHidden/>
              </w:rPr>
              <w:tab/>
            </w:r>
            <w:r>
              <w:rPr>
                <w:noProof/>
                <w:webHidden/>
              </w:rPr>
              <w:fldChar w:fldCharType="begin"/>
            </w:r>
            <w:r>
              <w:rPr>
                <w:noProof/>
                <w:webHidden/>
              </w:rPr>
              <w:instrText xml:space="preserve"> PAGEREF _Toc235801960 \h </w:instrText>
            </w:r>
            <w:r>
              <w:rPr>
                <w:noProof/>
                <w:webHidden/>
              </w:rPr>
            </w:r>
            <w:r>
              <w:rPr>
                <w:noProof/>
                <w:webHidden/>
              </w:rPr>
              <w:fldChar w:fldCharType="separate"/>
            </w:r>
            <w:r>
              <w:rPr>
                <w:noProof/>
                <w:webHidden/>
              </w:rPr>
              <w:t>42</w:t>
            </w:r>
            <w:r>
              <w:rPr>
                <w:noProof/>
                <w:webHidden/>
              </w:rPr>
              <w:fldChar w:fldCharType="end"/>
            </w:r>
          </w:hyperlink>
        </w:p>
        <w:p w14:paraId="76A2240A" w14:textId="5F566AEA" w:rsidR="00B26431" w:rsidRDefault="00B26431">
          <w:pPr>
            <w:pStyle w:val="TOC3"/>
            <w:tabs>
              <w:tab w:val="right" w:leader="dot" w:pos="9019"/>
            </w:tabs>
            <w:rPr>
              <w:rFonts w:asciiTheme="minorHAnsi" w:eastAsiaTheme="minorEastAsia" w:hAnsiTheme="minorHAnsi" w:cstheme="minorBidi"/>
              <w:noProof/>
              <w:kern w:val="2"/>
              <w:szCs w:val="24"/>
              <w14:ligatures w14:val="standardContextual"/>
            </w:rPr>
          </w:pPr>
          <w:hyperlink w:anchor="_Toc235801961" w:history="1">
            <w:r w:rsidRPr="00A102A4">
              <w:rPr>
                <w:rStyle w:val="Hyperlink"/>
                <w:rFonts w:ascii="Arial" w:hAnsi="Arial"/>
                <w:noProof/>
              </w:rPr>
              <w:t>4.12.3 Cash Ratio Analysis</w:t>
            </w:r>
            <w:r>
              <w:rPr>
                <w:noProof/>
                <w:webHidden/>
              </w:rPr>
              <w:tab/>
            </w:r>
            <w:r>
              <w:rPr>
                <w:noProof/>
                <w:webHidden/>
              </w:rPr>
              <w:fldChar w:fldCharType="begin"/>
            </w:r>
            <w:r>
              <w:rPr>
                <w:noProof/>
                <w:webHidden/>
              </w:rPr>
              <w:instrText xml:space="preserve"> PAGEREF _Toc235801961 \h </w:instrText>
            </w:r>
            <w:r>
              <w:rPr>
                <w:noProof/>
                <w:webHidden/>
              </w:rPr>
            </w:r>
            <w:r>
              <w:rPr>
                <w:noProof/>
                <w:webHidden/>
              </w:rPr>
              <w:fldChar w:fldCharType="separate"/>
            </w:r>
            <w:r>
              <w:rPr>
                <w:noProof/>
                <w:webHidden/>
              </w:rPr>
              <w:t>43</w:t>
            </w:r>
            <w:r>
              <w:rPr>
                <w:noProof/>
                <w:webHidden/>
              </w:rPr>
              <w:fldChar w:fldCharType="end"/>
            </w:r>
          </w:hyperlink>
        </w:p>
        <w:p w14:paraId="454D8FA4" w14:textId="5788FA31" w:rsidR="00B26431" w:rsidRDefault="00B26431">
          <w:pPr>
            <w:pStyle w:val="TOC3"/>
            <w:tabs>
              <w:tab w:val="right" w:leader="dot" w:pos="9019"/>
            </w:tabs>
            <w:rPr>
              <w:rFonts w:asciiTheme="minorHAnsi" w:eastAsiaTheme="minorEastAsia" w:hAnsiTheme="minorHAnsi" w:cstheme="minorBidi"/>
              <w:noProof/>
              <w:kern w:val="2"/>
              <w:szCs w:val="24"/>
              <w14:ligatures w14:val="standardContextual"/>
            </w:rPr>
          </w:pPr>
          <w:hyperlink w:anchor="_Toc235801962" w:history="1">
            <w:r w:rsidRPr="00A102A4">
              <w:rPr>
                <w:rStyle w:val="Hyperlink"/>
                <w:rFonts w:ascii="Arial" w:hAnsi="Arial"/>
                <w:noProof/>
              </w:rPr>
              <w:t>4.12.4 Receivable Turnover Ratio</w:t>
            </w:r>
            <w:r>
              <w:rPr>
                <w:noProof/>
                <w:webHidden/>
              </w:rPr>
              <w:tab/>
            </w:r>
            <w:r>
              <w:rPr>
                <w:noProof/>
                <w:webHidden/>
              </w:rPr>
              <w:fldChar w:fldCharType="begin"/>
            </w:r>
            <w:r>
              <w:rPr>
                <w:noProof/>
                <w:webHidden/>
              </w:rPr>
              <w:instrText xml:space="preserve"> PAGEREF _Toc235801962 \h </w:instrText>
            </w:r>
            <w:r>
              <w:rPr>
                <w:noProof/>
                <w:webHidden/>
              </w:rPr>
            </w:r>
            <w:r>
              <w:rPr>
                <w:noProof/>
                <w:webHidden/>
              </w:rPr>
              <w:fldChar w:fldCharType="separate"/>
            </w:r>
            <w:r>
              <w:rPr>
                <w:noProof/>
                <w:webHidden/>
              </w:rPr>
              <w:t>44</w:t>
            </w:r>
            <w:r>
              <w:rPr>
                <w:noProof/>
                <w:webHidden/>
              </w:rPr>
              <w:fldChar w:fldCharType="end"/>
            </w:r>
          </w:hyperlink>
        </w:p>
        <w:p w14:paraId="4B8C51BB" w14:textId="50AEC9F5" w:rsidR="00B26431" w:rsidRDefault="00B26431">
          <w:pPr>
            <w:pStyle w:val="TOC3"/>
            <w:tabs>
              <w:tab w:val="right" w:leader="dot" w:pos="9019"/>
            </w:tabs>
            <w:rPr>
              <w:rFonts w:asciiTheme="minorHAnsi" w:eastAsiaTheme="minorEastAsia" w:hAnsiTheme="minorHAnsi" w:cstheme="minorBidi"/>
              <w:noProof/>
              <w:kern w:val="2"/>
              <w:szCs w:val="24"/>
              <w14:ligatures w14:val="standardContextual"/>
            </w:rPr>
          </w:pPr>
          <w:hyperlink w:anchor="_Toc235801963" w:history="1">
            <w:r w:rsidRPr="00A102A4">
              <w:rPr>
                <w:rStyle w:val="Hyperlink"/>
                <w:rFonts w:ascii="Arial" w:hAnsi="Arial"/>
                <w:noProof/>
              </w:rPr>
              <w:t>4.12.5 Payable Turnover Ratio</w:t>
            </w:r>
            <w:r>
              <w:rPr>
                <w:noProof/>
                <w:webHidden/>
              </w:rPr>
              <w:tab/>
            </w:r>
            <w:r>
              <w:rPr>
                <w:noProof/>
                <w:webHidden/>
              </w:rPr>
              <w:fldChar w:fldCharType="begin"/>
            </w:r>
            <w:r>
              <w:rPr>
                <w:noProof/>
                <w:webHidden/>
              </w:rPr>
              <w:instrText xml:space="preserve"> PAGEREF _Toc235801963 \h </w:instrText>
            </w:r>
            <w:r>
              <w:rPr>
                <w:noProof/>
                <w:webHidden/>
              </w:rPr>
            </w:r>
            <w:r>
              <w:rPr>
                <w:noProof/>
                <w:webHidden/>
              </w:rPr>
              <w:fldChar w:fldCharType="separate"/>
            </w:r>
            <w:r>
              <w:rPr>
                <w:noProof/>
                <w:webHidden/>
              </w:rPr>
              <w:t>46</w:t>
            </w:r>
            <w:r>
              <w:rPr>
                <w:noProof/>
                <w:webHidden/>
              </w:rPr>
              <w:fldChar w:fldCharType="end"/>
            </w:r>
          </w:hyperlink>
        </w:p>
        <w:p w14:paraId="612853E4" w14:textId="34573850" w:rsidR="00B26431" w:rsidRDefault="00B26431">
          <w:pPr>
            <w:pStyle w:val="TOC3"/>
            <w:tabs>
              <w:tab w:val="right" w:leader="dot" w:pos="9019"/>
            </w:tabs>
            <w:rPr>
              <w:rFonts w:asciiTheme="minorHAnsi" w:eastAsiaTheme="minorEastAsia" w:hAnsiTheme="minorHAnsi" w:cstheme="minorBidi"/>
              <w:noProof/>
              <w:kern w:val="2"/>
              <w:szCs w:val="24"/>
              <w14:ligatures w14:val="standardContextual"/>
            </w:rPr>
          </w:pPr>
          <w:hyperlink w:anchor="_Toc235801964" w:history="1">
            <w:r w:rsidRPr="00A102A4">
              <w:rPr>
                <w:rStyle w:val="Hyperlink"/>
                <w:rFonts w:ascii="Arial" w:hAnsi="Arial"/>
                <w:noProof/>
              </w:rPr>
              <w:t>4.12.6 Working Capital Turnover ratio</w:t>
            </w:r>
            <w:r>
              <w:rPr>
                <w:noProof/>
                <w:webHidden/>
              </w:rPr>
              <w:tab/>
            </w:r>
            <w:r>
              <w:rPr>
                <w:noProof/>
                <w:webHidden/>
              </w:rPr>
              <w:fldChar w:fldCharType="begin"/>
            </w:r>
            <w:r>
              <w:rPr>
                <w:noProof/>
                <w:webHidden/>
              </w:rPr>
              <w:instrText xml:space="preserve"> PAGEREF _Toc235801964 \h </w:instrText>
            </w:r>
            <w:r>
              <w:rPr>
                <w:noProof/>
                <w:webHidden/>
              </w:rPr>
            </w:r>
            <w:r>
              <w:rPr>
                <w:noProof/>
                <w:webHidden/>
              </w:rPr>
              <w:fldChar w:fldCharType="separate"/>
            </w:r>
            <w:r>
              <w:rPr>
                <w:noProof/>
                <w:webHidden/>
              </w:rPr>
              <w:t>47</w:t>
            </w:r>
            <w:r>
              <w:rPr>
                <w:noProof/>
                <w:webHidden/>
              </w:rPr>
              <w:fldChar w:fldCharType="end"/>
            </w:r>
          </w:hyperlink>
        </w:p>
        <w:p w14:paraId="63272D50" w14:textId="64230FC0" w:rsidR="00B26431" w:rsidRDefault="00B26431">
          <w:pPr>
            <w:pStyle w:val="TOC3"/>
            <w:tabs>
              <w:tab w:val="right" w:leader="dot" w:pos="9019"/>
            </w:tabs>
            <w:rPr>
              <w:rFonts w:asciiTheme="minorHAnsi" w:eastAsiaTheme="minorEastAsia" w:hAnsiTheme="minorHAnsi" w:cstheme="minorBidi"/>
              <w:noProof/>
              <w:kern w:val="2"/>
              <w:szCs w:val="24"/>
              <w14:ligatures w14:val="standardContextual"/>
            </w:rPr>
          </w:pPr>
          <w:hyperlink w:anchor="_Toc235801965" w:history="1">
            <w:r w:rsidRPr="00A102A4">
              <w:rPr>
                <w:rStyle w:val="Hyperlink"/>
                <w:rFonts w:ascii="Arial" w:hAnsi="Arial"/>
                <w:noProof/>
              </w:rPr>
              <w:t>4.12.7 Net Working Capital Analysis</w:t>
            </w:r>
            <w:r>
              <w:rPr>
                <w:noProof/>
                <w:webHidden/>
              </w:rPr>
              <w:tab/>
            </w:r>
            <w:r>
              <w:rPr>
                <w:noProof/>
                <w:webHidden/>
              </w:rPr>
              <w:fldChar w:fldCharType="begin"/>
            </w:r>
            <w:r>
              <w:rPr>
                <w:noProof/>
                <w:webHidden/>
              </w:rPr>
              <w:instrText xml:space="preserve"> PAGEREF _Toc235801965 \h </w:instrText>
            </w:r>
            <w:r>
              <w:rPr>
                <w:noProof/>
                <w:webHidden/>
              </w:rPr>
            </w:r>
            <w:r>
              <w:rPr>
                <w:noProof/>
                <w:webHidden/>
              </w:rPr>
              <w:fldChar w:fldCharType="separate"/>
            </w:r>
            <w:r>
              <w:rPr>
                <w:noProof/>
                <w:webHidden/>
              </w:rPr>
              <w:t>48</w:t>
            </w:r>
            <w:r>
              <w:rPr>
                <w:noProof/>
                <w:webHidden/>
              </w:rPr>
              <w:fldChar w:fldCharType="end"/>
            </w:r>
          </w:hyperlink>
        </w:p>
        <w:p w14:paraId="71024DF2" w14:textId="59817C02" w:rsidR="00B26431" w:rsidRDefault="00B26431">
          <w:pPr>
            <w:pStyle w:val="TOC1"/>
            <w:rPr>
              <w:rFonts w:asciiTheme="minorHAnsi" w:eastAsiaTheme="minorEastAsia" w:hAnsiTheme="minorHAnsi" w:cstheme="minorBidi"/>
              <w:b w:val="0"/>
              <w:bCs w:val="0"/>
              <w:kern w:val="2"/>
              <w:szCs w:val="24"/>
              <w14:ligatures w14:val="standardContextual"/>
            </w:rPr>
          </w:pPr>
          <w:hyperlink w:anchor="_Toc235801966" w:history="1">
            <w:r w:rsidRPr="00A102A4">
              <w:rPr>
                <w:rStyle w:val="Hyperlink"/>
                <w:rFonts w:ascii="Arial" w:hAnsi="Arial"/>
              </w:rPr>
              <w:t>CHAPTER 5: CONCLUSIONS &amp; KEY FACTS</w:t>
            </w:r>
            <w:r>
              <w:rPr>
                <w:webHidden/>
              </w:rPr>
              <w:tab/>
            </w:r>
            <w:r>
              <w:rPr>
                <w:webHidden/>
              </w:rPr>
              <w:fldChar w:fldCharType="begin"/>
            </w:r>
            <w:r>
              <w:rPr>
                <w:webHidden/>
              </w:rPr>
              <w:instrText xml:space="preserve"> PAGEREF _Toc235801966 \h </w:instrText>
            </w:r>
            <w:r>
              <w:rPr>
                <w:webHidden/>
              </w:rPr>
            </w:r>
            <w:r>
              <w:rPr>
                <w:webHidden/>
              </w:rPr>
              <w:fldChar w:fldCharType="separate"/>
            </w:r>
            <w:r>
              <w:rPr>
                <w:webHidden/>
              </w:rPr>
              <w:t>50</w:t>
            </w:r>
            <w:r>
              <w:rPr>
                <w:webHidden/>
              </w:rPr>
              <w:fldChar w:fldCharType="end"/>
            </w:r>
          </w:hyperlink>
        </w:p>
        <w:p w14:paraId="00752EBC" w14:textId="48F9D15C" w:rsidR="00B26431" w:rsidRDefault="00B26431">
          <w:pPr>
            <w:pStyle w:val="TOC2"/>
            <w:rPr>
              <w:rFonts w:asciiTheme="minorHAnsi" w:eastAsiaTheme="minorEastAsia" w:hAnsiTheme="minorHAnsi" w:cstheme="minorBidi"/>
              <w:kern w:val="2"/>
              <w:szCs w:val="24"/>
              <w14:ligatures w14:val="standardContextual"/>
            </w:rPr>
          </w:pPr>
          <w:hyperlink w:anchor="_Toc235801967" w:history="1">
            <w:r w:rsidRPr="00A102A4">
              <w:rPr>
                <w:rStyle w:val="Hyperlink"/>
              </w:rPr>
              <w:t>5.1 Key Understanding</w:t>
            </w:r>
            <w:r>
              <w:rPr>
                <w:webHidden/>
              </w:rPr>
              <w:tab/>
            </w:r>
            <w:r>
              <w:rPr>
                <w:webHidden/>
              </w:rPr>
              <w:fldChar w:fldCharType="begin"/>
            </w:r>
            <w:r>
              <w:rPr>
                <w:webHidden/>
              </w:rPr>
              <w:instrText xml:space="preserve"> PAGEREF _Toc235801967 \h </w:instrText>
            </w:r>
            <w:r>
              <w:rPr>
                <w:webHidden/>
              </w:rPr>
            </w:r>
            <w:r>
              <w:rPr>
                <w:webHidden/>
              </w:rPr>
              <w:fldChar w:fldCharType="separate"/>
            </w:r>
            <w:r>
              <w:rPr>
                <w:webHidden/>
              </w:rPr>
              <w:t>50</w:t>
            </w:r>
            <w:r>
              <w:rPr>
                <w:webHidden/>
              </w:rPr>
              <w:fldChar w:fldCharType="end"/>
            </w:r>
          </w:hyperlink>
        </w:p>
        <w:p w14:paraId="2A8E927A" w14:textId="13EF1A6D" w:rsidR="00B26431" w:rsidRDefault="00B26431">
          <w:pPr>
            <w:pStyle w:val="TOC2"/>
            <w:rPr>
              <w:rFonts w:asciiTheme="minorHAnsi" w:eastAsiaTheme="minorEastAsia" w:hAnsiTheme="minorHAnsi" w:cstheme="minorBidi"/>
              <w:kern w:val="2"/>
              <w:szCs w:val="24"/>
              <w14:ligatures w14:val="standardContextual"/>
            </w:rPr>
          </w:pPr>
          <w:hyperlink w:anchor="_Toc235801968" w:history="1">
            <w:r w:rsidRPr="00A102A4">
              <w:rPr>
                <w:rStyle w:val="Hyperlink"/>
              </w:rPr>
              <w:t>5.2 Recommendations</w:t>
            </w:r>
            <w:r>
              <w:rPr>
                <w:webHidden/>
              </w:rPr>
              <w:tab/>
            </w:r>
            <w:r>
              <w:rPr>
                <w:webHidden/>
              </w:rPr>
              <w:fldChar w:fldCharType="begin"/>
            </w:r>
            <w:r>
              <w:rPr>
                <w:webHidden/>
              </w:rPr>
              <w:instrText xml:space="preserve"> PAGEREF _Toc235801968 \h </w:instrText>
            </w:r>
            <w:r>
              <w:rPr>
                <w:webHidden/>
              </w:rPr>
            </w:r>
            <w:r>
              <w:rPr>
                <w:webHidden/>
              </w:rPr>
              <w:fldChar w:fldCharType="separate"/>
            </w:r>
            <w:r>
              <w:rPr>
                <w:webHidden/>
              </w:rPr>
              <w:t>52</w:t>
            </w:r>
            <w:r>
              <w:rPr>
                <w:webHidden/>
              </w:rPr>
              <w:fldChar w:fldCharType="end"/>
            </w:r>
          </w:hyperlink>
        </w:p>
        <w:p w14:paraId="3A96244B" w14:textId="590D007C" w:rsidR="00B26431" w:rsidRDefault="00B26431">
          <w:pPr>
            <w:pStyle w:val="TOC2"/>
            <w:rPr>
              <w:rFonts w:asciiTheme="minorHAnsi" w:eastAsiaTheme="minorEastAsia" w:hAnsiTheme="minorHAnsi" w:cstheme="minorBidi"/>
              <w:kern w:val="2"/>
              <w:szCs w:val="24"/>
              <w14:ligatures w14:val="standardContextual"/>
            </w:rPr>
          </w:pPr>
          <w:hyperlink w:anchor="_Toc235801969" w:history="1">
            <w:r w:rsidRPr="00A102A4">
              <w:rPr>
                <w:rStyle w:val="Hyperlink"/>
              </w:rPr>
              <w:t>5.3 Conclusion</w:t>
            </w:r>
            <w:r>
              <w:rPr>
                <w:webHidden/>
              </w:rPr>
              <w:tab/>
            </w:r>
            <w:r>
              <w:rPr>
                <w:webHidden/>
              </w:rPr>
              <w:fldChar w:fldCharType="begin"/>
            </w:r>
            <w:r>
              <w:rPr>
                <w:webHidden/>
              </w:rPr>
              <w:instrText xml:space="preserve"> PAGEREF _Toc235801969 \h </w:instrText>
            </w:r>
            <w:r>
              <w:rPr>
                <w:webHidden/>
              </w:rPr>
            </w:r>
            <w:r>
              <w:rPr>
                <w:webHidden/>
              </w:rPr>
              <w:fldChar w:fldCharType="separate"/>
            </w:r>
            <w:r>
              <w:rPr>
                <w:webHidden/>
              </w:rPr>
              <w:t>55</w:t>
            </w:r>
            <w:r>
              <w:rPr>
                <w:webHidden/>
              </w:rPr>
              <w:fldChar w:fldCharType="end"/>
            </w:r>
          </w:hyperlink>
        </w:p>
        <w:p w14:paraId="2CFB2BA6" w14:textId="24FD424F" w:rsidR="00B26431" w:rsidRDefault="00B26431">
          <w:pPr>
            <w:pStyle w:val="TOC1"/>
            <w:rPr>
              <w:rFonts w:asciiTheme="minorHAnsi" w:eastAsiaTheme="minorEastAsia" w:hAnsiTheme="minorHAnsi" w:cstheme="minorBidi"/>
              <w:b w:val="0"/>
              <w:bCs w:val="0"/>
              <w:kern w:val="2"/>
              <w:szCs w:val="24"/>
              <w14:ligatures w14:val="standardContextual"/>
            </w:rPr>
          </w:pPr>
          <w:hyperlink w:anchor="_Toc235801970" w:history="1">
            <w:r w:rsidRPr="00A102A4">
              <w:rPr>
                <w:rStyle w:val="Hyperlink"/>
                <w:rFonts w:ascii="Arial" w:hAnsi="Arial"/>
              </w:rPr>
              <w:t>REFERENCES</w:t>
            </w:r>
            <w:r>
              <w:rPr>
                <w:webHidden/>
              </w:rPr>
              <w:tab/>
            </w:r>
            <w:r>
              <w:rPr>
                <w:webHidden/>
              </w:rPr>
              <w:fldChar w:fldCharType="begin"/>
            </w:r>
            <w:r>
              <w:rPr>
                <w:webHidden/>
              </w:rPr>
              <w:instrText xml:space="preserve"> PAGEREF _Toc235801970 \h </w:instrText>
            </w:r>
            <w:r>
              <w:rPr>
                <w:webHidden/>
              </w:rPr>
            </w:r>
            <w:r>
              <w:rPr>
                <w:webHidden/>
              </w:rPr>
              <w:fldChar w:fldCharType="separate"/>
            </w:r>
            <w:r>
              <w:rPr>
                <w:webHidden/>
              </w:rPr>
              <w:t>56</w:t>
            </w:r>
            <w:r>
              <w:rPr>
                <w:webHidden/>
              </w:rPr>
              <w:fldChar w:fldCharType="end"/>
            </w:r>
          </w:hyperlink>
        </w:p>
        <w:p w14:paraId="3AC64BBB" w14:textId="5EC98D71" w:rsidR="00B26431" w:rsidRDefault="00B26431">
          <w:pPr>
            <w:pStyle w:val="TOC1"/>
            <w:rPr>
              <w:rFonts w:asciiTheme="minorHAnsi" w:eastAsiaTheme="minorEastAsia" w:hAnsiTheme="minorHAnsi" w:cstheme="minorBidi"/>
              <w:b w:val="0"/>
              <w:bCs w:val="0"/>
              <w:kern w:val="2"/>
              <w:szCs w:val="24"/>
              <w14:ligatures w14:val="standardContextual"/>
            </w:rPr>
          </w:pPr>
          <w:hyperlink w:anchor="_Toc235801971" w:history="1">
            <w:r w:rsidRPr="00A102A4">
              <w:rPr>
                <w:rStyle w:val="Hyperlink"/>
                <w:rFonts w:ascii="Arial" w:hAnsi="Arial"/>
              </w:rPr>
              <w:t>APPENDIX</w:t>
            </w:r>
            <w:r>
              <w:rPr>
                <w:webHidden/>
              </w:rPr>
              <w:tab/>
            </w:r>
            <w:r>
              <w:rPr>
                <w:webHidden/>
              </w:rPr>
              <w:fldChar w:fldCharType="begin"/>
            </w:r>
            <w:r>
              <w:rPr>
                <w:webHidden/>
              </w:rPr>
              <w:instrText xml:space="preserve"> PAGEREF _Toc235801971 \h </w:instrText>
            </w:r>
            <w:r>
              <w:rPr>
                <w:webHidden/>
              </w:rPr>
            </w:r>
            <w:r>
              <w:rPr>
                <w:webHidden/>
              </w:rPr>
              <w:fldChar w:fldCharType="separate"/>
            </w:r>
            <w:r>
              <w:rPr>
                <w:webHidden/>
              </w:rPr>
              <w:t>57</w:t>
            </w:r>
            <w:r>
              <w:rPr>
                <w:webHidden/>
              </w:rPr>
              <w:fldChar w:fldCharType="end"/>
            </w:r>
          </w:hyperlink>
        </w:p>
        <w:p w14:paraId="64542943" w14:textId="50CF2E0C" w:rsidR="00B26431" w:rsidRDefault="00B26431">
          <w:pPr>
            <w:pStyle w:val="TOC2"/>
            <w:rPr>
              <w:rFonts w:asciiTheme="minorHAnsi" w:eastAsiaTheme="minorEastAsia" w:hAnsiTheme="minorHAnsi" w:cstheme="minorBidi"/>
              <w:kern w:val="2"/>
              <w:szCs w:val="24"/>
              <w14:ligatures w14:val="standardContextual"/>
            </w:rPr>
          </w:pPr>
          <w:hyperlink w:anchor="_Toc235801972" w:history="1">
            <w:r w:rsidRPr="00A102A4">
              <w:rPr>
                <w:rStyle w:val="Hyperlink"/>
                <w:bCs/>
              </w:rPr>
              <w:t>Appendix A: Comprehensive Ratio Summary Table</w:t>
            </w:r>
            <w:r>
              <w:rPr>
                <w:webHidden/>
              </w:rPr>
              <w:tab/>
            </w:r>
            <w:r>
              <w:rPr>
                <w:webHidden/>
              </w:rPr>
              <w:fldChar w:fldCharType="begin"/>
            </w:r>
            <w:r>
              <w:rPr>
                <w:webHidden/>
              </w:rPr>
              <w:instrText xml:space="preserve"> PAGEREF _Toc235801972 \h </w:instrText>
            </w:r>
            <w:r>
              <w:rPr>
                <w:webHidden/>
              </w:rPr>
            </w:r>
            <w:r>
              <w:rPr>
                <w:webHidden/>
              </w:rPr>
              <w:fldChar w:fldCharType="separate"/>
            </w:r>
            <w:r>
              <w:rPr>
                <w:webHidden/>
              </w:rPr>
              <w:t>57</w:t>
            </w:r>
            <w:r>
              <w:rPr>
                <w:webHidden/>
              </w:rPr>
              <w:fldChar w:fldCharType="end"/>
            </w:r>
          </w:hyperlink>
        </w:p>
        <w:p w14:paraId="0BBFD180" w14:textId="551668EC" w:rsidR="00B26431" w:rsidRDefault="00B26431">
          <w:pPr>
            <w:pStyle w:val="TOC2"/>
            <w:rPr>
              <w:rFonts w:asciiTheme="minorHAnsi" w:eastAsiaTheme="minorEastAsia" w:hAnsiTheme="minorHAnsi" w:cstheme="minorBidi"/>
              <w:kern w:val="2"/>
              <w:szCs w:val="24"/>
              <w14:ligatures w14:val="standardContextual"/>
            </w:rPr>
          </w:pPr>
          <w:hyperlink w:anchor="_Toc235801973" w:history="1">
            <w:r w:rsidRPr="00A102A4">
              <w:rPr>
                <w:rStyle w:val="Hyperlink"/>
              </w:rPr>
              <w:t>APPENDIX B: LIST OF ABBREVIATIONS</w:t>
            </w:r>
            <w:r>
              <w:rPr>
                <w:webHidden/>
              </w:rPr>
              <w:tab/>
            </w:r>
            <w:r>
              <w:rPr>
                <w:webHidden/>
              </w:rPr>
              <w:fldChar w:fldCharType="begin"/>
            </w:r>
            <w:r>
              <w:rPr>
                <w:webHidden/>
              </w:rPr>
              <w:instrText xml:space="preserve"> PAGEREF _Toc235801973 \h </w:instrText>
            </w:r>
            <w:r>
              <w:rPr>
                <w:webHidden/>
              </w:rPr>
            </w:r>
            <w:r>
              <w:rPr>
                <w:webHidden/>
              </w:rPr>
              <w:fldChar w:fldCharType="separate"/>
            </w:r>
            <w:r>
              <w:rPr>
                <w:webHidden/>
              </w:rPr>
              <w:t>58</w:t>
            </w:r>
            <w:r>
              <w:rPr>
                <w:webHidden/>
              </w:rPr>
              <w:fldChar w:fldCharType="end"/>
            </w:r>
          </w:hyperlink>
        </w:p>
        <w:p w14:paraId="3474433B" w14:textId="58D4CD07" w:rsidR="003F1A1D" w:rsidRPr="005329D4" w:rsidRDefault="0008441A" w:rsidP="005329D4">
          <w:pPr>
            <w:sectPr w:rsidR="003F1A1D" w:rsidRPr="005329D4" w:rsidSect="00241C46">
              <w:pgSz w:w="11909" w:h="16834" w:code="9"/>
              <w:pgMar w:top="1440" w:right="1440" w:bottom="1440" w:left="1440" w:header="720" w:footer="720" w:gutter="0"/>
              <w:pgNumType w:fmt="lowerRoman"/>
              <w:cols w:space="720"/>
              <w:docGrid w:linePitch="360"/>
            </w:sectPr>
          </w:pPr>
          <w:r w:rsidRPr="00DB4A46">
            <w:rPr>
              <w:noProof/>
            </w:rPr>
            <w:fldChar w:fldCharType="end"/>
          </w:r>
        </w:p>
      </w:sdtContent>
    </w:sdt>
    <w:p w14:paraId="497A8EF4" w14:textId="12C0D27F" w:rsidR="00836B90" w:rsidRDefault="007A5062" w:rsidP="00FA0A98">
      <w:pPr>
        <w:pStyle w:val="Heading1"/>
        <w:rPr>
          <w:rFonts w:ascii="Arial" w:hAnsi="Arial" w:cs="Arial"/>
          <w:sz w:val="32"/>
          <w:szCs w:val="32"/>
        </w:rPr>
      </w:pPr>
      <w:bookmarkStart w:id="9" w:name="_Toc235801914"/>
      <w:r>
        <w:rPr>
          <w:rFonts w:ascii="Arial" w:hAnsi="Arial" w:cs="Arial"/>
          <w:sz w:val="32"/>
          <w:szCs w:val="32"/>
        </w:rPr>
        <w:lastRenderedPageBreak/>
        <w:t>List of Figures</w:t>
      </w:r>
      <w:bookmarkEnd w:id="9"/>
    </w:p>
    <w:p w14:paraId="6814F2DA" w14:textId="5590E00F" w:rsidR="007F53F8" w:rsidRPr="009622FB" w:rsidRDefault="00A82FF5">
      <w:pPr>
        <w:pStyle w:val="TableofFigures"/>
        <w:tabs>
          <w:tab w:val="right" w:leader="dot" w:pos="9019"/>
        </w:tabs>
        <w:rPr>
          <w:rFonts w:ascii="Arial" w:eastAsiaTheme="minorEastAsia" w:hAnsi="Arial"/>
          <w:noProof/>
          <w:kern w:val="2"/>
          <w:szCs w:val="24"/>
          <w14:ligatures w14:val="standardContextual"/>
        </w:rPr>
      </w:pPr>
      <w:r w:rsidRPr="009622FB">
        <w:rPr>
          <w:rFonts w:ascii="Arial" w:hAnsi="Arial"/>
        </w:rPr>
        <w:fldChar w:fldCharType="begin"/>
      </w:r>
      <w:r w:rsidRPr="009622FB">
        <w:rPr>
          <w:rFonts w:ascii="Arial" w:hAnsi="Arial"/>
        </w:rPr>
        <w:instrText xml:space="preserve"> TOC \h \z \c "Figure" </w:instrText>
      </w:r>
      <w:r w:rsidRPr="009622FB">
        <w:rPr>
          <w:rFonts w:ascii="Arial" w:hAnsi="Arial"/>
        </w:rPr>
        <w:fldChar w:fldCharType="separate"/>
      </w:r>
      <w:hyperlink w:anchor="_Toc235308685" w:history="1">
        <w:r w:rsidR="007F53F8" w:rsidRPr="009622FB">
          <w:rPr>
            <w:rStyle w:val="Hyperlink"/>
            <w:rFonts w:ascii="Arial" w:hAnsi="Arial"/>
            <w:noProof/>
          </w:rPr>
          <w:t>Figure 1.1: Corporate Evidence</w:t>
        </w:r>
        <w:r w:rsidR="007F53F8" w:rsidRPr="009622FB">
          <w:rPr>
            <w:rFonts w:ascii="Arial" w:hAnsi="Arial"/>
            <w:noProof/>
            <w:webHidden/>
          </w:rPr>
          <w:tab/>
        </w:r>
        <w:r w:rsidR="007F53F8" w:rsidRPr="009622FB">
          <w:rPr>
            <w:rFonts w:ascii="Arial" w:hAnsi="Arial"/>
            <w:noProof/>
            <w:webHidden/>
          </w:rPr>
          <w:fldChar w:fldCharType="begin"/>
        </w:r>
        <w:r w:rsidR="007F53F8" w:rsidRPr="009622FB">
          <w:rPr>
            <w:rFonts w:ascii="Arial" w:hAnsi="Arial"/>
            <w:noProof/>
            <w:webHidden/>
          </w:rPr>
          <w:instrText xml:space="preserve"> PAGEREF _Toc235308685 \h </w:instrText>
        </w:r>
        <w:r w:rsidR="007F53F8" w:rsidRPr="009622FB">
          <w:rPr>
            <w:rFonts w:ascii="Arial" w:hAnsi="Arial"/>
            <w:noProof/>
            <w:webHidden/>
          </w:rPr>
        </w:r>
        <w:r w:rsidR="007F53F8" w:rsidRPr="009622FB">
          <w:rPr>
            <w:rFonts w:ascii="Arial" w:hAnsi="Arial"/>
            <w:noProof/>
            <w:webHidden/>
          </w:rPr>
          <w:fldChar w:fldCharType="separate"/>
        </w:r>
        <w:r w:rsidR="00D94E28" w:rsidRPr="009622FB">
          <w:rPr>
            <w:rFonts w:ascii="Arial" w:hAnsi="Arial"/>
            <w:noProof/>
            <w:webHidden/>
          </w:rPr>
          <w:t>iv</w:t>
        </w:r>
        <w:r w:rsidR="007F53F8" w:rsidRPr="009622FB">
          <w:rPr>
            <w:rFonts w:ascii="Arial" w:hAnsi="Arial"/>
            <w:noProof/>
            <w:webHidden/>
          </w:rPr>
          <w:fldChar w:fldCharType="end"/>
        </w:r>
      </w:hyperlink>
    </w:p>
    <w:p w14:paraId="06B58B36" w14:textId="70672931" w:rsidR="007F53F8" w:rsidRPr="009622FB" w:rsidRDefault="007F53F8">
      <w:pPr>
        <w:pStyle w:val="TableofFigures"/>
        <w:tabs>
          <w:tab w:val="right" w:leader="dot" w:pos="9019"/>
        </w:tabs>
        <w:rPr>
          <w:rFonts w:ascii="Arial" w:eastAsiaTheme="minorEastAsia" w:hAnsi="Arial"/>
          <w:noProof/>
          <w:kern w:val="2"/>
          <w:szCs w:val="24"/>
          <w14:ligatures w14:val="standardContextual"/>
        </w:rPr>
      </w:pPr>
      <w:hyperlink w:anchor="_Toc235308686" w:history="1">
        <w:r w:rsidRPr="009622FB">
          <w:rPr>
            <w:rStyle w:val="Hyperlink"/>
            <w:rFonts w:ascii="Arial" w:hAnsi="Arial"/>
            <w:noProof/>
          </w:rPr>
          <w:t>Figure 2.1: Working Capital Management Process</w:t>
        </w:r>
        <w:r w:rsidRPr="009622FB">
          <w:rPr>
            <w:rFonts w:ascii="Arial" w:hAnsi="Arial"/>
            <w:noProof/>
            <w:webHidden/>
          </w:rPr>
          <w:tab/>
        </w:r>
        <w:r w:rsidRPr="009622FB">
          <w:rPr>
            <w:rFonts w:ascii="Arial" w:hAnsi="Arial"/>
            <w:noProof/>
            <w:webHidden/>
          </w:rPr>
          <w:fldChar w:fldCharType="begin"/>
        </w:r>
        <w:r w:rsidRPr="009622FB">
          <w:rPr>
            <w:rFonts w:ascii="Arial" w:hAnsi="Arial"/>
            <w:noProof/>
            <w:webHidden/>
          </w:rPr>
          <w:instrText xml:space="preserve"> PAGEREF _Toc235308686 \h </w:instrText>
        </w:r>
        <w:r w:rsidRPr="009622FB">
          <w:rPr>
            <w:rFonts w:ascii="Arial" w:hAnsi="Arial"/>
            <w:noProof/>
            <w:webHidden/>
          </w:rPr>
        </w:r>
        <w:r w:rsidRPr="009622FB">
          <w:rPr>
            <w:rFonts w:ascii="Arial" w:hAnsi="Arial"/>
            <w:noProof/>
            <w:webHidden/>
          </w:rPr>
          <w:fldChar w:fldCharType="separate"/>
        </w:r>
        <w:r w:rsidR="00D94E28" w:rsidRPr="009622FB">
          <w:rPr>
            <w:rFonts w:ascii="Arial" w:hAnsi="Arial"/>
            <w:noProof/>
            <w:webHidden/>
          </w:rPr>
          <w:t>29</w:t>
        </w:r>
        <w:r w:rsidRPr="009622FB">
          <w:rPr>
            <w:rFonts w:ascii="Arial" w:hAnsi="Arial"/>
            <w:noProof/>
            <w:webHidden/>
          </w:rPr>
          <w:fldChar w:fldCharType="end"/>
        </w:r>
      </w:hyperlink>
    </w:p>
    <w:p w14:paraId="7DAA4D50" w14:textId="75CB37DE" w:rsidR="007F53F8" w:rsidRPr="009622FB" w:rsidRDefault="007F53F8">
      <w:pPr>
        <w:pStyle w:val="TableofFigures"/>
        <w:tabs>
          <w:tab w:val="right" w:leader="dot" w:pos="9019"/>
        </w:tabs>
        <w:rPr>
          <w:rFonts w:ascii="Arial" w:eastAsiaTheme="minorEastAsia" w:hAnsi="Arial"/>
          <w:noProof/>
          <w:kern w:val="2"/>
          <w:szCs w:val="24"/>
          <w14:ligatures w14:val="standardContextual"/>
        </w:rPr>
      </w:pPr>
      <w:hyperlink w:anchor="_Toc235308687" w:history="1">
        <w:r w:rsidRPr="009622FB">
          <w:rPr>
            <w:rStyle w:val="Hyperlink"/>
            <w:rFonts w:ascii="Arial" w:hAnsi="Arial"/>
            <w:noProof/>
          </w:rPr>
          <w:t>Figure 3.1: Current Assets to Total Assets</w:t>
        </w:r>
        <w:r w:rsidRPr="009622FB">
          <w:rPr>
            <w:rFonts w:ascii="Arial" w:hAnsi="Arial"/>
            <w:noProof/>
            <w:webHidden/>
          </w:rPr>
          <w:tab/>
        </w:r>
        <w:r w:rsidRPr="009622FB">
          <w:rPr>
            <w:rFonts w:ascii="Arial" w:hAnsi="Arial"/>
            <w:noProof/>
            <w:webHidden/>
          </w:rPr>
          <w:fldChar w:fldCharType="begin"/>
        </w:r>
        <w:r w:rsidRPr="009622FB">
          <w:rPr>
            <w:rFonts w:ascii="Arial" w:hAnsi="Arial"/>
            <w:noProof/>
            <w:webHidden/>
          </w:rPr>
          <w:instrText xml:space="preserve"> PAGEREF _Toc235308687 \h </w:instrText>
        </w:r>
        <w:r w:rsidRPr="009622FB">
          <w:rPr>
            <w:rFonts w:ascii="Arial" w:hAnsi="Arial"/>
            <w:noProof/>
            <w:webHidden/>
          </w:rPr>
        </w:r>
        <w:r w:rsidRPr="009622FB">
          <w:rPr>
            <w:rFonts w:ascii="Arial" w:hAnsi="Arial"/>
            <w:noProof/>
            <w:webHidden/>
          </w:rPr>
          <w:fldChar w:fldCharType="separate"/>
        </w:r>
        <w:r w:rsidR="00D94E28" w:rsidRPr="009622FB">
          <w:rPr>
            <w:rFonts w:ascii="Arial" w:hAnsi="Arial"/>
            <w:noProof/>
            <w:webHidden/>
          </w:rPr>
          <w:t>32</w:t>
        </w:r>
        <w:r w:rsidRPr="009622FB">
          <w:rPr>
            <w:rFonts w:ascii="Arial" w:hAnsi="Arial"/>
            <w:noProof/>
            <w:webHidden/>
          </w:rPr>
          <w:fldChar w:fldCharType="end"/>
        </w:r>
      </w:hyperlink>
    </w:p>
    <w:p w14:paraId="0964E6D5" w14:textId="66AD7AF9" w:rsidR="007F53F8" w:rsidRPr="009622FB" w:rsidRDefault="007F53F8">
      <w:pPr>
        <w:pStyle w:val="TableofFigures"/>
        <w:tabs>
          <w:tab w:val="right" w:leader="dot" w:pos="9019"/>
        </w:tabs>
        <w:rPr>
          <w:rFonts w:ascii="Arial" w:eastAsiaTheme="minorEastAsia" w:hAnsi="Arial"/>
          <w:noProof/>
          <w:kern w:val="2"/>
          <w:szCs w:val="24"/>
          <w14:ligatures w14:val="standardContextual"/>
        </w:rPr>
      </w:pPr>
      <w:hyperlink w:anchor="_Toc235308688" w:history="1">
        <w:r w:rsidRPr="009622FB">
          <w:rPr>
            <w:rStyle w:val="Hyperlink"/>
            <w:rFonts w:ascii="Arial" w:hAnsi="Arial"/>
            <w:noProof/>
          </w:rPr>
          <w:t>Figure 4.1: Current Liabilities to Total Assets</w:t>
        </w:r>
        <w:r w:rsidRPr="009622FB">
          <w:rPr>
            <w:rFonts w:ascii="Arial" w:hAnsi="Arial"/>
            <w:noProof/>
            <w:webHidden/>
          </w:rPr>
          <w:tab/>
        </w:r>
        <w:r w:rsidRPr="009622FB">
          <w:rPr>
            <w:rFonts w:ascii="Arial" w:hAnsi="Arial"/>
            <w:noProof/>
            <w:webHidden/>
          </w:rPr>
          <w:fldChar w:fldCharType="begin"/>
        </w:r>
        <w:r w:rsidRPr="009622FB">
          <w:rPr>
            <w:rFonts w:ascii="Arial" w:hAnsi="Arial"/>
            <w:noProof/>
            <w:webHidden/>
          </w:rPr>
          <w:instrText xml:space="preserve"> PAGEREF _Toc235308688 \h </w:instrText>
        </w:r>
        <w:r w:rsidRPr="009622FB">
          <w:rPr>
            <w:rFonts w:ascii="Arial" w:hAnsi="Arial"/>
            <w:noProof/>
            <w:webHidden/>
          </w:rPr>
        </w:r>
        <w:r w:rsidRPr="009622FB">
          <w:rPr>
            <w:rFonts w:ascii="Arial" w:hAnsi="Arial"/>
            <w:noProof/>
            <w:webHidden/>
          </w:rPr>
          <w:fldChar w:fldCharType="separate"/>
        </w:r>
        <w:r w:rsidR="00D94E28" w:rsidRPr="009622FB">
          <w:rPr>
            <w:rFonts w:ascii="Arial" w:hAnsi="Arial"/>
            <w:noProof/>
            <w:webHidden/>
          </w:rPr>
          <w:t>35</w:t>
        </w:r>
        <w:r w:rsidRPr="009622FB">
          <w:rPr>
            <w:rFonts w:ascii="Arial" w:hAnsi="Arial"/>
            <w:noProof/>
            <w:webHidden/>
          </w:rPr>
          <w:fldChar w:fldCharType="end"/>
        </w:r>
      </w:hyperlink>
    </w:p>
    <w:p w14:paraId="7EF83B16" w14:textId="26C2D68D" w:rsidR="007F53F8" w:rsidRPr="009622FB" w:rsidRDefault="007F53F8">
      <w:pPr>
        <w:pStyle w:val="TableofFigures"/>
        <w:tabs>
          <w:tab w:val="right" w:leader="dot" w:pos="9019"/>
        </w:tabs>
        <w:rPr>
          <w:rFonts w:ascii="Arial" w:eastAsiaTheme="minorEastAsia" w:hAnsi="Arial"/>
          <w:noProof/>
          <w:kern w:val="2"/>
          <w:szCs w:val="24"/>
          <w14:ligatures w14:val="standardContextual"/>
        </w:rPr>
      </w:pPr>
      <w:hyperlink w:anchor="_Toc235308689" w:history="1">
        <w:r w:rsidRPr="009622FB">
          <w:rPr>
            <w:rStyle w:val="Hyperlink"/>
            <w:rFonts w:ascii="Arial" w:hAnsi="Arial"/>
            <w:noProof/>
          </w:rPr>
          <w:t>Figure 5.1: Cash Conversion Cycle (Graph)</w:t>
        </w:r>
        <w:r w:rsidRPr="009622FB">
          <w:rPr>
            <w:rFonts w:ascii="Arial" w:hAnsi="Arial"/>
            <w:noProof/>
            <w:webHidden/>
          </w:rPr>
          <w:tab/>
        </w:r>
        <w:r w:rsidRPr="009622FB">
          <w:rPr>
            <w:rFonts w:ascii="Arial" w:hAnsi="Arial"/>
            <w:noProof/>
            <w:webHidden/>
          </w:rPr>
          <w:fldChar w:fldCharType="begin"/>
        </w:r>
        <w:r w:rsidRPr="009622FB">
          <w:rPr>
            <w:rFonts w:ascii="Arial" w:hAnsi="Arial"/>
            <w:noProof/>
            <w:webHidden/>
          </w:rPr>
          <w:instrText xml:space="preserve"> PAGEREF _Toc235308689 \h </w:instrText>
        </w:r>
        <w:r w:rsidRPr="009622FB">
          <w:rPr>
            <w:rFonts w:ascii="Arial" w:hAnsi="Arial"/>
            <w:noProof/>
            <w:webHidden/>
          </w:rPr>
        </w:r>
        <w:r w:rsidRPr="009622FB">
          <w:rPr>
            <w:rFonts w:ascii="Arial" w:hAnsi="Arial"/>
            <w:noProof/>
            <w:webHidden/>
          </w:rPr>
          <w:fldChar w:fldCharType="separate"/>
        </w:r>
        <w:r w:rsidR="00D94E28" w:rsidRPr="009622FB">
          <w:rPr>
            <w:rFonts w:ascii="Arial" w:hAnsi="Arial"/>
            <w:noProof/>
            <w:webHidden/>
          </w:rPr>
          <w:t>36</w:t>
        </w:r>
        <w:r w:rsidRPr="009622FB">
          <w:rPr>
            <w:rFonts w:ascii="Arial" w:hAnsi="Arial"/>
            <w:noProof/>
            <w:webHidden/>
          </w:rPr>
          <w:fldChar w:fldCharType="end"/>
        </w:r>
      </w:hyperlink>
    </w:p>
    <w:p w14:paraId="13FFC6A9" w14:textId="6D4C09E9" w:rsidR="007F53F8" w:rsidRPr="009622FB" w:rsidRDefault="007F53F8">
      <w:pPr>
        <w:pStyle w:val="TableofFigures"/>
        <w:tabs>
          <w:tab w:val="right" w:leader="dot" w:pos="9019"/>
        </w:tabs>
        <w:rPr>
          <w:rFonts w:ascii="Arial" w:eastAsiaTheme="minorEastAsia" w:hAnsi="Arial"/>
          <w:noProof/>
          <w:kern w:val="2"/>
          <w:szCs w:val="24"/>
          <w14:ligatures w14:val="standardContextual"/>
        </w:rPr>
      </w:pPr>
      <w:hyperlink w:anchor="_Toc235308690" w:history="1">
        <w:r w:rsidRPr="009622FB">
          <w:rPr>
            <w:rStyle w:val="Hyperlink"/>
            <w:rFonts w:ascii="Arial" w:hAnsi="Arial"/>
            <w:noProof/>
          </w:rPr>
          <w:t>Figure 6.1: Days Sales Outstanding (Graph)</w:t>
        </w:r>
        <w:r w:rsidRPr="009622FB">
          <w:rPr>
            <w:rFonts w:ascii="Arial" w:hAnsi="Arial"/>
            <w:noProof/>
            <w:webHidden/>
          </w:rPr>
          <w:tab/>
        </w:r>
        <w:r w:rsidRPr="009622FB">
          <w:rPr>
            <w:rFonts w:ascii="Arial" w:hAnsi="Arial"/>
            <w:noProof/>
            <w:webHidden/>
          </w:rPr>
          <w:fldChar w:fldCharType="begin"/>
        </w:r>
        <w:r w:rsidRPr="009622FB">
          <w:rPr>
            <w:rFonts w:ascii="Arial" w:hAnsi="Arial"/>
            <w:noProof/>
            <w:webHidden/>
          </w:rPr>
          <w:instrText xml:space="preserve"> PAGEREF _Toc235308690 \h </w:instrText>
        </w:r>
        <w:r w:rsidRPr="009622FB">
          <w:rPr>
            <w:rFonts w:ascii="Arial" w:hAnsi="Arial"/>
            <w:noProof/>
            <w:webHidden/>
          </w:rPr>
        </w:r>
        <w:r w:rsidRPr="009622FB">
          <w:rPr>
            <w:rFonts w:ascii="Arial" w:hAnsi="Arial"/>
            <w:noProof/>
            <w:webHidden/>
          </w:rPr>
          <w:fldChar w:fldCharType="separate"/>
        </w:r>
        <w:r w:rsidR="00D94E28" w:rsidRPr="009622FB">
          <w:rPr>
            <w:rFonts w:ascii="Arial" w:hAnsi="Arial"/>
            <w:noProof/>
            <w:webHidden/>
          </w:rPr>
          <w:t>38</w:t>
        </w:r>
        <w:r w:rsidRPr="009622FB">
          <w:rPr>
            <w:rFonts w:ascii="Arial" w:hAnsi="Arial"/>
            <w:noProof/>
            <w:webHidden/>
          </w:rPr>
          <w:fldChar w:fldCharType="end"/>
        </w:r>
      </w:hyperlink>
    </w:p>
    <w:p w14:paraId="56750B0C" w14:textId="42BD88C0" w:rsidR="007F53F8" w:rsidRPr="009622FB" w:rsidRDefault="007F53F8">
      <w:pPr>
        <w:pStyle w:val="TableofFigures"/>
        <w:tabs>
          <w:tab w:val="right" w:leader="dot" w:pos="9019"/>
        </w:tabs>
        <w:rPr>
          <w:rFonts w:ascii="Arial" w:eastAsiaTheme="minorEastAsia" w:hAnsi="Arial"/>
          <w:noProof/>
          <w:kern w:val="2"/>
          <w:szCs w:val="24"/>
          <w14:ligatures w14:val="standardContextual"/>
        </w:rPr>
      </w:pPr>
      <w:hyperlink w:anchor="_Toc235308691" w:history="1">
        <w:r w:rsidRPr="009622FB">
          <w:rPr>
            <w:rStyle w:val="Hyperlink"/>
            <w:rFonts w:ascii="Arial" w:hAnsi="Arial"/>
            <w:noProof/>
          </w:rPr>
          <w:t>Figure 7.1: Days Payables Outstanding (Graph)</w:t>
        </w:r>
        <w:r w:rsidRPr="009622FB">
          <w:rPr>
            <w:rFonts w:ascii="Arial" w:hAnsi="Arial"/>
            <w:noProof/>
            <w:webHidden/>
          </w:rPr>
          <w:tab/>
        </w:r>
        <w:r w:rsidRPr="009622FB">
          <w:rPr>
            <w:rFonts w:ascii="Arial" w:hAnsi="Arial"/>
            <w:noProof/>
            <w:webHidden/>
          </w:rPr>
          <w:fldChar w:fldCharType="begin"/>
        </w:r>
        <w:r w:rsidRPr="009622FB">
          <w:rPr>
            <w:rFonts w:ascii="Arial" w:hAnsi="Arial"/>
            <w:noProof/>
            <w:webHidden/>
          </w:rPr>
          <w:instrText xml:space="preserve"> PAGEREF _Toc235308691 \h </w:instrText>
        </w:r>
        <w:r w:rsidRPr="009622FB">
          <w:rPr>
            <w:rFonts w:ascii="Arial" w:hAnsi="Arial"/>
            <w:noProof/>
            <w:webHidden/>
          </w:rPr>
        </w:r>
        <w:r w:rsidRPr="009622FB">
          <w:rPr>
            <w:rFonts w:ascii="Arial" w:hAnsi="Arial"/>
            <w:noProof/>
            <w:webHidden/>
          </w:rPr>
          <w:fldChar w:fldCharType="separate"/>
        </w:r>
        <w:r w:rsidR="00D94E28" w:rsidRPr="009622FB">
          <w:rPr>
            <w:rFonts w:ascii="Arial" w:hAnsi="Arial"/>
            <w:noProof/>
            <w:webHidden/>
          </w:rPr>
          <w:t>40</w:t>
        </w:r>
        <w:r w:rsidRPr="009622FB">
          <w:rPr>
            <w:rFonts w:ascii="Arial" w:hAnsi="Arial"/>
            <w:noProof/>
            <w:webHidden/>
          </w:rPr>
          <w:fldChar w:fldCharType="end"/>
        </w:r>
      </w:hyperlink>
    </w:p>
    <w:p w14:paraId="6335BA67" w14:textId="70C6B809" w:rsidR="007F53F8" w:rsidRPr="009622FB" w:rsidRDefault="007F53F8">
      <w:pPr>
        <w:pStyle w:val="TableofFigures"/>
        <w:tabs>
          <w:tab w:val="right" w:leader="dot" w:pos="9019"/>
        </w:tabs>
        <w:rPr>
          <w:rFonts w:ascii="Arial" w:eastAsiaTheme="minorEastAsia" w:hAnsi="Arial"/>
          <w:noProof/>
          <w:kern w:val="2"/>
          <w:szCs w:val="24"/>
          <w14:ligatures w14:val="standardContextual"/>
        </w:rPr>
      </w:pPr>
      <w:hyperlink w:anchor="_Toc235308692" w:history="1">
        <w:r w:rsidRPr="009622FB">
          <w:rPr>
            <w:rStyle w:val="Hyperlink"/>
            <w:rFonts w:ascii="Arial" w:hAnsi="Arial"/>
            <w:noProof/>
          </w:rPr>
          <w:t>Figure 8.1: Current Ratio (Graph)</w:t>
        </w:r>
        <w:r w:rsidRPr="009622FB">
          <w:rPr>
            <w:rFonts w:ascii="Arial" w:hAnsi="Arial"/>
            <w:noProof/>
            <w:webHidden/>
          </w:rPr>
          <w:tab/>
        </w:r>
        <w:r w:rsidRPr="009622FB">
          <w:rPr>
            <w:rFonts w:ascii="Arial" w:hAnsi="Arial"/>
            <w:noProof/>
            <w:webHidden/>
          </w:rPr>
          <w:fldChar w:fldCharType="begin"/>
        </w:r>
        <w:r w:rsidRPr="009622FB">
          <w:rPr>
            <w:rFonts w:ascii="Arial" w:hAnsi="Arial"/>
            <w:noProof/>
            <w:webHidden/>
          </w:rPr>
          <w:instrText xml:space="preserve"> PAGEREF _Toc235308692 \h </w:instrText>
        </w:r>
        <w:r w:rsidRPr="009622FB">
          <w:rPr>
            <w:rFonts w:ascii="Arial" w:hAnsi="Arial"/>
            <w:noProof/>
            <w:webHidden/>
          </w:rPr>
        </w:r>
        <w:r w:rsidRPr="009622FB">
          <w:rPr>
            <w:rFonts w:ascii="Arial" w:hAnsi="Arial"/>
            <w:noProof/>
            <w:webHidden/>
          </w:rPr>
          <w:fldChar w:fldCharType="separate"/>
        </w:r>
        <w:r w:rsidR="00D94E28" w:rsidRPr="009622FB">
          <w:rPr>
            <w:rFonts w:ascii="Arial" w:hAnsi="Arial"/>
            <w:noProof/>
            <w:webHidden/>
          </w:rPr>
          <w:t>43</w:t>
        </w:r>
        <w:r w:rsidRPr="009622FB">
          <w:rPr>
            <w:rFonts w:ascii="Arial" w:hAnsi="Arial"/>
            <w:noProof/>
            <w:webHidden/>
          </w:rPr>
          <w:fldChar w:fldCharType="end"/>
        </w:r>
      </w:hyperlink>
    </w:p>
    <w:p w14:paraId="1F3CE29A" w14:textId="1A7AFFEE" w:rsidR="007F53F8" w:rsidRPr="009622FB" w:rsidRDefault="007F53F8">
      <w:pPr>
        <w:pStyle w:val="TableofFigures"/>
        <w:tabs>
          <w:tab w:val="right" w:leader="dot" w:pos="9019"/>
        </w:tabs>
        <w:rPr>
          <w:rFonts w:ascii="Arial" w:eastAsiaTheme="minorEastAsia" w:hAnsi="Arial"/>
          <w:noProof/>
          <w:kern w:val="2"/>
          <w:szCs w:val="24"/>
          <w14:ligatures w14:val="standardContextual"/>
        </w:rPr>
      </w:pPr>
      <w:hyperlink w:anchor="_Toc235308693" w:history="1">
        <w:r w:rsidRPr="009622FB">
          <w:rPr>
            <w:rStyle w:val="Hyperlink"/>
            <w:rFonts w:ascii="Arial" w:hAnsi="Arial"/>
            <w:noProof/>
          </w:rPr>
          <w:t>Figure 9.1: Quick Ratio (Graph)</w:t>
        </w:r>
        <w:r w:rsidRPr="009622FB">
          <w:rPr>
            <w:rFonts w:ascii="Arial" w:hAnsi="Arial"/>
            <w:noProof/>
            <w:webHidden/>
          </w:rPr>
          <w:tab/>
        </w:r>
        <w:r w:rsidRPr="009622FB">
          <w:rPr>
            <w:rFonts w:ascii="Arial" w:hAnsi="Arial"/>
            <w:noProof/>
            <w:webHidden/>
          </w:rPr>
          <w:fldChar w:fldCharType="begin"/>
        </w:r>
        <w:r w:rsidRPr="009622FB">
          <w:rPr>
            <w:rFonts w:ascii="Arial" w:hAnsi="Arial"/>
            <w:noProof/>
            <w:webHidden/>
          </w:rPr>
          <w:instrText xml:space="preserve"> PAGEREF _Toc235308693 \h </w:instrText>
        </w:r>
        <w:r w:rsidRPr="009622FB">
          <w:rPr>
            <w:rFonts w:ascii="Arial" w:hAnsi="Arial"/>
            <w:noProof/>
            <w:webHidden/>
          </w:rPr>
        </w:r>
        <w:r w:rsidRPr="009622FB">
          <w:rPr>
            <w:rFonts w:ascii="Arial" w:hAnsi="Arial"/>
            <w:noProof/>
            <w:webHidden/>
          </w:rPr>
          <w:fldChar w:fldCharType="separate"/>
        </w:r>
        <w:r w:rsidR="00D94E28" w:rsidRPr="009622FB">
          <w:rPr>
            <w:rFonts w:ascii="Arial" w:hAnsi="Arial"/>
            <w:noProof/>
            <w:webHidden/>
          </w:rPr>
          <w:t>45</w:t>
        </w:r>
        <w:r w:rsidRPr="009622FB">
          <w:rPr>
            <w:rFonts w:ascii="Arial" w:hAnsi="Arial"/>
            <w:noProof/>
            <w:webHidden/>
          </w:rPr>
          <w:fldChar w:fldCharType="end"/>
        </w:r>
      </w:hyperlink>
    </w:p>
    <w:p w14:paraId="7DCDF7F9" w14:textId="066B0613" w:rsidR="007F53F8" w:rsidRPr="009622FB" w:rsidRDefault="007F53F8">
      <w:pPr>
        <w:pStyle w:val="TableofFigures"/>
        <w:tabs>
          <w:tab w:val="right" w:leader="dot" w:pos="9019"/>
        </w:tabs>
        <w:rPr>
          <w:rFonts w:ascii="Arial" w:eastAsiaTheme="minorEastAsia" w:hAnsi="Arial"/>
          <w:noProof/>
          <w:kern w:val="2"/>
          <w:szCs w:val="24"/>
          <w14:ligatures w14:val="standardContextual"/>
        </w:rPr>
      </w:pPr>
      <w:hyperlink w:anchor="_Toc235308694" w:history="1">
        <w:r w:rsidRPr="009622FB">
          <w:rPr>
            <w:rStyle w:val="Hyperlink"/>
            <w:rFonts w:ascii="Arial" w:hAnsi="Arial"/>
            <w:noProof/>
          </w:rPr>
          <w:t>Figure 10.1: Cash Ration (Graph)</w:t>
        </w:r>
        <w:r w:rsidRPr="009622FB">
          <w:rPr>
            <w:rFonts w:ascii="Arial" w:hAnsi="Arial"/>
            <w:noProof/>
            <w:webHidden/>
          </w:rPr>
          <w:tab/>
        </w:r>
        <w:r w:rsidRPr="009622FB">
          <w:rPr>
            <w:rFonts w:ascii="Arial" w:hAnsi="Arial"/>
            <w:noProof/>
            <w:webHidden/>
          </w:rPr>
          <w:fldChar w:fldCharType="begin"/>
        </w:r>
        <w:r w:rsidRPr="009622FB">
          <w:rPr>
            <w:rFonts w:ascii="Arial" w:hAnsi="Arial"/>
            <w:noProof/>
            <w:webHidden/>
          </w:rPr>
          <w:instrText xml:space="preserve"> PAGEREF _Toc235308694 \h </w:instrText>
        </w:r>
        <w:r w:rsidRPr="009622FB">
          <w:rPr>
            <w:rFonts w:ascii="Arial" w:hAnsi="Arial"/>
            <w:noProof/>
            <w:webHidden/>
          </w:rPr>
        </w:r>
        <w:r w:rsidRPr="009622FB">
          <w:rPr>
            <w:rFonts w:ascii="Arial" w:hAnsi="Arial"/>
            <w:noProof/>
            <w:webHidden/>
          </w:rPr>
          <w:fldChar w:fldCharType="separate"/>
        </w:r>
        <w:r w:rsidR="00D94E28" w:rsidRPr="009622FB">
          <w:rPr>
            <w:rFonts w:ascii="Arial" w:hAnsi="Arial"/>
            <w:noProof/>
            <w:webHidden/>
          </w:rPr>
          <w:t>47</w:t>
        </w:r>
        <w:r w:rsidRPr="009622FB">
          <w:rPr>
            <w:rFonts w:ascii="Arial" w:hAnsi="Arial"/>
            <w:noProof/>
            <w:webHidden/>
          </w:rPr>
          <w:fldChar w:fldCharType="end"/>
        </w:r>
      </w:hyperlink>
    </w:p>
    <w:p w14:paraId="61AEF6FA" w14:textId="4688E6B4" w:rsidR="007F53F8" w:rsidRPr="009622FB" w:rsidRDefault="007F53F8">
      <w:pPr>
        <w:pStyle w:val="TableofFigures"/>
        <w:tabs>
          <w:tab w:val="right" w:leader="dot" w:pos="9019"/>
        </w:tabs>
        <w:rPr>
          <w:rFonts w:ascii="Arial" w:eastAsiaTheme="minorEastAsia" w:hAnsi="Arial"/>
          <w:noProof/>
          <w:kern w:val="2"/>
          <w:szCs w:val="24"/>
          <w14:ligatures w14:val="standardContextual"/>
        </w:rPr>
      </w:pPr>
      <w:hyperlink w:anchor="_Toc235308695" w:history="1">
        <w:r w:rsidRPr="009622FB">
          <w:rPr>
            <w:rStyle w:val="Hyperlink"/>
            <w:rFonts w:ascii="Arial" w:hAnsi="Arial"/>
            <w:noProof/>
          </w:rPr>
          <w:t>Figure 11.1: Receivable Turnover Ratio (Graph)</w:t>
        </w:r>
        <w:r w:rsidRPr="009622FB">
          <w:rPr>
            <w:rFonts w:ascii="Arial" w:hAnsi="Arial"/>
            <w:noProof/>
            <w:webHidden/>
          </w:rPr>
          <w:tab/>
        </w:r>
        <w:r w:rsidRPr="009622FB">
          <w:rPr>
            <w:rFonts w:ascii="Arial" w:hAnsi="Arial"/>
            <w:noProof/>
            <w:webHidden/>
          </w:rPr>
          <w:fldChar w:fldCharType="begin"/>
        </w:r>
        <w:r w:rsidRPr="009622FB">
          <w:rPr>
            <w:rFonts w:ascii="Arial" w:hAnsi="Arial"/>
            <w:noProof/>
            <w:webHidden/>
          </w:rPr>
          <w:instrText xml:space="preserve"> PAGEREF _Toc235308695 \h </w:instrText>
        </w:r>
        <w:r w:rsidRPr="009622FB">
          <w:rPr>
            <w:rFonts w:ascii="Arial" w:hAnsi="Arial"/>
            <w:noProof/>
            <w:webHidden/>
          </w:rPr>
        </w:r>
        <w:r w:rsidRPr="009622FB">
          <w:rPr>
            <w:rFonts w:ascii="Arial" w:hAnsi="Arial"/>
            <w:noProof/>
            <w:webHidden/>
          </w:rPr>
          <w:fldChar w:fldCharType="separate"/>
        </w:r>
        <w:r w:rsidR="00D94E28" w:rsidRPr="009622FB">
          <w:rPr>
            <w:rFonts w:ascii="Arial" w:hAnsi="Arial"/>
            <w:noProof/>
            <w:webHidden/>
          </w:rPr>
          <w:t>48</w:t>
        </w:r>
        <w:r w:rsidRPr="009622FB">
          <w:rPr>
            <w:rFonts w:ascii="Arial" w:hAnsi="Arial"/>
            <w:noProof/>
            <w:webHidden/>
          </w:rPr>
          <w:fldChar w:fldCharType="end"/>
        </w:r>
      </w:hyperlink>
    </w:p>
    <w:p w14:paraId="1045C7D7" w14:textId="6E32B13A" w:rsidR="007F53F8" w:rsidRPr="009622FB" w:rsidRDefault="007F53F8">
      <w:pPr>
        <w:pStyle w:val="TableofFigures"/>
        <w:tabs>
          <w:tab w:val="right" w:leader="dot" w:pos="9019"/>
        </w:tabs>
        <w:rPr>
          <w:rFonts w:ascii="Arial" w:eastAsiaTheme="minorEastAsia" w:hAnsi="Arial"/>
          <w:noProof/>
          <w:kern w:val="2"/>
          <w:szCs w:val="24"/>
          <w14:ligatures w14:val="standardContextual"/>
        </w:rPr>
      </w:pPr>
      <w:hyperlink w:anchor="_Toc235308696" w:history="1">
        <w:r w:rsidRPr="009622FB">
          <w:rPr>
            <w:rStyle w:val="Hyperlink"/>
            <w:rFonts w:ascii="Arial" w:hAnsi="Arial"/>
            <w:noProof/>
          </w:rPr>
          <w:t>Figure 12.1: Payable Turnover Ratio (Graph)</w:t>
        </w:r>
        <w:r w:rsidRPr="009622FB">
          <w:rPr>
            <w:rFonts w:ascii="Arial" w:hAnsi="Arial"/>
            <w:noProof/>
            <w:webHidden/>
          </w:rPr>
          <w:tab/>
        </w:r>
        <w:r w:rsidRPr="009622FB">
          <w:rPr>
            <w:rFonts w:ascii="Arial" w:hAnsi="Arial"/>
            <w:noProof/>
            <w:webHidden/>
          </w:rPr>
          <w:fldChar w:fldCharType="begin"/>
        </w:r>
        <w:r w:rsidRPr="009622FB">
          <w:rPr>
            <w:rFonts w:ascii="Arial" w:hAnsi="Arial"/>
            <w:noProof/>
            <w:webHidden/>
          </w:rPr>
          <w:instrText xml:space="preserve"> PAGEREF _Toc235308696 \h </w:instrText>
        </w:r>
        <w:r w:rsidRPr="009622FB">
          <w:rPr>
            <w:rFonts w:ascii="Arial" w:hAnsi="Arial"/>
            <w:noProof/>
            <w:webHidden/>
          </w:rPr>
        </w:r>
        <w:r w:rsidRPr="009622FB">
          <w:rPr>
            <w:rFonts w:ascii="Arial" w:hAnsi="Arial"/>
            <w:noProof/>
            <w:webHidden/>
          </w:rPr>
          <w:fldChar w:fldCharType="separate"/>
        </w:r>
        <w:r w:rsidR="00D94E28" w:rsidRPr="009622FB">
          <w:rPr>
            <w:rFonts w:ascii="Arial" w:hAnsi="Arial"/>
            <w:noProof/>
            <w:webHidden/>
          </w:rPr>
          <w:t>50</w:t>
        </w:r>
        <w:r w:rsidRPr="009622FB">
          <w:rPr>
            <w:rFonts w:ascii="Arial" w:hAnsi="Arial"/>
            <w:noProof/>
            <w:webHidden/>
          </w:rPr>
          <w:fldChar w:fldCharType="end"/>
        </w:r>
      </w:hyperlink>
    </w:p>
    <w:p w14:paraId="60102F9C" w14:textId="27464864" w:rsidR="007F53F8" w:rsidRPr="009622FB" w:rsidRDefault="007F53F8">
      <w:pPr>
        <w:pStyle w:val="TableofFigures"/>
        <w:tabs>
          <w:tab w:val="right" w:leader="dot" w:pos="9019"/>
        </w:tabs>
        <w:rPr>
          <w:rFonts w:ascii="Arial" w:eastAsiaTheme="minorEastAsia" w:hAnsi="Arial"/>
          <w:noProof/>
          <w:kern w:val="2"/>
          <w:szCs w:val="24"/>
          <w14:ligatures w14:val="standardContextual"/>
        </w:rPr>
      </w:pPr>
      <w:hyperlink w:anchor="_Toc235308697" w:history="1">
        <w:r w:rsidRPr="009622FB">
          <w:rPr>
            <w:rStyle w:val="Hyperlink"/>
            <w:rFonts w:ascii="Arial" w:hAnsi="Arial"/>
            <w:noProof/>
          </w:rPr>
          <w:t>Figure 13.1: Working Capital Turnover Ratio (Graph)</w:t>
        </w:r>
        <w:r w:rsidRPr="009622FB">
          <w:rPr>
            <w:rFonts w:ascii="Arial" w:hAnsi="Arial"/>
            <w:noProof/>
            <w:webHidden/>
          </w:rPr>
          <w:tab/>
        </w:r>
        <w:r w:rsidRPr="009622FB">
          <w:rPr>
            <w:rFonts w:ascii="Arial" w:hAnsi="Arial"/>
            <w:noProof/>
            <w:webHidden/>
          </w:rPr>
          <w:fldChar w:fldCharType="begin"/>
        </w:r>
        <w:r w:rsidRPr="009622FB">
          <w:rPr>
            <w:rFonts w:ascii="Arial" w:hAnsi="Arial"/>
            <w:noProof/>
            <w:webHidden/>
          </w:rPr>
          <w:instrText xml:space="preserve"> PAGEREF _Toc235308697 \h </w:instrText>
        </w:r>
        <w:r w:rsidRPr="009622FB">
          <w:rPr>
            <w:rFonts w:ascii="Arial" w:hAnsi="Arial"/>
            <w:noProof/>
            <w:webHidden/>
          </w:rPr>
        </w:r>
        <w:r w:rsidRPr="009622FB">
          <w:rPr>
            <w:rFonts w:ascii="Arial" w:hAnsi="Arial"/>
            <w:noProof/>
            <w:webHidden/>
          </w:rPr>
          <w:fldChar w:fldCharType="separate"/>
        </w:r>
        <w:r w:rsidR="00D94E28" w:rsidRPr="009622FB">
          <w:rPr>
            <w:rFonts w:ascii="Arial" w:hAnsi="Arial"/>
            <w:noProof/>
            <w:webHidden/>
          </w:rPr>
          <w:t>51</w:t>
        </w:r>
        <w:r w:rsidRPr="009622FB">
          <w:rPr>
            <w:rFonts w:ascii="Arial" w:hAnsi="Arial"/>
            <w:noProof/>
            <w:webHidden/>
          </w:rPr>
          <w:fldChar w:fldCharType="end"/>
        </w:r>
      </w:hyperlink>
    </w:p>
    <w:p w14:paraId="67FF6FD3" w14:textId="059E3C91" w:rsidR="007F53F8" w:rsidRPr="009622FB" w:rsidRDefault="007F53F8">
      <w:pPr>
        <w:pStyle w:val="TableofFigures"/>
        <w:tabs>
          <w:tab w:val="right" w:leader="dot" w:pos="9019"/>
        </w:tabs>
        <w:rPr>
          <w:rFonts w:ascii="Arial" w:eastAsiaTheme="minorEastAsia" w:hAnsi="Arial"/>
          <w:noProof/>
          <w:kern w:val="2"/>
          <w:szCs w:val="24"/>
          <w14:ligatures w14:val="standardContextual"/>
        </w:rPr>
      </w:pPr>
      <w:hyperlink w:anchor="_Toc235308698" w:history="1">
        <w:r w:rsidRPr="009622FB">
          <w:rPr>
            <w:rStyle w:val="Hyperlink"/>
            <w:rFonts w:ascii="Arial" w:hAnsi="Arial"/>
            <w:noProof/>
          </w:rPr>
          <w:t>Figure 14.1: Net Working Capital (Graph)</w:t>
        </w:r>
        <w:r w:rsidRPr="009622FB">
          <w:rPr>
            <w:rFonts w:ascii="Arial" w:hAnsi="Arial"/>
            <w:noProof/>
            <w:webHidden/>
          </w:rPr>
          <w:tab/>
        </w:r>
        <w:r w:rsidRPr="009622FB">
          <w:rPr>
            <w:rFonts w:ascii="Arial" w:hAnsi="Arial"/>
            <w:noProof/>
            <w:webHidden/>
          </w:rPr>
          <w:fldChar w:fldCharType="begin"/>
        </w:r>
        <w:r w:rsidRPr="009622FB">
          <w:rPr>
            <w:rFonts w:ascii="Arial" w:hAnsi="Arial"/>
            <w:noProof/>
            <w:webHidden/>
          </w:rPr>
          <w:instrText xml:space="preserve"> PAGEREF _Toc235308698 \h </w:instrText>
        </w:r>
        <w:r w:rsidRPr="009622FB">
          <w:rPr>
            <w:rFonts w:ascii="Arial" w:hAnsi="Arial"/>
            <w:noProof/>
            <w:webHidden/>
          </w:rPr>
        </w:r>
        <w:r w:rsidRPr="009622FB">
          <w:rPr>
            <w:rFonts w:ascii="Arial" w:hAnsi="Arial"/>
            <w:noProof/>
            <w:webHidden/>
          </w:rPr>
          <w:fldChar w:fldCharType="separate"/>
        </w:r>
        <w:r w:rsidR="00D94E28" w:rsidRPr="009622FB">
          <w:rPr>
            <w:rFonts w:ascii="Arial" w:hAnsi="Arial"/>
            <w:noProof/>
            <w:webHidden/>
          </w:rPr>
          <w:t>53</w:t>
        </w:r>
        <w:r w:rsidRPr="009622FB">
          <w:rPr>
            <w:rFonts w:ascii="Arial" w:hAnsi="Arial"/>
            <w:noProof/>
            <w:webHidden/>
          </w:rPr>
          <w:fldChar w:fldCharType="end"/>
        </w:r>
      </w:hyperlink>
    </w:p>
    <w:p w14:paraId="717F7FCD" w14:textId="4D71F108" w:rsidR="007A5062" w:rsidRPr="009622FB" w:rsidRDefault="00A82FF5" w:rsidP="007A5062">
      <w:pPr>
        <w:rPr>
          <w:rFonts w:ascii="Arial" w:hAnsi="Arial"/>
        </w:rPr>
      </w:pPr>
      <w:r w:rsidRPr="009622FB">
        <w:rPr>
          <w:rFonts w:ascii="Arial" w:hAnsi="Arial"/>
        </w:rPr>
        <w:fldChar w:fldCharType="end"/>
      </w:r>
    </w:p>
    <w:p w14:paraId="5D578682" w14:textId="77777777" w:rsidR="00FB7073" w:rsidRPr="009622FB" w:rsidRDefault="00FB7073" w:rsidP="007A5062">
      <w:pPr>
        <w:rPr>
          <w:rFonts w:ascii="Arial" w:hAnsi="Arial"/>
        </w:rPr>
      </w:pPr>
    </w:p>
    <w:p w14:paraId="24B08DBD" w14:textId="77777777" w:rsidR="00FB7073" w:rsidRPr="009622FB" w:rsidRDefault="00FB7073" w:rsidP="007A5062">
      <w:pPr>
        <w:rPr>
          <w:rFonts w:ascii="Arial" w:hAnsi="Arial"/>
        </w:rPr>
      </w:pPr>
    </w:p>
    <w:p w14:paraId="6A0AE516" w14:textId="77777777" w:rsidR="00FB7073" w:rsidRPr="009622FB" w:rsidRDefault="00FB7073" w:rsidP="007A5062">
      <w:pPr>
        <w:rPr>
          <w:rFonts w:ascii="Arial" w:hAnsi="Arial"/>
        </w:rPr>
      </w:pPr>
    </w:p>
    <w:p w14:paraId="0026A409" w14:textId="77777777" w:rsidR="00FB7073" w:rsidRPr="009622FB" w:rsidRDefault="00FB7073" w:rsidP="007A5062">
      <w:pPr>
        <w:rPr>
          <w:rFonts w:ascii="Arial" w:hAnsi="Arial"/>
        </w:rPr>
      </w:pPr>
    </w:p>
    <w:p w14:paraId="05B319DC" w14:textId="77777777" w:rsidR="00FB7073" w:rsidRPr="009622FB" w:rsidRDefault="00FB7073" w:rsidP="007A5062">
      <w:pPr>
        <w:rPr>
          <w:rFonts w:ascii="Arial" w:hAnsi="Arial"/>
        </w:rPr>
      </w:pPr>
    </w:p>
    <w:p w14:paraId="1A4030B7" w14:textId="77777777" w:rsidR="00FB7073" w:rsidRPr="009622FB" w:rsidRDefault="00FB7073" w:rsidP="007A5062">
      <w:pPr>
        <w:rPr>
          <w:rFonts w:ascii="Arial" w:hAnsi="Arial"/>
        </w:rPr>
      </w:pPr>
    </w:p>
    <w:p w14:paraId="3EA46B1F" w14:textId="77777777" w:rsidR="00FB7073" w:rsidRPr="009622FB" w:rsidRDefault="00FB7073" w:rsidP="007A5062">
      <w:pPr>
        <w:rPr>
          <w:rFonts w:ascii="Arial" w:hAnsi="Arial"/>
        </w:rPr>
      </w:pPr>
    </w:p>
    <w:p w14:paraId="71BB8D56" w14:textId="77777777" w:rsidR="00FB7073" w:rsidRDefault="00FB7073" w:rsidP="007A5062"/>
    <w:p w14:paraId="40E59AEC" w14:textId="77777777" w:rsidR="00FB7073" w:rsidRDefault="00FB7073" w:rsidP="007A5062"/>
    <w:p w14:paraId="7E92778C" w14:textId="77777777" w:rsidR="00FB7073" w:rsidRDefault="00FB7073" w:rsidP="007A5062"/>
    <w:p w14:paraId="4E612B87" w14:textId="77777777" w:rsidR="00FB7073" w:rsidRDefault="00FB7073" w:rsidP="007A5062"/>
    <w:p w14:paraId="6F869EB1" w14:textId="3D764964" w:rsidR="00D00E6D" w:rsidRDefault="00D00E6D" w:rsidP="00A74EA4">
      <w:pPr>
        <w:spacing w:after="160" w:line="259" w:lineRule="auto"/>
        <w:jc w:val="left"/>
      </w:pPr>
    </w:p>
    <w:p w14:paraId="3083DC8D" w14:textId="77777777" w:rsidR="00D00E6D" w:rsidRDefault="00D00E6D" w:rsidP="00D00E6D"/>
    <w:p w14:paraId="77A1BA38" w14:textId="77777777" w:rsidR="00A74EA4" w:rsidRDefault="00A74EA4" w:rsidP="00D00E6D"/>
    <w:p w14:paraId="3A201E31" w14:textId="77777777" w:rsidR="00A74EA4" w:rsidRDefault="00A74EA4" w:rsidP="00D00E6D"/>
    <w:p w14:paraId="1676978C" w14:textId="77777777" w:rsidR="00A74EA4" w:rsidRDefault="00A74EA4" w:rsidP="00D00E6D">
      <w:pPr>
        <w:sectPr w:rsidR="00A74EA4" w:rsidSect="000B5556">
          <w:footerReference w:type="default" r:id="rId13"/>
          <w:pgSz w:w="11909" w:h="16834" w:code="9"/>
          <w:pgMar w:top="1440" w:right="1440" w:bottom="1440" w:left="1440" w:header="720" w:footer="720" w:gutter="0"/>
          <w:cols w:space="720"/>
          <w:docGrid w:linePitch="360"/>
        </w:sectPr>
      </w:pPr>
    </w:p>
    <w:p w14:paraId="6E10D2DF" w14:textId="4FC99F5E" w:rsidR="00A74EA4" w:rsidRPr="00085989" w:rsidRDefault="00A74EA4" w:rsidP="00A82FF5">
      <w:pPr>
        <w:pStyle w:val="Heading1"/>
        <w:rPr>
          <w:rFonts w:ascii="Arial" w:hAnsi="Arial" w:cs="Arial"/>
          <w:sz w:val="32"/>
          <w:szCs w:val="32"/>
        </w:rPr>
      </w:pPr>
      <w:bookmarkStart w:id="10" w:name="_Toc235801915"/>
      <w:r w:rsidRPr="00085989">
        <w:rPr>
          <w:rFonts w:ascii="Arial" w:hAnsi="Arial" w:cs="Arial"/>
          <w:sz w:val="32"/>
          <w:szCs w:val="32"/>
        </w:rPr>
        <w:lastRenderedPageBreak/>
        <w:t xml:space="preserve">List of </w:t>
      </w:r>
      <w:r w:rsidR="00A82FF5" w:rsidRPr="00085989">
        <w:rPr>
          <w:rFonts w:ascii="Arial" w:hAnsi="Arial" w:cs="Arial"/>
          <w:sz w:val="32"/>
          <w:szCs w:val="32"/>
        </w:rPr>
        <w:t>Tables</w:t>
      </w:r>
      <w:bookmarkEnd w:id="10"/>
    </w:p>
    <w:p w14:paraId="0385895C" w14:textId="495634CC" w:rsidR="00BD7414" w:rsidRPr="00BD7414" w:rsidRDefault="00BD7414">
      <w:pPr>
        <w:pStyle w:val="TableofFigures"/>
        <w:tabs>
          <w:tab w:val="right" w:leader="dot" w:pos="9019"/>
        </w:tabs>
        <w:rPr>
          <w:rFonts w:ascii="Arial" w:eastAsiaTheme="minorEastAsia" w:hAnsi="Arial"/>
          <w:noProof/>
          <w:kern w:val="2"/>
          <w:szCs w:val="24"/>
          <w14:ligatures w14:val="standardContextual"/>
        </w:rPr>
      </w:pPr>
      <w:r w:rsidRPr="00BD7414">
        <w:rPr>
          <w:rFonts w:ascii="Arial" w:hAnsi="Arial"/>
        </w:rPr>
        <w:fldChar w:fldCharType="begin"/>
      </w:r>
      <w:r w:rsidRPr="00BD7414">
        <w:rPr>
          <w:rFonts w:ascii="Arial" w:hAnsi="Arial"/>
        </w:rPr>
        <w:instrText xml:space="preserve"> TOC \h \z \c "Table" </w:instrText>
      </w:r>
      <w:r w:rsidRPr="00BD7414">
        <w:rPr>
          <w:rFonts w:ascii="Arial" w:hAnsi="Arial"/>
        </w:rPr>
        <w:fldChar w:fldCharType="separate"/>
      </w:r>
      <w:hyperlink w:anchor="_Toc235804204" w:history="1">
        <w:r w:rsidRPr="00BD7414">
          <w:rPr>
            <w:rStyle w:val="Hyperlink"/>
            <w:rFonts w:ascii="Arial" w:hAnsi="Arial"/>
            <w:noProof/>
          </w:rPr>
          <w:t>Table 1.1: Company Overview</w:t>
        </w:r>
        <w:r w:rsidRPr="00BD7414">
          <w:rPr>
            <w:rFonts w:ascii="Arial" w:hAnsi="Arial"/>
            <w:noProof/>
            <w:webHidden/>
          </w:rPr>
          <w:tab/>
        </w:r>
        <w:r w:rsidRPr="00BD7414">
          <w:rPr>
            <w:rFonts w:ascii="Arial" w:hAnsi="Arial"/>
            <w:noProof/>
            <w:webHidden/>
          </w:rPr>
          <w:fldChar w:fldCharType="begin"/>
        </w:r>
        <w:r w:rsidRPr="00BD7414">
          <w:rPr>
            <w:rFonts w:ascii="Arial" w:hAnsi="Arial"/>
            <w:noProof/>
            <w:webHidden/>
          </w:rPr>
          <w:instrText xml:space="preserve"> PAGEREF _Toc235804204 \h </w:instrText>
        </w:r>
        <w:r w:rsidRPr="00BD7414">
          <w:rPr>
            <w:rFonts w:ascii="Arial" w:hAnsi="Arial"/>
            <w:noProof/>
            <w:webHidden/>
          </w:rPr>
        </w:r>
        <w:r w:rsidRPr="00BD7414">
          <w:rPr>
            <w:rFonts w:ascii="Arial" w:hAnsi="Arial"/>
            <w:noProof/>
            <w:webHidden/>
          </w:rPr>
          <w:fldChar w:fldCharType="separate"/>
        </w:r>
        <w:r w:rsidRPr="00BD7414">
          <w:rPr>
            <w:rFonts w:ascii="Arial" w:hAnsi="Arial"/>
            <w:noProof/>
            <w:webHidden/>
          </w:rPr>
          <w:t>16</w:t>
        </w:r>
        <w:r w:rsidRPr="00BD7414">
          <w:rPr>
            <w:rFonts w:ascii="Arial" w:hAnsi="Arial"/>
            <w:noProof/>
            <w:webHidden/>
          </w:rPr>
          <w:fldChar w:fldCharType="end"/>
        </w:r>
      </w:hyperlink>
    </w:p>
    <w:p w14:paraId="34F353CE" w14:textId="726D1D9E" w:rsidR="00BD7414" w:rsidRPr="00BD7414" w:rsidRDefault="00BD7414">
      <w:pPr>
        <w:pStyle w:val="TableofFigures"/>
        <w:tabs>
          <w:tab w:val="right" w:leader="dot" w:pos="9019"/>
        </w:tabs>
        <w:rPr>
          <w:rFonts w:ascii="Arial" w:eastAsiaTheme="minorEastAsia" w:hAnsi="Arial"/>
          <w:noProof/>
          <w:kern w:val="2"/>
          <w:szCs w:val="24"/>
          <w14:ligatures w14:val="standardContextual"/>
        </w:rPr>
      </w:pPr>
      <w:hyperlink w:anchor="_Toc235804205" w:history="1">
        <w:r w:rsidRPr="00BD7414">
          <w:rPr>
            <w:rStyle w:val="Hyperlink"/>
            <w:rFonts w:ascii="Arial" w:hAnsi="Arial"/>
            <w:noProof/>
          </w:rPr>
          <w:t>Table 2.1: Current Assets to Total Asset Ratio</w:t>
        </w:r>
        <w:r w:rsidRPr="00BD7414">
          <w:rPr>
            <w:rFonts w:ascii="Arial" w:hAnsi="Arial"/>
            <w:noProof/>
            <w:webHidden/>
          </w:rPr>
          <w:tab/>
        </w:r>
        <w:r w:rsidRPr="00BD7414">
          <w:rPr>
            <w:rFonts w:ascii="Arial" w:hAnsi="Arial"/>
            <w:noProof/>
            <w:webHidden/>
          </w:rPr>
          <w:fldChar w:fldCharType="begin"/>
        </w:r>
        <w:r w:rsidRPr="00BD7414">
          <w:rPr>
            <w:rFonts w:ascii="Arial" w:hAnsi="Arial"/>
            <w:noProof/>
            <w:webHidden/>
          </w:rPr>
          <w:instrText xml:space="preserve"> PAGEREF _Toc235804205 \h </w:instrText>
        </w:r>
        <w:r w:rsidRPr="00BD7414">
          <w:rPr>
            <w:rFonts w:ascii="Arial" w:hAnsi="Arial"/>
            <w:noProof/>
            <w:webHidden/>
          </w:rPr>
        </w:r>
        <w:r w:rsidRPr="00BD7414">
          <w:rPr>
            <w:rFonts w:ascii="Arial" w:hAnsi="Arial"/>
            <w:noProof/>
            <w:webHidden/>
          </w:rPr>
          <w:fldChar w:fldCharType="separate"/>
        </w:r>
        <w:r w:rsidRPr="00BD7414">
          <w:rPr>
            <w:rFonts w:ascii="Arial" w:hAnsi="Arial"/>
            <w:noProof/>
            <w:webHidden/>
          </w:rPr>
          <w:t>31</w:t>
        </w:r>
        <w:r w:rsidRPr="00BD7414">
          <w:rPr>
            <w:rFonts w:ascii="Arial" w:hAnsi="Arial"/>
            <w:noProof/>
            <w:webHidden/>
          </w:rPr>
          <w:fldChar w:fldCharType="end"/>
        </w:r>
      </w:hyperlink>
    </w:p>
    <w:p w14:paraId="75E2E751" w14:textId="6FE39E97" w:rsidR="00BD7414" w:rsidRPr="00BD7414" w:rsidRDefault="00BD7414">
      <w:pPr>
        <w:pStyle w:val="TableofFigures"/>
        <w:tabs>
          <w:tab w:val="right" w:leader="dot" w:pos="9019"/>
        </w:tabs>
        <w:rPr>
          <w:rFonts w:ascii="Arial" w:eastAsiaTheme="minorEastAsia" w:hAnsi="Arial"/>
          <w:noProof/>
          <w:kern w:val="2"/>
          <w:szCs w:val="24"/>
          <w14:ligatures w14:val="standardContextual"/>
        </w:rPr>
      </w:pPr>
      <w:hyperlink w:anchor="_Toc235804206" w:history="1">
        <w:r w:rsidRPr="00BD7414">
          <w:rPr>
            <w:rStyle w:val="Hyperlink"/>
            <w:rFonts w:ascii="Arial" w:hAnsi="Arial"/>
            <w:noProof/>
          </w:rPr>
          <w:t>Table 3.1: Current Liabilities to Total Assets</w:t>
        </w:r>
        <w:r w:rsidRPr="00BD7414">
          <w:rPr>
            <w:rFonts w:ascii="Arial" w:hAnsi="Arial"/>
            <w:noProof/>
            <w:webHidden/>
          </w:rPr>
          <w:tab/>
        </w:r>
        <w:r w:rsidRPr="00BD7414">
          <w:rPr>
            <w:rFonts w:ascii="Arial" w:hAnsi="Arial"/>
            <w:noProof/>
            <w:webHidden/>
          </w:rPr>
          <w:fldChar w:fldCharType="begin"/>
        </w:r>
        <w:r w:rsidRPr="00BD7414">
          <w:rPr>
            <w:rFonts w:ascii="Arial" w:hAnsi="Arial"/>
            <w:noProof/>
            <w:webHidden/>
          </w:rPr>
          <w:instrText xml:space="preserve"> PAGEREF _Toc235804206 \h </w:instrText>
        </w:r>
        <w:r w:rsidRPr="00BD7414">
          <w:rPr>
            <w:rFonts w:ascii="Arial" w:hAnsi="Arial"/>
            <w:noProof/>
            <w:webHidden/>
          </w:rPr>
        </w:r>
        <w:r w:rsidRPr="00BD7414">
          <w:rPr>
            <w:rFonts w:ascii="Arial" w:hAnsi="Arial"/>
            <w:noProof/>
            <w:webHidden/>
          </w:rPr>
          <w:fldChar w:fldCharType="separate"/>
        </w:r>
        <w:r w:rsidRPr="00BD7414">
          <w:rPr>
            <w:rFonts w:ascii="Arial" w:hAnsi="Arial"/>
            <w:noProof/>
            <w:webHidden/>
          </w:rPr>
          <w:t>33</w:t>
        </w:r>
        <w:r w:rsidRPr="00BD7414">
          <w:rPr>
            <w:rFonts w:ascii="Arial" w:hAnsi="Arial"/>
            <w:noProof/>
            <w:webHidden/>
          </w:rPr>
          <w:fldChar w:fldCharType="end"/>
        </w:r>
      </w:hyperlink>
    </w:p>
    <w:p w14:paraId="1CD0F455" w14:textId="0577DC7A" w:rsidR="00BD7414" w:rsidRPr="00BD7414" w:rsidRDefault="00BD7414">
      <w:pPr>
        <w:pStyle w:val="TableofFigures"/>
        <w:tabs>
          <w:tab w:val="right" w:leader="dot" w:pos="9019"/>
        </w:tabs>
        <w:rPr>
          <w:rFonts w:ascii="Arial" w:eastAsiaTheme="minorEastAsia" w:hAnsi="Arial"/>
          <w:noProof/>
          <w:kern w:val="2"/>
          <w:szCs w:val="24"/>
          <w14:ligatures w14:val="standardContextual"/>
        </w:rPr>
      </w:pPr>
      <w:hyperlink w:anchor="_Toc235804207" w:history="1">
        <w:r w:rsidRPr="00BD7414">
          <w:rPr>
            <w:rStyle w:val="Hyperlink"/>
            <w:rFonts w:ascii="Arial" w:hAnsi="Arial"/>
            <w:noProof/>
          </w:rPr>
          <w:t>Table 4.1: Cash Conversion Cycle</w:t>
        </w:r>
        <w:r w:rsidRPr="00BD7414">
          <w:rPr>
            <w:rFonts w:ascii="Arial" w:hAnsi="Arial"/>
            <w:noProof/>
            <w:webHidden/>
          </w:rPr>
          <w:tab/>
        </w:r>
        <w:r w:rsidRPr="00BD7414">
          <w:rPr>
            <w:rFonts w:ascii="Arial" w:hAnsi="Arial"/>
            <w:noProof/>
            <w:webHidden/>
          </w:rPr>
          <w:fldChar w:fldCharType="begin"/>
        </w:r>
        <w:r w:rsidRPr="00BD7414">
          <w:rPr>
            <w:rFonts w:ascii="Arial" w:hAnsi="Arial"/>
            <w:noProof/>
            <w:webHidden/>
          </w:rPr>
          <w:instrText xml:space="preserve"> PAGEREF _Toc235804207 \h </w:instrText>
        </w:r>
        <w:r w:rsidRPr="00BD7414">
          <w:rPr>
            <w:rFonts w:ascii="Arial" w:hAnsi="Arial"/>
            <w:noProof/>
            <w:webHidden/>
          </w:rPr>
        </w:r>
        <w:r w:rsidRPr="00BD7414">
          <w:rPr>
            <w:rFonts w:ascii="Arial" w:hAnsi="Arial"/>
            <w:noProof/>
            <w:webHidden/>
          </w:rPr>
          <w:fldChar w:fldCharType="separate"/>
        </w:r>
        <w:r w:rsidRPr="00BD7414">
          <w:rPr>
            <w:rFonts w:ascii="Arial" w:hAnsi="Arial"/>
            <w:noProof/>
            <w:webHidden/>
          </w:rPr>
          <w:t>34</w:t>
        </w:r>
        <w:r w:rsidRPr="00BD7414">
          <w:rPr>
            <w:rFonts w:ascii="Arial" w:hAnsi="Arial"/>
            <w:noProof/>
            <w:webHidden/>
          </w:rPr>
          <w:fldChar w:fldCharType="end"/>
        </w:r>
      </w:hyperlink>
    </w:p>
    <w:p w14:paraId="173A158E" w14:textId="7BC8E82F" w:rsidR="00BD7414" w:rsidRPr="00BD7414" w:rsidRDefault="00BD7414">
      <w:pPr>
        <w:pStyle w:val="TableofFigures"/>
        <w:tabs>
          <w:tab w:val="right" w:leader="dot" w:pos="9019"/>
        </w:tabs>
        <w:rPr>
          <w:rFonts w:ascii="Arial" w:eastAsiaTheme="minorEastAsia" w:hAnsi="Arial"/>
          <w:noProof/>
          <w:kern w:val="2"/>
          <w:szCs w:val="24"/>
          <w14:ligatures w14:val="standardContextual"/>
        </w:rPr>
      </w:pPr>
      <w:hyperlink w:anchor="_Toc235804208" w:history="1">
        <w:r w:rsidRPr="00BD7414">
          <w:rPr>
            <w:rStyle w:val="Hyperlink"/>
            <w:rFonts w:ascii="Arial" w:hAnsi="Arial"/>
            <w:noProof/>
          </w:rPr>
          <w:t>Table 5.1: Days Inventory Outstanding</w:t>
        </w:r>
        <w:r w:rsidRPr="00BD7414">
          <w:rPr>
            <w:rFonts w:ascii="Arial" w:hAnsi="Arial"/>
            <w:noProof/>
            <w:webHidden/>
          </w:rPr>
          <w:tab/>
        </w:r>
        <w:r w:rsidRPr="00BD7414">
          <w:rPr>
            <w:rFonts w:ascii="Arial" w:hAnsi="Arial"/>
            <w:noProof/>
            <w:webHidden/>
          </w:rPr>
          <w:fldChar w:fldCharType="begin"/>
        </w:r>
        <w:r w:rsidRPr="00BD7414">
          <w:rPr>
            <w:rFonts w:ascii="Arial" w:hAnsi="Arial"/>
            <w:noProof/>
            <w:webHidden/>
          </w:rPr>
          <w:instrText xml:space="preserve"> PAGEREF _Toc235804208 \h </w:instrText>
        </w:r>
        <w:r w:rsidRPr="00BD7414">
          <w:rPr>
            <w:rFonts w:ascii="Arial" w:hAnsi="Arial"/>
            <w:noProof/>
            <w:webHidden/>
          </w:rPr>
        </w:r>
        <w:r w:rsidRPr="00BD7414">
          <w:rPr>
            <w:rFonts w:ascii="Arial" w:hAnsi="Arial"/>
            <w:noProof/>
            <w:webHidden/>
          </w:rPr>
          <w:fldChar w:fldCharType="separate"/>
        </w:r>
        <w:r w:rsidRPr="00BD7414">
          <w:rPr>
            <w:rFonts w:ascii="Arial" w:hAnsi="Arial"/>
            <w:noProof/>
            <w:webHidden/>
          </w:rPr>
          <w:t>36</w:t>
        </w:r>
        <w:r w:rsidRPr="00BD7414">
          <w:rPr>
            <w:rFonts w:ascii="Arial" w:hAnsi="Arial"/>
            <w:noProof/>
            <w:webHidden/>
          </w:rPr>
          <w:fldChar w:fldCharType="end"/>
        </w:r>
      </w:hyperlink>
    </w:p>
    <w:p w14:paraId="2A59B6AA" w14:textId="04361CEE" w:rsidR="00BD7414" w:rsidRPr="00BD7414" w:rsidRDefault="00BD7414">
      <w:pPr>
        <w:pStyle w:val="TableofFigures"/>
        <w:tabs>
          <w:tab w:val="right" w:leader="dot" w:pos="9019"/>
        </w:tabs>
        <w:rPr>
          <w:rFonts w:ascii="Arial" w:eastAsiaTheme="minorEastAsia" w:hAnsi="Arial"/>
          <w:noProof/>
          <w:kern w:val="2"/>
          <w:szCs w:val="24"/>
          <w14:ligatures w14:val="standardContextual"/>
        </w:rPr>
      </w:pPr>
      <w:hyperlink w:anchor="_Toc235804209" w:history="1">
        <w:r w:rsidRPr="00BD7414">
          <w:rPr>
            <w:rStyle w:val="Hyperlink"/>
            <w:rFonts w:ascii="Arial" w:hAnsi="Arial"/>
            <w:noProof/>
          </w:rPr>
          <w:t>Table 6.1: Days Sales Outstanding</w:t>
        </w:r>
        <w:r w:rsidRPr="00BD7414">
          <w:rPr>
            <w:rFonts w:ascii="Arial" w:hAnsi="Arial"/>
            <w:noProof/>
            <w:webHidden/>
          </w:rPr>
          <w:tab/>
        </w:r>
        <w:r w:rsidRPr="00BD7414">
          <w:rPr>
            <w:rFonts w:ascii="Arial" w:hAnsi="Arial"/>
            <w:noProof/>
            <w:webHidden/>
          </w:rPr>
          <w:fldChar w:fldCharType="begin"/>
        </w:r>
        <w:r w:rsidRPr="00BD7414">
          <w:rPr>
            <w:rFonts w:ascii="Arial" w:hAnsi="Arial"/>
            <w:noProof/>
            <w:webHidden/>
          </w:rPr>
          <w:instrText xml:space="preserve"> PAGEREF _Toc235804209 \h </w:instrText>
        </w:r>
        <w:r w:rsidRPr="00BD7414">
          <w:rPr>
            <w:rFonts w:ascii="Arial" w:hAnsi="Arial"/>
            <w:noProof/>
            <w:webHidden/>
          </w:rPr>
        </w:r>
        <w:r w:rsidRPr="00BD7414">
          <w:rPr>
            <w:rFonts w:ascii="Arial" w:hAnsi="Arial"/>
            <w:noProof/>
            <w:webHidden/>
          </w:rPr>
          <w:fldChar w:fldCharType="separate"/>
        </w:r>
        <w:r w:rsidRPr="00BD7414">
          <w:rPr>
            <w:rFonts w:ascii="Arial" w:hAnsi="Arial"/>
            <w:noProof/>
            <w:webHidden/>
          </w:rPr>
          <w:t>36</w:t>
        </w:r>
        <w:r w:rsidRPr="00BD7414">
          <w:rPr>
            <w:rFonts w:ascii="Arial" w:hAnsi="Arial"/>
            <w:noProof/>
            <w:webHidden/>
          </w:rPr>
          <w:fldChar w:fldCharType="end"/>
        </w:r>
      </w:hyperlink>
    </w:p>
    <w:p w14:paraId="4EC15593" w14:textId="4E70B118" w:rsidR="00BD7414" w:rsidRPr="00BD7414" w:rsidRDefault="00BD7414">
      <w:pPr>
        <w:pStyle w:val="TableofFigures"/>
        <w:tabs>
          <w:tab w:val="right" w:leader="dot" w:pos="9019"/>
        </w:tabs>
        <w:rPr>
          <w:rFonts w:ascii="Arial" w:eastAsiaTheme="minorEastAsia" w:hAnsi="Arial"/>
          <w:noProof/>
          <w:kern w:val="2"/>
          <w:szCs w:val="24"/>
          <w14:ligatures w14:val="standardContextual"/>
        </w:rPr>
      </w:pPr>
      <w:hyperlink w:anchor="_Toc235804210" w:history="1">
        <w:r w:rsidRPr="00BD7414">
          <w:rPr>
            <w:rStyle w:val="Hyperlink"/>
            <w:rFonts w:ascii="Arial" w:hAnsi="Arial"/>
            <w:noProof/>
          </w:rPr>
          <w:t>Table 7.1: Days Payables Outstanding</w:t>
        </w:r>
        <w:r w:rsidRPr="00BD7414">
          <w:rPr>
            <w:rFonts w:ascii="Arial" w:hAnsi="Arial"/>
            <w:noProof/>
            <w:webHidden/>
          </w:rPr>
          <w:tab/>
        </w:r>
        <w:r w:rsidRPr="00BD7414">
          <w:rPr>
            <w:rFonts w:ascii="Arial" w:hAnsi="Arial"/>
            <w:noProof/>
            <w:webHidden/>
          </w:rPr>
          <w:fldChar w:fldCharType="begin"/>
        </w:r>
        <w:r w:rsidRPr="00BD7414">
          <w:rPr>
            <w:rFonts w:ascii="Arial" w:hAnsi="Arial"/>
            <w:noProof/>
            <w:webHidden/>
          </w:rPr>
          <w:instrText xml:space="preserve"> PAGEREF _Toc235804210 \h </w:instrText>
        </w:r>
        <w:r w:rsidRPr="00BD7414">
          <w:rPr>
            <w:rFonts w:ascii="Arial" w:hAnsi="Arial"/>
            <w:noProof/>
            <w:webHidden/>
          </w:rPr>
        </w:r>
        <w:r w:rsidRPr="00BD7414">
          <w:rPr>
            <w:rFonts w:ascii="Arial" w:hAnsi="Arial"/>
            <w:noProof/>
            <w:webHidden/>
          </w:rPr>
          <w:fldChar w:fldCharType="separate"/>
        </w:r>
        <w:r w:rsidRPr="00BD7414">
          <w:rPr>
            <w:rFonts w:ascii="Arial" w:hAnsi="Arial"/>
            <w:noProof/>
            <w:webHidden/>
          </w:rPr>
          <w:t>38</w:t>
        </w:r>
        <w:r w:rsidRPr="00BD7414">
          <w:rPr>
            <w:rFonts w:ascii="Arial" w:hAnsi="Arial"/>
            <w:noProof/>
            <w:webHidden/>
          </w:rPr>
          <w:fldChar w:fldCharType="end"/>
        </w:r>
      </w:hyperlink>
    </w:p>
    <w:p w14:paraId="69FCBC9F" w14:textId="374F9838" w:rsidR="00BD7414" w:rsidRPr="00BD7414" w:rsidRDefault="00BD7414">
      <w:pPr>
        <w:pStyle w:val="TableofFigures"/>
        <w:tabs>
          <w:tab w:val="right" w:leader="dot" w:pos="9019"/>
        </w:tabs>
        <w:rPr>
          <w:rFonts w:ascii="Arial" w:eastAsiaTheme="minorEastAsia" w:hAnsi="Arial"/>
          <w:noProof/>
          <w:kern w:val="2"/>
          <w:szCs w:val="24"/>
          <w14:ligatures w14:val="standardContextual"/>
        </w:rPr>
      </w:pPr>
      <w:hyperlink w:anchor="_Toc235804211" w:history="1">
        <w:r w:rsidRPr="00BD7414">
          <w:rPr>
            <w:rStyle w:val="Hyperlink"/>
            <w:rFonts w:ascii="Arial" w:hAnsi="Arial"/>
            <w:noProof/>
          </w:rPr>
          <w:t>Table 8.1: Current Ratio</w:t>
        </w:r>
        <w:r w:rsidRPr="00BD7414">
          <w:rPr>
            <w:rFonts w:ascii="Arial" w:hAnsi="Arial"/>
            <w:noProof/>
            <w:webHidden/>
          </w:rPr>
          <w:tab/>
        </w:r>
        <w:r w:rsidRPr="00BD7414">
          <w:rPr>
            <w:rFonts w:ascii="Arial" w:hAnsi="Arial"/>
            <w:noProof/>
            <w:webHidden/>
          </w:rPr>
          <w:fldChar w:fldCharType="begin"/>
        </w:r>
        <w:r w:rsidRPr="00BD7414">
          <w:rPr>
            <w:rFonts w:ascii="Arial" w:hAnsi="Arial"/>
            <w:noProof/>
            <w:webHidden/>
          </w:rPr>
          <w:instrText xml:space="preserve"> PAGEREF _Toc235804211 \h </w:instrText>
        </w:r>
        <w:r w:rsidRPr="00BD7414">
          <w:rPr>
            <w:rFonts w:ascii="Arial" w:hAnsi="Arial"/>
            <w:noProof/>
            <w:webHidden/>
          </w:rPr>
        </w:r>
        <w:r w:rsidRPr="00BD7414">
          <w:rPr>
            <w:rFonts w:ascii="Arial" w:hAnsi="Arial"/>
            <w:noProof/>
            <w:webHidden/>
          </w:rPr>
          <w:fldChar w:fldCharType="separate"/>
        </w:r>
        <w:r w:rsidRPr="00BD7414">
          <w:rPr>
            <w:rFonts w:ascii="Arial" w:hAnsi="Arial"/>
            <w:noProof/>
            <w:webHidden/>
          </w:rPr>
          <w:t>41</w:t>
        </w:r>
        <w:r w:rsidRPr="00BD7414">
          <w:rPr>
            <w:rFonts w:ascii="Arial" w:hAnsi="Arial"/>
            <w:noProof/>
            <w:webHidden/>
          </w:rPr>
          <w:fldChar w:fldCharType="end"/>
        </w:r>
      </w:hyperlink>
    </w:p>
    <w:p w14:paraId="1FDCFFE6" w14:textId="314B5F88" w:rsidR="00BD7414" w:rsidRPr="00BD7414" w:rsidRDefault="00BD7414">
      <w:pPr>
        <w:pStyle w:val="TableofFigures"/>
        <w:tabs>
          <w:tab w:val="right" w:leader="dot" w:pos="9019"/>
        </w:tabs>
        <w:rPr>
          <w:rFonts w:ascii="Arial" w:eastAsiaTheme="minorEastAsia" w:hAnsi="Arial"/>
          <w:noProof/>
          <w:kern w:val="2"/>
          <w:szCs w:val="24"/>
          <w14:ligatures w14:val="standardContextual"/>
        </w:rPr>
      </w:pPr>
      <w:hyperlink w:anchor="_Toc235804212" w:history="1">
        <w:r w:rsidRPr="00BD7414">
          <w:rPr>
            <w:rStyle w:val="Hyperlink"/>
            <w:rFonts w:ascii="Arial" w:hAnsi="Arial"/>
            <w:noProof/>
          </w:rPr>
          <w:t>Table 9.1: Quick Ratio</w:t>
        </w:r>
        <w:r w:rsidRPr="00BD7414">
          <w:rPr>
            <w:rFonts w:ascii="Arial" w:hAnsi="Arial"/>
            <w:noProof/>
            <w:webHidden/>
          </w:rPr>
          <w:tab/>
        </w:r>
        <w:r w:rsidRPr="00BD7414">
          <w:rPr>
            <w:rFonts w:ascii="Arial" w:hAnsi="Arial"/>
            <w:noProof/>
            <w:webHidden/>
          </w:rPr>
          <w:fldChar w:fldCharType="begin"/>
        </w:r>
        <w:r w:rsidRPr="00BD7414">
          <w:rPr>
            <w:rFonts w:ascii="Arial" w:hAnsi="Arial"/>
            <w:noProof/>
            <w:webHidden/>
          </w:rPr>
          <w:instrText xml:space="preserve"> PAGEREF _Toc235804212 \h </w:instrText>
        </w:r>
        <w:r w:rsidRPr="00BD7414">
          <w:rPr>
            <w:rFonts w:ascii="Arial" w:hAnsi="Arial"/>
            <w:noProof/>
            <w:webHidden/>
          </w:rPr>
        </w:r>
        <w:r w:rsidRPr="00BD7414">
          <w:rPr>
            <w:rFonts w:ascii="Arial" w:hAnsi="Arial"/>
            <w:noProof/>
            <w:webHidden/>
          </w:rPr>
          <w:fldChar w:fldCharType="separate"/>
        </w:r>
        <w:r w:rsidRPr="00BD7414">
          <w:rPr>
            <w:rFonts w:ascii="Arial" w:hAnsi="Arial"/>
            <w:noProof/>
            <w:webHidden/>
          </w:rPr>
          <w:t>42</w:t>
        </w:r>
        <w:r w:rsidRPr="00BD7414">
          <w:rPr>
            <w:rFonts w:ascii="Arial" w:hAnsi="Arial"/>
            <w:noProof/>
            <w:webHidden/>
          </w:rPr>
          <w:fldChar w:fldCharType="end"/>
        </w:r>
      </w:hyperlink>
    </w:p>
    <w:p w14:paraId="7C51CFC0" w14:textId="1F04AB05" w:rsidR="00BD7414" w:rsidRPr="00BD7414" w:rsidRDefault="00BD7414">
      <w:pPr>
        <w:pStyle w:val="TableofFigures"/>
        <w:tabs>
          <w:tab w:val="right" w:leader="dot" w:pos="9019"/>
        </w:tabs>
        <w:rPr>
          <w:rFonts w:ascii="Arial" w:eastAsiaTheme="minorEastAsia" w:hAnsi="Arial"/>
          <w:noProof/>
          <w:kern w:val="2"/>
          <w:szCs w:val="24"/>
          <w14:ligatures w14:val="standardContextual"/>
        </w:rPr>
      </w:pPr>
      <w:hyperlink w:anchor="_Toc235804213" w:history="1">
        <w:r w:rsidRPr="00BD7414">
          <w:rPr>
            <w:rStyle w:val="Hyperlink"/>
            <w:rFonts w:ascii="Arial" w:hAnsi="Arial"/>
            <w:noProof/>
          </w:rPr>
          <w:t>Table 10.1: Cash Ration</w:t>
        </w:r>
        <w:r w:rsidRPr="00BD7414">
          <w:rPr>
            <w:rFonts w:ascii="Arial" w:hAnsi="Arial"/>
            <w:noProof/>
            <w:webHidden/>
          </w:rPr>
          <w:tab/>
        </w:r>
        <w:r w:rsidRPr="00BD7414">
          <w:rPr>
            <w:rFonts w:ascii="Arial" w:hAnsi="Arial"/>
            <w:noProof/>
            <w:webHidden/>
          </w:rPr>
          <w:fldChar w:fldCharType="begin"/>
        </w:r>
        <w:r w:rsidRPr="00BD7414">
          <w:rPr>
            <w:rFonts w:ascii="Arial" w:hAnsi="Arial"/>
            <w:noProof/>
            <w:webHidden/>
          </w:rPr>
          <w:instrText xml:space="preserve"> PAGEREF _Toc235804213 \h </w:instrText>
        </w:r>
        <w:r w:rsidRPr="00BD7414">
          <w:rPr>
            <w:rFonts w:ascii="Arial" w:hAnsi="Arial"/>
            <w:noProof/>
            <w:webHidden/>
          </w:rPr>
        </w:r>
        <w:r w:rsidRPr="00BD7414">
          <w:rPr>
            <w:rFonts w:ascii="Arial" w:hAnsi="Arial"/>
            <w:noProof/>
            <w:webHidden/>
          </w:rPr>
          <w:fldChar w:fldCharType="separate"/>
        </w:r>
        <w:r w:rsidRPr="00BD7414">
          <w:rPr>
            <w:rFonts w:ascii="Arial" w:hAnsi="Arial"/>
            <w:noProof/>
            <w:webHidden/>
          </w:rPr>
          <w:t>43</w:t>
        </w:r>
        <w:r w:rsidRPr="00BD7414">
          <w:rPr>
            <w:rFonts w:ascii="Arial" w:hAnsi="Arial"/>
            <w:noProof/>
            <w:webHidden/>
          </w:rPr>
          <w:fldChar w:fldCharType="end"/>
        </w:r>
      </w:hyperlink>
    </w:p>
    <w:p w14:paraId="699BF79A" w14:textId="502136FA" w:rsidR="00BD7414" w:rsidRPr="00BD7414" w:rsidRDefault="00BD7414">
      <w:pPr>
        <w:pStyle w:val="TableofFigures"/>
        <w:tabs>
          <w:tab w:val="right" w:leader="dot" w:pos="9019"/>
        </w:tabs>
        <w:rPr>
          <w:rFonts w:ascii="Arial" w:eastAsiaTheme="minorEastAsia" w:hAnsi="Arial"/>
          <w:noProof/>
          <w:kern w:val="2"/>
          <w:szCs w:val="24"/>
          <w14:ligatures w14:val="standardContextual"/>
        </w:rPr>
      </w:pPr>
      <w:hyperlink w:anchor="_Toc235804214" w:history="1">
        <w:r w:rsidRPr="00BD7414">
          <w:rPr>
            <w:rStyle w:val="Hyperlink"/>
            <w:rFonts w:ascii="Arial" w:hAnsi="Arial"/>
            <w:noProof/>
          </w:rPr>
          <w:t>Table 11.1: Receivable Turnover Ratio</w:t>
        </w:r>
        <w:r w:rsidRPr="00BD7414">
          <w:rPr>
            <w:rFonts w:ascii="Arial" w:hAnsi="Arial"/>
            <w:noProof/>
            <w:webHidden/>
          </w:rPr>
          <w:tab/>
        </w:r>
        <w:r w:rsidRPr="00BD7414">
          <w:rPr>
            <w:rFonts w:ascii="Arial" w:hAnsi="Arial"/>
            <w:noProof/>
            <w:webHidden/>
          </w:rPr>
          <w:fldChar w:fldCharType="begin"/>
        </w:r>
        <w:r w:rsidRPr="00BD7414">
          <w:rPr>
            <w:rFonts w:ascii="Arial" w:hAnsi="Arial"/>
            <w:noProof/>
            <w:webHidden/>
          </w:rPr>
          <w:instrText xml:space="preserve"> PAGEREF _Toc235804214 \h </w:instrText>
        </w:r>
        <w:r w:rsidRPr="00BD7414">
          <w:rPr>
            <w:rFonts w:ascii="Arial" w:hAnsi="Arial"/>
            <w:noProof/>
            <w:webHidden/>
          </w:rPr>
        </w:r>
        <w:r w:rsidRPr="00BD7414">
          <w:rPr>
            <w:rFonts w:ascii="Arial" w:hAnsi="Arial"/>
            <w:noProof/>
            <w:webHidden/>
          </w:rPr>
          <w:fldChar w:fldCharType="separate"/>
        </w:r>
        <w:r w:rsidRPr="00BD7414">
          <w:rPr>
            <w:rFonts w:ascii="Arial" w:hAnsi="Arial"/>
            <w:noProof/>
            <w:webHidden/>
          </w:rPr>
          <w:t>44</w:t>
        </w:r>
        <w:r w:rsidRPr="00BD7414">
          <w:rPr>
            <w:rFonts w:ascii="Arial" w:hAnsi="Arial"/>
            <w:noProof/>
            <w:webHidden/>
          </w:rPr>
          <w:fldChar w:fldCharType="end"/>
        </w:r>
      </w:hyperlink>
    </w:p>
    <w:p w14:paraId="1F76BCB8" w14:textId="2F69621C" w:rsidR="00BD7414" w:rsidRPr="00BD7414" w:rsidRDefault="00BD7414">
      <w:pPr>
        <w:pStyle w:val="TableofFigures"/>
        <w:tabs>
          <w:tab w:val="right" w:leader="dot" w:pos="9019"/>
        </w:tabs>
        <w:rPr>
          <w:rFonts w:ascii="Arial" w:eastAsiaTheme="minorEastAsia" w:hAnsi="Arial"/>
          <w:noProof/>
          <w:kern w:val="2"/>
          <w:szCs w:val="24"/>
          <w14:ligatures w14:val="standardContextual"/>
        </w:rPr>
      </w:pPr>
      <w:hyperlink w:anchor="_Toc235804215" w:history="1">
        <w:r w:rsidRPr="00BD7414">
          <w:rPr>
            <w:rStyle w:val="Hyperlink"/>
            <w:rFonts w:ascii="Arial" w:hAnsi="Arial"/>
            <w:noProof/>
          </w:rPr>
          <w:t>Table 12.1: Payable Turnover Ratio</w:t>
        </w:r>
        <w:r w:rsidRPr="00BD7414">
          <w:rPr>
            <w:rFonts w:ascii="Arial" w:hAnsi="Arial"/>
            <w:noProof/>
            <w:webHidden/>
          </w:rPr>
          <w:tab/>
        </w:r>
        <w:r w:rsidRPr="00BD7414">
          <w:rPr>
            <w:rFonts w:ascii="Arial" w:hAnsi="Arial"/>
            <w:noProof/>
            <w:webHidden/>
          </w:rPr>
          <w:fldChar w:fldCharType="begin"/>
        </w:r>
        <w:r w:rsidRPr="00BD7414">
          <w:rPr>
            <w:rFonts w:ascii="Arial" w:hAnsi="Arial"/>
            <w:noProof/>
            <w:webHidden/>
          </w:rPr>
          <w:instrText xml:space="preserve"> PAGEREF _Toc235804215 \h </w:instrText>
        </w:r>
        <w:r w:rsidRPr="00BD7414">
          <w:rPr>
            <w:rFonts w:ascii="Arial" w:hAnsi="Arial"/>
            <w:noProof/>
            <w:webHidden/>
          </w:rPr>
        </w:r>
        <w:r w:rsidRPr="00BD7414">
          <w:rPr>
            <w:rFonts w:ascii="Arial" w:hAnsi="Arial"/>
            <w:noProof/>
            <w:webHidden/>
          </w:rPr>
          <w:fldChar w:fldCharType="separate"/>
        </w:r>
        <w:r w:rsidRPr="00BD7414">
          <w:rPr>
            <w:rFonts w:ascii="Arial" w:hAnsi="Arial"/>
            <w:noProof/>
            <w:webHidden/>
          </w:rPr>
          <w:t>46</w:t>
        </w:r>
        <w:r w:rsidRPr="00BD7414">
          <w:rPr>
            <w:rFonts w:ascii="Arial" w:hAnsi="Arial"/>
            <w:noProof/>
            <w:webHidden/>
          </w:rPr>
          <w:fldChar w:fldCharType="end"/>
        </w:r>
      </w:hyperlink>
    </w:p>
    <w:p w14:paraId="2932964B" w14:textId="18D7640A" w:rsidR="00BD7414" w:rsidRPr="00BD7414" w:rsidRDefault="00BD7414">
      <w:pPr>
        <w:pStyle w:val="TableofFigures"/>
        <w:tabs>
          <w:tab w:val="right" w:leader="dot" w:pos="9019"/>
        </w:tabs>
        <w:rPr>
          <w:rFonts w:ascii="Arial" w:eastAsiaTheme="minorEastAsia" w:hAnsi="Arial"/>
          <w:noProof/>
          <w:kern w:val="2"/>
          <w:szCs w:val="24"/>
          <w14:ligatures w14:val="standardContextual"/>
        </w:rPr>
      </w:pPr>
      <w:hyperlink w:anchor="_Toc235804216" w:history="1">
        <w:r w:rsidRPr="00BD7414">
          <w:rPr>
            <w:rStyle w:val="Hyperlink"/>
            <w:rFonts w:ascii="Arial" w:hAnsi="Arial"/>
            <w:noProof/>
          </w:rPr>
          <w:t>Table 13.1: Working Capital Turnover Ratio</w:t>
        </w:r>
        <w:r w:rsidRPr="00BD7414">
          <w:rPr>
            <w:rFonts w:ascii="Arial" w:hAnsi="Arial"/>
            <w:noProof/>
            <w:webHidden/>
          </w:rPr>
          <w:tab/>
        </w:r>
        <w:r w:rsidRPr="00BD7414">
          <w:rPr>
            <w:rFonts w:ascii="Arial" w:hAnsi="Arial"/>
            <w:noProof/>
            <w:webHidden/>
          </w:rPr>
          <w:fldChar w:fldCharType="begin"/>
        </w:r>
        <w:r w:rsidRPr="00BD7414">
          <w:rPr>
            <w:rFonts w:ascii="Arial" w:hAnsi="Arial"/>
            <w:noProof/>
            <w:webHidden/>
          </w:rPr>
          <w:instrText xml:space="preserve"> PAGEREF _Toc235804216 \h </w:instrText>
        </w:r>
        <w:r w:rsidRPr="00BD7414">
          <w:rPr>
            <w:rFonts w:ascii="Arial" w:hAnsi="Arial"/>
            <w:noProof/>
            <w:webHidden/>
          </w:rPr>
        </w:r>
        <w:r w:rsidRPr="00BD7414">
          <w:rPr>
            <w:rFonts w:ascii="Arial" w:hAnsi="Arial"/>
            <w:noProof/>
            <w:webHidden/>
          </w:rPr>
          <w:fldChar w:fldCharType="separate"/>
        </w:r>
        <w:r w:rsidRPr="00BD7414">
          <w:rPr>
            <w:rFonts w:ascii="Arial" w:hAnsi="Arial"/>
            <w:noProof/>
            <w:webHidden/>
          </w:rPr>
          <w:t>47</w:t>
        </w:r>
        <w:r w:rsidRPr="00BD7414">
          <w:rPr>
            <w:rFonts w:ascii="Arial" w:hAnsi="Arial"/>
            <w:noProof/>
            <w:webHidden/>
          </w:rPr>
          <w:fldChar w:fldCharType="end"/>
        </w:r>
      </w:hyperlink>
    </w:p>
    <w:p w14:paraId="14BC7E9C" w14:textId="2C445447" w:rsidR="00BD7414" w:rsidRPr="00BD7414" w:rsidRDefault="00BD7414">
      <w:pPr>
        <w:pStyle w:val="TableofFigures"/>
        <w:tabs>
          <w:tab w:val="right" w:leader="dot" w:pos="9019"/>
        </w:tabs>
        <w:rPr>
          <w:rFonts w:ascii="Arial" w:eastAsiaTheme="minorEastAsia" w:hAnsi="Arial"/>
          <w:noProof/>
          <w:kern w:val="2"/>
          <w:szCs w:val="24"/>
          <w14:ligatures w14:val="standardContextual"/>
        </w:rPr>
      </w:pPr>
      <w:hyperlink w:anchor="_Toc235804217" w:history="1">
        <w:r w:rsidRPr="00BD7414">
          <w:rPr>
            <w:rStyle w:val="Hyperlink"/>
            <w:rFonts w:ascii="Arial" w:hAnsi="Arial"/>
            <w:noProof/>
          </w:rPr>
          <w:t>Table 14.1: Net Working Capital</w:t>
        </w:r>
        <w:r w:rsidRPr="00BD7414">
          <w:rPr>
            <w:rFonts w:ascii="Arial" w:hAnsi="Arial"/>
            <w:noProof/>
            <w:webHidden/>
          </w:rPr>
          <w:tab/>
        </w:r>
        <w:r w:rsidRPr="00BD7414">
          <w:rPr>
            <w:rFonts w:ascii="Arial" w:hAnsi="Arial"/>
            <w:noProof/>
            <w:webHidden/>
          </w:rPr>
          <w:fldChar w:fldCharType="begin"/>
        </w:r>
        <w:r w:rsidRPr="00BD7414">
          <w:rPr>
            <w:rFonts w:ascii="Arial" w:hAnsi="Arial"/>
            <w:noProof/>
            <w:webHidden/>
          </w:rPr>
          <w:instrText xml:space="preserve"> PAGEREF _Toc235804217 \h </w:instrText>
        </w:r>
        <w:r w:rsidRPr="00BD7414">
          <w:rPr>
            <w:rFonts w:ascii="Arial" w:hAnsi="Arial"/>
            <w:noProof/>
            <w:webHidden/>
          </w:rPr>
        </w:r>
        <w:r w:rsidRPr="00BD7414">
          <w:rPr>
            <w:rFonts w:ascii="Arial" w:hAnsi="Arial"/>
            <w:noProof/>
            <w:webHidden/>
          </w:rPr>
          <w:fldChar w:fldCharType="separate"/>
        </w:r>
        <w:r w:rsidRPr="00BD7414">
          <w:rPr>
            <w:rFonts w:ascii="Arial" w:hAnsi="Arial"/>
            <w:noProof/>
            <w:webHidden/>
          </w:rPr>
          <w:t>48</w:t>
        </w:r>
        <w:r w:rsidRPr="00BD7414">
          <w:rPr>
            <w:rFonts w:ascii="Arial" w:hAnsi="Arial"/>
            <w:noProof/>
            <w:webHidden/>
          </w:rPr>
          <w:fldChar w:fldCharType="end"/>
        </w:r>
      </w:hyperlink>
    </w:p>
    <w:p w14:paraId="1E51E577" w14:textId="4C0596A1" w:rsidR="00BD7414" w:rsidRPr="00BD7414" w:rsidRDefault="00BD7414">
      <w:pPr>
        <w:pStyle w:val="TableofFigures"/>
        <w:tabs>
          <w:tab w:val="right" w:leader="dot" w:pos="9019"/>
        </w:tabs>
        <w:rPr>
          <w:rFonts w:ascii="Arial" w:eastAsiaTheme="minorEastAsia" w:hAnsi="Arial"/>
          <w:noProof/>
          <w:kern w:val="2"/>
          <w:szCs w:val="24"/>
          <w14:ligatures w14:val="standardContextual"/>
        </w:rPr>
      </w:pPr>
      <w:hyperlink w:anchor="_Toc235804218" w:history="1">
        <w:r w:rsidRPr="00BD7414">
          <w:rPr>
            <w:rStyle w:val="Hyperlink"/>
            <w:rFonts w:ascii="Arial" w:hAnsi="Arial"/>
            <w:noProof/>
          </w:rPr>
          <w:t>Table 15.1: Comprehensive Ratio Summary Table</w:t>
        </w:r>
        <w:r w:rsidRPr="00BD7414">
          <w:rPr>
            <w:rFonts w:ascii="Arial" w:hAnsi="Arial"/>
            <w:noProof/>
            <w:webHidden/>
          </w:rPr>
          <w:tab/>
        </w:r>
        <w:r w:rsidRPr="00BD7414">
          <w:rPr>
            <w:rFonts w:ascii="Arial" w:hAnsi="Arial"/>
            <w:noProof/>
            <w:webHidden/>
          </w:rPr>
          <w:fldChar w:fldCharType="begin"/>
        </w:r>
        <w:r w:rsidRPr="00BD7414">
          <w:rPr>
            <w:rFonts w:ascii="Arial" w:hAnsi="Arial"/>
            <w:noProof/>
            <w:webHidden/>
          </w:rPr>
          <w:instrText xml:space="preserve"> PAGEREF _Toc235804218 \h </w:instrText>
        </w:r>
        <w:r w:rsidRPr="00BD7414">
          <w:rPr>
            <w:rFonts w:ascii="Arial" w:hAnsi="Arial"/>
            <w:noProof/>
            <w:webHidden/>
          </w:rPr>
        </w:r>
        <w:r w:rsidRPr="00BD7414">
          <w:rPr>
            <w:rFonts w:ascii="Arial" w:hAnsi="Arial"/>
            <w:noProof/>
            <w:webHidden/>
          </w:rPr>
          <w:fldChar w:fldCharType="separate"/>
        </w:r>
        <w:r w:rsidRPr="00BD7414">
          <w:rPr>
            <w:rFonts w:ascii="Arial" w:hAnsi="Arial"/>
            <w:noProof/>
            <w:webHidden/>
          </w:rPr>
          <w:t>57</w:t>
        </w:r>
        <w:r w:rsidRPr="00BD7414">
          <w:rPr>
            <w:rFonts w:ascii="Arial" w:hAnsi="Arial"/>
            <w:noProof/>
            <w:webHidden/>
          </w:rPr>
          <w:fldChar w:fldCharType="end"/>
        </w:r>
      </w:hyperlink>
    </w:p>
    <w:p w14:paraId="46DCC1F3" w14:textId="31939FDB" w:rsidR="00BD7414" w:rsidRPr="00BD7414" w:rsidRDefault="00BD7414">
      <w:pPr>
        <w:pStyle w:val="TableofFigures"/>
        <w:tabs>
          <w:tab w:val="right" w:leader="dot" w:pos="9019"/>
        </w:tabs>
        <w:rPr>
          <w:rFonts w:ascii="Arial" w:eastAsiaTheme="minorEastAsia" w:hAnsi="Arial"/>
          <w:noProof/>
          <w:kern w:val="2"/>
          <w:szCs w:val="24"/>
          <w14:ligatures w14:val="standardContextual"/>
        </w:rPr>
      </w:pPr>
      <w:hyperlink w:anchor="_Toc235804219" w:history="1">
        <w:r w:rsidRPr="00BD7414">
          <w:rPr>
            <w:rStyle w:val="Hyperlink"/>
            <w:rFonts w:ascii="Arial" w:hAnsi="Arial"/>
            <w:noProof/>
          </w:rPr>
          <w:t>Table 16.1: List of Abbreviations</w:t>
        </w:r>
        <w:r w:rsidRPr="00BD7414">
          <w:rPr>
            <w:rFonts w:ascii="Arial" w:hAnsi="Arial"/>
            <w:noProof/>
            <w:webHidden/>
          </w:rPr>
          <w:tab/>
        </w:r>
        <w:r w:rsidRPr="00BD7414">
          <w:rPr>
            <w:rFonts w:ascii="Arial" w:hAnsi="Arial"/>
            <w:noProof/>
            <w:webHidden/>
          </w:rPr>
          <w:fldChar w:fldCharType="begin"/>
        </w:r>
        <w:r w:rsidRPr="00BD7414">
          <w:rPr>
            <w:rFonts w:ascii="Arial" w:hAnsi="Arial"/>
            <w:noProof/>
            <w:webHidden/>
          </w:rPr>
          <w:instrText xml:space="preserve"> PAGEREF _Toc235804219 \h </w:instrText>
        </w:r>
        <w:r w:rsidRPr="00BD7414">
          <w:rPr>
            <w:rFonts w:ascii="Arial" w:hAnsi="Arial"/>
            <w:noProof/>
            <w:webHidden/>
          </w:rPr>
        </w:r>
        <w:r w:rsidRPr="00BD7414">
          <w:rPr>
            <w:rFonts w:ascii="Arial" w:hAnsi="Arial"/>
            <w:noProof/>
            <w:webHidden/>
          </w:rPr>
          <w:fldChar w:fldCharType="separate"/>
        </w:r>
        <w:r w:rsidRPr="00BD7414">
          <w:rPr>
            <w:rFonts w:ascii="Arial" w:hAnsi="Arial"/>
            <w:noProof/>
            <w:webHidden/>
          </w:rPr>
          <w:t>58</w:t>
        </w:r>
        <w:r w:rsidRPr="00BD7414">
          <w:rPr>
            <w:rFonts w:ascii="Arial" w:hAnsi="Arial"/>
            <w:noProof/>
            <w:webHidden/>
          </w:rPr>
          <w:fldChar w:fldCharType="end"/>
        </w:r>
      </w:hyperlink>
    </w:p>
    <w:p w14:paraId="052AFF4A" w14:textId="1E095834" w:rsidR="00A82FF5" w:rsidRPr="00BD7414" w:rsidRDefault="00BD7414" w:rsidP="00D00E6D">
      <w:pPr>
        <w:rPr>
          <w:rFonts w:ascii="Arial" w:hAnsi="Arial"/>
        </w:rPr>
      </w:pPr>
      <w:r w:rsidRPr="00BD7414">
        <w:rPr>
          <w:rFonts w:ascii="Arial" w:hAnsi="Arial"/>
        </w:rPr>
        <w:fldChar w:fldCharType="end"/>
      </w:r>
    </w:p>
    <w:p w14:paraId="06DD49D3" w14:textId="77777777" w:rsidR="00A82FF5" w:rsidRPr="00BD7414" w:rsidRDefault="00A82FF5" w:rsidP="00D00E6D">
      <w:pPr>
        <w:rPr>
          <w:rFonts w:ascii="Arial" w:hAnsi="Arial"/>
        </w:rPr>
      </w:pPr>
    </w:p>
    <w:p w14:paraId="482E9C55" w14:textId="77777777" w:rsidR="00A82FF5" w:rsidRPr="00BD7414" w:rsidRDefault="00A82FF5" w:rsidP="00D00E6D">
      <w:pPr>
        <w:rPr>
          <w:rFonts w:ascii="Arial" w:hAnsi="Arial"/>
        </w:rPr>
      </w:pPr>
    </w:p>
    <w:p w14:paraId="39CCDAE5" w14:textId="77777777" w:rsidR="00A82FF5" w:rsidRPr="00BD7414" w:rsidRDefault="00A82FF5" w:rsidP="00D00E6D">
      <w:pPr>
        <w:rPr>
          <w:rFonts w:ascii="Arial" w:hAnsi="Arial"/>
        </w:rPr>
      </w:pPr>
    </w:p>
    <w:p w14:paraId="403F0EDF" w14:textId="77777777" w:rsidR="00A82FF5" w:rsidRPr="00BD7414" w:rsidRDefault="00A82FF5" w:rsidP="00D00E6D">
      <w:pPr>
        <w:rPr>
          <w:rFonts w:ascii="Arial" w:hAnsi="Arial"/>
        </w:rPr>
      </w:pPr>
    </w:p>
    <w:p w14:paraId="4A4841BB" w14:textId="77777777" w:rsidR="00A82FF5" w:rsidRPr="00BD7414" w:rsidRDefault="00A82FF5" w:rsidP="00D00E6D">
      <w:pPr>
        <w:rPr>
          <w:rFonts w:ascii="Arial" w:hAnsi="Arial"/>
        </w:rPr>
      </w:pPr>
    </w:p>
    <w:p w14:paraId="35A454C8" w14:textId="77777777" w:rsidR="00A82FF5" w:rsidRPr="00BD7414" w:rsidRDefault="00A82FF5" w:rsidP="00D00E6D">
      <w:pPr>
        <w:rPr>
          <w:rFonts w:ascii="Arial" w:hAnsi="Arial"/>
        </w:rPr>
      </w:pPr>
    </w:p>
    <w:p w14:paraId="6F20CC1C" w14:textId="77777777" w:rsidR="00A82FF5" w:rsidRPr="00BD7414" w:rsidRDefault="00A82FF5" w:rsidP="00D00E6D">
      <w:pPr>
        <w:rPr>
          <w:rFonts w:ascii="Arial" w:hAnsi="Arial"/>
        </w:rPr>
      </w:pPr>
    </w:p>
    <w:p w14:paraId="284DD432" w14:textId="77777777" w:rsidR="00A82FF5" w:rsidRPr="00BD7414" w:rsidRDefault="00A82FF5" w:rsidP="00D00E6D">
      <w:pPr>
        <w:rPr>
          <w:rFonts w:ascii="Arial" w:hAnsi="Arial"/>
        </w:rPr>
      </w:pPr>
    </w:p>
    <w:p w14:paraId="7E78642A" w14:textId="77777777" w:rsidR="00A82FF5" w:rsidRDefault="00A82FF5" w:rsidP="00D00E6D"/>
    <w:p w14:paraId="495587D0" w14:textId="77777777" w:rsidR="00FB03C0" w:rsidRDefault="00FB03C0" w:rsidP="00D00E6D"/>
    <w:p w14:paraId="19079EC2" w14:textId="77777777" w:rsidR="00A82FF5" w:rsidRDefault="00A82FF5" w:rsidP="00D00E6D"/>
    <w:p w14:paraId="04A42589" w14:textId="77777777" w:rsidR="00FB03C0" w:rsidRDefault="00FB03C0" w:rsidP="00D00E6D">
      <w:pPr>
        <w:sectPr w:rsidR="00FB03C0" w:rsidSect="000B5556">
          <w:pgSz w:w="11909" w:h="16834" w:code="9"/>
          <w:pgMar w:top="1440" w:right="1440" w:bottom="1440" w:left="1440" w:header="720" w:footer="720" w:gutter="0"/>
          <w:cols w:space="720"/>
          <w:docGrid w:linePitch="360"/>
        </w:sectPr>
      </w:pPr>
    </w:p>
    <w:p w14:paraId="412C8087" w14:textId="4BD7FC8A" w:rsidR="00335224" w:rsidRPr="002F2B78" w:rsidRDefault="00335224" w:rsidP="002F2B78">
      <w:pPr>
        <w:pStyle w:val="Heading1"/>
        <w:rPr>
          <w:rFonts w:ascii="Arial" w:hAnsi="Arial" w:cs="Arial"/>
          <w:sz w:val="32"/>
          <w:szCs w:val="32"/>
        </w:rPr>
      </w:pPr>
      <w:bookmarkStart w:id="11" w:name="_Toc235801916"/>
      <w:r w:rsidRPr="002F2B78">
        <w:rPr>
          <w:rFonts w:ascii="Arial" w:hAnsi="Arial" w:cs="Arial"/>
          <w:sz w:val="32"/>
          <w:szCs w:val="32"/>
        </w:rPr>
        <w:lastRenderedPageBreak/>
        <w:t>C</w:t>
      </w:r>
      <w:r w:rsidR="00DD6263" w:rsidRPr="002F2B78">
        <w:rPr>
          <w:rFonts w:ascii="Arial" w:hAnsi="Arial" w:cs="Arial"/>
          <w:sz w:val="32"/>
          <w:szCs w:val="32"/>
        </w:rPr>
        <w:t>HAPTER 1: INTRODUCTION</w:t>
      </w:r>
      <w:bookmarkEnd w:id="11"/>
    </w:p>
    <w:p w14:paraId="634B9B2D" w14:textId="123582B6" w:rsidR="00335224" w:rsidRPr="00DD6263" w:rsidRDefault="00335224" w:rsidP="00E13EDB">
      <w:pPr>
        <w:pStyle w:val="Heading2"/>
        <w:spacing w:before="0" w:line="276" w:lineRule="auto"/>
        <w:rPr>
          <w:rFonts w:ascii="Arial" w:hAnsi="Arial" w:cs="Arial"/>
          <w:color w:val="156082" w:themeColor="accent1"/>
          <w:sz w:val="28"/>
          <w:szCs w:val="28"/>
        </w:rPr>
      </w:pPr>
      <w:bookmarkStart w:id="12" w:name="_Toc235801917"/>
      <w:r w:rsidRPr="00DD6263">
        <w:rPr>
          <w:rFonts w:ascii="Arial" w:hAnsi="Arial" w:cs="Arial"/>
          <w:color w:val="156082" w:themeColor="accent1"/>
          <w:sz w:val="28"/>
          <w:szCs w:val="28"/>
        </w:rPr>
        <w:t xml:space="preserve">1.1 Background of the </w:t>
      </w:r>
      <w:r w:rsidR="00E65689" w:rsidRPr="00DD6263">
        <w:rPr>
          <w:rFonts w:ascii="Arial" w:hAnsi="Arial" w:cs="Arial"/>
          <w:color w:val="156082" w:themeColor="accent1"/>
          <w:sz w:val="28"/>
          <w:szCs w:val="28"/>
        </w:rPr>
        <w:t>Report</w:t>
      </w:r>
      <w:bookmarkEnd w:id="12"/>
    </w:p>
    <w:p w14:paraId="6CF9F877" w14:textId="23DB411A" w:rsidR="00B12B59" w:rsidRPr="00FA0A98" w:rsidRDefault="00B12B59" w:rsidP="00FA0A98">
      <w:pPr>
        <w:spacing w:after="240"/>
        <w:rPr>
          <w:rFonts w:ascii="Arial" w:hAnsi="Arial"/>
        </w:rPr>
      </w:pPr>
      <w:r w:rsidRPr="00FA0A98">
        <w:rPr>
          <w:rFonts w:ascii="Arial" w:hAnsi="Arial"/>
        </w:rPr>
        <w:t>Working capital management has been defined as efficient control of current assets and current liabilities of an enterprise at any point in time. This feature of financial management, while it involves manufacturing, trading, or any service concern, is relevant directly toward making possible an adequate and optimum amount of working capital into cash bank balances inventories debts Loans and Advance among working Asset and Bill of, Debtors, Provision for Taxation, and deter payments. The most pressing requirement for working capital is to preserve its operating existence and profitability.</w:t>
      </w:r>
    </w:p>
    <w:p w14:paraId="605124FD" w14:textId="112EB515" w:rsidR="00B12B59" w:rsidRPr="00FA0A98" w:rsidRDefault="00B12B59" w:rsidP="00FA0A98">
      <w:pPr>
        <w:spacing w:after="240"/>
        <w:rPr>
          <w:rFonts w:ascii="Arial" w:hAnsi="Arial"/>
        </w:rPr>
      </w:pPr>
      <w:r w:rsidRPr="00FA0A98">
        <w:rPr>
          <w:rFonts w:ascii="Arial" w:hAnsi="Arial"/>
        </w:rPr>
        <w:t>Management of working capital in manufacturing and trading concern has been discussed as extensive research and debated issue. In the current study we intend to study on working capital management of a service concern that is accounting firm of Bangladesh is largely yet to explore today.</w:t>
      </w:r>
    </w:p>
    <w:p w14:paraId="58F6AFC2" w14:textId="4A34991E" w:rsidR="00307FC6" w:rsidRPr="00FA0A98" w:rsidRDefault="00307FC6" w:rsidP="00FA0A98">
      <w:pPr>
        <w:spacing w:after="240"/>
        <w:rPr>
          <w:rFonts w:ascii="Arial" w:hAnsi="Arial"/>
        </w:rPr>
      </w:pPr>
      <w:r w:rsidRPr="00FA0A98">
        <w:rPr>
          <w:rFonts w:ascii="Arial" w:hAnsi="Arial"/>
        </w:rPr>
        <w:t>Usually, the working capital composition of service organizations consists of only cash, bank balances, trade receivables and advance against fee received from clients as working capital liabilities, and other working capital items include salary payable, provisions for tax, provisions for employee benefit fund, VAT payable, and advance against fee received from client. Tokyo Consulting Firm Limited, Bangladesh (TCF Bangladesh) has been chosen for our research study, as the company is engaged in rendering professional consulting services and it had successfully achieved its business and revenue growth over five consecutive financial years from 2021 to 2025, where the company’s total asset has been raised from BDT 6.56 Crore to BDT 13.66 Crore during 2021 and 2025 respectively. The research uses the company’s Audited Annual Financial Statements for performing an empirical analysis.</w:t>
      </w:r>
    </w:p>
    <w:p w14:paraId="03F67435" w14:textId="391E0227" w:rsidR="00335224" w:rsidRPr="00DD6263" w:rsidRDefault="00335224" w:rsidP="00EE3640">
      <w:pPr>
        <w:pStyle w:val="Heading2"/>
        <w:spacing w:before="0" w:line="276" w:lineRule="auto"/>
        <w:rPr>
          <w:rFonts w:ascii="Arial" w:hAnsi="Arial" w:cs="Arial"/>
          <w:color w:val="156082" w:themeColor="accent1"/>
          <w:sz w:val="28"/>
          <w:szCs w:val="28"/>
        </w:rPr>
      </w:pPr>
      <w:bookmarkStart w:id="13" w:name="_Toc235801918"/>
      <w:r w:rsidRPr="00DD6263">
        <w:rPr>
          <w:rFonts w:ascii="Arial" w:hAnsi="Arial" w:cs="Arial"/>
          <w:color w:val="156082" w:themeColor="accent1"/>
          <w:sz w:val="28"/>
          <w:szCs w:val="28"/>
        </w:rPr>
        <w:t xml:space="preserve">1.2 Objectives of the </w:t>
      </w:r>
      <w:r w:rsidR="00E65689" w:rsidRPr="00DD6263">
        <w:rPr>
          <w:rFonts w:ascii="Arial" w:hAnsi="Arial" w:cs="Arial"/>
          <w:color w:val="156082" w:themeColor="accent1"/>
          <w:sz w:val="28"/>
          <w:szCs w:val="28"/>
        </w:rPr>
        <w:t>Report</w:t>
      </w:r>
      <w:bookmarkEnd w:id="13"/>
    </w:p>
    <w:p w14:paraId="20D4B660" w14:textId="64E78C4D" w:rsidR="00335224" w:rsidRPr="00CB631B" w:rsidRDefault="00335224" w:rsidP="00F37B76">
      <w:pPr>
        <w:rPr>
          <w:rFonts w:ascii="Arial" w:hAnsi="Arial"/>
          <w:b/>
          <w:bCs/>
          <w:color w:val="156082" w:themeColor="accent1"/>
        </w:rPr>
      </w:pPr>
      <w:r w:rsidRPr="00CB631B">
        <w:rPr>
          <w:rFonts w:ascii="Arial" w:hAnsi="Arial"/>
          <w:b/>
          <w:bCs/>
          <w:color w:val="156082" w:themeColor="accent1"/>
        </w:rPr>
        <w:t>Primary Objective</w:t>
      </w:r>
    </w:p>
    <w:p w14:paraId="683B3F00" w14:textId="07365674" w:rsidR="00FA5F8B" w:rsidRPr="00FA0A98" w:rsidRDefault="00307FC6" w:rsidP="00F37B76">
      <w:pPr>
        <w:spacing w:after="100"/>
        <w:rPr>
          <w:rFonts w:ascii="Arial" w:hAnsi="Arial"/>
          <w:szCs w:val="24"/>
        </w:rPr>
      </w:pPr>
      <w:r w:rsidRPr="00FA0A98">
        <w:rPr>
          <w:rFonts w:ascii="Arial" w:hAnsi="Arial"/>
          <w:szCs w:val="24"/>
        </w:rPr>
        <w:t xml:space="preserve">The main aim of this report is to make descriptive analysis of the working capital management process of Tokyo Consulting Firm Limited, Bangladesh (TCF Bangladesh) during 5 (five) years of time (from 2021 to 2025). The aim of conducting </w:t>
      </w:r>
      <w:r w:rsidRPr="00FA0A98">
        <w:rPr>
          <w:rFonts w:ascii="Arial" w:hAnsi="Arial"/>
          <w:szCs w:val="24"/>
        </w:rPr>
        <w:lastRenderedPageBreak/>
        <w:t>the research is to analyze the structure, behaviors and trend of current assets and current liabilities of TCF Bangladesh during this 5 (five) year period to check whether the company is dealing with current assets and liabilities in the proper way, maintaining liquidity at appropriate level, operating cycle in smooth manner or not, contribution to the financial stability of the company or not and finally the area which can be improved to manage financial process of the company properly.</w:t>
      </w:r>
    </w:p>
    <w:p w14:paraId="1639DF7D" w14:textId="273C14FE" w:rsidR="00335224" w:rsidRPr="00CB631B" w:rsidRDefault="00F37B76" w:rsidP="00F37B76">
      <w:pPr>
        <w:rPr>
          <w:rFonts w:ascii="Arial" w:hAnsi="Arial"/>
          <w:b/>
          <w:bCs/>
          <w:color w:val="156082" w:themeColor="accent1"/>
        </w:rPr>
      </w:pPr>
      <w:r w:rsidRPr="00CB631B">
        <w:rPr>
          <w:rFonts w:ascii="Arial" w:hAnsi="Arial"/>
          <w:b/>
          <w:bCs/>
          <w:color w:val="156082" w:themeColor="accent1"/>
        </w:rPr>
        <w:t>S</w:t>
      </w:r>
      <w:r w:rsidR="00335224" w:rsidRPr="00CB631B">
        <w:rPr>
          <w:rFonts w:ascii="Arial" w:hAnsi="Arial"/>
          <w:b/>
          <w:bCs/>
          <w:color w:val="156082" w:themeColor="accent1"/>
        </w:rPr>
        <w:t>pecific Objectives</w:t>
      </w:r>
    </w:p>
    <w:p w14:paraId="6607732B" w14:textId="18A851DA" w:rsidR="008E7DCE" w:rsidRPr="00774A1A" w:rsidRDefault="008E7DCE" w:rsidP="00774A1A">
      <w:pPr>
        <w:pStyle w:val="ListParagraph"/>
        <w:numPr>
          <w:ilvl w:val="0"/>
          <w:numId w:val="3"/>
        </w:numPr>
        <w:spacing w:after="60"/>
        <w:rPr>
          <w:rFonts w:ascii="Arial" w:hAnsi="Arial"/>
          <w:szCs w:val="24"/>
        </w:rPr>
      </w:pPr>
      <w:r w:rsidRPr="00774A1A">
        <w:rPr>
          <w:rFonts w:ascii="Arial" w:hAnsi="Arial"/>
          <w:szCs w:val="24"/>
        </w:rPr>
        <w:t>To</w:t>
      </w:r>
      <w:r w:rsidR="00307FC6" w:rsidRPr="00774A1A">
        <w:rPr>
          <w:rFonts w:ascii="Arial" w:hAnsi="Arial"/>
          <w:szCs w:val="24"/>
        </w:rPr>
        <w:t xml:space="preserve"> find out structure &amp; trend of present assets &amp; present liability in Bangladesh TCF Bangladesh - To analyze, compare, interpret and calculation for different ratio viz current ratio, quick ratio and cash ratio.</w:t>
      </w:r>
    </w:p>
    <w:p w14:paraId="46DA19E1" w14:textId="3587028B" w:rsidR="008E7DCE" w:rsidRPr="00774A1A" w:rsidRDefault="008E7DCE" w:rsidP="00774A1A">
      <w:pPr>
        <w:pStyle w:val="ListParagraph"/>
        <w:numPr>
          <w:ilvl w:val="0"/>
          <w:numId w:val="3"/>
        </w:numPr>
        <w:spacing w:after="60"/>
        <w:rPr>
          <w:rFonts w:ascii="Arial" w:hAnsi="Arial"/>
          <w:szCs w:val="24"/>
        </w:rPr>
      </w:pPr>
      <w:r w:rsidRPr="00774A1A">
        <w:rPr>
          <w:rFonts w:ascii="Arial" w:hAnsi="Arial"/>
          <w:szCs w:val="24"/>
        </w:rPr>
        <w:t xml:space="preserve">To </w:t>
      </w:r>
      <w:r w:rsidR="00307FC6" w:rsidRPr="00774A1A">
        <w:rPr>
          <w:rFonts w:ascii="Arial" w:hAnsi="Arial"/>
          <w:szCs w:val="24"/>
        </w:rPr>
        <w:t xml:space="preserve">Analyze the receivable collection period payable deferral period, cash conversion period. </w:t>
      </w:r>
    </w:p>
    <w:p w14:paraId="381F9DBD" w14:textId="77777777" w:rsidR="008E7DCE" w:rsidRPr="00774A1A" w:rsidRDefault="008E7DCE" w:rsidP="00774A1A">
      <w:pPr>
        <w:pStyle w:val="ListParagraph"/>
        <w:numPr>
          <w:ilvl w:val="0"/>
          <w:numId w:val="3"/>
        </w:numPr>
        <w:spacing w:after="60"/>
        <w:rPr>
          <w:rFonts w:ascii="Arial" w:hAnsi="Arial"/>
          <w:szCs w:val="24"/>
        </w:rPr>
      </w:pPr>
      <w:r w:rsidRPr="00774A1A">
        <w:rPr>
          <w:rFonts w:ascii="Arial" w:hAnsi="Arial"/>
          <w:szCs w:val="24"/>
        </w:rPr>
        <w:t xml:space="preserve">To evaluate the performance of profitability of the firm relating to working capital efficiency. </w:t>
      </w:r>
    </w:p>
    <w:p w14:paraId="2FF31CB3" w14:textId="77777777" w:rsidR="008E7DCE" w:rsidRPr="00774A1A" w:rsidRDefault="008E7DCE" w:rsidP="00774A1A">
      <w:pPr>
        <w:pStyle w:val="ListParagraph"/>
        <w:numPr>
          <w:ilvl w:val="0"/>
          <w:numId w:val="3"/>
        </w:numPr>
        <w:spacing w:after="60"/>
        <w:rPr>
          <w:rFonts w:ascii="Arial" w:hAnsi="Arial"/>
          <w:szCs w:val="24"/>
        </w:rPr>
      </w:pPr>
      <w:r w:rsidRPr="00774A1A">
        <w:rPr>
          <w:rFonts w:ascii="Arial" w:hAnsi="Arial"/>
          <w:szCs w:val="24"/>
        </w:rPr>
        <w:t xml:space="preserve">To examine the operating and investing cash flow trend of TCF Bangladesh. </w:t>
      </w:r>
    </w:p>
    <w:p w14:paraId="1CA0CBFB" w14:textId="70E6B040" w:rsidR="008E7DCE" w:rsidRPr="00774A1A" w:rsidRDefault="008E7DCE" w:rsidP="00774A1A">
      <w:pPr>
        <w:pStyle w:val="ListParagraph"/>
        <w:numPr>
          <w:ilvl w:val="0"/>
          <w:numId w:val="3"/>
        </w:numPr>
        <w:spacing w:after="60"/>
        <w:rPr>
          <w:rFonts w:ascii="Arial" w:hAnsi="Arial"/>
          <w:szCs w:val="24"/>
        </w:rPr>
      </w:pPr>
      <w:r w:rsidRPr="00774A1A">
        <w:rPr>
          <w:rFonts w:ascii="Arial" w:hAnsi="Arial"/>
          <w:szCs w:val="24"/>
        </w:rPr>
        <w:t xml:space="preserve">To </w:t>
      </w:r>
      <w:r w:rsidR="00307FC6" w:rsidRPr="00774A1A">
        <w:rPr>
          <w:rFonts w:ascii="Arial" w:hAnsi="Arial"/>
          <w:szCs w:val="24"/>
        </w:rPr>
        <w:t>ascertain working capital's strengths and weaknesses in managing the company.</w:t>
      </w:r>
    </w:p>
    <w:p w14:paraId="77B7B4D5" w14:textId="45589D11" w:rsidR="00992F65" w:rsidRDefault="008E7DCE" w:rsidP="00774A1A">
      <w:pPr>
        <w:pStyle w:val="ListParagraph"/>
        <w:numPr>
          <w:ilvl w:val="0"/>
          <w:numId w:val="3"/>
        </w:numPr>
        <w:spacing w:after="60"/>
        <w:rPr>
          <w:rFonts w:ascii="Arial" w:hAnsi="Arial"/>
          <w:szCs w:val="24"/>
        </w:rPr>
      </w:pPr>
      <w:r w:rsidRPr="00774A1A">
        <w:rPr>
          <w:rFonts w:ascii="Arial" w:hAnsi="Arial"/>
          <w:szCs w:val="24"/>
        </w:rPr>
        <w:t xml:space="preserve">To </w:t>
      </w:r>
      <w:r w:rsidR="00307FC6" w:rsidRPr="00774A1A">
        <w:rPr>
          <w:rFonts w:ascii="Arial" w:hAnsi="Arial"/>
          <w:szCs w:val="24"/>
        </w:rPr>
        <w:t>provide the effective solution for working capital management enhancement of TCF Bangladesh.</w:t>
      </w:r>
    </w:p>
    <w:p w14:paraId="469DFC23" w14:textId="48EABB03" w:rsidR="00E65689" w:rsidRPr="00DD6263" w:rsidRDefault="00E65689" w:rsidP="00E65689">
      <w:pPr>
        <w:pStyle w:val="Heading2"/>
        <w:rPr>
          <w:rFonts w:ascii="Arial" w:hAnsi="Arial" w:cs="Arial"/>
          <w:color w:val="156082" w:themeColor="accent1"/>
          <w:sz w:val="28"/>
          <w:szCs w:val="28"/>
        </w:rPr>
      </w:pPr>
      <w:bookmarkStart w:id="14" w:name="_Toc235801919"/>
      <w:r w:rsidRPr="00DD6263">
        <w:rPr>
          <w:rFonts w:ascii="Arial" w:hAnsi="Arial" w:cs="Arial"/>
          <w:color w:val="156082" w:themeColor="accent1"/>
          <w:sz w:val="28"/>
          <w:szCs w:val="28"/>
        </w:rPr>
        <w:t>1.3 Rationale of the Report</w:t>
      </w:r>
      <w:bookmarkEnd w:id="14"/>
    </w:p>
    <w:p w14:paraId="66390115" w14:textId="4F241577" w:rsidR="00916161" w:rsidRPr="00916161" w:rsidRDefault="00916161" w:rsidP="00916161">
      <w:pPr>
        <w:rPr>
          <w:rFonts w:ascii="Arial" w:hAnsi="Arial"/>
        </w:rPr>
      </w:pPr>
      <w:r w:rsidRPr="00916161">
        <w:rPr>
          <w:rFonts w:ascii="Arial" w:hAnsi="Arial"/>
        </w:rPr>
        <w:t>During my internship, what I wanted to do is to gain insights into how TCF Bangladesh works from the back of the house, not just watching what goes on every day in the offices but also learning how they manage their finances at TCF, and how they manage their working money in particular. No matter how successful a business is, it requires a proper liquidity position to conduct its business smoothly, and I wanted to find out how a firm of consultants like TCF manages that balance.</w:t>
      </w:r>
    </w:p>
    <w:p w14:paraId="64A04AD5" w14:textId="33EB7053" w:rsidR="00E65689" w:rsidRPr="00DD6263" w:rsidRDefault="00916161" w:rsidP="00916161">
      <w:pPr>
        <w:rPr>
          <w:rFonts w:ascii="Arial" w:hAnsi="Arial"/>
        </w:rPr>
      </w:pPr>
      <w:r w:rsidRPr="00916161">
        <w:rPr>
          <w:rFonts w:ascii="Arial" w:hAnsi="Arial"/>
        </w:rPr>
        <w:t>This report afforded me the opportunity to put into practice the concepts that I had learned in class, rather than in a textbook example, with real financial statements. It was also a good feeling to be able to do something constructive for TCF itself, providing them with useful ideas and practical suggestions, based on real examination of their five-year financials.</w:t>
      </w:r>
    </w:p>
    <w:p w14:paraId="3D991E66" w14:textId="47A2A100" w:rsidR="00335224" w:rsidRPr="00DD6263" w:rsidRDefault="00335224" w:rsidP="00E13EDB">
      <w:pPr>
        <w:pStyle w:val="Heading2"/>
        <w:spacing w:before="0" w:line="276" w:lineRule="auto"/>
        <w:rPr>
          <w:rFonts w:ascii="Arial" w:hAnsi="Arial" w:cs="Arial"/>
          <w:color w:val="156082" w:themeColor="accent1"/>
          <w:sz w:val="28"/>
          <w:szCs w:val="28"/>
        </w:rPr>
      </w:pPr>
      <w:bookmarkStart w:id="15" w:name="_Toc235801920"/>
      <w:r w:rsidRPr="00DD6263">
        <w:rPr>
          <w:rFonts w:ascii="Arial" w:hAnsi="Arial" w:cs="Arial"/>
          <w:color w:val="156082" w:themeColor="accent1"/>
          <w:sz w:val="28"/>
          <w:szCs w:val="28"/>
        </w:rPr>
        <w:lastRenderedPageBreak/>
        <w:t>1.</w:t>
      </w:r>
      <w:r w:rsidR="00E65689" w:rsidRPr="00DD6263">
        <w:rPr>
          <w:rFonts w:ascii="Arial" w:hAnsi="Arial" w:cs="Arial"/>
          <w:color w:val="156082" w:themeColor="accent1"/>
          <w:sz w:val="28"/>
          <w:szCs w:val="28"/>
        </w:rPr>
        <w:t>4</w:t>
      </w:r>
      <w:r w:rsidRPr="00DD6263">
        <w:rPr>
          <w:rFonts w:ascii="Arial" w:hAnsi="Arial" w:cs="Arial"/>
          <w:color w:val="156082" w:themeColor="accent1"/>
          <w:sz w:val="28"/>
          <w:szCs w:val="28"/>
        </w:rPr>
        <w:t xml:space="preserve"> Scope</w:t>
      </w:r>
      <w:r w:rsidR="00E65689" w:rsidRPr="00DD6263">
        <w:rPr>
          <w:rFonts w:ascii="Arial" w:hAnsi="Arial" w:cs="Arial"/>
          <w:color w:val="156082" w:themeColor="accent1"/>
          <w:sz w:val="28"/>
          <w:szCs w:val="28"/>
        </w:rPr>
        <w:t xml:space="preserve"> </w:t>
      </w:r>
      <w:r w:rsidRPr="00DD6263">
        <w:rPr>
          <w:rFonts w:ascii="Arial" w:hAnsi="Arial" w:cs="Arial"/>
          <w:color w:val="156082" w:themeColor="accent1"/>
          <w:sz w:val="28"/>
          <w:szCs w:val="28"/>
        </w:rPr>
        <w:t xml:space="preserve">of the </w:t>
      </w:r>
      <w:r w:rsidR="00E65689" w:rsidRPr="00DD6263">
        <w:rPr>
          <w:rFonts w:ascii="Arial" w:hAnsi="Arial" w:cs="Arial"/>
          <w:color w:val="156082" w:themeColor="accent1"/>
          <w:sz w:val="28"/>
          <w:szCs w:val="28"/>
        </w:rPr>
        <w:t>Report</w:t>
      </w:r>
      <w:bookmarkEnd w:id="15"/>
    </w:p>
    <w:p w14:paraId="58308339" w14:textId="08C6C24C" w:rsidR="00D3168B" w:rsidRPr="00774A1A" w:rsidRDefault="00335224" w:rsidP="00774A1A">
      <w:pPr>
        <w:spacing w:after="80"/>
        <w:rPr>
          <w:rFonts w:ascii="Arial" w:hAnsi="Arial"/>
          <w:szCs w:val="24"/>
        </w:rPr>
      </w:pPr>
      <w:r w:rsidRPr="00774A1A">
        <w:rPr>
          <w:rFonts w:ascii="Arial" w:hAnsi="Arial"/>
          <w:szCs w:val="24"/>
        </w:rPr>
        <w:t>This report focuses exclusively on Tokyo Consulting Firm Limited, Bangladesh. The scope covers:</w:t>
      </w:r>
    </w:p>
    <w:p w14:paraId="06709C5F" w14:textId="79AAE093" w:rsidR="00D3168B" w:rsidRPr="00774A1A" w:rsidRDefault="00D3168B" w:rsidP="00774A1A">
      <w:pPr>
        <w:pStyle w:val="ListParagraph"/>
        <w:numPr>
          <w:ilvl w:val="0"/>
          <w:numId w:val="2"/>
        </w:numPr>
        <w:spacing w:after="60"/>
        <w:rPr>
          <w:rFonts w:ascii="Arial" w:hAnsi="Arial"/>
          <w:szCs w:val="24"/>
        </w:rPr>
      </w:pPr>
      <w:r w:rsidRPr="00774A1A">
        <w:rPr>
          <w:rFonts w:ascii="Arial" w:hAnsi="Arial"/>
          <w:szCs w:val="24"/>
        </w:rPr>
        <w:t>This</w:t>
      </w:r>
      <w:r w:rsidR="00307FC6" w:rsidRPr="00774A1A">
        <w:rPr>
          <w:rFonts w:ascii="Arial" w:hAnsi="Arial"/>
          <w:szCs w:val="24"/>
        </w:rPr>
        <w:t xml:space="preserve"> report has only one purpose that is a financial statement analysis of Tokyo Consulting Firm Limited, Bangladesh for Five fiscal years from 01/07/2020 - 30/06/2025</w:t>
      </w:r>
      <w:r w:rsidR="00854EE5" w:rsidRPr="00774A1A">
        <w:rPr>
          <w:rFonts w:ascii="Arial" w:hAnsi="Arial"/>
          <w:szCs w:val="24"/>
        </w:rPr>
        <w:t>,</w:t>
      </w:r>
      <w:r w:rsidR="00307FC6" w:rsidRPr="00774A1A">
        <w:rPr>
          <w:rFonts w:ascii="Arial" w:hAnsi="Arial"/>
          <w:szCs w:val="24"/>
        </w:rPr>
        <w:t xml:space="preserve"> F</w:t>
      </w:r>
      <w:r w:rsidR="00854EE5" w:rsidRPr="00774A1A">
        <w:rPr>
          <w:rFonts w:ascii="Arial" w:hAnsi="Arial"/>
          <w:szCs w:val="24"/>
        </w:rPr>
        <w:t xml:space="preserve">iscal </w:t>
      </w:r>
      <w:r w:rsidR="00307FC6" w:rsidRPr="00774A1A">
        <w:rPr>
          <w:rFonts w:ascii="Arial" w:hAnsi="Arial"/>
          <w:szCs w:val="24"/>
        </w:rPr>
        <w:t>Y</w:t>
      </w:r>
      <w:r w:rsidR="00854EE5" w:rsidRPr="00774A1A">
        <w:rPr>
          <w:rFonts w:ascii="Arial" w:hAnsi="Arial"/>
          <w:szCs w:val="24"/>
        </w:rPr>
        <w:t xml:space="preserve">ear </w:t>
      </w:r>
      <w:r w:rsidR="00307FC6" w:rsidRPr="00774A1A">
        <w:rPr>
          <w:rFonts w:ascii="Arial" w:hAnsi="Arial"/>
          <w:szCs w:val="24"/>
        </w:rPr>
        <w:t>2021-</w:t>
      </w:r>
      <w:r w:rsidR="00854EE5" w:rsidRPr="00774A1A">
        <w:rPr>
          <w:rFonts w:ascii="Arial" w:hAnsi="Arial"/>
          <w:szCs w:val="24"/>
        </w:rPr>
        <w:t xml:space="preserve"> </w:t>
      </w:r>
      <w:r w:rsidR="00307FC6" w:rsidRPr="00774A1A">
        <w:rPr>
          <w:rFonts w:ascii="Arial" w:hAnsi="Arial"/>
          <w:szCs w:val="24"/>
        </w:rPr>
        <w:t>F</w:t>
      </w:r>
      <w:r w:rsidR="00854EE5" w:rsidRPr="00774A1A">
        <w:rPr>
          <w:rFonts w:ascii="Arial" w:hAnsi="Arial"/>
          <w:szCs w:val="24"/>
        </w:rPr>
        <w:t xml:space="preserve">iscal </w:t>
      </w:r>
      <w:r w:rsidR="00307FC6" w:rsidRPr="00774A1A">
        <w:rPr>
          <w:rFonts w:ascii="Arial" w:hAnsi="Arial"/>
          <w:szCs w:val="24"/>
        </w:rPr>
        <w:t>Y</w:t>
      </w:r>
      <w:r w:rsidR="00854EE5" w:rsidRPr="00774A1A">
        <w:rPr>
          <w:rFonts w:ascii="Arial" w:hAnsi="Arial"/>
          <w:szCs w:val="24"/>
        </w:rPr>
        <w:t xml:space="preserve">ear </w:t>
      </w:r>
      <w:r w:rsidR="00307FC6" w:rsidRPr="00774A1A">
        <w:rPr>
          <w:rFonts w:ascii="Arial" w:hAnsi="Arial"/>
          <w:szCs w:val="24"/>
        </w:rPr>
        <w:t>2025.</w:t>
      </w:r>
    </w:p>
    <w:p w14:paraId="7A7D976B" w14:textId="28B81F41" w:rsidR="00AD3919" w:rsidRPr="00774A1A" w:rsidRDefault="00307FC6" w:rsidP="00774A1A">
      <w:pPr>
        <w:pStyle w:val="ListParagraph"/>
        <w:numPr>
          <w:ilvl w:val="0"/>
          <w:numId w:val="2"/>
        </w:numPr>
        <w:spacing w:after="60"/>
        <w:rPr>
          <w:rFonts w:ascii="Arial" w:hAnsi="Arial"/>
          <w:szCs w:val="24"/>
        </w:rPr>
      </w:pPr>
      <w:r w:rsidRPr="00774A1A">
        <w:rPr>
          <w:rFonts w:ascii="Arial" w:hAnsi="Arial"/>
          <w:szCs w:val="24"/>
        </w:rPr>
        <w:t>TCF Bangladesh’s audited financial statements data analysis we analyze Working capital position. TCF Bangladesh's financial ratio analysis. Liquidity. Profitability. Working capital efficiencies. &amp; Cash flows</w:t>
      </w:r>
    </w:p>
    <w:p w14:paraId="492BA1A1" w14:textId="0B6F78BA" w:rsidR="00D3168B" w:rsidRPr="00774A1A" w:rsidRDefault="00B42DDF" w:rsidP="00774A1A">
      <w:pPr>
        <w:pStyle w:val="ListParagraph"/>
        <w:numPr>
          <w:ilvl w:val="0"/>
          <w:numId w:val="2"/>
        </w:numPr>
        <w:spacing w:after="60"/>
        <w:rPr>
          <w:rFonts w:ascii="Arial" w:hAnsi="Arial"/>
          <w:szCs w:val="24"/>
        </w:rPr>
      </w:pPr>
      <w:r w:rsidRPr="00774A1A">
        <w:rPr>
          <w:rFonts w:ascii="Arial" w:hAnsi="Arial"/>
          <w:szCs w:val="24"/>
        </w:rPr>
        <w:t>The report does not include the working of the headquarters of the group (Tokyo Consulting Group and its subordinates).</w:t>
      </w:r>
    </w:p>
    <w:p w14:paraId="592E7C71" w14:textId="7A389400" w:rsidR="00A52199" w:rsidRPr="00DD6263" w:rsidRDefault="00335224" w:rsidP="001C3B4C">
      <w:pPr>
        <w:pStyle w:val="Heading2"/>
        <w:spacing w:before="0" w:line="276" w:lineRule="auto"/>
        <w:rPr>
          <w:rFonts w:ascii="Arial" w:hAnsi="Arial" w:cs="Arial"/>
          <w:color w:val="156082" w:themeColor="accent1"/>
          <w:sz w:val="28"/>
          <w:szCs w:val="28"/>
        </w:rPr>
      </w:pPr>
      <w:bookmarkStart w:id="16" w:name="_Toc235801921"/>
      <w:r w:rsidRPr="00DD6263">
        <w:rPr>
          <w:rFonts w:ascii="Arial" w:hAnsi="Arial" w:cs="Arial"/>
          <w:color w:val="156082" w:themeColor="accent1"/>
          <w:sz w:val="28"/>
          <w:szCs w:val="28"/>
        </w:rPr>
        <w:t>1.</w:t>
      </w:r>
      <w:r w:rsidR="00E65689" w:rsidRPr="00DD6263">
        <w:rPr>
          <w:rFonts w:ascii="Arial" w:hAnsi="Arial" w:cs="Arial"/>
          <w:color w:val="156082" w:themeColor="accent1"/>
          <w:sz w:val="28"/>
          <w:szCs w:val="28"/>
        </w:rPr>
        <w:t>5</w:t>
      </w:r>
      <w:r w:rsidRPr="00DD6263">
        <w:rPr>
          <w:rFonts w:ascii="Arial" w:hAnsi="Arial" w:cs="Arial"/>
          <w:color w:val="156082" w:themeColor="accent1"/>
          <w:sz w:val="28"/>
          <w:szCs w:val="28"/>
        </w:rPr>
        <w:t xml:space="preserve"> Methodology</w:t>
      </w:r>
      <w:bookmarkEnd w:id="16"/>
    </w:p>
    <w:p w14:paraId="4E4F8E56" w14:textId="0E0C2E4F" w:rsidR="00A52199" w:rsidRPr="00774A1A" w:rsidRDefault="00012EA1" w:rsidP="00774A1A">
      <w:pPr>
        <w:rPr>
          <w:rFonts w:ascii="Arial" w:hAnsi="Arial"/>
        </w:rPr>
      </w:pPr>
      <w:r w:rsidRPr="00774A1A">
        <w:rPr>
          <w:rFonts w:ascii="Arial" w:hAnsi="Arial"/>
        </w:rPr>
        <w:t>All the information used in this report is secondary information and analysis in this study is conducted using written documents. So, it is not necessary to have primary data sources such as personal interviews, questionnaires etc. in this paper. The main basis for the analysis in this report is the Annual Financial Statements of Tokyo Consulting Firm Limited, Bangladesh (TCF Bangladesh) for the years ended on 31 December 2021 to 31 December 2025 (as audited). The Annual financial statements comply with the International Financial Reporting Standards (IFRS) and International Accounting Standards (IAS) adopted and approved by The Institute of Chartered Accountants of Bangladesh (ICAB). It is therefore prepared in accordance with generally accepted international accounting practices and is therefore comparable over the five years of the analysis.</w:t>
      </w:r>
    </w:p>
    <w:p w14:paraId="2A39750A" w14:textId="47998F14" w:rsidR="003F1151" w:rsidRPr="00774A1A" w:rsidRDefault="00B42DDF" w:rsidP="00774A1A">
      <w:pPr>
        <w:spacing w:after="60"/>
        <w:rPr>
          <w:rFonts w:ascii="Arial" w:hAnsi="Arial"/>
          <w:szCs w:val="24"/>
        </w:rPr>
      </w:pPr>
      <w:r w:rsidRPr="00774A1A">
        <w:rPr>
          <w:rFonts w:ascii="Arial" w:hAnsi="Arial"/>
          <w:szCs w:val="24"/>
        </w:rPr>
        <w:t>For assuring that the data to be used in the financial statement analyses of TCF Bangladesh are authentic, valid and reliable, a review of external third parties were performed by Shafiq Basak &amp; Co., Chartered Accountants, a registered audit firm in Bangladesh. Using auditors attested financial statements, instead of internal figures or unauthorized accounting data, increases reliability of the financial analysis performed by this report.</w:t>
      </w:r>
    </w:p>
    <w:p w14:paraId="358DF1B4" w14:textId="53CE88A8" w:rsidR="003F1151" w:rsidRPr="00CB631B" w:rsidRDefault="003F1151" w:rsidP="00774A1A">
      <w:pPr>
        <w:spacing w:after="60"/>
        <w:rPr>
          <w:rFonts w:ascii="Arial" w:hAnsi="Arial"/>
          <w:b/>
          <w:bCs/>
          <w:szCs w:val="24"/>
        </w:rPr>
      </w:pPr>
      <w:r w:rsidRPr="00CB631B">
        <w:rPr>
          <w:rFonts w:ascii="Arial" w:hAnsi="Arial"/>
          <w:b/>
          <w:bCs/>
          <w:szCs w:val="24"/>
        </w:rPr>
        <w:t xml:space="preserve">The following analytical tools would be used: </w:t>
      </w:r>
    </w:p>
    <w:p w14:paraId="08A044B6" w14:textId="3BF5C6F8" w:rsidR="003F1151" w:rsidRPr="00774A1A" w:rsidRDefault="00B42DDF" w:rsidP="00774A1A">
      <w:pPr>
        <w:pStyle w:val="ListParagraph"/>
        <w:numPr>
          <w:ilvl w:val="0"/>
          <w:numId w:val="16"/>
        </w:numPr>
        <w:spacing w:after="60"/>
        <w:rPr>
          <w:rFonts w:ascii="Arial" w:hAnsi="Arial"/>
          <w:szCs w:val="24"/>
        </w:rPr>
      </w:pPr>
      <w:r w:rsidRPr="00774A1A">
        <w:rPr>
          <w:rFonts w:ascii="Arial" w:hAnsi="Arial"/>
          <w:b/>
          <w:bCs/>
          <w:szCs w:val="24"/>
        </w:rPr>
        <w:t>Ratio Analysis:</w:t>
      </w:r>
      <w:r w:rsidRPr="00774A1A">
        <w:rPr>
          <w:rFonts w:ascii="Arial" w:hAnsi="Arial"/>
          <w:szCs w:val="24"/>
        </w:rPr>
        <w:t xml:space="preserve"> Computing financial ratios of liquidity ratios, efficiency ratios and profitability ratios and interpretation.</w:t>
      </w:r>
    </w:p>
    <w:p w14:paraId="79FBFB6F" w14:textId="4629CCEF" w:rsidR="003F1151" w:rsidRPr="00774A1A" w:rsidRDefault="00854EE5" w:rsidP="00774A1A">
      <w:pPr>
        <w:pStyle w:val="ListParagraph"/>
        <w:numPr>
          <w:ilvl w:val="0"/>
          <w:numId w:val="16"/>
        </w:numPr>
        <w:spacing w:after="60"/>
        <w:rPr>
          <w:rFonts w:ascii="Arial" w:hAnsi="Arial"/>
          <w:szCs w:val="24"/>
        </w:rPr>
      </w:pPr>
      <w:r w:rsidRPr="00774A1A">
        <w:rPr>
          <w:rFonts w:ascii="Arial" w:hAnsi="Arial"/>
          <w:b/>
          <w:bCs/>
          <w:szCs w:val="24"/>
        </w:rPr>
        <w:lastRenderedPageBreak/>
        <w:t>Operating Efficiency</w:t>
      </w:r>
      <w:r w:rsidR="003F1151" w:rsidRPr="00774A1A">
        <w:rPr>
          <w:rFonts w:ascii="Arial" w:hAnsi="Arial"/>
          <w:b/>
          <w:bCs/>
          <w:szCs w:val="24"/>
        </w:rPr>
        <w:t xml:space="preserve"> Analysis:</w:t>
      </w:r>
      <w:r w:rsidR="003F1151" w:rsidRPr="00774A1A">
        <w:rPr>
          <w:rFonts w:ascii="Arial" w:hAnsi="Arial"/>
          <w:szCs w:val="24"/>
        </w:rPr>
        <w:t xml:space="preserve"> </w:t>
      </w:r>
      <w:r w:rsidRPr="00774A1A">
        <w:rPr>
          <w:rFonts w:ascii="Arial" w:hAnsi="Arial"/>
          <w:szCs w:val="24"/>
        </w:rPr>
        <w:t>Operating Efficiency Analysis measures how well a company converts its resources into sales and profits with minimum operating costs.</w:t>
      </w:r>
    </w:p>
    <w:p w14:paraId="629CB483" w14:textId="3FDC14A1" w:rsidR="00B42DDF" w:rsidRPr="00774A1A" w:rsidRDefault="00854EE5" w:rsidP="00774A1A">
      <w:pPr>
        <w:pStyle w:val="ListParagraph"/>
        <w:numPr>
          <w:ilvl w:val="0"/>
          <w:numId w:val="16"/>
        </w:numPr>
        <w:spacing w:after="60"/>
        <w:rPr>
          <w:rFonts w:ascii="Arial" w:hAnsi="Arial"/>
          <w:szCs w:val="24"/>
        </w:rPr>
      </w:pPr>
      <w:r w:rsidRPr="00774A1A">
        <w:rPr>
          <w:rFonts w:ascii="Arial" w:hAnsi="Arial"/>
          <w:b/>
          <w:bCs/>
          <w:szCs w:val="24"/>
        </w:rPr>
        <w:t xml:space="preserve">WC Investment &amp; Financing </w:t>
      </w:r>
      <w:r w:rsidR="00B42DDF" w:rsidRPr="00774A1A">
        <w:rPr>
          <w:rFonts w:ascii="Arial" w:hAnsi="Arial"/>
          <w:b/>
          <w:bCs/>
          <w:szCs w:val="24"/>
        </w:rPr>
        <w:t>Analysis:</w:t>
      </w:r>
      <w:r w:rsidR="00B42DDF" w:rsidRPr="00774A1A">
        <w:rPr>
          <w:rFonts w:ascii="Arial" w:hAnsi="Arial"/>
          <w:szCs w:val="24"/>
        </w:rPr>
        <w:t xml:space="preserve"> </w:t>
      </w:r>
      <w:r w:rsidRPr="00774A1A">
        <w:rPr>
          <w:rFonts w:ascii="Arial" w:hAnsi="Arial"/>
          <w:szCs w:val="24"/>
        </w:rPr>
        <w:t>Working Capital Investment &amp; Financing Analysis examines how a company invests in current assets and finances them with short-term or long-term funds to maintain liquidity, reduce risk, and improve profitability.</w:t>
      </w:r>
    </w:p>
    <w:p w14:paraId="0545F5CA" w14:textId="23F35B86" w:rsidR="003F1151" w:rsidRPr="00774A1A" w:rsidRDefault="003F1151" w:rsidP="00774A1A">
      <w:pPr>
        <w:pStyle w:val="ListParagraph"/>
        <w:numPr>
          <w:ilvl w:val="0"/>
          <w:numId w:val="16"/>
        </w:numPr>
        <w:spacing w:after="60"/>
        <w:rPr>
          <w:rFonts w:ascii="Arial" w:hAnsi="Arial"/>
          <w:szCs w:val="24"/>
        </w:rPr>
      </w:pPr>
      <w:r w:rsidRPr="00774A1A">
        <w:rPr>
          <w:rFonts w:ascii="Arial" w:hAnsi="Arial"/>
          <w:b/>
          <w:bCs/>
          <w:szCs w:val="24"/>
        </w:rPr>
        <w:t xml:space="preserve">Cash </w:t>
      </w:r>
      <w:r w:rsidR="006A6FF7" w:rsidRPr="00774A1A">
        <w:rPr>
          <w:rFonts w:ascii="Arial" w:hAnsi="Arial"/>
          <w:b/>
          <w:bCs/>
          <w:szCs w:val="24"/>
        </w:rPr>
        <w:t>F</w:t>
      </w:r>
      <w:r w:rsidRPr="00774A1A">
        <w:rPr>
          <w:rFonts w:ascii="Arial" w:hAnsi="Arial"/>
          <w:b/>
          <w:bCs/>
          <w:szCs w:val="24"/>
        </w:rPr>
        <w:t xml:space="preserve">low </w:t>
      </w:r>
      <w:r w:rsidR="006A6FF7" w:rsidRPr="00774A1A">
        <w:rPr>
          <w:rFonts w:ascii="Arial" w:hAnsi="Arial"/>
          <w:b/>
          <w:bCs/>
          <w:szCs w:val="24"/>
        </w:rPr>
        <w:t>A</w:t>
      </w:r>
      <w:r w:rsidRPr="00774A1A">
        <w:rPr>
          <w:rFonts w:ascii="Arial" w:hAnsi="Arial"/>
          <w:b/>
          <w:bCs/>
          <w:szCs w:val="24"/>
        </w:rPr>
        <w:t>nalysis:</w:t>
      </w:r>
      <w:r w:rsidRPr="00774A1A">
        <w:rPr>
          <w:rFonts w:ascii="Arial" w:hAnsi="Arial"/>
          <w:szCs w:val="24"/>
        </w:rPr>
        <w:t xml:space="preserve"> Analyzing trends of operating and investing cash flows. </w:t>
      </w:r>
    </w:p>
    <w:p w14:paraId="52B926BC" w14:textId="245D020F" w:rsidR="00B42DDF" w:rsidRPr="00774A1A" w:rsidRDefault="00B42DDF" w:rsidP="00774A1A">
      <w:pPr>
        <w:pStyle w:val="ListParagraph"/>
        <w:numPr>
          <w:ilvl w:val="0"/>
          <w:numId w:val="16"/>
        </w:numPr>
        <w:spacing w:after="60"/>
        <w:rPr>
          <w:rFonts w:ascii="Arial" w:hAnsi="Arial"/>
          <w:szCs w:val="24"/>
        </w:rPr>
      </w:pPr>
      <w:r w:rsidRPr="00774A1A">
        <w:rPr>
          <w:rFonts w:ascii="Arial" w:hAnsi="Arial"/>
          <w:b/>
          <w:bCs/>
          <w:szCs w:val="24"/>
        </w:rPr>
        <w:t>Working Capital Cycle Analysis:</w:t>
      </w:r>
      <w:r w:rsidRPr="00774A1A">
        <w:rPr>
          <w:rFonts w:ascii="Arial" w:hAnsi="Arial"/>
          <w:szCs w:val="24"/>
        </w:rPr>
        <w:t xml:space="preserve"> calculate number of days to collect receivables, payables and working capital cycle.</w:t>
      </w:r>
    </w:p>
    <w:p w14:paraId="40794946" w14:textId="6BED2B70" w:rsidR="00335224" w:rsidRPr="00DD6263" w:rsidRDefault="00335224" w:rsidP="00E13EDB">
      <w:pPr>
        <w:pStyle w:val="Heading2"/>
        <w:spacing w:before="0" w:line="276" w:lineRule="auto"/>
        <w:rPr>
          <w:rFonts w:ascii="Arial" w:hAnsi="Arial" w:cs="Arial"/>
          <w:b w:val="0"/>
          <w:bCs/>
          <w:color w:val="156082" w:themeColor="accent1"/>
          <w:sz w:val="28"/>
          <w:szCs w:val="28"/>
        </w:rPr>
      </w:pPr>
      <w:bookmarkStart w:id="17" w:name="_Toc235801922"/>
      <w:r w:rsidRPr="00DD6263">
        <w:rPr>
          <w:rFonts w:ascii="Arial" w:hAnsi="Arial" w:cs="Arial"/>
          <w:bCs/>
          <w:color w:val="156082" w:themeColor="accent1"/>
          <w:sz w:val="28"/>
          <w:szCs w:val="28"/>
        </w:rPr>
        <w:t>1.</w:t>
      </w:r>
      <w:r w:rsidR="00E65689" w:rsidRPr="00DD6263">
        <w:rPr>
          <w:rFonts w:ascii="Arial" w:hAnsi="Arial" w:cs="Arial"/>
          <w:bCs/>
          <w:color w:val="156082" w:themeColor="accent1"/>
          <w:sz w:val="28"/>
          <w:szCs w:val="28"/>
        </w:rPr>
        <w:t>6</w:t>
      </w:r>
      <w:r w:rsidRPr="00DD6263">
        <w:rPr>
          <w:rFonts w:ascii="Arial" w:hAnsi="Arial" w:cs="Arial"/>
          <w:bCs/>
          <w:color w:val="156082" w:themeColor="accent1"/>
          <w:sz w:val="28"/>
          <w:szCs w:val="28"/>
        </w:rPr>
        <w:t xml:space="preserve"> Limitations of the </w:t>
      </w:r>
      <w:r w:rsidR="00DD6263" w:rsidRPr="00DD6263">
        <w:rPr>
          <w:rFonts w:ascii="Arial" w:hAnsi="Arial" w:cs="Arial"/>
          <w:bCs/>
          <w:color w:val="156082" w:themeColor="accent1"/>
          <w:sz w:val="28"/>
          <w:szCs w:val="28"/>
        </w:rPr>
        <w:t>Report</w:t>
      </w:r>
      <w:bookmarkEnd w:id="17"/>
    </w:p>
    <w:p w14:paraId="41223A9C" w14:textId="278A62B9" w:rsidR="00B42DDF" w:rsidRPr="00774A1A" w:rsidRDefault="00B42DDF" w:rsidP="00774A1A">
      <w:pPr>
        <w:pStyle w:val="ListParagraph"/>
        <w:numPr>
          <w:ilvl w:val="0"/>
          <w:numId w:val="37"/>
        </w:numPr>
        <w:spacing w:after="60"/>
        <w:rPr>
          <w:rFonts w:ascii="Arial" w:hAnsi="Arial"/>
          <w:szCs w:val="24"/>
        </w:rPr>
      </w:pPr>
      <w:r w:rsidRPr="00774A1A">
        <w:rPr>
          <w:rFonts w:ascii="Arial" w:hAnsi="Arial"/>
          <w:b/>
          <w:bCs/>
          <w:szCs w:val="24"/>
        </w:rPr>
        <w:t>Secondary Data</w:t>
      </w:r>
      <w:r w:rsidR="00F4725A" w:rsidRPr="00774A1A">
        <w:rPr>
          <w:rFonts w:ascii="Arial" w:hAnsi="Arial"/>
          <w:b/>
          <w:bCs/>
          <w:szCs w:val="24"/>
        </w:rPr>
        <w:t xml:space="preserve"> Only</w:t>
      </w:r>
      <w:r w:rsidRPr="00774A1A">
        <w:rPr>
          <w:rFonts w:ascii="Arial" w:hAnsi="Arial"/>
          <w:szCs w:val="24"/>
        </w:rPr>
        <w:t xml:space="preserve">: This report is based on secondary research; no interviews or survey data was collected from the management team of </w:t>
      </w:r>
      <w:r w:rsidR="00EB46AC" w:rsidRPr="00774A1A">
        <w:rPr>
          <w:rFonts w:ascii="Arial" w:hAnsi="Arial"/>
          <w:szCs w:val="24"/>
        </w:rPr>
        <w:t>Tokyo Consulting Firm (</w:t>
      </w:r>
      <w:r w:rsidRPr="00774A1A">
        <w:rPr>
          <w:rFonts w:ascii="Arial" w:hAnsi="Arial"/>
          <w:szCs w:val="24"/>
        </w:rPr>
        <w:t>TCF</w:t>
      </w:r>
      <w:r w:rsidR="00EB46AC" w:rsidRPr="00774A1A">
        <w:rPr>
          <w:rFonts w:ascii="Arial" w:hAnsi="Arial"/>
          <w:szCs w:val="24"/>
        </w:rPr>
        <w:t>)</w:t>
      </w:r>
      <w:r w:rsidRPr="00774A1A">
        <w:rPr>
          <w:rFonts w:ascii="Arial" w:hAnsi="Arial"/>
          <w:szCs w:val="24"/>
        </w:rPr>
        <w:t xml:space="preserve"> Bangladesh. </w:t>
      </w:r>
    </w:p>
    <w:p w14:paraId="7962AE6C" w14:textId="77777777" w:rsidR="00F4725A" w:rsidRPr="00774A1A" w:rsidRDefault="00F4725A" w:rsidP="00774A1A">
      <w:pPr>
        <w:pStyle w:val="ListParagraph"/>
        <w:numPr>
          <w:ilvl w:val="0"/>
          <w:numId w:val="37"/>
        </w:numPr>
        <w:spacing w:after="60"/>
        <w:rPr>
          <w:rFonts w:ascii="Arial" w:hAnsi="Arial"/>
          <w:b/>
          <w:bCs/>
          <w:szCs w:val="24"/>
        </w:rPr>
      </w:pPr>
      <w:r w:rsidRPr="00774A1A">
        <w:rPr>
          <w:rFonts w:ascii="Arial" w:hAnsi="Arial"/>
          <w:b/>
          <w:bCs/>
          <w:szCs w:val="24"/>
        </w:rPr>
        <w:t xml:space="preserve">Industry Benchmark: </w:t>
      </w:r>
    </w:p>
    <w:p w14:paraId="0C4F455B" w14:textId="77777777" w:rsidR="00EB46AC" w:rsidRPr="00774A1A" w:rsidRDefault="00B42DDF" w:rsidP="00774A1A">
      <w:pPr>
        <w:pStyle w:val="ListParagraph"/>
        <w:numPr>
          <w:ilvl w:val="0"/>
          <w:numId w:val="38"/>
        </w:numPr>
        <w:spacing w:after="60"/>
        <w:rPr>
          <w:rFonts w:ascii="Arial" w:hAnsi="Arial"/>
          <w:szCs w:val="24"/>
        </w:rPr>
      </w:pPr>
      <w:r w:rsidRPr="00774A1A">
        <w:rPr>
          <w:rFonts w:ascii="Arial" w:hAnsi="Arial"/>
          <w:b/>
          <w:bCs/>
          <w:szCs w:val="24"/>
        </w:rPr>
        <w:t>Unavailable:</w:t>
      </w:r>
      <w:r w:rsidRPr="00774A1A">
        <w:rPr>
          <w:rFonts w:ascii="Arial" w:hAnsi="Arial"/>
          <w:szCs w:val="24"/>
        </w:rPr>
        <w:t xml:space="preserve"> There are no publicly available benchmarks of domestic and international consulting firms in Bangladesh. </w:t>
      </w:r>
    </w:p>
    <w:p w14:paraId="2BA78632" w14:textId="06948F6F" w:rsidR="00335224" w:rsidRPr="00774A1A" w:rsidRDefault="00B42DDF" w:rsidP="00774A1A">
      <w:pPr>
        <w:pStyle w:val="ListParagraph"/>
        <w:numPr>
          <w:ilvl w:val="0"/>
          <w:numId w:val="38"/>
        </w:numPr>
        <w:spacing w:after="60"/>
        <w:rPr>
          <w:rFonts w:ascii="Arial" w:hAnsi="Arial"/>
          <w:szCs w:val="24"/>
        </w:rPr>
      </w:pPr>
      <w:r w:rsidRPr="00774A1A">
        <w:rPr>
          <w:rFonts w:ascii="Arial" w:hAnsi="Arial"/>
          <w:b/>
          <w:bCs/>
          <w:szCs w:val="24"/>
        </w:rPr>
        <w:t>Foreign Currency Receivables Undifferentiated:</w:t>
      </w:r>
      <w:r w:rsidRPr="00774A1A">
        <w:rPr>
          <w:rFonts w:ascii="Arial" w:hAnsi="Arial"/>
          <w:szCs w:val="24"/>
        </w:rPr>
        <w:t xml:space="preserve"> The balance sheets do not differentiate between domestic and foreign currency receivables; it’s not possible to analyze the exposure to forex risk with high accuracy.</w:t>
      </w:r>
    </w:p>
    <w:p w14:paraId="1DBBF465" w14:textId="24B0B58B" w:rsidR="00B42DDF" w:rsidRPr="00774A1A" w:rsidRDefault="00B42DDF" w:rsidP="00774A1A">
      <w:pPr>
        <w:pStyle w:val="ListParagraph"/>
        <w:numPr>
          <w:ilvl w:val="0"/>
          <w:numId w:val="38"/>
        </w:numPr>
        <w:spacing w:after="60"/>
        <w:rPr>
          <w:rFonts w:ascii="Arial" w:hAnsi="Arial"/>
          <w:szCs w:val="24"/>
        </w:rPr>
      </w:pPr>
      <w:r w:rsidRPr="00774A1A">
        <w:rPr>
          <w:rFonts w:ascii="Arial" w:hAnsi="Arial"/>
          <w:b/>
          <w:bCs/>
          <w:szCs w:val="24"/>
        </w:rPr>
        <w:t>Includes COVID post recovery</w:t>
      </w:r>
      <w:r w:rsidRPr="00774A1A">
        <w:rPr>
          <w:rFonts w:ascii="Arial" w:hAnsi="Arial"/>
          <w:szCs w:val="24"/>
        </w:rPr>
        <w:t xml:space="preserve">: The timeframe (five years) does include the post COVID-19recovery phase (2021-2022), which can potentially influence the comparability of some metrics. </w:t>
      </w:r>
    </w:p>
    <w:p w14:paraId="576C443F" w14:textId="1133CE30" w:rsidR="00335224" w:rsidRPr="00DB17E3" w:rsidRDefault="00B42DDF" w:rsidP="00E13EDB">
      <w:pPr>
        <w:pStyle w:val="ListParagraph"/>
        <w:numPr>
          <w:ilvl w:val="0"/>
          <w:numId w:val="37"/>
        </w:numPr>
        <w:spacing w:after="60" w:line="276" w:lineRule="auto"/>
        <w:rPr>
          <w:rFonts w:cs="Times New Roman"/>
          <w:szCs w:val="24"/>
        </w:rPr>
      </w:pPr>
      <w:r w:rsidRPr="00DB17E3">
        <w:rPr>
          <w:rFonts w:ascii="Arial" w:hAnsi="Arial"/>
          <w:b/>
          <w:bCs/>
          <w:szCs w:val="24"/>
        </w:rPr>
        <w:t>No physical inventory</w:t>
      </w:r>
      <w:r w:rsidRPr="00DB17E3">
        <w:rPr>
          <w:rFonts w:ascii="Arial" w:hAnsi="Arial"/>
          <w:szCs w:val="24"/>
        </w:rPr>
        <w:t xml:space="preserve">: </w:t>
      </w:r>
      <w:r w:rsidR="00DB17E3" w:rsidRPr="00DB17E3">
        <w:rPr>
          <w:rFonts w:ascii="Arial" w:hAnsi="Arial"/>
          <w:szCs w:val="24"/>
        </w:rPr>
        <w:t>Inventory turnover, a popular working capital metric, does not apply to TCF Bangladesh since the company does not maintain physical inventory.</w:t>
      </w:r>
    </w:p>
    <w:p w14:paraId="139A8765" w14:textId="77777777" w:rsidR="00335224" w:rsidRDefault="00335224" w:rsidP="00E13EDB">
      <w:pPr>
        <w:spacing w:after="60" w:line="276" w:lineRule="auto"/>
        <w:rPr>
          <w:rFonts w:cs="Times New Roman"/>
          <w:szCs w:val="24"/>
        </w:rPr>
      </w:pPr>
    </w:p>
    <w:p w14:paraId="4A577042" w14:textId="77777777" w:rsidR="00335224" w:rsidRDefault="00335224" w:rsidP="00E13EDB">
      <w:pPr>
        <w:spacing w:after="60" w:line="276" w:lineRule="auto"/>
        <w:rPr>
          <w:rFonts w:cs="Times New Roman"/>
          <w:szCs w:val="24"/>
        </w:rPr>
      </w:pPr>
    </w:p>
    <w:p w14:paraId="4CEB1295" w14:textId="77777777" w:rsidR="00335224" w:rsidRDefault="00335224" w:rsidP="00E13EDB">
      <w:pPr>
        <w:spacing w:after="60" w:line="276" w:lineRule="auto"/>
        <w:rPr>
          <w:rFonts w:cs="Times New Roman"/>
          <w:szCs w:val="24"/>
        </w:rPr>
      </w:pPr>
    </w:p>
    <w:p w14:paraId="0FF26637" w14:textId="77777777" w:rsidR="00335224" w:rsidRDefault="00335224" w:rsidP="00E13EDB">
      <w:pPr>
        <w:spacing w:after="60" w:line="276" w:lineRule="auto"/>
        <w:rPr>
          <w:rFonts w:cs="Times New Roman"/>
          <w:szCs w:val="24"/>
        </w:rPr>
      </w:pPr>
    </w:p>
    <w:p w14:paraId="6E71A1BB" w14:textId="77777777" w:rsidR="00E13EDB" w:rsidRDefault="00E13EDB" w:rsidP="00E13EDB">
      <w:pPr>
        <w:spacing w:line="276" w:lineRule="auto"/>
        <w:sectPr w:rsidR="00E13EDB" w:rsidSect="000B5556">
          <w:pgSz w:w="11909" w:h="16834" w:code="9"/>
          <w:pgMar w:top="1440" w:right="1440" w:bottom="1440" w:left="1440" w:header="720" w:footer="720" w:gutter="0"/>
          <w:cols w:space="720"/>
          <w:docGrid w:linePitch="360"/>
        </w:sectPr>
      </w:pPr>
    </w:p>
    <w:p w14:paraId="1FCB1DEB" w14:textId="3FB6D517" w:rsidR="00335224" w:rsidRPr="00DD6263" w:rsidRDefault="00335224" w:rsidP="009F561B">
      <w:pPr>
        <w:pStyle w:val="Heading1"/>
        <w:rPr>
          <w:rFonts w:ascii="Arial" w:hAnsi="Arial" w:cs="Arial"/>
          <w:sz w:val="32"/>
          <w:szCs w:val="32"/>
        </w:rPr>
      </w:pPr>
      <w:bookmarkStart w:id="18" w:name="_Toc235801923"/>
      <w:r w:rsidRPr="00DD6263">
        <w:rPr>
          <w:rFonts w:ascii="Arial" w:hAnsi="Arial" w:cs="Arial"/>
          <w:sz w:val="32"/>
          <w:szCs w:val="32"/>
        </w:rPr>
        <w:lastRenderedPageBreak/>
        <w:t>C</w:t>
      </w:r>
      <w:r w:rsidR="00DD6263" w:rsidRPr="00DD6263">
        <w:rPr>
          <w:rFonts w:ascii="Arial" w:hAnsi="Arial" w:cs="Arial"/>
          <w:sz w:val="32"/>
          <w:szCs w:val="32"/>
        </w:rPr>
        <w:t>HAPTER 2: COMPANY &amp; INDUSTRY PROFILE</w:t>
      </w:r>
      <w:bookmarkEnd w:id="18"/>
    </w:p>
    <w:p w14:paraId="6E1C1002" w14:textId="1C096D37" w:rsidR="00774A1A" w:rsidRPr="00407E8B" w:rsidRDefault="00774A1A" w:rsidP="00774A1A">
      <w:pPr>
        <w:pStyle w:val="Heading2"/>
        <w:rPr>
          <w:rFonts w:ascii="Arial" w:hAnsi="Arial" w:cs="Arial"/>
          <w:color w:val="156082" w:themeColor="accent1"/>
          <w:sz w:val="28"/>
          <w:szCs w:val="28"/>
        </w:rPr>
      </w:pPr>
      <w:bookmarkStart w:id="19" w:name="_Toc235801924"/>
      <w:r w:rsidRPr="00407E8B">
        <w:rPr>
          <w:rFonts w:ascii="Arial" w:hAnsi="Arial" w:cs="Arial"/>
          <w:color w:val="156082" w:themeColor="accent1"/>
          <w:sz w:val="28"/>
          <w:szCs w:val="28"/>
        </w:rPr>
        <w:t>2.1 Company Analysis</w:t>
      </w:r>
      <w:bookmarkEnd w:id="19"/>
    </w:p>
    <w:p w14:paraId="0D95A68C" w14:textId="4D36C284" w:rsidR="001427EF" w:rsidRDefault="00335224" w:rsidP="00531528">
      <w:pPr>
        <w:pStyle w:val="Heading3"/>
        <w:rPr>
          <w:rFonts w:ascii="Arial" w:hAnsi="Arial" w:cs="Arial"/>
          <w:sz w:val="24"/>
          <w:szCs w:val="24"/>
        </w:rPr>
      </w:pPr>
      <w:bookmarkStart w:id="20" w:name="_Toc235801925"/>
      <w:r w:rsidRPr="00531528">
        <w:rPr>
          <w:rFonts w:ascii="Arial" w:hAnsi="Arial" w:cs="Arial"/>
          <w:sz w:val="24"/>
          <w:szCs w:val="24"/>
        </w:rPr>
        <w:t>2.1</w:t>
      </w:r>
      <w:r w:rsidR="00774A1A" w:rsidRPr="00531528">
        <w:rPr>
          <w:rFonts w:ascii="Arial" w:hAnsi="Arial" w:cs="Arial"/>
          <w:sz w:val="24"/>
          <w:szCs w:val="24"/>
        </w:rPr>
        <w:t>.1</w:t>
      </w:r>
      <w:r w:rsidRPr="00531528">
        <w:rPr>
          <w:rFonts w:ascii="Arial" w:hAnsi="Arial" w:cs="Arial"/>
          <w:sz w:val="24"/>
          <w:szCs w:val="24"/>
        </w:rPr>
        <w:t xml:space="preserve"> Overview of Tokyo Consulting Firm Limited, Bangladesh</w:t>
      </w:r>
      <w:bookmarkEnd w:id="20"/>
    </w:p>
    <w:p w14:paraId="69255515" w14:textId="05D17BBB" w:rsidR="00252A5D" w:rsidRPr="00BD7414" w:rsidRDefault="003A3DA9" w:rsidP="00BD7414">
      <w:pPr>
        <w:pStyle w:val="Caption"/>
        <w:jc w:val="center"/>
        <w:rPr>
          <w:rFonts w:cs="Times New Roman"/>
          <w:sz w:val="24"/>
          <w:szCs w:val="24"/>
        </w:rPr>
      </w:pPr>
      <w:bookmarkStart w:id="21" w:name="_Toc235803951"/>
      <w:bookmarkStart w:id="22" w:name="_Toc235804204"/>
      <w:r w:rsidRPr="00BD7414">
        <w:rPr>
          <w:sz w:val="24"/>
          <w:szCs w:val="24"/>
        </w:rPr>
        <w:t xml:space="preserve">Table </w:t>
      </w:r>
      <w:r w:rsidRPr="00BD7414">
        <w:rPr>
          <w:sz w:val="24"/>
          <w:szCs w:val="24"/>
        </w:rPr>
        <w:fldChar w:fldCharType="begin"/>
      </w:r>
      <w:r w:rsidRPr="00BD7414">
        <w:rPr>
          <w:sz w:val="24"/>
          <w:szCs w:val="24"/>
        </w:rPr>
        <w:instrText xml:space="preserve"> SEQ Table \* ARABIC </w:instrText>
      </w:r>
      <w:r w:rsidRPr="00BD7414">
        <w:rPr>
          <w:sz w:val="24"/>
          <w:szCs w:val="24"/>
        </w:rPr>
        <w:fldChar w:fldCharType="separate"/>
      </w:r>
      <w:r w:rsidRPr="00BD7414">
        <w:rPr>
          <w:noProof/>
          <w:sz w:val="24"/>
          <w:szCs w:val="24"/>
        </w:rPr>
        <w:t>1</w:t>
      </w:r>
      <w:r w:rsidRPr="00BD7414">
        <w:rPr>
          <w:sz w:val="24"/>
          <w:szCs w:val="24"/>
        </w:rPr>
        <w:fldChar w:fldCharType="end"/>
      </w:r>
      <w:r w:rsidRPr="00BD7414">
        <w:rPr>
          <w:sz w:val="24"/>
          <w:szCs w:val="24"/>
        </w:rPr>
        <w:t>.1: Company Overview</w:t>
      </w:r>
      <w:bookmarkEnd w:id="21"/>
      <w:bookmarkEnd w:id="22"/>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360"/>
      </w:tblGrid>
      <w:tr w:rsidR="00735DB8" w14:paraId="287BED77" w14:textId="77777777" w:rsidTr="00906B09">
        <w:tc>
          <w:tcPr>
            <w:tcW w:w="3000" w:type="dxa"/>
            <w:shd w:val="clear" w:color="auto" w:fill="156082" w:themeFill="accent1"/>
            <w:tcMar>
              <w:top w:w="100" w:type="dxa"/>
              <w:left w:w="120" w:type="dxa"/>
              <w:bottom w:w="100" w:type="dxa"/>
              <w:right w:w="120" w:type="dxa"/>
            </w:tcMar>
            <w:vAlign w:val="center"/>
          </w:tcPr>
          <w:p w14:paraId="0E3BF5FE" w14:textId="77777777" w:rsidR="00335224" w:rsidRPr="00774A1A" w:rsidRDefault="00335224" w:rsidP="00E13EDB">
            <w:pPr>
              <w:spacing w:line="276" w:lineRule="auto"/>
              <w:jc w:val="center"/>
              <w:rPr>
                <w:rFonts w:ascii="Arial" w:hAnsi="Arial"/>
                <w:szCs w:val="24"/>
              </w:rPr>
            </w:pPr>
            <w:r w:rsidRPr="00774A1A">
              <w:rPr>
                <w:rFonts w:ascii="Arial" w:hAnsi="Arial"/>
                <w:b/>
                <w:bCs/>
                <w:color w:val="FFFFFF"/>
                <w:szCs w:val="24"/>
              </w:rPr>
              <w:t>Particulars</w:t>
            </w:r>
          </w:p>
        </w:tc>
        <w:tc>
          <w:tcPr>
            <w:tcW w:w="6360" w:type="dxa"/>
            <w:shd w:val="clear" w:color="auto" w:fill="156082" w:themeFill="accent1"/>
            <w:tcMar>
              <w:top w:w="100" w:type="dxa"/>
              <w:left w:w="120" w:type="dxa"/>
              <w:bottom w:w="100" w:type="dxa"/>
              <w:right w:w="120" w:type="dxa"/>
            </w:tcMar>
            <w:vAlign w:val="center"/>
          </w:tcPr>
          <w:p w14:paraId="2D58BAC9" w14:textId="77777777" w:rsidR="00335224" w:rsidRPr="00774A1A" w:rsidRDefault="00335224" w:rsidP="00E13EDB">
            <w:pPr>
              <w:spacing w:line="276" w:lineRule="auto"/>
              <w:jc w:val="center"/>
              <w:rPr>
                <w:rFonts w:ascii="Arial" w:hAnsi="Arial"/>
                <w:szCs w:val="24"/>
              </w:rPr>
            </w:pPr>
            <w:r w:rsidRPr="00774A1A">
              <w:rPr>
                <w:rFonts w:ascii="Arial" w:hAnsi="Arial"/>
                <w:b/>
                <w:bCs/>
                <w:color w:val="FFFFFF"/>
                <w:szCs w:val="24"/>
              </w:rPr>
              <w:t>Details</w:t>
            </w:r>
          </w:p>
        </w:tc>
      </w:tr>
      <w:tr w:rsidR="00735DB8" w14:paraId="1CF6B1E7" w14:textId="77777777" w:rsidTr="000A0646">
        <w:tc>
          <w:tcPr>
            <w:tcW w:w="3000" w:type="dxa"/>
            <w:shd w:val="clear" w:color="auto" w:fill="FFFFFF" w:themeFill="background1"/>
            <w:tcMar>
              <w:top w:w="80" w:type="dxa"/>
              <w:left w:w="120" w:type="dxa"/>
              <w:bottom w:w="80" w:type="dxa"/>
              <w:right w:w="120" w:type="dxa"/>
            </w:tcMar>
          </w:tcPr>
          <w:p w14:paraId="3A73C42B" w14:textId="77777777" w:rsidR="00335224" w:rsidRPr="00774A1A" w:rsidRDefault="00335224" w:rsidP="0028141B">
            <w:pPr>
              <w:spacing w:line="276" w:lineRule="auto"/>
              <w:jc w:val="left"/>
              <w:rPr>
                <w:rFonts w:ascii="Arial" w:hAnsi="Arial"/>
                <w:szCs w:val="24"/>
              </w:rPr>
            </w:pPr>
            <w:r w:rsidRPr="00774A1A">
              <w:rPr>
                <w:rFonts w:ascii="Arial" w:hAnsi="Arial"/>
                <w:szCs w:val="24"/>
              </w:rPr>
              <w:t>Full Name</w:t>
            </w:r>
          </w:p>
        </w:tc>
        <w:tc>
          <w:tcPr>
            <w:tcW w:w="6360" w:type="dxa"/>
            <w:shd w:val="clear" w:color="auto" w:fill="FFFFFF" w:themeFill="background1"/>
            <w:tcMar>
              <w:top w:w="80" w:type="dxa"/>
              <w:left w:w="120" w:type="dxa"/>
              <w:bottom w:w="80" w:type="dxa"/>
              <w:right w:w="120" w:type="dxa"/>
            </w:tcMar>
            <w:vAlign w:val="center"/>
          </w:tcPr>
          <w:p w14:paraId="06396863" w14:textId="77777777" w:rsidR="00335224" w:rsidRPr="00774A1A" w:rsidRDefault="00335224" w:rsidP="00E13EDB">
            <w:pPr>
              <w:spacing w:line="276" w:lineRule="auto"/>
              <w:rPr>
                <w:rFonts w:ascii="Arial" w:hAnsi="Arial"/>
                <w:szCs w:val="24"/>
              </w:rPr>
            </w:pPr>
            <w:r w:rsidRPr="00774A1A">
              <w:rPr>
                <w:rFonts w:ascii="Arial" w:hAnsi="Arial"/>
                <w:szCs w:val="24"/>
              </w:rPr>
              <w:t>Tokyo Consulting Firm Limited, Bangladesh</w:t>
            </w:r>
          </w:p>
        </w:tc>
      </w:tr>
      <w:tr w:rsidR="00735DB8" w14:paraId="72CC6B07" w14:textId="77777777" w:rsidTr="000A0646">
        <w:tc>
          <w:tcPr>
            <w:tcW w:w="3000" w:type="dxa"/>
            <w:shd w:val="clear" w:color="auto" w:fill="FFFFFF" w:themeFill="background1"/>
            <w:tcMar>
              <w:top w:w="80" w:type="dxa"/>
              <w:left w:w="120" w:type="dxa"/>
              <w:bottom w:w="80" w:type="dxa"/>
              <w:right w:w="120" w:type="dxa"/>
            </w:tcMar>
          </w:tcPr>
          <w:p w14:paraId="66665832" w14:textId="77777777" w:rsidR="00335224" w:rsidRPr="00774A1A" w:rsidRDefault="00335224" w:rsidP="0028141B">
            <w:pPr>
              <w:spacing w:line="276" w:lineRule="auto"/>
              <w:jc w:val="left"/>
              <w:rPr>
                <w:rFonts w:ascii="Arial" w:hAnsi="Arial"/>
                <w:szCs w:val="24"/>
              </w:rPr>
            </w:pPr>
            <w:r w:rsidRPr="00774A1A">
              <w:rPr>
                <w:rFonts w:ascii="Arial" w:hAnsi="Arial"/>
                <w:szCs w:val="24"/>
              </w:rPr>
              <w:t>Parent Company</w:t>
            </w:r>
          </w:p>
        </w:tc>
        <w:tc>
          <w:tcPr>
            <w:tcW w:w="6360" w:type="dxa"/>
            <w:shd w:val="clear" w:color="auto" w:fill="FFFFFF" w:themeFill="background1"/>
            <w:tcMar>
              <w:top w:w="80" w:type="dxa"/>
              <w:left w:w="120" w:type="dxa"/>
              <w:bottom w:w="80" w:type="dxa"/>
              <w:right w:w="120" w:type="dxa"/>
            </w:tcMar>
            <w:vAlign w:val="center"/>
          </w:tcPr>
          <w:p w14:paraId="7F526A73" w14:textId="77777777" w:rsidR="00335224" w:rsidRPr="00774A1A" w:rsidRDefault="00335224" w:rsidP="00E13EDB">
            <w:pPr>
              <w:spacing w:line="276" w:lineRule="auto"/>
              <w:rPr>
                <w:rFonts w:ascii="Arial" w:hAnsi="Arial"/>
                <w:szCs w:val="24"/>
              </w:rPr>
            </w:pPr>
            <w:r w:rsidRPr="00774A1A">
              <w:rPr>
                <w:rFonts w:ascii="Arial" w:hAnsi="Arial"/>
                <w:szCs w:val="24"/>
              </w:rPr>
              <w:t>Tokyo Consulting Group, Japan (HQ: Tokyo, Japan)</w:t>
            </w:r>
          </w:p>
        </w:tc>
      </w:tr>
      <w:tr w:rsidR="00735DB8" w14:paraId="65A7E5DC" w14:textId="77777777" w:rsidTr="000A0646">
        <w:tc>
          <w:tcPr>
            <w:tcW w:w="3000" w:type="dxa"/>
            <w:shd w:val="clear" w:color="auto" w:fill="FFFFFF" w:themeFill="background1"/>
            <w:tcMar>
              <w:top w:w="80" w:type="dxa"/>
              <w:left w:w="120" w:type="dxa"/>
              <w:bottom w:w="80" w:type="dxa"/>
              <w:right w:w="120" w:type="dxa"/>
            </w:tcMar>
          </w:tcPr>
          <w:p w14:paraId="575D1E23" w14:textId="77777777" w:rsidR="00335224" w:rsidRPr="00774A1A" w:rsidRDefault="00335224" w:rsidP="0028141B">
            <w:pPr>
              <w:spacing w:line="276" w:lineRule="auto"/>
              <w:jc w:val="left"/>
              <w:rPr>
                <w:rFonts w:ascii="Arial" w:hAnsi="Arial"/>
                <w:szCs w:val="24"/>
              </w:rPr>
            </w:pPr>
            <w:r w:rsidRPr="00774A1A">
              <w:rPr>
                <w:rFonts w:ascii="Arial" w:hAnsi="Arial"/>
                <w:szCs w:val="24"/>
              </w:rPr>
              <w:t>Incorporation</w:t>
            </w:r>
          </w:p>
        </w:tc>
        <w:tc>
          <w:tcPr>
            <w:tcW w:w="6360" w:type="dxa"/>
            <w:shd w:val="clear" w:color="auto" w:fill="FFFFFF" w:themeFill="background1"/>
            <w:tcMar>
              <w:top w:w="80" w:type="dxa"/>
              <w:left w:w="120" w:type="dxa"/>
              <w:bottom w:w="80" w:type="dxa"/>
              <w:right w:w="120" w:type="dxa"/>
            </w:tcMar>
            <w:vAlign w:val="center"/>
          </w:tcPr>
          <w:p w14:paraId="2A5A0B12" w14:textId="77777777" w:rsidR="00335224" w:rsidRPr="00774A1A" w:rsidRDefault="00335224" w:rsidP="00E13EDB">
            <w:pPr>
              <w:spacing w:line="276" w:lineRule="auto"/>
              <w:rPr>
                <w:rFonts w:ascii="Arial" w:hAnsi="Arial"/>
                <w:szCs w:val="24"/>
              </w:rPr>
            </w:pPr>
            <w:r w:rsidRPr="00774A1A">
              <w:rPr>
                <w:rFonts w:ascii="Arial" w:hAnsi="Arial"/>
                <w:szCs w:val="24"/>
              </w:rPr>
              <w:t>August 1, 2011, under the Companies Act, 1994</w:t>
            </w:r>
          </w:p>
        </w:tc>
      </w:tr>
      <w:tr w:rsidR="00735DB8" w14:paraId="68F7D628" w14:textId="77777777" w:rsidTr="000A0646">
        <w:tc>
          <w:tcPr>
            <w:tcW w:w="3000" w:type="dxa"/>
            <w:shd w:val="clear" w:color="auto" w:fill="FFFFFF" w:themeFill="background1"/>
            <w:tcMar>
              <w:top w:w="80" w:type="dxa"/>
              <w:left w:w="120" w:type="dxa"/>
              <w:bottom w:w="80" w:type="dxa"/>
              <w:right w:w="120" w:type="dxa"/>
            </w:tcMar>
          </w:tcPr>
          <w:p w14:paraId="294D541C" w14:textId="77777777" w:rsidR="00335224" w:rsidRPr="00774A1A" w:rsidRDefault="00335224" w:rsidP="0028141B">
            <w:pPr>
              <w:spacing w:line="276" w:lineRule="auto"/>
              <w:jc w:val="left"/>
              <w:rPr>
                <w:rFonts w:ascii="Arial" w:hAnsi="Arial"/>
                <w:szCs w:val="24"/>
              </w:rPr>
            </w:pPr>
            <w:r w:rsidRPr="00774A1A">
              <w:rPr>
                <w:rFonts w:ascii="Arial" w:hAnsi="Arial"/>
                <w:szCs w:val="24"/>
              </w:rPr>
              <w:t>Reg. No.</w:t>
            </w:r>
          </w:p>
        </w:tc>
        <w:tc>
          <w:tcPr>
            <w:tcW w:w="6360" w:type="dxa"/>
            <w:shd w:val="clear" w:color="auto" w:fill="FFFFFF" w:themeFill="background1"/>
            <w:tcMar>
              <w:top w:w="80" w:type="dxa"/>
              <w:left w:w="120" w:type="dxa"/>
              <w:bottom w:w="80" w:type="dxa"/>
              <w:right w:w="120" w:type="dxa"/>
            </w:tcMar>
            <w:vAlign w:val="center"/>
          </w:tcPr>
          <w:p w14:paraId="16A0763D" w14:textId="77777777" w:rsidR="00335224" w:rsidRPr="00774A1A" w:rsidRDefault="00335224" w:rsidP="00E13EDB">
            <w:pPr>
              <w:spacing w:line="276" w:lineRule="auto"/>
              <w:rPr>
                <w:rFonts w:ascii="Arial" w:hAnsi="Arial"/>
                <w:szCs w:val="24"/>
              </w:rPr>
            </w:pPr>
            <w:r w:rsidRPr="00774A1A">
              <w:rPr>
                <w:rFonts w:ascii="Arial" w:hAnsi="Arial"/>
                <w:szCs w:val="24"/>
              </w:rPr>
              <w:t>C-94613/11, Registrar of Joint Stock Companies and Firms, Dhaka</w:t>
            </w:r>
          </w:p>
        </w:tc>
      </w:tr>
      <w:tr w:rsidR="00735DB8" w14:paraId="4AFA47C9" w14:textId="77777777" w:rsidTr="002623C4">
        <w:tc>
          <w:tcPr>
            <w:tcW w:w="3000" w:type="dxa"/>
            <w:shd w:val="clear" w:color="auto" w:fill="FFFFFF"/>
            <w:tcMar>
              <w:top w:w="80" w:type="dxa"/>
              <w:left w:w="120" w:type="dxa"/>
              <w:bottom w:w="80" w:type="dxa"/>
              <w:right w:w="120" w:type="dxa"/>
            </w:tcMar>
          </w:tcPr>
          <w:p w14:paraId="76D68BD7" w14:textId="77777777" w:rsidR="00335224" w:rsidRPr="00774A1A" w:rsidRDefault="00335224" w:rsidP="0028141B">
            <w:pPr>
              <w:spacing w:line="276" w:lineRule="auto"/>
              <w:jc w:val="left"/>
              <w:rPr>
                <w:rFonts w:ascii="Arial" w:hAnsi="Arial"/>
                <w:szCs w:val="24"/>
              </w:rPr>
            </w:pPr>
            <w:r w:rsidRPr="00774A1A">
              <w:rPr>
                <w:rFonts w:ascii="Arial" w:hAnsi="Arial"/>
                <w:szCs w:val="24"/>
              </w:rPr>
              <w:t>Nature</w:t>
            </w:r>
          </w:p>
        </w:tc>
        <w:tc>
          <w:tcPr>
            <w:tcW w:w="6360" w:type="dxa"/>
            <w:shd w:val="clear" w:color="auto" w:fill="FFFFFF"/>
            <w:tcMar>
              <w:top w:w="80" w:type="dxa"/>
              <w:left w:w="120" w:type="dxa"/>
              <w:bottom w:w="80" w:type="dxa"/>
              <w:right w:w="120" w:type="dxa"/>
            </w:tcMar>
            <w:vAlign w:val="center"/>
          </w:tcPr>
          <w:p w14:paraId="1FBF9DE9" w14:textId="77777777" w:rsidR="00335224" w:rsidRPr="00774A1A" w:rsidRDefault="00335224" w:rsidP="00E13EDB">
            <w:pPr>
              <w:spacing w:line="276" w:lineRule="auto"/>
              <w:rPr>
                <w:rFonts w:ascii="Arial" w:hAnsi="Arial"/>
                <w:szCs w:val="24"/>
              </w:rPr>
            </w:pPr>
            <w:r w:rsidRPr="00774A1A">
              <w:rPr>
                <w:rFonts w:ascii="Arial" w:hAnsi="Arial"/>
                <w:szCs w:val="24"/>
              </w:rPr>
              <w:t>Private Limited Company</w:t>
            </w:r>
          </w:p>
        </w:tc>
      </w:tr>
      <w:tr w:rsidR="00735DB8" w14:paraId="7A750A59" w14:textId="77777777" w:rsidTr="000A0646">
        <w:tc>
          <w:tcPr>
            <w:tcW w:w="3000" w:type="dxa"/>
            <w:shd w:val="clear" w:color="auto" w:fill="FFFFFF" w:themeFill="background1"/>
            <w:tcMar>
              <w:top w:w="80" w:type="dxa"/>
              <w:left w:w="120" w:type="dxa"/>
              <w:bottom w:w="80" w:type="dxa"/>
              <w:right w:w="120" w:type="dxa"/>
            </w:tcMar>
          </w:tcPr>
          <w:p w14:paraId="156393F8" w14:textId="77777777" w:rsidR="00335224" w:rsidRPr="00774A1A" w:rsidRDefault="00335224" w:rsidP="0028141B">
            <w:pPr>
              <w:spacing w:line="276" w:lineRule="auto"/>
              <w:jc w:val="left"/>
              <w:rPr>
                <w:rFonts w:ascii="Arial" w:hAnsi="Arial"/>
                <w:szCs w:val="24"/>
              </w:rPr>
            </w:pPr>
            <w:r w:rsidRPr="00774A1A">
              <w:rPr>
                <w:rFonts w:ascii="Arial" w:hAnsi="Arial"/>
                <w:szCs w:val="24"/>
              </w:rPr>
              <w:t>Business</w:t>
            </w:r>
          </w:p>
        </w:tc>
        <w:tc>
          <w:tcPr>
            <w:tcW w:w="6360" w:type="dxa"/>
            <w:shd w:val="clear" w:color="auto" w:fill="FFFFFF" w:themeFill="background1"/>
            <w:tcMar>
              <w:top w:w="80" w:type="dxa"/>
              <w:left w:w="120" w:type="dxa"/>
              <w:bottom w:w="80" w:type="dxa"/>
              <w:right w:w="120" w:type="dxa"/>
            </w:tcMar>
            <w:vAlign w:val="center"/>
          </w:tcPr>
          <w:p w14:paraId="28305368" w14:textId="77777777" w:rsidR="00335224" w:rsidRPr="00774A1A" w:rsidRDefault="00335224" w:rsidP="00E13EDB">
            <w:pPr>
              <w:spacing w:line="276" w:lineRule="auto"/>
              <w:rPr>
                <w:rFonts w:ascii="Arial" w:hAnsi="Arial"/>
                <w:szCs w:val="24"/>
              </w:rPr>
            </w:pPr>
            <w:r w:rsidRPr="00774A1A">
              <w:rPr>
                <w:rFonts w:ascii="Arial" w:hAnsi="Arial"/>
                <w:szCs w:val="24"/>
              </w:rPr>
              <w:t>Consultancy: Company formation, Accounting, Taxation, VAT, Legal and Secretarial Affairs</w:t>
            </w:r>
          </w:p>
        </w:tc>
      </w:tr>
      <w:tr w:rsidR="00735DB8" w14:paraId="5DF49196" w14:textId="77777777" w:rsidTr="000A0646">
        <w:tc>
          <w:tcPr>
            <w:tcW w:w="3000" w:type="dxa"/>
            <w:shd w:val="clear" w:color="auto" w:fill="FFFFFF" w:themeFill="background1"/>
            <w:tcMar>
              <w:top w:w="80" w:type="dxa"/>
              <w:left w:w="120" w:type="dxa"/>
              <w:bottom w:w="80" w:type="dxa"/>
              <w:right w:w="120" w:type="dxa"/>
            </w:tcMar>
          </w:tcPr>
          <w:p w14:paraId="53BE13DB" w14:textId="77777777" w:rsidR="00335224" w:rsidRPr="00774A1A" w:rsidRDefault="00335224" w:rsidP="0028141B">
            <w:pPr>
              <w:spacing w:line="276" w:lineRule="auto"/>
              <w:jc w:val="left"/>
              <w:rPr>
                <w:rFonts w:ascii="Arial" w:hAnsi="Arial"/>
                <w:szCs w:val="24"/>
              </w:rPr>
            </w:pPr>
            <w:r w:rsidRPr="00774A1A">
              <w:rPr>
                <w:rFonts w:ascii="Arial" w:hAnsi="Arial"/>
                <w:szCs w:val="24"/>
              </w:rPr>
              <w:t>Address</w:t>
            </w:r>
          </w:p>
        </w:tc>
        <w:tc>
          <w:tcPr>
            <w:tcW w:w="6360" w:type="dxa"/>
            <w:shd w:val="clear" w:color="auto" w:fill="FFFFFF" w:themeFill="background1"/>
            <w:tcMar>
              <w:top w:w="80" w:type="dxa"/>
              <w:left w:w="120" w:type="dxa"/>
              <w:bottom w:w="80" w:type="dxa"/>
              <w:right w:w="120" w:type="dxa"/>
            </w:tcMar>
            <w:vAlign w:val="center"/>
          </w:tcPr>
          <w:p w14:paraId="3E0CAA9A" w14:textId="77777777" w:rsidR="00335224" w:rsidRPr="00774A1A" w:rsidRDefault="00335224" w:rsidP="00E13EDB">
            <w:pPr>
              <w:spacing w:line="276" w:lineRule="auto"/>
              <w:rPr>
                <w:rFonts w:ascii="Arial" w:hAnsi="Arial"/>
                <w:szCs w:val="24"/>
              </w:rPr>
            </w:pPr>
            <w:r w:rsidRPr="00774A1A">
              <w:rPr>
                <w:rFonts w:ascii="Arial" w:hAnsi="Arial"/>
                <w:szCs w:val="24"/>
              </w:rPr>
              <w:t>Safura Tower (10th Floor, South), 20 Kemal Ataturk Avenue, Banani C/A, Dhaka, Bangladesh</w:t>
            </w:r>
          </w:p>
        </w:tc>
      </w:tr>
      <w:tr w:rsidR="00735DB8" w14:paraId="3D25B5C0" w14:textId="77777777" w:rsidTr="000A0646">
        <w:tc>
          <w:tcPr>
            <w:tcW w:w="3000" w:type="dxa"/>
            <w:shd w:val="clear" w:color="auto" w:fill="FFFFFF" w:themeFill="background1"/>
            <w:tcMar>
              <w:top w:w="80" w:type="dxa"/>
              <w:left w:w="120" w:type="dxa"/>
              <w:bottom w:w="80" w:type="dxa"/>
              <w:right w:w="120" w:type="dxa"/>
            </w:tcMar>
          </w:tcPr>
          <w:p w14:paraId="30BA67A5" w14:textId="77777777" w:rsidR="00335224" w:rsidRPr="00774A1A" w:rsidRDefault="00335224" w:rsidP="00C42D2D">
            <w:pPr>
              <w:spacing w:line="276" w:lineRule="auto"/>
              <w:jc w:val="left"/>
              <w:rPr>
                <w:rFonts w:ascii="Arial" w:hAnsi="Arial"/>
                <w:szCs w:val="24"/>
              </w:rPr>
            </w:pPr>
            <w:r w:rsidRPr="00774A1A">
              <w:rPr>
                <w:rFonts w:ascii="Arial" w:hAnsi="Arial"/>
                <w:szCs w:val="24"/>
              </w:rPr>
              <w:t>Shareholders</w:t>
            </w:r>
          </w:p>
        </w:tc>
        <w:tc>
          <w:tcPr>
            <w:tcW w:w="6360" w:type="dxa"/>
            <w:shd w:val="clear" w:color="auto" w:fill="FFFFFF" w:themeFill="background1"/>
            <w:tcMar>
              <w:top w:w="80" w:type="dxa"/>
              <w:left w:w="120" w:type="dxa"/>
              <w:bottom w:w="80" w:type="dxa"/>
              <w:right w:w="120" w:type="dxa"/>
            </w:tcMar>
            <w:vAlign w:val="center"/>
          </w:tcPr>
          <w:p w14:paraId="7A26F915" w14:textId="77777777" w:rsidR="00335224" w:rsidRPr="00774A1A" w:rsidRDefault="00335224" w:rsidP="00E13EDB">
            <w:pPr>
              <w:spacing w:line="276" w:lineRule="auto"/>
              <w:rPr>
                <w:rFonts w:ascii="Arial" w:hAnsi="Arial"/>
                <w:szCs w:val="24"/>
              </w:rPr>
            </w:pPr>
            <w:proofErr w:type="spellStart"/>
            <w:r w:rsidRPr="00774A1A">
              <w:rPr>
                <w:rFonts w:ascii="Arial" w:hAnsi="Arial"/>
                <w:szCs w:val="24"/>
              </w:rPr>
              <w:t>Jinzai</w:t>
            </w:r>
            <w:proofErr w:type="spellEnd"/>
            <w:r w:rsidRPr="00774A1A">
              <w:rPr>
                <w:rFonts w:ascii="Arial" w:hAnsi="Arial"/>
                <w:szCs w:val="24"/>
              </w:rPr>
              <w:t xml:space="preserve"> Kaihatsu Co. Ltd. (17,000 shares) &amp; Tokyo Consulting Firm Co. Ltd. (17,000 shares)</w:t>
            </w:r>
          </w:p>
        </w:tc>
      </w:tr>
      <w:tr w:rsidR="00735DB8" w14:paraId="0CD2FE9D" w14:textId="77777777" w:rsidTr="000A0646">
        <w:tc>
          <w:tcPr>
            <w:tcW w:w="3000" w:type="dxa"/>
            <w:shd w:val="clear" w:color="auto" w:fill="FFFFFF" w:themeFill="background1"/>
            <w:tcMar>
              <w:top w:w="80" w:type="dxa"/>
              <w:left w:w="120" w:type="dxa"/>
              <w:bottom w:w="80" w:type="dxa"/>
              <w:right w:w="120" w:type="dxa"/>
            </w:tcMar>
          </w:tcPr>
          <w:p w14:paraId="4ADCD05D" w14:textId="77777777" w:rsidR="00335224" w:rsidRPr="00774A1A" w:rsidRDefault="00335224" w:rsidP="00C42D2D">
            <w:pPr>
              <w:spacing w:line="276" w:lineRule="auto"/>
              <w:jc w:val="left"/>
              <w:rPr>
                <w:rFonts w:ascii="Arial" w:hAnsi="Arial"/>
                <w:szCs w:val="24"/>
              </w:rPr>
            </w:pPr>
            <w:r w:rsidRPr="00774A1A">
              <w:rPr>
                <w:rFonts w:ascii="Arial" w:hAnsi="Arial"/>
                <w:szCs w:val="24"/>
              </w:rPr>
              <w:t>Share Capital</w:t>
            </w:r>
          </w:p>
        </w:tc>
        <w:tc>
          <w:tcPr>
            <w:tcW w:w="6360" w:type="dxa"/>
            <w:shd w:val="clear" w:color="auto" w:fill="FFFFFF" w:themeFill="background1"/>
            <w:tcMar>
              <w:top w:w="80" w:type="dxa"/>
              <w:left w:w="120" w:type="dxa"/>
              <w:bottom w:w="80" w:type="dxa"/>
              <w:right w:w="120" w:type="dxa"/>
            </w:tcMar>
            <w:vAlign w:val="center"/>
          </w:tcPr>
          <w:p w14:paraId="143265D7" w14:textId="77777777" w:rsidR="00335224" w:rsidRPr="00774A1A" w:rsidRDefault="00335224" w:rsidP="00E13EDB">
            <w:pPr>
              <w:spacing w:line="276" w:lineRule="auto"/>
              <w:rPr>
                <w:rFonts w:ascii="Arial" w:hAnsi="Arial"/>
                <w:szCs w:val="24"/>
              </w:rPr>
            </w:pPr>
            <w:r w:rsidRPr="00774A1A">
              <w:rPr>
                <w:rFonts w:ascii="Arial" w:hAnsi="Arial"/>
                <w:szCs w:val="24"/>
              </w:rPr>
              <w:t>BDT 3,400,000 (Paid-up)</w:t>
            </w:r>
          </w:p>
        </w:tc>
      </w:tr>
      <w:tr w:rsidR="00735DB8" w14:paraId="33A455C7" w14:textId="77777777" w:rsidTr="000A0646">
        <w:tc>
          <w:tcPr>
            <w:tcW w:w="3000" w:type="dxa"/>
            <w:shd w:val="clear" w:color="auto" w:fill="FFFFFF" w:themeFill="background1"/>
            <w:tcMar>
              <w:top w:w="80" w:type="dxa"/>
              <w:left w:w="120" w:type="dxa"/>
              <w:bottom w:w="80" w:type="dxa"/>
              <w:right w:w="120" w:type="dxa"/>
            </w:tcMar>
          </w:tcPr>
          <w:p w14:paraId="12BD77AE" w14:textId="77777777" w:rsidR="00335224" w:rsidRPr="00774A1A" w:rsidRDefault="00335224" w:rsidP="00C42D2D">
            <w:pPr>
              <w:spacing w:line="276" w:lineRule="auto"/>
              <w:jc w:val="left"/>
              <w:rPr>
                <w:rFonts w:ascii="Arial" w:hAnsi="Arial"/>
                <w:szCs w:val="24"/>
              </w:rPr>
            </w:pPr>
            <w:r w:rsidRPr="00774A1A">
              <w:rPr>
                <w:rFonts w:ascii="Arial" w:hAnsi="Arial"/>
                <w:szCs w:val="24"/>
              </w:rPr>
              <w:t>Auditor</w:t>
            </w:r>
          </w:p>
        </w:tc>
        <w:tc>
          <w:tcPr>
            <w:tcW w:w="6360" w:type="dxa"/>
            <w:shd w:val="clear" w:color="auto" w:fill="FFFFFF" w:themeFill="background1"/>
            <w:tcMar>
              <w:top w:w="80" w:type="dxa"/>
              <w:left w:w="120" w:type="dxa"/>
              <w:bottom w:w="80" w:type="dxa"/>
              <w:right w:w="120" w:type="dxa"/>
            </w:tcMar>
            <w:vAlign w:val="center"/>
          </w:tcPr>
          <w:p w14:paraId="09A50CC8" w14:textId="77777777" w:rsidR="00335224" w:rsidRPr="00774A1A" w:rsidRDefault="00335224" w:rsidP="00E13EDB">
            <w:pPr>
              <w:spacing w:line="276" w:lineRule="auto"/>
              <w:rPr>
                <w:rFonts w:ascii="Arial" w:hAnsi="Arial"/>
                <w:szCs w:val="24"/>
              </w:rPr>
            </w:pPr>
            <w:r w:rsidRPr="00774A1A">
              <w:rPr>
                <w:rFonts w:ascii="Arial" w:hAnsi="Arial"/>
                <w:szCs w:val="24"/>
              </w:rPr>
              <w:t>Shafiq Basak &amp; Co., Chartered Accountants</w:t>
            </w:r>
          </w:p>
        </w:tc>
      </w:tr>
      <w:tr w:rsidR="00735DB8" w14:paraId="15FC8464" w14:textId="77777777" w:rsidTr="000A0646">
        <w:tc>
          <w:tcPr>
            <w:tcW w:w="3000" w:type="dxa"/>
            <w:shd w:val="clear" w:color="auto" w:fill="FFFFFF" w:themeFill="background1"/>
            <w:tcMar>
              <w:top w:w="80" w:type="dxa"/>
              <w:left w:w="120" w:type="dxa"/>
              <w:bottom w:w="80" w:type="dxa"/>
              <w:right w:w="120" w:type="dxa"/>
            </w:tcMar>
          </w:tcPr>
          <w:p w14:paraId="2DA707E2" w14:textId="77777777" w:rsidR="00335224" w:rsidRPr="00774A1A" w:rsidRDefault="00335224" w:rsidP="00C42D2D">
            <w:pPr>
              <w:spacing w:line="276" w:lineRule="auto"/>
              <w:jc w:val="left"/>
              <w:rPr>
                <w:rFonts w:ascii="Arial" w:hAnsi="Arial"/>
                <w:szCs w:val="24"/>
              </w:rPr>
            </w:pPr>
            <w:r w:rsidRPr="00774A1A">
              <w:rPr>
                <w:rFonts w:ascii="Arial" w:hAnsi="Arial"/>
                <w:szCs w:val="24"/>
              </w:rPr>
              <w:t>Fiscal Year</w:t>
            </w:r>
          </w:p>
        </w:tc>
        <w:tc>
          <w:tcPr>
            <w:tcW w:w="6360" w:type="dxa"/>
            <w:shd w:val="clear" w:color="auto" w:fill="FFFFFF" w:themeFill="background1"/>
            <w:tcMar>
              <w:top w:w="80" w:type="dxa"/>
              <w:left w:w="120" w:type="dxa"/>
              <w:bottom w:w="80" w:type="dxa"/>
              <w:right w:w="120" w:type="dxa"/>
            </w:tcMar>
            <w:vAlign w:val="center"/>
          </w:tcPr>
          <w:p w14:paraId="7BE6220B" w14:textId="77777777" w:rsidR="00335224" w:rsidRPr="00774A1A" w:rsidRDefault="00335224" w:rsidP="00E13EDB">
            <w:pPr>
              <w:spacing w:line="276" w:lineRule="auto"/>
              <w:rPr>
                <w:rFonts w:ascii="Arial" w:hAnsi="Arial"/>
                <w:szCs w:val="24"/>
              </w:rPr>
            </w:pPr>
            <w:r w:rsidRPr="00774A1A">
              <w:rPr>
                <w:rFonts w:ascii="Arial" w:hAnsi="Arial"/>
                <w:szCs w:val="24"/>
              </w:rPr>
              <w:t>July 1 to June 30</w:t>
            </w:r>
          </w:p>
        </w:tc>
      </w:tr>
      <w:tr w:rsidR="00735DB8" w14:paraId="40F6B8F3" w14:textId="77777777" w:rsidTr="000A0646">
        <w:tc>
          <w:tcPr>
            <w:tcW w:w="3000" w:type="dxa"/>
            <w:shd w:val="clear" w:color="auto" w:fill="FFFFFF" w:themeFill="background1"/>
            <w:tcMar>
              <w:top w:w="80" w:type="dxa"/>
              <w:left w:w="120" w:type="dxa"/>
              <w:bottom w:w="80" w:type="dxa"/>
              <w:right w:w="120" w:type="dxa"/>
            </w:tcMar>
          </w:tcPr>
          <w:p w14:paraId="291A732C" w14:textId="77777777" w:rsidR="00335224" w:rsidRPr="00774A1A" w:rsidRDefault="00335224" w:rsidP="00C42D2D">
            <w:pPr>
              <w:spacing w:line="276" w:lineRule="auto"/>
              <w:jc w:val="left"/>
              <w:rPr>
                <w:rFonts w:ascii="Arial" w:hAnsi="Arial"/>
                <w:szCs w:val="24"/>
              </w:rPr>
            </w:pPr>
            <w:r w:rsidRPr="00774A1A">
              <w:rPr>
                <w:rFonts w:ascii="Arial" w:hAnsi="Arial"/>
                <w:szCs w:val="24"/>
              </w:rPr>
              <w:t>Website</w:t>
            </w:r>
          </w:p>
        </w:tc>
        <w:tc>
          <w:tcPr>
            <w:tcW w:w="6360" w:type="dxa"/>
            <w:shd w:val="clear" w:color="auto" w:fill="FFFFFF" w:themeFill="background1"/>
            <w:tcMar>
              <w:top w:w="80" w:type="dxa"/>
              <w:left w:w="120" w:type="dxa"/>
              <w:bottom w:w="80" w:type="dxa"/>
              <w:right w:w="120" w:type="dxa"/>
            </w:tcMar>
            <w:vAlign w:val="center"/>
          </w:tcPr>
          <w:p w14:paraId="76C12929" w14:textId="77777777" w:rsidR="00335224" w:rsidRPr="00774A1A" w:rsidRDefault="00335224" w:rsidP="00E13EDB">
            <w:pPr>
              <w:spacing w:line="276" w:lineRule="auto"/>
              <w:rPr>
                <w:rFonts w:ascii="Arial" w:hAnsi="Arial"/>
                <w:szCs w:val="24"/>
              </w:rPr>
            </w:pPr>
            <w:r w:rsidRPr="00774A1A">
              <w:rPr>
                <w:rFonts w:ascii="Arial" w:hAnsi="Arial"/>
                <w:szCs w:val="24"/>
              </w:rPr>
              <w:t>www.tcfbd.com | www.tokyoconsultingfirm.com/bangladesh</w:t>
            </w:r>
          </w:p>
        </w:tc>
      </w:tr>
      <w:tr w:rsidR="00735DB8" w14:paraId="3D6F279F" w14:textId="77777777" w:rsidTr="002623C4">
        <w:tc>
          <w:tcPr>
            <w:tcW w:w="3000" w:type="dxa"/>
            <w:shd w:val="clear" w:color="auto" w:fill="FFFFFF"/>
            <w:tcMar>
              <w:top w:w="80" w:type="dxa"/>
              <w:left w:w="120" w:type="dxa"/>
              <w:bottom w:w="80" w:type="dxa"/>
              <w:right w:w="120" w:type="dxa"/>
            </w:tcMar>
          </w:tcPr>
          <w:p w14:paraId="376E7E78" w14:textId="77777777" w:rsidR="00335224" w:rsidRPr="00774A1A" w:rsidRDefault="00335224" w:rsidP="00C42D2D">
            <w:pPr>
              <w:spacing w:line="276" w:lineRule="auto"/>
              <w:jc w:val="left"/>
              <w:rPr>
                <w:rFonts w:ascii="Arial" w:hAnsi="Arial"/>
                <w:szCs w:val="24"/>
              </w:rPr>
            </w:pPr>
            <w:r w:rsidRPr="00774A1A">
              <w:rPr>
                <w:rFonts w:ascii="Arial" w:hAnsi="Arial"/>
                <w:szCs w:val="24"/>
              </w:rPr>
              <w:t>Email</w:t>
            </w:r>
          </w:p>
        </w:tc>
        <w:tc>
          <w:tcPr>
            <w:tcW w:w="6360" w:type="dxa"/>
            <w:shd w:val="clear" w:color="auto" w:fill="FFFFFF"/>
            <w:tcMar>
              <w:top w:w="80" w:type="dxa"/>
              <w:left w:w="120" w:type="dxa"/>
              <w:bottom w:w="80" w:type="dxa"/>
              <w:right w:w="120" w:type="dxa"/>
            </w:tcMar>
            <w:vAlign w:val="center"/>
          </w:tcPr>
          <w:p w14:paraId="24F6954A" w14:textId="77777777" w:rsidR="00335224" w:rsidRPr="00774A1A" w:rsidRDefault="00335224" w:rsidP="00E13EDB">
            <w:pPr>
              <w:spacing w:line="276" w:lineRule="auto"/>
              <w:rPr>
                <w:rFonts w:ascii="Arial" w:hAnsi="Arial"/>
                <w:szCs w:val="24"/>
              </w:rPr>
            </w:pPr>
            <w:r w:rsidRPr="00774A1A">
              <w:rPr>
                <w:rFonts w:ascii="Arial" w:hAnsi="Arial"/>
                <w:szCs w:val="24"/>
              </w:rPr>
              <w:t>info_tcfbd@tokyoconsultinggroup.com</w:t>
            </w:r>
          </w:p>
        </w:tc>
      </w:tr>
    </w:tbl>
    <w:p w14:paraId="3EC5832C" w14:textId="57221F95" w:rsidR="00DD6263" w:rsidRPr="00531528" w:rsidRDefault="00DD6263" w:rsidP="00531528">
      <w:pPr>
        <w:pStyle w:val="Heading3"/>
        <w:rPr>
          <w:rFonts w:ascii="Arial" w:hAnsi="Arial" w:cs="Arial"/>
          <w:sz w:val="24"/>
          <w:szCs w:val="24"/>
        </w:rPr>
      </w:pPr>
      <w:bookmarkStart w:id="23" w:name="_Toc235801926"/>
      <w:r w:rsidRPr="00531528">
        <w:rPr>
          <w:rFonts w:ascii="Arial" w:hAnsi="Arial" w:cs="Arial"/>
          <w:sz w:val="24"/>
          <w:szCs w:val="24"/>
        </w:rPr>
        <w:t>2.1.2 Trend and Growth</w:t>
      </w:r>
      <w:bookmarkEnd w:id="23"/>
    </w:p>
    <w:p w14:paraId="072BCF40" w14:textId="09A78897" w:rsidR="00DB17E3" w:rsidRDefault="00DB17E3" w:rsidP="003B247E">
      <w:pPr>
        <w:rPr>
          <w:rFonts w:ascii="Arial" w:hAnsi="Arial"/>
        </w:rPr>
      </w:pPr>
      <w:r w:rsidRPr="00DB17E3">
        <w:rPr>
          <w:rFonts w:ascii="Arial" w:hAnsi="Arial"/>
        </w:rPr>
        <w:t xml:space="preserve">Looking at the working capital trend of TCF Bangladesh in the past five years, it did not move smoothly as it is a roller coaster with impressive ending. During FY2021 and FY2023, working capital has declined to Tk 9 million from approximately Tk 13.8 million, largely due to the increase in liabilities during these years. However, the situation turned rapidly upside down: working capital increased to almost Tk 21 million </w:t>
      </w:r>
      <w:r w:rsidRPr="00DB17E3">
        <w:rPr>
          <w:rFonts w:ascii="Arial" w:hAnsi="Arial"/>
        </w:rPr>
        <w:lastRenderedPageBreak/>
        <w:t>by FY2024 but levelled off around Tk 16 million in FY2025. Despite the short-term liquidity fluctuations, the business itself has been growing steadily every year, from Tk 41.8 million in FY2021 to Tk 58.2 million in FY2025.</w:t>
      </w:r>
    </w:p>
    <w:p w14:paraId="45D59BB1" w14:textId="117E8BCA" w:rsidR="005B3479" w:rsidRPr="00531528" w:rsidRDefault="00335224" w:rsidP="00531528">
      <w:pPr>
        <w:pStyle w:val="Heading3"/>
        <w:rPr>
          <w:rFonts w:ascii="Arial" w:hAnsi="Arial" w:cs="Arial"/>
          <w:sz w:val="24"/>
          <w:szCs w:val="24"/>
        </w:rPr>
      </w:pPr>
      <w:bookmarkStart w:id="24" w:name="_Toc235801927"/>
      <w:r w:rsidRPr="00531528">
        <w:rPr>
          <w:rFonts w:ascii="Arial" w:hAnsi="Arial" w:cs="Arial"/>
          <w:sz w:val="24"/>
          <w:szCs w:val="24"/>
        </w:rPr>
        <w:t>2.</w:t>
      </w:r>
      <w:r w:rsidR="00774A1A" w:rsidRPr="00531528">
        <w:rPr>
          <w:rFonts w:ascii="Arial" w:hAnsi="Arial" w:cs="Arial"/>
          <w:sz w:val="24"/>
          <w:szCs w:val="24"/>
        </w:rPr>
        <w:t>1.3</w:t>
      </w:r>
      <w:r w:rsidRPr="00531528">
        <w:rPr>
          <w:rFonts w:ascii="Arial" w:hAnsi="Arial" w:cs="Arial"/>
          <w:sz w:val="24"/>
          <w:szCs w:val="24"/>
        </w:rPr>
        <w:t xml:space="preserve"> Services Offered</w:t>
      </w:r>
      <w:bookmarkEnd w:id="24"/>
    </w:p>
    <w:p w14:paraId="180B9A45" w14:textId="2C812733" w:rsidR="005B3479" w:rsidRPr="00774A1A" w:rsidRDefault="005B3479" w:rsidP="00774A1A">
      <w:pPr>
        <w:spacing w:after="60"/>
        <w:rPr>
          <w:rFonts w:ascii="Arial" w:hAnsi="Arial"/>
          <w:szCs w:val="24"/>
        </w:rPr>
      </w:pPr>
      <w:r w:rsidRPr="00774A1A">
        <w:rPr>
          <w:rFonts w:ascii="Arial" w:hAnsi="Arial"/>
          <w:szCs w:val="24"/>
        </w:rPr>
        <w:t xml:space="preserve">TCF Bangladesh is a full spectrum one-stop consulting solution provider and their core service lines are the </w:t>
      </w:r>
      <w:r w:rsidR="00F3734C" w:rsidRPr="00774A1A">
        <w:rPr>
          <w:rFonts w:ascii="Arial" w:hAnsi="Arial"/>
          <w:szCs w:val="24"/>
        </w:rPr>
        <w:t>following:</w:t>
      </w:r>
    </w:p>
    <w:p w14:paraId="02E410B3" w14:textId="724CD22C" w:rsidR="005B3479" w:rsidRPr="00774A1A" w:rsidRDefault="00CD11B2" w:rsidP="00774A1A">
      <w:pPr>
        <w:pStyle w:val="ListParagraph"/>
        <w:numPr>
          <w:ilvl w:val="0"/>
          <w:numId w:val="17"/>
        </w:numPr>
        <w:spacing w:after="60"/>
        <w:rPr>
          <w:rFonts w:ascii="Arial" w:hAnsi="Arial"/>
          <w:szCs w:val="24"/>
        </w:rPr>
      </w:pPr>
      <w:r w:rsidRPr="00774A1A">
        <w:rPr>
          <w:rFonts w:ascii="Arial" w:hAnsi="Arial"/>
          <w:szCs w:val="24"/>
        </w:rPr>
        <w:t>Business Setup and Registration Company Registration and licenses provided services in company formation, company registration process, setting up a business in the UAE, foreign direct investment, getting licenses, and all regulatory requirements of the companies.</w:t>
      </w:r>
    </w:p>
    <w:p w14:paraId="385C2231" w14:textId="01E72D0F" w:rsidR="005B3479" w:rsidRPr="00774A1A" w:rsidRDefault="00CD11B2" w:rsidP="00774A1A">
      <w:pPr>
        <w:pStyle w:val="ListParagraph"/>
        <w:numPr>
          <w:ilvl w:val="0"/>
          <w:numId w:val="17"/>
        </w:numPr>
        <w:spacing w:after="60"/>
        <w:rPr>
          <w:rFonts w:ascii="Arial" w:hAnsi="Arial"/>
          <w:szCs w:val="24"/>
        </w:rPr>
      </w:pPr>
      <w:r w:rsidRPr="00774A1A">
        <w:rPr>
          <w:rFonts w:ascii="Arial" w:hAnsi="Arial"/>
          <w:szCs w:val="24"/>
        </w:rPr>
        <w:t>Bookkeeping and Accounting to keep accounting records in line with International Financial Reporting Standards/ International Accounting Standards (as adopted by The Institute of Chartered Accountants of Bangladesh - ICAB) and other applicable regulatory standards in Bangladesh.</w:t>
      </w:r>
    </w:p>
    <w:p w14:paraId="3E823789" w14:textId="69321B9F" w:rsidR="005B3479" w:rsidRPr="00774A1A" w:rsidRDefault="00CD11B2" w:rsidP="00774A1A">
      <w:pPr>
        <w:pStyle w:val="ListParagraph"/>
        <w:numPr>
          <w:ilvl w:val="0"/>
          <w:numId w:val="17"/>
        </w:numPr>
        <w:spacing w:after="60"/>
        <w:rPr>
          <w:rFonts w:ascii="Arial" w:hAnsi="Arial"/>
          <w:szCs w:val="24"/>
        </w:rPr>
      </w:pPr>
      <w:r w:rsidRPr="00774A1A">
        <w:rPr>
          <w:rFonts w:ascii="Arial" w:hAnsi="Arial"/>
          <w:szCs w:val="24"/>
        </w:rPr>
        <w:t>Tax Advisory &amp; Compliance -Tax Planning Strategy -Tax Settlement (Final) - Advance Tax - Income Tax Filings and Compliance according to Income Tax Ordinance 2023.</w:t>
      </w:r>
    </w:p>
    <w:p w14:paraId="2499515F" w14:textId="7E2083B9" w:rsidR="005B3479" w:rsidRPr="00774A1A" w:rsidRDefault="005B3479" w:rsidP="00774A1A">
      <w:pPr>
        <w:pStyle w:val="ListParagraph"/>
        <w:numPr>
          <w:ilvl w:val="0"/>
          <w:numId w:val="17"/>
        </w:numPr>
        <w:spacing w:after="60"/>
        <w:rPr>
          <w:rFonts w:ascii="Arial" w:hAnsi="Arial"/>
          <w:szCs w:val="24"/>
        </w:rPr>
      </w:pPr>
      <w:r w:rsidRPr="00774A1A">
        <w:rPr>
          <w:rFonts w:ascii="Arial" w:hAnsi="Arial"/>
          <w:szCs w:val="24"/>
        </w:rPr>
        <w:t xml:space="preserve">VAT Advisory VAT return filing &amp; lodgment, assisting in VAT Audit and all other compliances with the VAT and Supplementary duty Act, 2012. </w:t>
      </w:r>
    </w:p>
    <w:p w14:paraId="041AC6C7" w14:textId="1C82BB3C" w:rsidR="00CD11B2" w:rsidRPr="00774A1A" w:rsidRDefault="00CD11B2" w:rsidP="00774A1A">
      <w:pPr>
        <w:pStyle w:val="ListParagraph"/>
        <w:numPr>
          <w:ilvl w:val="0"/>
          <w:numId w:val="17"/>
        </w:numPr>
        <w:spacing w:after="60"/>
        <w:rPr>
          <w:rFonts w:ascii="Arial" w:hAnsi="Arial"/>
          <w:szCs w:val="24"/>
        </w:rPr>
      </w:pPr>
      <w:r w:rsidRPr="00774A1A">
        <w:rPr>
          <w:rFonts w:ascii="Arial" w:hAnsi="Arial"/>
          <w:szCs w:val="24"/>
        </w:rPr>
        <w:t>HR (Human Resources) Provision of Payroll processing services and social insurance including compliance; preparation of HR related policies and all issues pertaining to compliance with labor law.</w:t>
      </w:r>
    </w:p>
    <w:p w14:paraId="5DF5A221" w14:textId="50C222E7" w:rsidR="00CD11B2" w:rsidRPr="00774A1A" w:rsidRDefault="00CD11B2" w:rsidP="00CA52E8">
      <w:pPr>
        <w:pStyle w:val="ListParagraph"/>
        <w:numPr>
          <w:ilvl w:val="0"/>
          <w:numId w:val="17"/>
        </w:numPr>
        <w:spacing w:after="60"/>
        <w:rPr>
          <w:rFonts w:ascii="Arial" w:hAnsi="Arial"/>
          <w:szCs w:val="24"/>
        </w:rPr>
      </w:pPr>
      <w:r w:rsidRPr="00774A1A">
        <w:rPr>
          <w:rFonts w:ascii="Arial" w:hAnsi="Arial"/>
          <w:szCs w:val="24"/>
        </w:rPr>
        <w:t>The following table shows the full menu for our legal and secretarial assistance services; Legal and Secretarial Services: - Board Meeting Preparation and Documentation Legal and Contractual Documentation</w:t>
      </w:r>
    </w:p>
    <w:p w14:paraId="0F58CC9C" w14:textId="77777777" w:rsidR="00F3734C" w:rsidRPr="00774A1A" w:rsidRDefault="005B3479" w:rsidP="00CA52E8">
      <w:pPr>
        <w:pStyle w:val="ListParagraph"/>
        <w:numPr>
          <w:ilvl w:val="0"/>
          <w:numId w:val="17"/>
        </w:numPr>
        <w:spacing w:after="60"/>
        <w:rPr>
          <w:rFonts w:ascii="Arial" w:hAnsi="Arial"/>
          <w:szCs w:val="24"/>
        </w:rPr>
      </w:pPr>
      <w:r w:rsidRPr="00774A1A">
        <w:rPr>
          <w:rFonts w:ascii="Arial" w:hAnsi="Arial"/>
          <w:szCs w:val="24"/>
        </w:rPr>
        <w:t>Mergers &amp; Acquisitions (M&amp;A) Providing end-to-end solutions including target identification &amp; valuation, due diligence and transactional assistance.</w:t>
      </w:r>
    </w:p>
    <w:p w14:paraId="65340257" w14:textId="755FB8C9" w:rsidR="00CD11B2" w:rsidRDefault="00CD11B2" w:rsidP="00CA52E8">
      <w:pPr>
        <w:pStyle w:val="ListParagraph"/>
        <w:numPr>
          <w:ilvl w:val="0"/>
          <w:numId w:val="17"/>
        </w:numPr>
        <w:spacing w:after="60"/>
        <w:rPr>
          <w:rFonts w:ascii="Arial" w:hAnsi="Arial"/>
          <w:szCs w:val="24"/>
        </w:rPr>
      </w:pPr>
      <w:r w:rsidRPr="00774A1A">
        <w:rPr>
          <w:rFonts w:ascii="Arial" w:hAnsi="Arial"/>
          <w:szCs w:val="24"/>
        </w:rPr>
        <w:t>Market analysis In-depth analysis of sector and business SWOT on competitors positioning and to facilitate market entry into.</w:t>
      </w:r>
    </w:p>
    <w:p w14:paraId="21395B44" w14:textId="2C4E242C" w:rsidR="00774A1A" w:rsidRPr="00531528" w:rsidRDefault="00774A1A" w:rsidP="00531528">
      <w:pPr>
        <w:pStyle w:val="Heading3"/>
        <w:rPr>
          <w:rFonts w:ascii="Arial" w:hAnsi="Arial" w:cs="Arial"/>
          <w:sz w:val="24"/>
          <w:szCs w:val="24"/>
        </w:rPr>
      </w:pPr>
      <w:bookmarkStart w:id="25" w:name="_Toc235801928"/>
      <w:r w:rsidRPr="00531528">
        <w:rPr>
          <w:rFonts w:ascii="Arial" w:hAnsi="Arial" w:cs="Arial"/>
          <w:sz w:val="24"/>
          <w:szCs w:val="24"/>
        </w:rPr>
        <w:t>2.1.4 Company Operations</w:t>
      </w:r>
      <w:bookmarkEnd w:id="25"/>
      <w:r w:rsidRPr="00531528">
        <w:rPr>
          <w:rFonts w:ascii="Arial" w:hAnsi="Arial" w:cs="Arial"/>
          <w:sz w:val="24"/>
          <w:szCs w:val="24"/>
        </w:rPr>
        <w:t xml:space="preserve"> </w:t>
      </w:r>
    </w:p>
    <w:p w14:paraId="55B8E939" w14:textId="38A206A0" w:rsidR="00DB17E3" w:rsidRPr="00DB17E3" w:rsidRDefault="00DB17E3" w:rsidP="00DB17E3">
      <w:pPr>
        <w:rPr>
          <w:rFonts w:ascii="Arial" w:hAnsi="Arial"/>
        </w:rPr>
      </w:pPr>
      <w:r w:rsidRPr="00DB17E3">
        <w:rPr>
          <w:rFonts w:ascii="Arial" w:hAnsi="Arial"/>
        </w:rPr>
        <w:t>TCF Bangladesh is a full-service consulting firm, primarily assisting foreign companies</w:t>
      </w:r>
      <w:r>
        <w:rPr>
          <w:rFonts w:ascii="Arial" w:hAnsi="Arial"/>
        </w:rPr>
        <w:t xml:space="preserve"> </w:t>
      </w:r>
      <w:r w:rsidRPr="00DB17E3">
        <w:rPr>
          <w:rFonts w:ascii="Arial" w:hAnsi="Arial"/>
        </w:rPr>
        <w:t xml:space="preserve">particularly Japanese </w:t>
      </w:r>
      <w:r w:rsidR="00CA52E8" w:rsidRPr="00DB17E3">
        <w:rPr>
          <w:rFonts w:ascii="Arial" w:hAnsi="Arial"/>
        </w:rPr>
        <w:t>firms</w:t>
      </w:r>
      <w:r w:rsidR="00CA52E8">
        <w:rPr>
          <w:rFonts w:ascii="Arial" w:hAnsi="Arial"/>
        </w:rPr>
        <w:t xml:space="preserve"> to</w:t>
      </w:r>
      <w:r w:rsidRPr="00DB17E3">
        <w:rPr>
          <w:rFonts w:ascii="Arial" w:hAnsi="Arial"/>
        </w:rPr>
        <w:t xml:space="preserve"> establish their operations and maintain compliance in </w:t>
      </w:r>
      <w:r w:rsidRPr="00DB17E3">
        <w:rPr>
          <w:rFonts w:ascii="Arial" w:hAnsi="Arial"/>
        </w:rPr>
        <w:lastRenderedPageBreak/>
        <w:t xml:space="preserve">Bangladesh. It is like a one-stop shop for </w:t>
      </w:r>
      <w:r w:rsidR="002B0DFC" w:rsidRPr="00DB17E3">
        <w:rPr>
          <w:rFonts w:ascii="Arial" w:hAnsi="Arial"/>
        </w:rPr>
        <w:t>all</w:t>
      </w:r>
      <w:r w:rsidRPr="00DB17E3">
        <w:rPr>
          <w:rFonts w:ascii="Arial" w:hAnsi="Arial"/>
        </w:rPr>
        <w:t xml:space="preserve"> foreign investor's needs in a new market. It provides services with respect to incorporating and registering companies, tax and VAT advice, accounting services, bookkeeping and corporate secretarial services. In essence, TCF manages all the paperwork, compliance and financial arrangements, allowing their client companies to concentrate on the business rather than the regulations.</w:t>
      </w:r>
    </w:p>
    <w:p w14:paraId="02D95732" w14:textId="291DE293" w:rsidR="00CD38C5" w:rsidRPr="00CD38C5" w:rsidRDefault="00DB17E3" w:rsidP="00DB17E3">
      <w:pPr>
        <w:rPr>
          <w:rFonts w:ascii="Arial" w:hAnsi="Arial"/>
        </w:rPr>
      </w:pPr>
      <w:r w:rsidRPr="00DB17E3">
        <w:rPr>
          <w:rFonts w:ascii="Arial" w:hAnsi="Arial"/>
        </w:rPr>
        <w:t>Most of the clients are Japanese companies entering into Bangladesh for the first time and TCF serves as a trusted local partner, someone who knows the language of international business and understands the practical working of the System. The firm serves as a sort of bridge, bridging the "local" and the "foreign".</w:t>
      </w:r>
    </w:p>
    <w:p w14:paraId="59C509DD" w14:textId="34F6FDB8" w:rsidR="00774A1A" w:rsidRPr="00531528" w:rsidRDefault="00774A1A" w:rsidP="00531528">
      <w:pPr>
        <w:pStyle w:val="Heading3"/>
        <w:rPr>
          <w:rFonts w:ascii="Arial" w:hAnsi="Arial" w:cs="Arial"/>
          <w:sz w:val="24"/>
          <w:szCs w:val="24"/>
        </w:rPr>
      </w:pPr>
      <w:bookmarkStart w:id="26" w:name="_Toc235801929"/>
      <w:r w:rsidRPr="00531528">
        <w:rPr>
          <w:rFonts w:ascii="Arial" w:hAnsi="Arial" w:cs="Arial"/>
          <w:sz w:val="24"/>
          <w:szCs w:val="24"/>
        </w:rPr>
        <w:t>2.1.5 SWOT Analysis</w:t>
      </w:r>
      <w:bookmarkEnd w:id="26"/>
    </w:p>
    <w:p w14:paraId="6EFACD62" w14:textId="19114583" w:rsidR="00CD38C5" w:rsidRPr="00CD38C5" w:rsidRDefault="00DB17E3" w:rsidP="00CD38C5">
      <w:pPr>
        <w:pStyle w:val="ListParagraph"/>
        <w:numPr>
          <w:ilvl w:val="0"/>
          <w:numId w:val="39"/>
        </w:numPr>
        <w:rPr>
          <w:rFonts w:ascii="Arial" w:hAnsi="Arial"/>
        </w:rPr>
      </w:pPr>
      <w:r>
        <w:rPr>
          <w:rFonts w:ascii="Arial" w:hAnsi="Arial"/>
          <w:b/>
          <w:bCs/>
        </w:rPr>
        <w:t>Strengths:</w:t>
      </w:r>
      <w:r w:rsidR="00CD38C5" w:rsidRPr="00CD38C5">
        <w:rPr>
          <w:rFonts w:ascii="Arial" w:hAnsi="Arial"/>
        </w:rPr>
        <w:t xml:space="preserve"> </w:t>
      </w:r>
      <w:r w:rsidRPr="00DB17E3">
        <w:rPr>
          <w:rFonts w:ascii="Arial" w:hAnsi="Arial"/>
        </w:rPr>
        <w:t>TCF Bangladesh gains reputation, a ready clientele, and access to tried-and-true business methods thanks to the support of its Japanese parent firm, Tokyo Consulting Group. It is a reliable gateway for foreign investors to enter Bangladesh because of its in-depth knowledge of Japanese business culture and familiarity with local regulations.</w:t>
      </w:r>
    </w:p>
    <w:p w14:paraId="157928E7" w14:textId="457D256A" w:rsidR="00DB17E3" w:rsidRPr="00DB17E3" w:rsidRDefault="00DB17E3" w:rsidP="00CD38C5">
      <w:pPr>
        <w:pStyle w:val="ListParagraph"/>
        <w:numPr>
          <w:ilvl w:val="0"/>
          <w:numId w:val="39"/>
        </w:numPr>
        <w:rPr>
          <w:rFonts w:ascii="Arial" w:hAnsi="Arial"/>
          <w:b/>
          <w:bCs/>
        </w:rPr>
      </w:pPr>
      <w:r w:rsidRPr="00DB17E3">
        <w:rPr>
          <w:rFonts w:ascii="Arial" w:hAnsi="Arial"/>
          <w:b/>
          <w:bCs/>
        </w:rPr>
        <w:t>Weaknesses:</w:t>
      </w:r>
      <w:r>
        <w:rPr>
          <w:rFonts w:ascii="Arial" w:hAnsi="Arial"/>
          <w:b/>
          <w:bCs/>
        </w:rPr>
        <w:t xml:space="preserve"> </w:t>
      </w:r>
      <w:r w:rsidRPr="00DB17E3">
        <w:rPr>
          <w:rFonts w:ascii="Arial" w:hAnsi="Arial"/>
        </w:rPr>
        <w:t>The company's revenue is somewhat concentrated and relies on a single market segment because most of its clients are Japanese businesses. TCF may be at risk if Japanese investment in Bangladesh slows down or moves elsewhere due to this small clientele.</w:t>
      </w:r>
      <w:r w:rsidRPr="00DB17E3">
        <w:rPr>
          <w:rFonts w:ascii="Arial" w:hAnsi="Arial"/>
          <w:b/>
          <w:bCs/>
        </w:rPr>
        <w:t xml:space="preserve"> </w:t>
      </w:r>
    </w:p>
    <w:p w14:paraId="7CB6ABCF" w14:textId="536F18BE" w:rsidR="00CD38C5" w:rsidRPr="00DB17E3" w:rsidRDefault="00DB17E3" w:rsidP="00CD38C5">
      <w:pPr>
        <w:pStyle w:val="ListParagraph"/>
        <w:numPr>
          <w:ilvl w:val="0"/>
          <w:numId w:val="39"/>
        </w:numPr>
        <w:rPr>
          <w:rFonts w:ascii="Arial" w:hAnsi="Arial"/>
        </w:rPr>
      </w:pPr>
      <w:r w:rsidRPr="00DB17E3">
        <w:rPr>
          <w:rFonts w:ascii="Arial" w:hAnsi="Arial"/>
          <w:b/>
          <w:bCs/>
        </w:rPr>
        <w:t xml:space="preserve">Opportunities: </w:t>
      </w:r>
      <w:r w:rsidRPr="00DB17E3">
        <w:rPr>
          <w:rFonts w:ascii="Arial" w:hAnsi="Arial"/>
        </w:rPr>
        <w:t>Bangladesh continues to draw an increasing amount of foreign investment, and TCF has room to expand beyond Japanese clients as more foreign businesses want to enter the market. Increasing the number of services offered or the nationality of clients could lower dependency risk and create new revenue sources.</w:t>
      </w:r>
    </w:p>
    <w:p w14:paraId="3E53D352" w14:textId="06EA199E" w:rsidR="00CD38C5" w:rsidRPr="00CD38C5" w:rsidRDefault="00CD38C5" w:rsidP="00CD38C5">
      <w:pPr>
        <w:pStyle w:val="ListParagraph"/>
        <w:numPr>
          <w:ilvl w:val="0"/>
          <w:numId w:val="39"/>
        </w:numPr>
        <w:rPr>
          <w:rFonts w:ascii="Arial" w:hAnsi="Arial"/>
        </w:rPr>
      </w:pPr>
      <w:r w:rsidRPr="00CD38C5">
        <w:rPr>
          <w:rFonts w:ascii="Arial" w:hAnsi="Arial"/>
          <w:b/>
          <w:bCs/>
        </w:rPr>
        <w:t>Threats:</w:t>
      </w:r>
      <w:r w:rsidRPr="00CD38C5">
        <w:rPr>
          <w:rFonts w:ascii="Arial" w:hAnsi="Arial"/>
        </w:rPr>
        <w:t xml:space="preserve"> Frequent changes in Bangladesh's tax, VAT, and regulatory policies can create compliance challenges and increase operational costs. Additionally, growing competition from other consulting firms targeting the same foreign-investor niche could put pressure on TCF's market position and pricing power over time.</w:t>
      </w:r>
    </w:p>
    <w:p w14:paraId="5EB745B2" w14:textId="1879C663" w:rsidR="002861B5" w:rsidRPr="00531528" w:rsidRDefault="00DF5A52" w:rsidP="00531528">
      <w:pPr>
        <w:pStyle w:val="Heading3"/>
        <w:rPr>
          <w:rFonts w:ascii="Arial" w:hAnsi="Arial" w:cs="Arial"/>
          <w:sz w:val="24"/>
          <w:szCs w:val="24"/>
        </w:rPr>
      </w:pPr>
      <w:bookmarkStart w:id="27" w:name="_Toc235801930"/>
      <w:r w:rsidRPr="00531528">
        <w:rPr>
          <w:rFonts w:ascii="Arial" w:hAnsi="Arial" w:cs="Arial"/>
          <w:sz w:val="24"/>
          <w:szCs w:val="24"/>
        </w:rPr>
        <w:lastRenderedPageBreak/>
        <w:t>2.</w:t>
      </w:r>
      <w:r w:rsidR="00774A1A" w:rsidRPr="00531528">
        <w:rPr>
          <w:rFonts w:ascii="Arial" w:hAnsi="Arial" w:cs="Arial"/>
          <w:sz w:val="24"/>
          <w:szCs w:val="24"/>
        </w:rPr>
        <w:t>1.6</w:t>
      </w:r>
      <w:r w:rsidRPr="00531528">
        <w:rPr>
          <w:rFonts w:ascii="Arial" w:hAnsi="Arial" w:cs="Arial"/>
          <w:sz w:val="24"/>
          <w:szCs w:val="24"/>
        </w:rPr>
        <w:t xml:space="preserve"> Global Presence &amp; Positioning</w:t>
      </w:r>
      <w:bookmarkEnd w:id="27"/>
    </w:p>
    <w:p w14:paraId="4937F110" w14:textId="4E3593BB" w:rsidR="00CD11B2" w:rsidRPr="00774A1A" w:rsidRDefault="00CD11B2" w:rsidP="00774A1A">
      <w:pPr>
        <w:spacing w:after="240"/>
        <w:rPr>
          <w:rFonts w:ascii="Arial" w:hAnsi="Arial"/>
        </w:rPr>
      </w:pPr>
      <w:r w:rsidRPr="00774A1A">
        <w:rPr>
          <w:rFonts w:ascii="Arial" w:hAnsi="Arial"/>
        </w:rPr>
        <w:t>TCF is a part of the Tokyo Consulting Group, an international network of advisory firms, with over 20 years of international expertise and operations in 26 countries. The Group has expanded its international footprint and has become the ‘One-Stop Solution' to firms facing cross-border financial and business challenges, over the course of these years of operation, positioning the Group as the preferred, integrated partner to its clients in the global market with a single point of service where they can obtain services in business advisory, accounting, taxation and compliance for several jurisdictions.  As a specialist component of this network, TCF Bangladesh has mainly catered to Japanese businesses that have invested in Bangladesh and has grown over the years by leveraging the Group's global vision and experience together with our deep understanding of the Bangladesh environment. Today, in 2025, TCF Bangladesh has more than 50 Japanese and other foreign companies as active customers in Bangladesh.</w:t>
      </w:r>
    </w:p>
    <w:p w14:paraId="1A9AD6C7" w14:textId="6D9545B0" w:rsidR="00DF5A52" w:rsidRPr="00407E8B" w:rsidRDefault="00DF5A52" w:rsidP="008053E0">
      <w:pPr>
        <w:pStyle w:val="Heading2"/>
        <w:rPr>
          <w:rFonts w:ascii="Arial" w:hAnsi="Arial" w:cs="Arial"/>
          <w:color w:val="156082" w:themeColor="accent1"/>
          <w:sz w:val="28"/>
          <w:szCs w:val="28"/>
        </w:rPr>
      </w:pPr>
      <w:bookmarkStart w:id="28" w:name="_Toc235801931"/>
      <w:r w:rsidRPr="00407E8B">
        <w:rPr>
          <w:rFonts w:ascii="Arial" w:hAnsi="Arial" w:cs="Arial"/>
          <w:color w:val="156082" w:themeColor="accent1"/>
          <w:sz w:val="28"/>
          <w:szCs w:val="28"/>
        </w:rPr>
        <w:t>2.</w:t>
      </w:r>
      <w:r w:rsidR="003B247E" w:rsidRPr="00407E8B">
        <w:rPr>
          <w:rFonts w:ascii="Arial" w:hAnsi="Arial" w:cs="Arial"/>
          <w:color w:val="156082" w:themeColor="accent1"/>
          <w:sz w:val="28"/>
          <w:szCs w:val="28"/>
        </w:rPr>
        <w:t>2 Industry Analysis</w:t>
      </w:r>
      <w:bookmarkEnd w:id="28"/>
    </w:p>
    <w:p w14:paraId="2250A871" w14:textId="1B8477C8" w:rsidR="003B247E" w:rsidRPr="00531528" w:rsidRDefault="003B247E" w:rsidP="003B247E">
      <w:pPr>
        <w:pStyle w:val="Heading3"/>
        <w:rPr>
          <w:rFonts w:ascii="Arial" w:hAnsi="Arial" w:cs="Arial"/>
          <w:sz w:val="24"/>
          <w:szCs w:val="24"/>
        </w:rPr>
      </w:pPr>
      <w:bookmarkStart w:id="29" w:name="_Toc235801932"/>
      <w:r w:rsidRPr="00531528">
        <w:rPr>
          <w:rFonts w:ascii="Arial" w:hAnsi="Arial" w:cs="Arial"/>
          <w:sz w:val="24"/>
          <w:szCs w:val="24"/>
        </w:rPr>
        <w:t>2.2.1 Specification of the Industry</w:t>
      </w:r>
      <w:bookmarkEnd w:id="29"/>
    </w:p>
    <w:p w14:paraId="71B919D8" w14:textId="3F17F5DD" w:rsidR="00A6772C" w:rsidRPr="003B247E" w:rsidRDefault="003B247E" w:rsidP="003B247E">
      <w:pPr>
        <w:rPr>
          <w:rFonts w:ascii="Arial" w:hAnsi="Arial"/>
        </w:rPr>
      </w:pPr>
      <w:r w:rsidRPr="003B247E">
        <w:rPr>
          <w:rFonts w:ascii="Arial" w:hAnsi="Arial"/>
        </w:rPr>
        <w:t xml:space="preserve">Tokyo Consulting Firm Bangladesh operates in the management consulting and professional services industry, which provides specialized business solutions to organizations instead of manufacturing or selling physical products. </w:t>
      </w:r>
      <w:r w:rsidR="00A6772C" w:rsidRPr="00A6772C">
        <w:rPr>
          <w:rFonts w:ascii="Arial" w:hAnsi="Arial"/>
        </w:rPr>
        <w:t>The industry is dedicated to helping businesses enhance their financial results, adhere to legal and regulatory standards, and make informed choices. It provides its core services in accounting, taxation, VAT, audit support, corporate legal services, payroll, HR consulting and business advisory. Businesses are running in a complex regulatory environment, and the need of professional consultation service is increasing. The industry demands highly skilled professionals, strong ethics, accuracy and a continuous learning process to satisfy the client's expectations. This industry caters the business needs of both local and international customers including foreign investors, thereby contributing to the growth of business, good corporate governance and sustainable economic development of Bangladesh.</w:t>
      </w:r>
    </w:p>
    <w:p w14:paraId="4944D4F4" w14:textId="77777777" w:rsidR="00CB631B" w:rsidRDefault="00CB631B" w:rsidP="003B247E">
      <w:pPr>
        <w:pStyle w:val="Heading3"/>
        <w:rPr>
          <w:rFonts w:ascii="Arial" w:hAnsi="Arial" w:cs="Arial"/>
          <w:sz w:val="24"/>
          <w:szCs w:val="24"/>
        </w:rPr>
      </w:pPr>
    </w:p>
    <w:p w14:paraId="22DC6812" w14:textId="77777777" w:rsidR="00CB631B" w:rsidRPr="00CB631B" w:rsidRDefault="00CB631B" w:rsidP="00CB631B"/>
    <w:p w14:paraId="0343C37F" w14:textId="603B832B" w:rsidR="003B247E" w:rsidRPr="00531528" w:rsidRDefault="003B247E" w:rsidP="003B247E">
      <w:pPr>
        <w:pStyle w:val="Heading3"/>
        <w:rPr>
          <w:rFonts w:ascii="Arial" w:hAnsi="Arial" w:cs="Arial"/>
          <w:sz w:val="24"/>
          <w:szCs w:val="24"/>
        </w:rPr>
      </w:pPr>
      <w:bookmarkStart w:id="30" w:name="_Toc235801933"/>
      <w:r w:rsidRPr="00531528">
        <w:rPr>
          <w:rFonts w:ascii="Arial" w:hAnsi="Arial" w:cs="Arial"/>
          <w:sz w:val="24"/>
          <w:szCs w:val="24"/>
        </w:rPr>
        <w:lastRenderedPageBreak/>
        <w:t>2.2.2 Size, Trend, and Maturity of the Industry</w:t>
      </w:r>
      <w:bookmarkEnd w:id="30"/>
    </w:p>
    <w:p w14:paraId="5D6FF733" w14:textId="1A710AF3" w:rsidR="003B247E" w:rsidRPr="003B247E" w:rsidRDefault="00A6772C" w:rsidP="003B247E">
      <w:pPr>
        <w:rPr>
          <w:rFonts w:ascii="Arial" w:hAnsi="Arial"/>
        </w:rPr>
      </w:pPr>
      <w:r w:rsidRPr="00A6772C">
        <w:rPr>
          <w:rFonts w:ascii="Arial" w:hAnsi="Arial"/>
        </w:rPr>
        <w:t>Business activities, foreign investment, and regulatory requirements have been growing in Bangladesh for the last decade, which has led the growth of the management consulting and professional services industry. The industry involves domestic and foreign consulting companies that offer consulting services in accounting, taxation, audit assistance, legal compliance and HR as well as business advisory. Businesses are expanding and regulations are getting more complex, and the need for professional consulting services is growing. Additionally, the industry is embracing digital technologies, cloud-based accounting systems, and data-driven solutions to enhance service quality and efficiency. The industry has not yet matured as it is in more advanced economies, but it is in a stage of stable growth, has great future potential, and driven by globalization, technology and the growing need for specialized business consulting services.</w:t>
      </w:r>
    </w:p>
    <w:p w14:paraId="1632FB08" w14:textId="77777777" w:rsidR="003B247E" w:rsidRPr="00531528" w:rsidRDefault="003B247E" w:rsidP="003B247E">
      <w:pPr>
        <w:pStyle w:val="Heading3"/>
        <w:rPr>
          <w:rFonts w:ascii="Arial" w:hAnsi="Arial" w:cs="Arial"/>
          <w:sz w:val="24"/>
          <w:szCs w:val="24"/>
        </w:rPr>
      </w:pPr>
      <w:bookmarkStart w:id="31" w:name="_Toc235801934"/>
      <w:r w:rsidRPr="00531528">
        <w:rPr>
          <w:rFonts w:ascii="Arial" w:hAnsi="Arial" w:cs="Arial"/>
          <w:sz w:val="24"/>
          <w:szCs w:val="24"/>
        </w:rPr>
        <w:t>2.2.3 Industry SWOT Analysis</w:t>
      </w:r>
      <w:bookmarkEnd w:id="31"/>
    </w:p>
    <w:p w14:paraId="26DE36FC" w14:textId="25D8E500" w:rsidR="003B247E" w:rsidRDefault="00A6772C" w:rsidP="00C45468">
      <w:pPr>
        <w:rPr>
          <w:rFonts w:ascii="Arial" w:hAnsi="Arial"/>
        </w:rPr>
      </w:pPr>
      <w:r w:rsidRPr="00A6772C">
        <w:rPr>
          <w:rFonts w:ascii="Arial" w:hAnsi="Arial"/>
        </w:rPr>
        <w:t>The management consulting and professional services sector in Bangladesh has been growing steadily with the businesses increasingly needing expert advice in audit, legal compliance, payroll, accounting and tax advice. One of the industry's most significant assets is its capacity to offer specialist understanding that enables companies to enhance operational efficiency, stay in line with regulations, and make educated business choices. There are also several weaknesses in the industry; for example, there is a shortage of highly skilled workers, high employee turnover and constant pressure to keep employees up to date on new laws and regulations. However, opportunities abound with increasing foreign direct investments (FDI), digitalization, cloud-based accounting systems, and international companies setting up a presence in Bangladesh in the future. Meanwhile, threats like aggressive competition from local and foreign consulting firms, shifting tax and corporate laws, economic instability, and technology advancements are awaiting industry. Hence, it is essential to contact companies who invest in employee growth, technology advancement, and excellent client service to make sure they are successful in the long period and stay competitive in the marketplace.</w:t>
      </w:r>
    </w:p>
    <w:p w14:paraId="4F711752" w14:textId="77777777" w:rsidR="00CB631B" w:rsidRDefault="00CB631B" w:rsidP="00C45468">
      <w:pPr>
        <w:rPr>
          <w:rFonts w:ascii="Arial" w:hAnsi="Arial"/>
        </w:rPr>
      </w:pPr>
    </w:p>
    <w:p w14:paraId="107DBBE6" w14:textId="77777777" w:rsidR="00CB631B" w:rsidRPr="00C45468" w:rsidRDefault="00CB631B" w:rsidP="00C45468">
      <w:pPr>
        <w:rPr>
          <w:rFonts w:ascii="Arial" w:hAnsi="Arial"/>
        </w:rPr>
      </w:pPr>
    </w:p>
    <w:p w14:paraId="3688B800" w14:textId="5906739F" w:rsidR="00A83061" w:rsidRPr="00531528" w:rsidRDefault="003B247E" w:rsidP="003944BD">
      <w:pPr>
        <w:pStyle w:val="Heading1"/>
        <w:rPr>
          <w:rFonts w:ascii="Arial" w:hAnsi="Arial" w:cs="Arial"/>
          <w:sz w:val="32"/>
          <w:szCs w:val="32"/>
        </w:rPr>
      </w:pPr>
      <w:r w:rsidRPr="003B247E">
        <w:lastRenderedPageBreak/>
        <w:t xml:space="preserve"> </w:t>
      </w:r>
      <w:bookmarkStart w:id="32" w:name="_Toc235801935"/>
      <w:r w:rsidR="00A83061" w:rsidRPr="00531528">
        <w:rPr>
          <w:rFonts w:ascii="Arial" w:hAnsi="Arial" w:cs="Arial"/>
          <w:sz w:val="32"/>
          <w:szCs w:val="32"/>
        </w:rPr>
        <w:t>C</w:t>
      </w:r>
      <w:r w:rsidR="00407E8B" w:rsidRPr="00531528">
        <w:rPr>
          <w:rFonts w:ascii="Arial" w:hAnsi="Arial" w:cs="Arial"/>
          <w:sz w:val="32"/>
          <w:szCs w:val="32"/>
        </w:rPr>
        <w:t xml:space="preserve">HAPTER </w:t>
      </w:r>
      <w:r w:rsidR="00AD256A" w:rsidRPr="00531528">
        <w:rPr>
          <w:rFonts w:ascii="Arial" w:hAnsi="Arial" w:cs="Arial"/>
          <w:sz w:val="32"/>
          <w:szCs w:val="32"/>
        </w:rPr>
        <w:t>3</w:t>
      </w:r>
      <w:r w:rsidR="00407E8B" w:rsidRPr="00531528">
        <w:rPr>
          <w:rFonts w:ascii="Arial" w:hAnsi="Arial" w:cs="Arial"/>
          <w:sz w:val="32"/>
          <w:szCs w:val="32"/>
        </w:rPr>
        <w:t>: INTERNSHIP EXPERIENCE</w:t>
      </w:r>
      <w:bookmarkEnd w:id="32"/>
    </w:p>
    <w:p w14:paraId="3607B895" w14:textId="5FC2C21D" w:rsidR="00A83061" w:rsidRPr="00407E8B" w:rsidRDefault="00AD256A" w:rsidP="00A83061">
      <w:pPr>
        <w:pStyle w:val="Heading2"/>
        <w:rPr>
          <w:rFonts w:ascii="Arial" w:hAnsi="Arial" w:cs="Arial"/>
          <w:sz w:val="28"/>
          <w:szCs w:val="28"/>
        </w:rPr>
      </w:pPr>
      <w:bookmarkStart w:id="33" w:name="_Toc235801936"/>
      <w:r>
        <w:rPr>
          <w:rFonts w:ascii="Arial" w:hAnsi="Arial" w:cs="Arial"/>
          <w:sz w:val="28"/>
          <w:szCs w:val="28"/>
        </w:rPr>
        <w:t>3</w:t>
      </w:r>
      <w:r w:rsidR="00A83061" w:rsidRPr="00407E8B">
        <w:rPr>
          <w:rFonts w:ascii="Arial" w:hAnsi="Arial" w:cs="Arial"/>
          <w:sz w:val="28"/>
          <w:szCs w:val="28"/>
        </w:rPr>
        <w:t>.1 Position, Duties, and Responsibilities</w:t>
      </w:r>
      <w:bookmarkEnd w:id="33"/>
    </w:p>
    <w:p w14:paraId="61410B23" w14:textId="00EB1C07" w:rsidR="00A83061" w:rsidRPr="00407E8B" w:rsidRDefault="00A6772C" w:rsidP="00407E8B">
      <w:pPr>
        <w:rPr>
          <w:rFonts w:ascii="Arial" w:hAnsi="Arial"/>
        </w:rPr>
      </w:pPr>
      <w:r w:rsidRPr="00A6772C">
        <w:rPr>
          <w:rFonts w:ascii="Arial" w:hAnsi="Arial"/>
        </w:rPr>
        <w:t xml:space="preserve">In my Internship at Tokyo Consulting Firm Bangladesh, I was an Intern at the Accounts &amp; Taxation Department. My key role was to help the finance team in their day-to-day accounting, VAT and taxation tasks. Help prepare financial documents, </w:t>
      </w:r>
      <w:r w:rsidR="006E75AA" w:rsidRPr="00A6772C">
        <w:rPr>
          <w:rFonts w:ascii="Arial" w:hAnsi="Arial"/>
        </w:rPr>
        <w:t>organize</w:t>
      </w:r>
      <w:r w:rsidRPr="00A6772C">
        <w:rPr>
          <w:rFonts w:ascii="Arial" w:hAnsi="Arial"/>
        </w:rPr>
        <w:t xml:space="preserve"> finances, </w:t>
      </w:r>
      <w:r w:rsidR="006E75AA" w:rsidRPr="00A6772C">
        <w:rPr>
          <w:rFonts w:ascii="Arial" w:hAnsi="Arial"/>
        </w:rPr>
        <w:t>maintain</w:t>
      </w:r>
      <w:r w:rsidRPr="00A6772C">
        <w:rPr>
          <w:rFonts w:ascii="Arial" w:hAnsi="Arial"/>
        </w:rPr>
        <w:t xml:space="preserve"> accounting records, supported tax and VAT related activities and checked invoices and supporting documents, and contributed to the preparation of reports needed for client services. I also learned about corporate compliance procedures, and how professional consultants execute client assignments. These duties added to my hands-on experience, focus on detail and understanding of accounting and taxation procedures in the professional consulting world.</w:t>
      </w:r>
    </w:p>
    <w:p w14:paraId="61894E89" w14:textId="3945FE5E" w:rsidR="00C521CB" w:rsidRPr="00407E8B" w:rsidRDefault="00AD256A" w:rsidP="00C521CB">
      <w:pPr>
        <w:pStyle w:val="Heading2"/>
        <w:rPr>
          <w:rFonts w:ascii="Arial" w:hAnsi="Arial" w:cs="Arial"/>
          <w:sz w:val="28"/>
          <w:szCs w:val="28"/>
        </w:rPr>
      </w:pPr>
      <w:bookmarkStart w:id="34" w:name="_Toc235801937"/>
      <w:r>
        <w:rPr>
          <w:rFonts w:ascii="Arial" w:hAnsi="Arial" w:cs="Arial"/>
          <w:sz w:val="28"/>
          <w:szCs w:val="28"/>
        </w:rPr>
        <w:t>3</w:t>
      </w:r>
      <w:r w:rsidR="00C521CB" w:rsidRPr="00407E8B">
        <w:rPr>
          <w:rFonts w:ascii="Arial" w:hAnsi="Arial" w:cs="Arial"/>
          <w:sz w:val="28"/>
          <w:szCs w:val="28"/>
        </w:rPr>
        <w:t>.2 Training &amp; Development</w:t>
      </w:r>
      <w:bookmarkEnd w:id="34"/>
    </w:p>
    <w:p w14:paraId="6B96C4B8" w14:textId="1BB62827" w:rsidR="00C521CB" w:rsidRPr="0026478E" w:rsidRDefault="00AD256A" w:rsidP="00C521CB">
      <w:pPr>
        <w:pStyle w:val="Heading3"/>
        <w:rPr>
          <w:rFonts w:ascii="Arial" w:hAnsi="Arial" w:cs="Arial"/>
          <w:sz w:val="24"/>
          <w:szCs w:val="24"/>
        </w:rPr>
      </w:pPr>
      <w:bookmarkStart w:id="35" w:name="_Toc235801938"/>
      <w:r w:rsidRPr="0026478E">
        <w:rPr>
          <w:rFonts w:ascii="Arial" w:hAnsi="Arial" w:cs="Arial"/>
          <w:sz w:val="24"/>
          <w:szCs w:val="24"/>
        </w:rPr>
        <w:t>3</w:t>
      </w:r>
      <w:r w:rsidR="00C521CB" w:rsidRPr="0026478E">
        <w:rPr>
          <w:rFonts w:ascii="Arial" w:hAnsi="Arial" w:cs="Arial"/>
          <w:sz w:val="24"/>
          <w:szCs w:val="24"/>
        </w:rPr>
        <w:t>.2.1 Introduction</w:t>
      </w:r>
      <w:bookmarkEnd w:id="35"/>
    </w:p>
    <w:p w14:paraId="614E02A4" w14:textId="0D7097D7" w:rsidR="00A6772C" w:rsidRPr="00A6772C" w:rsidRDefault="00A6772C" w:rsidP="00A6772C">
      <w:pPr>
        <w:rPr>
          <w:rFonts w:ascii="Arial" w:hAnsi="Arial"/>
        </w:rPr>
      </w:pPr>
      <w:r w:rsidRPr="00A6772C">
        <w:rPr>
          <w:rFonts w:ascii="Arial" w:hAnsi="Arial"/>
        </w:rPr>
        <w:t>It is vital to train and develop employees to enhance their knowledge, skill and performance within an organization. Through ongoing education, employees in a professional consulting firm can keep up with new laws, regulations, and industry norms, which are essential to providing accurate and knowledgeable services. Quality training improves technical skills and boosts communication, problem solving, team working and client handling skills.</w:t>
      </w:r>
    </w:p>
    <w:p w14:paraId="08C8283F" w14:textId="7B29B472" w:rsidR="00A6772C" w:rsidRPr="00A6772C" w:rsidRDefault="00A6772C" w:rsidP="00A6772C">
      <w:pPr>
        <w:rPr>
          <w:rFonts w:ascii="Arial" w:hAnsi="Arial"/>
        </w:rPr>
      </w:pPr>
      <w:r w:rsidRPr="00A6772C">
        <w:rPr>
          <w:rFonts w:ascii="Arial" w:hAnsi="Arial"/>
        </w:rPr>
        <w:t>Tokyo Consulting Firm Bangladesh is aware of the vital role that training and development can play in equipping employees and interns to provide excellent professional services. The company offers hands-on experience in areas like accounting, taxation, VAT compliance, audit assistance, payroll, corporate compliance and business consulting. New staff or interns are introduced to the company by experienced professionals, who can help them understand company procedures, clients' requirements and professional standards. They acquire the confidence and skills needed to carry out their duties through hands on learning, mentoring and work experience daily.</w:t>
      </w:r>
    </w:p>
    <w:p w14:paraId="1205B6B7" w14:textId="01BCA420" w:rsidR="00A6772C" w:rsidRPr="00407E8B" w:rsidRDefault="00A6772C" w:rsidP="00A6772C">
      <w:pPr>
        <w:rPr>
          <w:rFonts w:ascii="Arial" w:hAnsi="Arial"/>
        </w:rPr>
      </w:pPr>
      <w:r w:rsidRPr="00A6772C">
        <w:rPr>
          <w:rFonts w:ascii="Arial" w:hAnsi="Arial"/>
        </w:rPr>
        <w:t xml:space="preserve">Training is an opportunity for interns to connect theory with practice. It guides them to realize the applications of theories in real business situations and build professional ethics, time management and analytical skills. Consequently, training and </w:t>
      </w:r>
      <w:r w:rsidRPr="00A6772C">
        <w:rPr>
          <w:rFonts w:ascii="Arial" w:hAnsi="Arial"/>
        </w:rPr>
        <w:lastRenderedPageBreak/>
        <w:t>development are not only a means of improving the careers of individuals but also the firm's capacity to deliver timely and effective, high-quality consulting services to its clients.</w:t>
      </w:r>
    </w:p>
    <w:p w14:paraId="4E3A6A5C" w14:textId="04B3BF1F" w:rsidR="00C521CB" w:rsidRPr="00407E8B" w:rsidRDefault="00332FB8" w:rsidP="00C521CB">
      <w:pPr>
        <w:pStyle w:val="Heading3"/>
        <w:rPr>
          <w:rFonts w:ascii="Arial" w:hAnsi="Arial" w:cs="Arial"/>
          <w:sz w:val="24"/>
          <w:szCs w:val="24"/>
        </w:rPr>
      </w:pPr>
      <w:bookmarkStart w:id="36" w:name="_Toc235801939"/>
      <w:r>
        <w:rPr>
          <w:rFonts w:ascii="Arial" w:hAnsi="Arial" w:cs="Arial"/>
          <w:sz w:val="24"/>
          <w:szCs w:val="24"/>
        </w:rPr>
        <w:t>3</w:t>
      </w:r>
      <w:r w:rsidR="00C521CB" w:rsidRPr="00426837">
        <w:rPr>
          <w:rFonts w:ascii="Arial" w:hAnsi="Arial" w:cs="Arial"/>
          <w:sz w:val="24"/>
          <w:szCs w:val="24"/>
        </w:rPr>
        <w:t>.2.2 Training Overview</w:t>
      </w:r>
      <w:bookmarkEnd w:id="36"/>
    </w:p>
    <w:p w14:paraId="320F3D8A" w14:textId="74E606A6" w:rsidR="00C521CB" w:rsidRPr="00407E8B" w:rsidRDefault="00426837" w:rsidP="00407E8B">
      <w:pPr>
        <w:rPr>
          <w:rFonts w:ascii="Arial" w:hAnsi="Arial"/>
        </w:rPr>
      </w:pPr>
      <w:r w:rsidRPr="00426837">
        <w:rPr>
          <w:rFonts w:ascii="Arial" w:hAnsi="Arial"/>
        </w:rPr>
        <w:t>I gained hands-on experience during my internship at Tokyo Consulting Firm Bangladesh by participating in everyday accounting and finance tasks under the supervision of seasoned experts. Understanding the company's work practices, professional ethics, and client service standards were the main topics of the training. I obtained practical experience in financial documentation, corporate compliance, audit support, taxation, and VAT. The company placed a strong emphasis on learning by doing rather than classroom instruction, which enabled me to apply my academic knowledge to actual business scenarios.</w:t>
      </w:r>
      <w:r>
        <w:rPr>
          <w:rFonts w:ascii="Arial" w:hAnsi="Arial"/>
        </w:rPr>
        <w:t xml:space="preserve"> </w:t>
      </w:r>
      <w:r w:rsidRPr="00426837">
        <w:rPr>
          <w:rFonts w:ascii="Arial" w:hAnsi="Arial"/>
        </w:rPr>
        <w:t>My technical proficiency, attention to detail, and confidence in a professional consulting setting were all improved by this training.</w:t>
      </w:r>
    </w:p>
    <w:p w14:paraId="46D6CB9B" w14:textId="67822C29" w:rsidR="00C521CB" w:rsidRPr="00407E8B" w:rsidRDefault="00332FB8" w:rsidP="00C521CB">
      <w:pPr>
        <w:pStyle w:val="Heading3"/>
        <w:rPr>
          <w:rFonts w:ascii="Arial" w:hAnsi="Arial" w:cs="Arial"/>
          <w:sz w:val="24"/>
          <w:szCs w:val="24"/>
        </w:rPr>
      </w:pPr>
      <w:bookmarkStart w:id="37" w:name="_Toc235801940"/>
      <w:r>
        <w:rPr>
          <w:rFonts w:ascii="Arial" w:hAnsi="Arial" w:cs="Arial"/>
          <w:sz w:val="24"/>
          <w:szCs w:val="24"/>
        </w:rPr>
        <w:t>3</w:t>
      </w:r>
      <w:r w:rsidR="00C521CB" w:rsidRPr="00407E8B">
        <w:rPr>
          <w:rFonts w:ascii="Arial" w:hAnsi="Arial" w:cs="Arial"/>
          <w:sz w:val="24"/>
          <w:szCs w:val="24"/>
        </w:rPr>
        <w:t>.2.</w:t>
      </w:r>
      <w:r w:rsidR="00C521CB" w:rsidRPr="00EA2E5E">
        <w:rPr>
          <w:rFonts w:ascii="Arial" w:hAnsi="Arial" w:cs="Arial"/>
          <w:sz w:val="24"/>
          <w:szCs w:val="24"/>
        </w:rPr>
        <w:t>3 Training Methods</w:t>
      </w:r>
      <w:bookmarkEnd w:id="37"/>
      <w:r w:rsidR="00C521CB" w:rsidRPr="00407E8B">
        <w:rPr>
          <w:rFonts w:ascii="Arial" w:hAnsi="Arial" w:cs="Arial"/>
          <w:sz w:val="24"/>
          <w:szCs w:val="24"/>
        </w:rPr>
        <w:t xml:space="preserve"> </w:t>
      </w:r>
    </w:p>
    <w:p w14:paraId="7A28A4C8" w14:textId="7BFAF07D" w:rsidR="00C521CB" w:rsidRPr="00407E8B" w:rsidRDefault="002B0DFC" w:rsidP="00407E8B">
      <w:pPr>
        <w:rPr>
          <w:rFonts w:ascii="Arial" w:hAnsi="Arial"/>
        </w:rPr>
      </w:pPr>
      <w:r w:rsidRPr="002B0DFC">
        <w:rPr>
          <w:rFonts w:ascii="Arial" w:hAnsi="Arial"/>
        </w:rPr>
        <w:t>Tokyo Consulting Firm Bangladesh implements a training approach that allows interns and staff associates to learn from practical experience. This is a workplace training idea. During this internship at Tokyo Consulting Firm Bangladesh, I received instruction from my supervisors and senior associates while completing my everyday activities which was related to taxation, VAT, audit support, document for finance, etc. The training during the internship at Tokyo Consulting Firm involved actual observation, practical’s, manuals, writings without the time-table’s permission, doing jobs that were on demonstration, frequent feedback, conversations etc. Practical application of theoretical concepts while on the job increased my technical knowledge, made me aware of workplace procedure and benefited me a lot.</w:t>
      </w:r>
    </w:p>
    <w:p w14:paraId="044696E7" w14:textId="7A002719" w:rsidR="00C521CB" w:rsidRPr="00407E8B" w:rsidRDefault="00332FB8" w:rsidP="00C521CB">
      <w:pPr>
        <w:pStyle w:val="Heading3"/>
        <w:rPr>
          <w:rFonts w:ascii="Arial" w:hAnsi="Arial" w:cs="Arial"/>
          <w:sz w:val="24"/>
          <w:szCs w:val="24"/>
        </w:rPr>
      </w:pPr>
      <w:bookmarkStart w:id="38" w:name="_Toc235801941"/>
      <w:r>
        <w:rPr>
          <w:rFonts w:ascii="Arial" w:hAnsi="Arial" w:cs="Arial"/>
          <w:sz w:val="24"/>
          <w:szCs w:val="24"/>
        </w:rPr>
        <w:t>3</w:t>
      </w:r>
      <w:r w:rsidR="00C521CB" w:rsidRPr="00407E8B">
        <w:rPr>
          <w:rFonts w:ascii="Arial" w:hAnsi="Arial" w:cs="Arial"/>
          <w:sz w:val="24"/>
          <w:szCs w:val="24"/>
        </w:rPr>
        <w:t>.2.4 Development Opportunities</w:t>
      </w:r>
      <w:bookmarkEnd w:id="38"/>
    </w:p>
    <w:p w14:paraId="2317D457" w14:textId="1269C827" w:rsidR="00C521CB" w:rsidRPr="00407E8B" w:rsidRDefault="002B0DFC" w:rsidP="00407E8B">
      <w:pPr>
        <w:rPr>
          <w:rFonts w:ascii="Arial" w:hAnsi="Arial"/>
        </w:rPr>
      </w:pPr>
      <w:r w:rsidRPr="002B0DFC">
        <w:rPr>
          <w:rFonts w:ascii="Arial" w:hAnsi="Arial"/>
        </w:rPr>
        <w:t>The Tokyo Consulting Firm Bangladesh offered me a lot of opportunity to develop my technical and professional skills. I got to work in the Accounts &amp; Taxation Department because of my internship. Consequently, I improved my technical skills while working in this department. My internship allowed me to gain experience in the accounting profession. I had an opportunity to get practical exposure to accounts, taxation, VAT, and corporate compliance. A senior officer at Tokyo Consulting provided me guidance.</w:t>
      </w:r>
    </w:p>
    <w:p w14:paraId="72C02C2F" w14:textId="6CB0016B" w:rsidR="00C521CB" w:rsidRPr="00407E8B" w:rsidRDefault="00332FB8" w:rsidP="00C521CB">
      <w:pPr>
        <w:pStyle w:val="Heading3"/>
        <w:rPr>
          <w:rFonts w:ascii="Arial" w:hAnsi="Arial" w:cs="Arial"/>
          <w:sz w:val="24"/>
          <w:szCs w:val="24"/>
        </w:rPr>
      </w:pPr>
      <w:bookmarkStart w:id="39" w:name="_Toc235801942"/>
      <w:r>
        <w:rPr>
          <w:rFonts w:ascii="Arial" w:hAnsi="Arial" w:cs="Arial"/>
          <w:sz w:val="24"/>
          <w:szCs w:val="24"/>
        </w:rPr>
        <w:lastRenderedPageBreak/>
        <w:t>3</w:t>
      </w:r>
      <w:r w:rsidR="00C521CB" w:rsidRPr="00407E8B">
        <w:rPr>
          <w:rFonts w:ascii="Arial" w:hAnsi="Arial" w:cs="Arial"/>
          <w:sz w:val="24"/>
          <w:szCs w:val="24"/>
        </w:rPr>
        <w:t>.2.5 Impact of Training</w:t>
      </w:r>
      <w:bookmarkEnd w:id="39"/>
      <w:r w:rsidR="00C521CB" w:rsidRPr="00407E8B">
        <w:rPr>
          <w:rFonts w:ascii="Arial" w:hAnsi="Arial" w:cs="Arial"/>
          <w:sz w:val="24"/>
          <w:szCs w:val="24"/>
        </w:rPr>
        <w:t xml:space="preserve"> </w:t>
      </w:r>
    </w:p>
    <w:p w14:paraId="516BF42B" w14:textId="0DE47EC2" w:rsidR="00C521CB" w:rsidRPr="00407E8B" w:rsidRDefault="002B0DFC" w:rsidP="00407E8B">
      <w:pPr>
        <w:rPr>
          <w:rFonts w:ascii="Arial" w:hAnsi="Arial"/>
        </w:rPr>
      </w:pPr>
      <w:r w:rsidRPr="002B0DFC">
        <w:rPr>
          <w:rFonts w:ascii="Arial" w:hAnsi="Arial"/>
        </w:rPr>
        <w:t>My career was hugely affected by the training. It has really helped me apply my knowledge of accounting and taxation to ethical workplace practices. I gained experience working with companies on accounting, taxation, and compliance. I improved various skills like analyzing information or communication of the data and so on. It also taught me to utilize time effectively and efficiently. Above all, meeting deadlines taught me to work under time constraints.</w:t>
      </w:r>
    </w:p>
    <w:p w14:paraId="29D0E237" w14:textId="48C60553" w:rsidR="00C521CB" w:rsidRPr="00407E8B" w:rsidRDefault="00332FB8" w:rsidP="00C521CB">
      <w:pPr>
        <w:pStyle w:val="Heading2"/>
        <w:rPr>
          <w:rFonts w:ascii="Arial" w:hAnsi="Arial" w:cs="Arial"/>
          <w:sz w:val="28"/>
          <w:szCs w:val="28"/>
        </w:rPr>
      </w:pPr>
      <w:bookmarkStart w:id="40" w:name="_Toc235801943"/>
      <w:r>
        <w:rPr>
          <w:rFonts w:ascii="Arial" w:hAnsi="Arial" w:cs="Arial"/>
          <w:sz w:val="28"/>
          <w:szCs w:val="28"/>
        </w:rPr>
        <w:t>3</w:t>
      </w:r>
      <w:r w:rsidR="00C521CB" w:rsidRPr="00407E8B">
        <w:rPr>
          <w:rFonts w:ascii="Arial" w:hAnsi="Arial" w:cs="Arial"/>
          <w:sz w:val="28"/>
          <w:szCs w:val="28"/>
        </w:rPr>
        <w:t>.3 Contribution to The TCF Bangladesh</w:t>
      </w:r>
      <w:bookmarkEnd w:id="40"/>
    </w:p>
    <w:p w14:paraId="4D8324B5" w14:textId="77777777" w:rsidR="00C521CB" w:rsidRDefault="00C521CB" w:rsidP="00CA52E8">
      <w:pPr>
        <w:pStyle w:val="ListParagraph"/>
        <w:numPr>
          <w:ilvl w:val="0"/>
          <w:numId w:val="36"/>
        </w:numPr>
        <w:ind w:left="360"/>
        <w:rPr>
          <w:rFonts w:ascii="Arial" w:hAnsi="Arial"/>
          <w:b/>
          <w:bCs/>
        </w:rPr>
      </w:pPr>
      <w:r w:rsidRPr="00407E8B">
        <w:rPr>
          <w:rFonts w:ascii="Arial" w:hAnsi="Arial"/>
          <w:b/>
          <w:bCs/>
        </w:rPr>
        <w:t xml:space="preserve">What </w:t>
      </w:r>
      <w:r w:rsidRPr="00CB631B">
        <w:rPr>
          <w:rFonts w:ascii="Arial" w:hAnsi="Arial"/>
          <w:b/>
          <w:bCs/>
        </w:rPr>
        <w:t>I Learned and Gave</w:t>
      </w:r>
      <w:r w:rsidRPr="00407E8B">
        <w:rPr>
          <w:rFonts w:ascii="Arial" w:hAnsi="Arial"/>
          <w:b/>
          <w:bCs/>
        </w:rPr>
        <w:t xml:space="preserve"> Back During My Internship at TCF</w:t>
      </w:r>
    </w:p>
    <w:p w14:paraId="4FF88D2D" w14:textId="6BCCC0C7" w:rsidR="000E197F" w:rsidRPr="000E197F" w:rsidRDefault="000E197F" w:rsidP="00CA52E8">
      <w:pPr>
        <w:pStyle w:val="ListParagraph"/>
        <w:ind w:left="360"/>
        <w:rPr>
          <w:rFonts w:ascii="Arial" w:hAnsi="Arial"/>
        </w:rPr>
      </w:pPr>
      <w:r w:rsidRPr="000E197F">
        <w:rPr>
          <w:rFonts w:ascii="Arial" w:hAnsi="Arial"/>
        </w:rPr>
        <w:t>When I joined Tokyo Consulting Firm as an intern, I must admit I didn’t know much apart from what I studied. In any case, working on this task one by one, I started getting the idea of how things worked.</w:t>
      </w:r>
    </w:p>
    <w:p w14:paraId="712A51E3" w14:textId="77777777" w:rsidR="00C521CB" w:rsidRPr="00CB631B" w:rsidRDefault="00C521CB" w:rsidP="00CA52E8">
      <w:pPr>
        <w:pStyle w:val="ListParagraph"/>
        <w:numPr>
          <w:ilvl w:val="0"/>
          <w:numId w:val="36"/>
        </w:numPr>
        <w:ind w:left="360"/>
        <w:rPr>
          <w:rFonts w:ascii="Arial" w:hAnsi="Arial"/>
          <w:b/>
          <w:bCs/>
        </w:rPr>
      </w:pPr>
      <w:r w:rsidRPr="00CB631B">
        <w:rPr>
          <w:rFonts w:ascii="Arial" w:hAnsi="Arial"/>
          <w:b/>
          <w:bCs/>
        </w:rPr>
        <w:t>Getting used to the workplace</w:t>
      </w:r>
    </w:p>
    <w:p w14:paraId="7F947137" w14:textId="4471DE59" w:rsidR="00C521CB" w:rsidRPr="00407E8B" w:rsidRDefault="00EA2E5E" w:rsidP="00CA52E8">
      <w:pPr>
        <w:pStyle w:val="ListParagraph"/>
        <w:ind w:left="360"/>
        <w:rPr>
          <w:rFonts w:ascii="Arial" w:hAnsi="Arial"/>
        </w:rPr>
      </w:pPr>
      <w:r w:rsidRPr="00EA2E5E">
        <w:rPr>
          <w:rFonts w:ascii="Arial" w:hAnsi="Arial"/>
        </w:rPr>
        <w:t>The first thing I learnt was not accounting but adjusting to the workplace. I studied TCF’s internal policies, rules, and regulations through which I learnt how to behave, how things are approved, and how does the workplace operate day by day. Almost around the same time I have got to visit the Tax Office for official work. It was totally a new thing for me. You read in the books about it. But experiencing it yourself is something else.</w:t>
      </w:r>
    </w:p>
    <w:p w14:paraId="5C5EC130" w14:textId="77777777" w:rsidR="00C521CB" w:rsidRPr="00407E8B" w:rsidRDefault="00C521CB" w:rsidP="00CA52E8">
      <w:pPr>
        <w:pStyle w:val="ListParagraph"/>
        <w:numPr>
          <w:ilvl w:val="0"/>
          <w:numId w:val="36"/>
        </w:numPr>
        <w:ind w:left="360"/>
        <w:rPr>
          <w:rFonts w:ascii="Arial" w:hAnsi="Arial"/>
          <w:b/>
          <w:bCs/>
        </w:rPr>
      </w:pPr>
      <w:r w:rsidRPr="00407E8B">
        <w:rPr>
          <w:rFonts w:ascii="Arial" w:hAnsi="Arial"/>
          <w:b/>
          <w:bCs/>
        </w:rPr>
        <w:t>Learning TDS work step by step</w:t>
      </w:r>
    </w:p>
    <w:p w14:paraId="2CC38D32" w14:textId="3AB13344" w:rsidR="00DB3991" w:rsidRDefault="00DB3991" w:rsidP="00CA52E8">
      <w:pPr>
        <w:pStyle w:val="ListParagraph"/>
        <w:ind w:left="360"/>
        <w:rPr>
          <w:rFonts w:ascii="Arial" w:hAnsi="Arial"/>
        </w:rPr>
      </w:pPr>
      <w:r w:rsidRPr="00DB3991">
        <w:rPr>
          <w:rFonts w:ascii="Arial" w:hAnsi="Arial"/>
        </w:rPr>
        <w:t>During my internship, I found generating Challan the most interesting on a personal level. A significant portion of my internship revolved around TDS. Initially, I understood a firm shows tax it deducts for clients. I learnt about whole TDS Return preparation as I learnt firm tax grinding. Afterward, I created the TDS Challan myself, which felt like a big step as I was no longer watching someone else do important work but was doing it! Afterwards I got used to the Government website to download my TDS Challans from NBR Portal and honestly speaking doing tax for the first time is not all an easy task. I also learned to download TDS invoices which are needed for keeping proper records. I learnt how to compute the TDS amounts payable on different kinds of expenses. It’s here that all those tax rates I had previously read in theory started making sense with real numbers, making it remarkably useful.</w:t>
      </w:r>
    </w:p>
    <w:p w14:paraId="14F720DB" w14:textId="3FAB6161" w:rsidR="00C521CB" w:rsidRDefault="00C521CB" w:rsidP="00CA52E8">
      <w:pPr>
        <w:pStyle w:val="ListParagraph"/>
        <w:numPr>
          <w:ilvl w:val="0"/>
          <w:numId w:val="36"/>
        </w:numPr>
        <w:ind w:left="360"/>
        <w:rPr>
          <w:rFonts w:ascii="Arial" w:hAnsi="Arial"/>
          <w:b/>
          <w:bCs/>
        </w:rPr>
      </w:pPr>
      <w:r w:rsidRPr="00407E8B">
        <w:rPr>
          <w:rFonts w:ascii="Arial" w:hAnsi="Arial"/>
          <w:b/>
          <w:bCs/>
        </w:rPr>
        <w:lastRenderedPageBreak/>
        <w:t>Learning VDS work too</w:t>
      </w:r>
    </w:p>
    <w:p w14:paraId="078DAA0C" w14:textId="55B52DFC" w:rsidR="00DB3991" w:rsidRPr="00DB3991" w:rsidRDefault="00DB3991" w:rsidP="00CA52E8">
      <w:pPr>
        <w:pStyle w:val="ListParagraph"/>
        <w:ind w:left="360"/>
        <w:rPr>
          <w:rFonts w:ascii="Arial" w:hAnsi="Arial"/>
        </w:rPr>
      </w:pPr>
      <w:r w:rsidRPr="00DB3991">
        <w:rPr>
          <w:rFonts w:ascii="Arial" w:hAnsi="Arial"/>
        </w:rPr>
        <w:t>I have learned how VDS (VAT Deducted at Source) works, along with TDS. I completed the Challans of VDS, downloaded the Challans from the NBR Portal and later learnt how to download the VDS invoice as well Doing TDS and VDS together made me understand that the Income tax and VAT compliance do not work in isolation but work together in a business.</w:t>
      </w:r>
    </w:p>
    <w:p w14:paraId="1AAADF33" w14:textId="77777777" w:rsidR="00C521CB" w:rsidRDefault="00C521CB" w:rsidP="00CA52E8">
      <w:pPr>
        <w:pStyle w:val="ListParagraph"/>
        <w:numPr>
          <w:ilvl w:val="0"/>
          <w:numId w:val="36"/>
        </w:numPr>
        <w:ind w:left="360"/>
        <w:rPr>
          <w:rFonts w:ascii="Arial" w:hAnsi="Arial"/>
          <w:b/>
          <w:bCs/>
        </w:rPr>
      </w:pPr>
      <w:r w:rsidRPr="00CB631B">
        <w:rPr>
          <w:rFonts w:ascii="Arial" w:hAnsi="Arial"/>
          <w:b/>
          <w:bCs/>
        </w:rPr>
        <w:t>Understanding VAT documentation (</w:t>
      </w:r>
      <w:proofErr w:type="spellStart"/>
      <w:r w:rsidRPr="00407E8B">
        <w:rPr>
          <w:rFonts w:ascii="Arial" w:hAnsi="Arial"/>
          <w:b/>
          <w:bCs/>
        </w:rPr>
        <w:t>Mushak</w:t>
      </w:r>
      <w:proofErr w:type="spellEnd"/>
      <w:r w:rsidRPr="00407E8B">
        <w:rPr>
          <w:rFonts w:ascii="Arial" w:hAnsi="Arial"/>
          <w:b/>
          <w:bCs/>
        </w:rPr>
        <w:t xml:space="preserve"> 6.6)</w:t>
      </w:r>
    </w:p>
    <w:p w14:paraId="333A9CAA" w14:textId="2262A5AD" w:rsidR="0025150F" w:rsidRPr="0025150F" w:rsidRDefault="0025150F" w:rsidP="00CA52E8">
      <w:pPr>
        <w:pStyle w:val="ListParagraph"/>
        <w:ind w:left="360"/>
        <w:rPr>
          <w:rFonts w:ascii="Arial" w:hAnsi="Arial"/>
        </w:rPr>
      </w:pPr>
      <w:r w:rsidRPr="0025150F">
        <w:rPr>
          <w:rFonts w:ascii="Arial" w:hAnsi="Arial"/>
        </w:rPr>
        <w:t xml:space="preserve">Government Department Instruction. VAT </w:t>
      </w:r>
      <w:proofErr w:type="spellStart"/>
      <w:r w:rsidRPr="0025150F">
        <w:rPr>
          <w:rFonts w:ascii="Arial" w:hAnsi="Arial"/>
        </w:rPr>
        <w:t>Mushak</w:t>
      </w:r>
      <w:proofErr w:type="spellEnd"/>
      <w:r w:rsidRPr="0025150F">
        <w:rPr>
          <w:rFonts w:ascii="Arial" w:hAnsi="Arial"/>
        </w:rPr>
        <w:t xml:space="preserve"> 6.6 paper is prepared. If you want the government to accept your documents for the Punishment, you will need to make this paper. This will help me to know what needs to be reported for VAT. I made a couple of these, and they really helped me get a grip of what a report on VAT is all about.</w:t>
      </w:r>
    </w:p>
    <w:p w14:paraId="6F471BC8" w14:textId="77777777" w:rsidR="00C521CB" w:rsidRPr="00CB631B" w:rsidRDefault="00C521CB" w:rsidP="00CA52E8">
      <w:pPr>
        <w:pStyle w:val="ListParagraph"/>
        <w:numPr>
          <w:ilvl w:val="0"/>
          <w:numId w:val="36"/>
        </w:numPr>
        <w:ind w:left="360"/>
        <w:rPr>
          <w:rFonts w:ascii="Arial" w:hAnsi="Arial"/>
          <w:b/>
          <w:bCs/>
        </w:rPr>
      </w:pPr>
      <w:r w:rsidRPr="00CB631B">
        <w:rPr>
          <w:rFonts w:ascii="Arial" w:hAnsi="Arial"/>
          <w:b/>
          <w:bCs/>
        </w:rPr>
        <w:t>Banking and accounting software</w:t>
      </w:r>
    </w:p>
    <w:p w14:paraId="63A4077E" w14:textId="7548F108" w:rsidR="0025150F" w:rsidRPr="0025150F" w:rsidRDefault="0025150F" w:rsidP="00CA52E8">
      <w:pPr>
        <w:pStyle w:val="ListParagraph"/>
        <w:ind w:left="360"/>
        <w:rPr>
          <w:rFonts w:ascii="Arial" w:hAnsi="Arial"/>
        </w:rPr>
      </w:pPr>
      <w:r w:rsidRPr="0025150F">
        <w:rPr>
          <w:rFonts w:ascii="Arial" w:hAnsi="Arial"/>
        </w:rPr>
        <w:t>Besides tax work, I also learned how to prepare Bank Deposit Advice when taking cash or cheques to the bank for the firm or clients. I was also introduced to QuickBooks, another software, where I learned how journal entries are posted. Nice change from doing everything on paper to accounting software. It also made a lot more concepts click real-time demo of the software.</w:t>
      </w:r>
    </w:p>
    <w:p w14:paraId="5B4F0C42" w14:textId="77777777" w:rsidR="00C521CB" w:rsidRPr="00CB631B" w:rsidRDefault="00C521CB" w:rsidP="00CA52E8">
      <w:pPr>
        <w:pStyle w:val="ListParagraph"/>
        <w:numPr>
          <w:ilvl w:val="0"/>
          <w:numId w:val="36"/>
        </w:numPr>
        <w:ind w:left="360"/>
        <w:rPr>
          <w:rFonts w:ascii="Arial" w:hAnsi="Arial"/>
          <w:b/>
          <w:bCs/>
        </w:rPr>
      </w:pPr>
      <w:r w:rsidRPr="00CB631B">
        <w:rPr>
          <w:rFonts w:ascii="Arial" w:hAnsi="Arial"/>
          <w:b/>
          <w:bCs/>
        </w:rPr>
        <w:t>Keeping records properly</w:t>
      </w:r>
    </w:p>
    <w:p w14:paraId="705CE4C8" w14:textId="335DA182" w:rsidR="0025150F" w:rsidRPr="0025150F" w:rsidRDefault="0025150F" w:rsidP="00CA52E8">
      <w:pPr>
        <w:pStyle w:val="ListParagraph"/>
        <w:ind w:left="360"/>
        <w:rPr>
          <w:rFonts w:ascii="Arial" w:hAnsi="Arial"/>
        </w:rPr>
      </w:pPr>
      <w:r w:rsidRPr="0025150F">
        <w:rPr>
          <w:rFonts w:ascii="Arial" w:hAnsi="Arial"/>
        </w:rPr>
        <w:t>Organization is a big part of my job at the consulting firm. I made files and reviewed documents for clients. I thought filing was easy, but I learned how important it really is. There are many problems that arise later if papers are not filed properly. Especially if the auditor is asking for something or the client is asking for something in a hurry.</w:t>
      </w:r>
    </w:p>
    <w:p w14:paraId="2A7B8DDF" w14:textId="77777777" w:rsidR="00C521CB" w:rsidRPr="00CB631B" w:rsidRDefault="00C521CB" w:rsidP="00CA52E8">
      <w:pPr>
        <w:pStyle w:val="ListParagraph"/>
        <w:numPr>
          <w:ilvl w:val="0"/>
          <w:numId w:val="36"/>
        </w:numPr>
        <w:ind w:left="360"/>
        <w:rPr>
          <w:rFonts w:ascii="Arial" w:hAnsi="Arial"/>
          <w:b/>
          <w:bCs/>
        </w:rPr>
      </w:pPr>
      <w:r w:rsidRPr="00CB631B">
        <w:rPr>
          <w:rFonts w:ascii="Arial" w:hAnsi="Arial"/>
          <w:b/>
          <w:bCs/>
        </w:rPr>
        <w:t>Talking to clients</w:t>
      </w:r>
    </w:p>
    <w:p w14:paraId="22E34400" w14:textId="08E5C4A9" w:rsidR="0025150F" w:rsidRPr="0025150F" w:rsidRDefault="0025150F" w:rsidP="00CA52E8">
      <w:pPr>
        <w:pStyle w:val="ListParagraph"/>
        <w:ind w:left="360"/>
        <w:rPr>
          <w:rFonts w:ascii="Arial" w:hAnsi="Arial"/>
        </w:rPr>
      </w:pPr>
      <w:r w:rsidRPr="0025150F">
        <w:rPr>
          <w:rFonts w:ascii="Arial" w:hAnsi="Arial"/>
        </w:rPr>
        <w:t>A lesson I did not expect to learn was how to negotiate/how to talk to my clients discuss things, explain things, etc. in a way they would get. This is something that books cannot teach me. In those conditions I was lucky to see how calmly and clearly specialists deal with customer problems.</w:t>
      </w:r>
    </w:p>
    <w:p w14:paraId="0090038B" w14:textId="77777777" w:rsidR="00252A5D" w:rsidRDefault="00252A5D" w:rsidP="00252A5D">
      <w:pPr>
        <w:pStyle w:val="ListParagraph"/>
        <w:ind w:left="360"/>
        <w:rPr>
          <w:rFonts w:ascii="Arial" w:hAnsi="Arial"/>
          <w:b/>
          <w:bCs/>
        </w:rPr>
      </w:pPr>
    </w:p>
    <w:p w14:paraId="6E4F43AD" w14:textId="77777777" w:rsidR="00252A5D" w:rsidRDefault="00252A5D" w:rsidP="00252A5D">
      <w:pPr>
        <w:pStyle w:val="ListParagraph"/>
        <w:ind w:left="360"/>
        <w:rPr>
          <w:rFonts w:ascii="Arial" w:hAnsi="Arial"/>
          <w:b/>
          <w:bCs/>
        </w:rPr>
      </w:pPr>
    </w:p>
    <w:p w14:paraId="584C5F75" w14:textId="77777777" w:rsidR="00252A5D" w:rsidRDefault="00252A5D" w:rsidP="00252A5D">
      <w:pPr>
        <w:pStyle w:val="ListParagraph"/>
        <w:ind w:left="360"/>
        <w:rPr>
          <w:rFonts w:ascii="Arial" w:hAnsi="Arial"/>
          <w:b/>
          <w:bCs/>
        </w:rPr>
      </w:pPr>
    </w:p>
    <w:p w14:paraId="13527E65" w14:textId="77777777" w:rsidR="00252A5D" w:rsidRDefault="00252A5D" w:rsidP="00252A5D">
      <w:pPr>
        <w:pStyle w:val="ListParagraph"/>
        <w:ind w:left="360"/>
        <w:rPr>
          <w:rFonts w:ascii="Arial" w:hAnsi="Arial"/>
          <w:b/>
          <w:bCs/>
        </w:rPr>
      </w:pPr>
    </w:p>
    <w:p w14:paraId="1D93ACDA" w14:textId="04F7039E" w:rsidR="00C521CB" w:rsidRDefault="00C521CB" w:rsidP="00CA52E8">
      <w:pPr>
        <w:pStyle w:val="ListParagraph"/>
        <w:numPr>
          <w:ilvl w:val="0"/>
          <w:numId w:val="36"/>
        </w:numPr>
        <w:ind w:left="360"/>
        <w:rPr>
          <w:rFonts w:ascii="Arial" w:hAnsi="Arial"/>
          <w:b/>
          <w:bCs/>
        </w:rPr>
      </w:pPr>
      <w:r w:rsidRPr="00407E8B">
        <w:rPr>
          <w:rFonts w:ascii="Arial" w:hAnsi="Arial"/>
          <w:b/>
          <w:bCs/>
        </w:rPr>
        <w:lastRenderedPageBreak/>
        <w:t xml:space="preserve">Real </w:t>
      </w:r>
      <w:r w:rsidRPr="00CB631B">
        <w:rPr>
          <w:rFonts w:ascii="Arial" w:hAnsi="Arial"/>
          <w:b/>
          <w:bCs/>
        </w:rPr>
        <w:t>responsibility toward</w:t>
      </w:r>
      <w:r w:rsidRPr="00407E8B">
        <w:rPr>
          <w:rFonts w:ascii="Arial" w:hAnsi="Arial"/>
          <w:b/>
          <w:bCs/>
        </w:rPr>
        <w:t xml:space="preserve"> the end</w:t>
      </w:r>
    </w:p>
    <w:p w14:paraId="32819981" w14:textId="20F26497" w:rsidR="0025150F" w:rsidRPr="0025150F" w:rsidRDefault="0025150F" w:rsidP="00CA52E8">
      <w:pPr>
        <w:pStyle w:val="ListParagraph"/>
        <w:ind w:left="360"/>
        <w:rPr>
          <w:rFonts w:ascii="Arial" w:hAnsi="Arial"/>
        </w:rPr>
      </w:pPr>
      <w:r w:rsidRPr="0025150F">
        <w:rPr>
          <w:rFonts w:ascii="Arial" w:hAnsi="Arial"/>
        </w:rPr>
        <w:t>My internship is coming to an end, and I visit the Tax office and CA firms with my own TDS return file and annual audit report. I think this was the point where I felt like I was doing “real work” and not just interning. I was doing something important, something that stood for the firm.</w:t>
      </w:r>
    </w:p>
    <w:p w14:paraId="7120B8FD" w14:textId="77777777" w:rsidR="00C521CB" w:rsidRDefault="00C521CB" w:rsidP="00CA52E8">
      <w:pPr>
        <w:pStyle w:val="ListParagraph"/>
        <w:numPr>
          <w:ilvl w:val="0"/>
          <w:numId w:val="36"/>
        </w:numPr>
        <w:ind w:left="360"/>
        <w:rPr>
          <w:rFonts w:ascii="Arial" w:hAnsi="Arial"/>
          <w:b/>
          <w:bCs/>
        </w:rPr>
      </w:pPr>
      <w:r w:rsidRPr="00CB631B">
        <w:rPr>
          <w:rFonts w:ascii="Arial" w:hAnsi="Arial"/>
          <w:b/>
          <w:bCs/>
        </w:rPr>
        <w:t>Overall, what this internship</w:t>
      </w:r>
      <w:r w:rsidRPr="0025150F">
        <w:rPr>
          <w:rFonts w:ascii="Arial" w:hAnsi="Arial"/>
          <w:b/>
          <w:bCs/>
        </w:rPr>
        <w:t xml:space="preserve"> gave me</w:t>
      </w:r>
    </w:p>
    <w:p w14:paraId="0B11EEDD" w14:textId="7E45FAD0" w:rsidR="0025150F" w:rsidRPr="0025150F" w:rsidRDefault="0025150F" w:rsidP="00CA52E8">
      <w:pPr>
        <w:pStyle w:val="ListParagraph"/>
        <w:ind w:left="360"/>
        <w:rPr>
          <w:rFonts w:ascii="Arial" w:hAnsi="Arial"/>
        </w:rPr>
      </w:pPr>
      <w:r w:rsidRPr="0025150F">
        <w:rPr>
          <w:rFonts w:ascii="Arial" w:hAnsi="Arial"/>
        </w:rPr>
        <w:t>After completing all the 20 tasks, I feel like I am part of a firm. I have gone from knowing the definition of accounting to seeing a firm apply it in real life. This involves handling tax portal, VAT documents, client calls, government offices and more.   It was not just about knowing how to use the tools or the software but more about seeing how everything was connected in one real housekeeping and I think it will help me a lot in moving to my career”.</w:t>
      </w:r>
    </w:p>
    <w:p w14:paraId="2B643DFF" w14:textId="42A5C7FE" w:rsidR="00C521CB" w:rsidRPr="00CB631B" w:rsidRDefault="00332FB8" w:rsidP="000E197F">
      <w:pPr>
        <w:pStyle w:val="Heading2"/>
        <w:rPr>
          <w:rFonts w:ascii="Arial" w:hAnsi="Arial" w:cs="Arial"/>
          <w:sz w:val="28"/>
          <w:szCs w:val="28"/>
        </w:rPr>
      </w:pPr>
      <w:bookmarkStart w:id="41" w:name="_Toc235801944"/>
      <w:r w:rsidRPr="00CB631B">
        <w:rPr>
          <w:rFonts w:ascii="Arial" w:hAnsi="Arial" w:cs="Arial"/>
          <w:sz w:val="28"/>
          <w:szCs w:val="28"/>
        </w:rPr>
        <w:t>3</w:t>
      </w:r>
      <w:r w:rsidR="00C521CB" w:rsidRPr="00CB631B">
        <w:rPr>
          <w:rFonts w:ascii="Arial" w:hAnsi="Arial" w:cs="Arial"/>
          <w:sz w:val="28"/>
          <w:szCs w:val="28"/>
        </w:rPr>
        <w:t>.4 Evaluation</w:t>
      </w:r>
      <w:bookmarkEnd w:id="41"/>
    </w:p>
    <w:p w14:paraId="2CB51EC4" w14:textId="4B41CE32" w:rsidR="0025150F" w:rsidRPr="0025150F" w:rsidRDefault="0025150F" w:rsidP="0025150F">
      <w:pPr>
        <w:rPr>
          <w:rFonts w:ascii="Arial" w:hAnsi="Arial"/>
        </w:rPr>
      </w:pPr>
      <w:r w:rsidRPr="0025150F">
        <w:rPr>
          <w:rFonts w:ascii="Arial" w:hAnsi="Arial"/>
        </w:rPr>
        <w:t>The evaluation was well structured and ongoing at Tokyo Consulting Firm Bangladesh with focus on learning and performance improvement. In my internship period, my daily activities were supervised by my supervisor and senior colleagues, and at the end, every task assigned to me was assessed. When I had to start a new task, it was necessary to report to my supervisor for instructions to have a clear understanding of the work. Their constant feedback helped me to know my wrongs, to build up my performance and to build more accuracy and professionalism. I also made a daily excel log to keep track of the skills and knowledge I gained during the internship. The process of daily evaluation and self-assessment helped me in the process of continuous learning, enhanced my technical and professional skills and allowed me to monitor my overall progress during the internship.</w:t>
      </w:r>
    </w:p>
    <w:p w14:paraId="2E23083D" w14:textId="77777777" w:rsidR="00252A5D" w:rsidRDefault="00252A5D" w:rsidP="0025150F">
      <w:pPr>
        <w:pStyle w:val="Heading2"/>
        <w:rPr>
          <w:rFonts w:ascii="Arial" w:hAnsi="Arial" w:cs="Arial"/>
          <w:sz w:val="28"/>
          <w:szCs w:val="28"/>
        </w:rPr>
      </w:pPr>
    </w:p>
    <w:p w14:paraId="418C7DAD" w14:textId="77777777" w:rsidR="00252A5D" w:rsidRDefault="00252A5D" w:rsidP="0025150F">
      <w:pPr>
        <w:pStyle w:val="Heading2"/>
        <w:rPr>
          <w:rFonts w:ascii="Arial" w:hAnsi="Arial" w:cs="Arial"/>
          <w:sz w:val="28"/>
          <w:szCs w:val="28"/>
        </w:rPr>
      </w:pPr>
    </w:p>
    <w:p w14:paraId="3E7F40B6" w14:textId="77777777" w:rsidR="00252A5D" w:rsidRDefault="00252A5D" w:rsidP="0025150F">
      <w:pPr>
        <w:pStyle w:val="Heading2"/>
        <w:rPr>
          <w:rFonts w:ascii="Arial" w:hAnsi="Arial" w:cs="Arial"/>
          <w:sz w:val="28"/>
          <w:szCs w:val="28"/>
        </w:rPr>
      </w:pPr>
    </w:p>
    <w:p w14:paraId="30B3553F" w14:textId="77777777" w:rsidR="00252A5D" w:rsidRPr="00252A5D" w:rsidRDefault="00252A5D" w:rsidP="00252A5D"/>
    <w:p w14:paraId="36248441" w14:textId="3505E718" w:rsidR="00A27C08" w:rsidRPr="0025150F" w:rsidRDefault="00332FB8" w:rsidP="0025150F">
      <w:pPr>
        <w:pStyle w:val="Heading2"/>
        <w:rPr>
          <w:rFonts w:ascii="Arial" w:hAnsi="Arial" w:cs="Arial"/>
          <w:sz w:val="28"/>
          <w:szCs w:val="28"/>
        </w:rPr>
      </w:pPr>
      <w:bookmarkStart w:id="42" w:name="_Toc235801945"/>
      <w:r>
        <w:rPr>
          <w:rFonts w:ascii="Arial" w:hAnsi="Arial" w:cs="Arial"/>
          <w:sz w:val="28"/>
          <w:szCs w:val="28"/>
        </w:rPr>
        <w:lastRenderedPageBreak/>
        <w:t>3</w:t>
      </w:r>
      <w:r w:rsidR="00C521CB" w:rsidRPr="00407E8B">
        <w:rPr>
          <w:rFonts w:ascii="Arial" w:hAnsi="Arial" w:cs="Arial"/>
          <w:sz w:val="28"/>
          <w:szCs w:val="28"/>
        </w:rPr>
        <w:t xml:space="preserve">.5 </w:t>
      </w:r>
      <w:r w:rsidR="00C521CB" w:rsidRPr="00CB631B">
        <w:rPr>
          <w:rFonts w:ascii="Arial" w:hAnsi="Arial" w:cs="Arial"/>
          <w:sz w:val="28"/>
          <w:szCs w:val="28"/>
        </w:rPr>
        <w:t>Skills Applied</w:t>
      </w:r>
      <w:bookmarkEnd w:id="42"/>
    </w:p>
    <w:p w14:paraId="455EB7A7" w14:textId="53D22FE1" w:rsidR="0025150F" w:rsidRDefault="0025150F" w:rsidP="0025150F">
      <w:pPr>
        <w:spacing w:after="60"/>
        <w:rPr>
          <w:rFonts w:ascii="Arial" w:hAnsi="Arial"/>
          <w:szCs w:val="24"/>
        </w:rPr>
      </w:pPr>
      <w:r w:rsidRPr="0025150F">
        <w:rPr>
          <w:rFonts w:ascii="Arial" w:hAnsi="Arial"/>
          <w:szCs w:val="24"/>
        </w:rPr>
        <w:t xml:space="preserve">In hindsight, I </w:t>
      </w:r>
      <w:r w:rsidR="00CB631B" w:rsidRPr="0025150F">
        <w:rPr>
          <w:rFonts w:ascii="Arial" w:hAnsi="Arial"/>
          <w:szCs w:val="24"/>
        </w:rPr>
        <w:t>realized</w:t>
      </w:r>
      <w:r w:rsidRPr="0025150F">
        <w:rPr>
          <w:rFonts w:ascii="Arial" w:hAnsi="Arial"/>
          <w:szCs w:val="24"/>
        </w:rPr>
        <w:t xml:space="preserve"> that I did not just complete tasks at Tokyo Consulting Firm, I applied real skills along the way, many of which I did not fully develop prior to this internship. For the technical part, I used my fundamental knowledge of accounting and taxation in preparing TDS and VDS Challans, calculating TDS payable amounts, and working with </w:t>
      </w:r>
      <w:proofErr w:type="spellStart"/>
      <w:r w:rsidRPr="0025150F">
        <w:rPr>
          <w:rFonts w:ascii="Arial" w:hAnsi="Arial"/>
          <w:szCs w:val="24"/>
        </w:rPr>
        <w:t>Mushak</w:t>
      </w:r>
      <w:proofErr w:type="spellEnd"/>
      <w:r w:rsidRPr="0025150F">
        <w:rPr>
          <w:rFonts w:ascii="Arial" w:hAnsi="Arial"/>
          <w:szCs w:val="24"/>
        </w:rPr>
        <w:t xml:space="preserve"> 6.6 for VAT documentation. I picked up practical digital skills with the NBR Portal and QuickBooks because I had to figure things out on my own, instead of just reading instructions.</w:t>
      </w:r>
    </w:p>
    <w:p w14:paraId="7220B787" w14:textId="7F0B4761" w:rsidR="0025150F" w:rsidRPr="0025150F" w:rsidRDefault="0025150F" w:rsidP="0025150F">
      <w:pPr>
        <w:spacing w:after="60"/>
        <w:rPr>
          <w:rFonts w:ascii="Arial" w:hAnsi="Arial"/>
          <w:szCs w:val="24"/>
        </w:rPr>
      </w:pPr>
      <w:r w:rsidRPr="0025150F">
        <w:rPr>
          <w:rFonts w:ascii="Arial" w:hAnsi="Arial"/>
          <w:szCs w:val="24"/>
        </w:rPr>
        <w:t xml:space="preserve">Apart from the technical part, I used </w:t>
      </w:r>
      <w:r w:rsidR="0087763B" w:rsidRPr="0025150F">
        <w:rPr>
          <w:rFonts w:ascii="Arial" w:hAnsi="Arial"/>
          <w:szCs w:val="24"/>
        </w:rPr>
        <w:t>organizational</w:t>
      </w:r>
      <w:r w:rsidRPr="0025150F">
        <w:rPr>
          <w:rFonts w:ascii="Arial" w:hAnsi="Arial"/>
          <w:szCs w:val="24"/>
        </w:rPr>
        <w:t xml:space="preserve"> skills to scan and sort client documents and filing appropriately. I also had to use communication and interpersonal skills in dealing with issues with clients, which required patience and clarity. Tax Office and CA firms visits made me apply professionalism and responsibility in real situations. Overall, this internship has provided me the opportunity to turn theory into practice and usable skills.</w:t>
      </w:r>
    </w:p>
    <w:p w14:paraId="7BDF6E45" w14:textId="2881590B" w:rsidR="0025150F" w:rsidRDefault="0025150F" w:rsidP="00E13EDB">
      <w:pPr>
        <w:spacing w:after="60" w:line="276" w:lineRule="auto"/>
        <w:rPr>
          <w:rFonts w:cs="Times New Roman"/>
          <w:szCs w:val="24"/>
        </w:rPr>
        <w:sectPr w:rsidR="0025150F" w:rsidSect="000B5556">
          <w:pgSz w:w="11909" w:h="16834" w:code="9"/>
          <w:pgMar w:top="1440" w:right="1440" w:bottom="1440" w:left="1440" w:header="720" w:footer="720" w:gutter="0"/>
          <w:cols w:space="720"/>
          <w:docGrid w:linePitch="360"/>
        </w:sectPr>
      </w:pPr>
    </w:p>
    <w:p w14:paraId="09CC3EB8" w14:textId="22C2422E" w:rsidR="00DF5A52" w:rsidRPr="00A4741C" w:rsidRDefault="00A4741C" w:rsidP="00C521CB">
      <w:pPr>
        <w:pStyle w:val="Heading1"/>
        <w:rPr>
          <w:rFonts w:ascii="Arial" w:hAnsi="Arial" w:cs="Arial"/>
          <w:sz w:val="32"/>
          <w:szCs w:val="32"/>
        </w:rPr>
      </w:pPr>
      <w:bookmarkStart w:id="43" w:name="_Toc235801946"/>
      <w:r w:rsidRPr="00A4741C">
        <w:rPr>
          <w:rFonts w:ascii="Arial" w:hAnsi="Arial" w:cs="Arial"/>
          <w:sz w:val="32"/>
          <w:szCs w:val="32"/>
        </w:rPr>
        <w:lastRenderedPageBreak/>
        <w:t xml:space="preserve">CHAPTER </w:t>
      </w:r>
      <w:r w:rsidR="00332FB8">
        <w:rPr>
          <w:rFonts w:ascii="Arial" w:hAnsi="Arial" w:cs="Arial"/>
          <w:sz w:val="32"/>
          <w:szCs w:val="32"/>
        </w:rPr>
        <w:t>4</w:t>
      </w:r>
      <w:r w:rsidRPr="00A4741C">
        <w:rPr>
          <w:rFonts w:ascii="Arial" w:hAnsi="Arial" w:cs="Arial"/>
          <w:sz w:val="32"/>
          <w:szCs w:val="32"/>
        </w:rPr>
        <w:t>: DATA ANALYSIS</w:t>
      </w:r>
      <w:r w:rsidR="00B26431">
        <w:rPr>
          <w:rFonts w:ascii="Arial" w:hAnsi="Arial" w:cs="Arial"/>
          <w:sz w:val="32"/>
          <w:szCs w:val="32"/>
        </w:rPr>
        <w:t xml:space="preserve"> AND INTERPRETATION</w:t>
      </w:r>
      <w:bookmarkEnd w:id="43"/>
    </w:p>
    <w:p w14:paraId="7528D396" w14:textId="001AF67A" w:rsidR="00CB01E3" w:rsidRPr="00A4741C" w:rsidRDefault="00332FB8" w:rsidP="00DA6A39">
      <w:pPr>
        <w:pStyle w:val="Heading2"/>
        <w:rPr>
          <w:rStyle w:val="Heading2Char"/>
          <w:rFonts w:ascii="Arial" w:hAnsi="Arial" w:cs="Arial"/>
          <w:b/>
          <w:sz w:val="28"/>
          <w:szCs w:val="28"/>
        </w:rPr>
      </w:pPr>
      <w:bookmarkStart w:id="44" w:name="_Toc235801947"/>
      <w:r>
        <w:rPr>
          <w:rStyle w:val="Heading2Char"/>
          <w:rFonts w:ascii="Arial" w:hAnsi="Arial" w:cs="Arial"/>
          <w:b/>
          <w:sz w:val="28"/>
          <w:szCs w:val="28"/>
        </w:rPr>
        <w:t>4</w:t>
      </w:r>
      <w:r w:rsidR="00220257" w:rsidRPr="00A4741C">
        <w:rPr>
          <w:rStyle w:val="Heading2Char"/>
          <w:rFonts w:ascii="Arial" w:hAnsi="Arial" w:cs="Arial"/>
          <w:b/>
          <w:sz w:val="28"/>
          <w:szCs w:val="28"/>
        </w:rPr>
        <w:t xml:space="preserve">.1 </w:t>
      </w:r>
      <w:r w:rsidR="009E13BA" w:rsidRPr="00CB631B">
        <w:rPr>
          <w:rStyle w:val="Heading2Char"/>
          <w:rFonts w:ascii="Arial" w:hAnsi="Arial" w:cs="Arial"/>
          <w:b/>
          <w:sz w:val="28"/>
          <w:szCs w:val="28"/>
        </w:rPr>
        <w:t>Working Capital Management</w:t>
      </w:r>
      <w:bookmarkEnd w:id="44"/>
    </w:p>
    <w:p w14:paraId="4295A3C2" w14:textId="5CC6C0E3" w:rsidR="009E13BA" w:rsidRPr="00A4741C" w:rsidRDefault="000E197F" w:rsidP="00A4741C">
      <w:pPr>
        <w:rPr>
          <w:rFonts w:ascii="Arial" w:hAnsi="Arial"/>
          <w:szCs w:val="24"/>
        </w:rPr>
      </w:pPr>
      <w:r w:rsidRPr="000E197F">
        <w:rPr>
          <w:rFonts w:ascii="Arial" w:hAnsi="Arial"/>
          <w:szCs w:val="24"/>
        </w:rPr>
        <w:t>Working Capital Management Working Capital Management is the management of a company’s short-term assets (cash, inventory, and receivables) and short-term liabilities (payables and short-term debt) to ensure the smooth running of day-to-day operations while maximizing profitability and liquidity.</w:t>
      </w:r>
    </w:p>
    <w:p w14:paraId="77C8E32B" w14:textId="2295377E" w:rsidR="009E13BA" w:rsidRPr="00150129" w:rsidRDefault="009E13BA" w:rsidP="00150129">
      <w:pPr>
        <w:jc w:val="center"/>
        <w:rPr>
          <w:rFonts w:ascii="Cambria Math" w:hAnsi="Cambria Math"/>
          <w:b/>
          <w:bCs/>
          <w:color w:val="000000" w:themeColor="text1"/>
          <w:szCs w:val="24"/>
        </w:rPr>
      </w:pPr>
      <w:r w:rsidRPr="006163DA">
        <w:rPr>
          <w:rFonts w:ascii="Cambria Math" w:hAnsi="Cambria Math"/>
          <w:b/>
          <w:bCs/>
          <w:color w:val="000000" w:themeColor="text1"/>
          <w:szCs w:val="24"/>
        </w:rPr>
        <w:t>Working Capital = Current Assets − Current Liabilities</w:t>
      </w:r>
      <w:r w:rsidR="00150129">
        <w:rPr>
          <w:rFonts w:ascii="Cambria Math" w:hAnsi="Cambria Math"/>
          <w:b/>
          <w:bCs/>
          <w:color w:val="000000" w:themeColor="text1"/>
          <w:szCs w:val="24"/>
        </w:rPr>
        <w:t xml:space="preserve"> (1)</w:t>
      </w:r>
    </w:p>
    <w:p w14:paraId="47397AD5" w14:textId="18D835FD" w:rsidR="009E13BA" w:rsidRPr="00A4741C" w:rsidRDefault="000E197F" w:rsidP="00A4741C">
      <w:pPr>
        <w:rPr>
          <w:rFonts w:ascii="Arial" w:hAnsi="Arial"/>
          <w:szCs w:val="24"/>
        </w:rPr>
      </w:pPr>
      <w:r w:rsidRPr="000E197F">
        <w:rPr>
          <w:rFonts w:ascii="Arial" w:hAnsi="Arial"/>
          <w:szCs w:val="24"/>
        </w:rPr>
        <w:t>It represents the funds a business needs to cover its everyday operational expenses and short-term obligations.</w:t>
      </w:r>
      <w:r w:rsidR="003D7EE2">
        <w:rPr>
          <w:rFonts w:ascii="Arial" w:hAnsi="Arial"/>
          <w:szCs w:val="24"/>
        </w:rPr>
        <w:t xml:space="preserve"> </w:t>
      </w:r>
      <w:r w:rsidRPr="000E197F">
        <w:rPr>
          <w:rFonts w:ascii="Arial" w:hAnsi="Arial"/>
          <w:szCs w:val="24"/>
        </w:rPr>
        <w:t>Positive working capital means a company can comfortably cover short-term liabilities; negative working capital can signal liquidity trouble (though some business models, like retail, run efficiently on low or negative working capital).</w:t>
      </w:r>
    </w:p>
    <w:p w14:paraId="4FF11B76" w14:textId="73E2FD30" w:rsidR="009E13BA" w:rsidRPr="00CB631B" w:rsidRDefault="009E13BA" w:rsidP="00EB6D0E">
      <w:pPr>
        <w:rPr>
          <w:rFonts w:ascii="Arial" w:hAnsi="Arial"/>
          <w:b/>
          <w:bCs/>
          <w:color w:val="156082" w:themeColor="accent1"/>
        </w:rPr>
      </w:pPr>
      <w:r w:rsidRPr="00CB631B">
        <w:rPr>
          <w:rFonts w:ascii="Arial" w:hAnsi="Arial"/>
          <w:b/>
          <w:bCs/>
          <w:color w:val="156082" w:themeColor="accent1"/>
        </w:rPr>
        <w:t>Background</w:t>
      </w:r>
      <w:r w:rsidR="00321F71" w:rsidRPr="00CB631B">
        <w:rPr>
          <w:rFonts w:ascii="Arial" w:hAnsi="Arial"/>
          <w:b/>
          <w:bCs/>
          <w:color w:val="156082" w:themeColor="accent1"/>
        </w:rPr>
        <w:t xml:space="preserve"> of Working Capital</w:t>
      </w:r>
    </w:p>
    <w:p w14:paraId="6FB767AA" w14:textId="2F7B73A5" w:rsidR="009E13BA" w:rsidRPr="00A4741C" w:rsidRDefault="003D7EE2" w:rsidP="00A4741C">
      <w:pPr>
        <w:rPr>
          <w:rFonts w:ascii="Arial" w:hAnsi="Arial"/>
        </w:rPr>
      </w:pPr>
      <w:r w:rsidRPr="003D7EE2">
        <w:rPr>
          <w:rFonts w:ascii="Arial" w:hAnsi="Arial"/>
        </w:rPr>
        <w:t>It came from early-to-mid 20th century corporate finance theory.</w:t>
      </w:r>
      <w:r>
        <w:rPr>
          <w:rFonts w:ascii="Arial" w:hAnsi="Arial"/>
        </w:rPr>
        <w:t xml:space="preserve"> </w:t>
      </w:r>
      <w:r w:rsidRPr="003D7EE2">
        <w:rPr>
          <w:rFonts w:ascii="Arial" w:hAnsi="Arial"/>
        </w:rPr>
        <w:t>Business was becoming more complex and needed structured ways of balancing two competing goals</w:t>
      </w:r>
      <w:r>
        <w:rPr>
          <w:rFonts w:ascii="Arial" w:hAnsi="Arial"/>
        </w:rPr>
        <w:t xml:space="preserve">: </w:t>
      </w:r>
    </w:p>
    <w:p w14:paraId="222A25C7" w14:textId="5EA7ADA6" w:rsidR="009E13BA" w:rsidRPr="00A4741C" w:rsidRDefault="003D7EE2" w:rsidP="00A4741C">
      <w:pPr>
        <w:pStyle w:val="ListParagraph"/>
        <w:numPr>
          <w:ilvl w:val="0"/>
          <w:numId w:val="18"/>
        </w:numPr>
        <w:rPr>
          <w:rFonts w:ascii="Arial" w:hAnsi="Arial"/>
        </w:rPr>
      </w:pPr>
      <w:r w:rsidRPr="003D7EE2">
        <w:rPr>
          <w:rFonts w:ascii="Arial" w:hAnsi="Arial"/>
          <w:b/>
          <w:bCs/>
        </w:rPr>
        <w:t>Liquidity:</w:t>
      </w:r>
      <w:r w:rsidRPr="003D7EE2">
        <w:rPr>
          <w:rFonts w:ascii="Arial" w:hAnsi="Arial"/>
        </w:rPr>
        <w:t xml:space="preserve"> Availability of cash or liquid assets to pay obligations as they come due.</w:t>
      </w:r>
    </w:p>
    <w:p w14:paraId="1223D599" w14:textId="25B1758D" w:rsidR="009E13BA" w:rsidRPr="00A4741C" w:rsidRDefault="003D7EE2" w:rsidP="00A4741C">
      <w:pPr>
        <w:pStyle w:val="ListParagraph"/>
        <w:numPr>
          <w:ilvl w:val="0"/>
          <w:numId w:val="18"/>
        </w:numPr>
        <w:rPr>
          <w:rFonts w:ascii="Arial" w:hAnsi="Arial"/>
        </w:rPr>
      </w:pPr>
      <w:r w:rsidRPr="003D7EE2">
        <w:rPr>
          <w:rFonts w:ascii="Arial" w:hAnsi="Arial"/>
          <w:b/>
          <w:bCs/>
        </w:rPr>
        <w:t>Profitability:</w:t>
      </w:r>
      <w:r w:rsidRPr="003D7EE2">
        <w:rPr>
          <w:rFonts w:ascii="Arial" w:hAnsi="Arial"/>
        </w:rPr>
        <w:t xml:space="preserve"> not tying up too much capital in non-productive assets (cash not being used, too much stock, slow paying customers etc.) that could be used for investment.</w:t>
      </w:r>
    </w:p>
    <w:p w14:paraId="441AAF1F" w14:textId="1C9CD7AB" w:rsidR="003D7EE2" w:rsidRDefault="003D7EE2" w:rsidP="003D7EE2">
      <w:pPr>
        <w:spacing w:after="240"/>
        <w:rPr>
          <w:rFonts w:ascii="Arial" w:hAnsi="Arial"/>
        </w:rPr>
      </w:pPr>
      <w:r w:rsidRPr="003D7EE2">
        <w:rPr>
          <w:rFonts w:ascii="Arial" w:hAnsi="Arial"/>
        </w:rPr>
        <w:t>The basic problem that working capital management aims to solve is the conflict between liquidity and profitability. As global trade and credit systems expand, formalized frameworks like the Cash Conversion Cycle (CCC) have been created to quantify and enhance the efficiency of a company’s conversion of resources into cash.</w:t>
      </w:r>
    </w:p>
    <w:p w14:paraId="58AE3494" w14:textId="04EE46B1" w:rsidR="00E8052F" w:rsidRPr="00A4741C" w:rsidRDefault="00B36801" w:rsidP="00137C65">
      <w:pPr>
        <w:spacing w:after="240" w:line="276" w:lineRule="auto"/>
        <w:rPr>
          <w:rFonts w:ascii="Arial" w:hAnsi="Arial"/>
          <w:b/>
          <w:bCs/>
          <w:i/>
          <w:iCs/>
          <w:color w:val="215E99" w:themeColor="text2" w:themeTint="BF"/>
        </w:rPr>
      </w:pPr>
      <w:r w:rsidRPr="00A4741C">
        <w:rPr>
          <w:rFonts w:ascii="Arial" w:hAnsi="Arial"/>
          <w:b/>
          <w:bCs/>
          <w:color w:val="215E99" w:themeColor="text2" w:themeTint="BF"/>
        </w:rPr>
        <w:t xml:space="preserve">Core Components: </w:t>
      </w:r>
    </w:p>
    <w:p w14:paraId="31E06F48" w14:textId="04DFF850" w:rsidR="00B36801" w:rsidRPr="00A4741C" w:rsidRDefault="003D7EE2" w:rsidP="00A4741C">
      <w:pPr>
        <w:pStyle w:val="ListParagraph"/>
        <w:numPr>
          <w:ilvl w:val="0"/>
          <w:numId w:val="19"/>
        </w:numPr>
        <w:spacing w:after="240"/>
        <w:rPr>
          <w:rFonts w:ascii="Arial" w:hAnsi="Arial"/>
        </w:rPr>
      </w:pPr>
      <w:r>
        <w:rPr>
          <w:rFonts w:ascii="Arial" w:hAnsi="Arial"/>
          <w:b/>
          <w:bCs/>
        </w:rPr>
        <w:t xml:space="preserve">Cash Management: </w:t>
      </w:r>
      <w:r w:rsidRPr="003D7EE2">
        <w:rPr>
          <w:rFonts w:ascii="Arial" w:hAnsi="Arial"/>
        </w:rPr>
        <w:t>Making certain you have enough cash at hand to meet present and impending obligations. However, it is not too excess that it lies around doing nothing and cannot be invested in generating revenue.</w:t>
      </w:r>
    </w:p>
    <w:p w14:paraId="0A19DBF3" w14:textId="62F2F1C1" w:rsidR="00B36801" w:rsidRPr="003D7EE2" w:rsidRDefault="003D7EE2" w:rsidP="00A4741C">
      <w:pPr>
        <w:pStyle w:val="ListParagraph"/>
        <w:numPr>
          <w:ilvl w:val="0"/>
          <w:numId w:val="19"/>
        </w:numPr>
        <w:spacing w:after="240"/>
        <w:rPr>
          <w:rFonts w:ascii="Arial" w:hAnsi="Arial"/>
        </w:rPr>
      </w:pPr>
      <w:r>
        <w:rPr>
          <w:rFonts w:ascii="Arial" w:hAnsi="Arial"/>
          <w:b/>
          <w:bCs/>
        </w:rPr>
        <w:t xml:space="preserve">Receivable Management: </w:t>
      </w:r>
      <w:r w:rsidRPr="003D7EE2">
        <w:rPr>
          <w:rFonts w:ascii="Arial" w:hAnsi="Arial"/>
        </w:rPr>
        <w:t>Collecting efficient payments from customers by maintaining sound credit policies and ensuring consistent and timely collection.</w:t>
      </w:r>
    </w:p>
    <w:p w14:paraId="1D17B4FF" w14:textId="382DB348" w:rsidR="00B36801" w:rsidRPr="00A4741C" w:rsidRDefault="000C6291" w:rsidP="00A4741C">
      <w:pPr>
        <w:pStyle w:val="ListParagraph"/>
        <w:numPr>
          <w:ilvl w:val="0"/>
          <w:numId w:val="19"/>
        </w:numPr>
        <w:spacing w:after="240"/>
        <w:rPr>
          <w:rFonts w:ascii="Arial" w:hAnsi="Arial"/>
        </w:rPr>
      </w:pPr>
      <w:r w:rsidRPr="000C6291">
        <w:rPr>
          <w:rFonts w:ascii="Arial" w:hAnsi="Arial"/>
          <w:b/>
          <w:bCs/>
        </w:rPr>
        <w:lastRenderedPageBreak/>
        <w:t>Inventory Management:</w:t>
      </w:r>
      <w:r>
        <w:rPr>
          <w:rFonts w:ascii="Arial" w:hAnsi="Arial"/>
        </w:rPr>
        <w:t xml:space="preserve"> </w:t>
      </w:r>
      <w:r w:rsidRPr="000C6291">
        <w:rPr>
          <w:rFonts w:ascii="Arial" w:hAnsi="Arial"/>
        </w:rPr>
        <w:t xml:space="preserve">Inventory management is holding the right level of stock </w:t>
      </w:r>
      <w:r>
        <w:rPr>
          <w:rFonts w:ascii="Arial" w:hAnsi="Arial"/>
        </w:rPr>
        <w:t xml:space="preserve">- </w:t>
      </w:r>
      <w:r w:rsidRPr="000C6291">
        <w:rPr>
          <w:rFonts w:ascii="Arial" w:hAnsi="Arial"/>
        </w:rPr>
        <w:t>not so much that cash is tied up, and not so little that it loses sales</w:t>
      </w:r>
    </w:p>
    <w:p w14:paraId="4468BDC2" w14:textId="37F9AB1F" w:rsidR="00B36801" w:rsidRPr="000C6291" w:rsidRDefault="000C6291" w:rsidP="00A4741C">
      <w:pPr>
        <w:pStyle w:val="ListParagraph"/>
        <w:numPr>
          <w:ilvl w:val="0"/>
          <w:numId w:val="19"/>
        </w:numPr>
        <w:spacing w:after="240"/>
        <w:rPr>
          <w:rFonts w:ascii="Arial" w:hAnsi="Arial"/>
        </w:rPr>
      </w:pPr>
      <w:r>
        <w:rPr>
          <w:rFonts w:ascii="Arial" w:hAnsi="Arial"/>
          <w:b/>
          <w:bCs/>
        </w:rPr>
        <w:t xml:space="preserve">Payables Management: </w:t>
      </w:r>
      <w:r w:rsidRPr="000C6291">
        <w:rPr>
          <w:rFonts w:ascii="Arial" w:hAnsi="Arial"/>
        </w:rPr>
        <w:t>Payable Management is managing the timing of payments to suppliers to preserve cash without harming important relationships.</w:t>
      </w:r>
    </w:p>
    <w:p w14:paraId="23A19B46" w14:textId="772AC55F" w:rsidR="00B36801" w:rsidRPr="00A4741C" w:rsidRDefault="00332FB8" w:rsidP="00975A44">
      <w:pPr>
        <w:pStyle w:val="Heading2"/>
        <w:rPr>
          <w:rFonts w:ascii="Arial" w:hAnsi="Arial" w:cs="Arial"/>
          <w:sz w:val="28"/>
          <w:szCs w:val="28"/>
        </w:rPr>
      </w:pPr>
      <w:bookmarkStart w:id="45" w:name="_Toc235801948"/>
      <w:r>
        <w:rPr>
          <w:rFonts w:ascii="Arial" w:hAnsi="Arial" w:cs="Arial"/>
          <w:sz w:val="28"/>
          <w:szCs w:val="28"/>
        </w:rPr>
        <w:t>4</w:t>
      </w:r>
      <w:r w:rsidR="00220257" w:rsidRPr="00A4741C">
        <w:rPr>
          <w:rFonts w:ascii="Arial" w:hAnsi="Arial" w:cs="Arial"/>
          <w:sz w:val="28"/>
          <w:szCs w:val="28"/>
        </w:rPr>
        <w:t xml:space="preserve">.2 </w:t>
      </w:r>
      <w:r w:rsidR="00B36801" w:rsidRPr="00A4741C">
        <w:rPr>
          <w:rFonts w:ascii="Arial" w:hAnsi="Arial" w:cs="Arial"/>
          <w:sz w:val="28"/>
          <w:szCs w:val="28"/>
        </w:rPr>
        <w:t>Working Capital M</w:t>
      </w:r>
      <w:r w:rsidR="00B36801" w:rsidRPr="00CB631B">
        <w:rPr>
          <w:rFonts w:ascii="Arial" w:hAnsi="Arial" w:cs="Arial"/>
          <w:sz w:val="28"/>
          <w:szCs w:val="28"/>
        </w:rPr>
        <w:t>ana</w:t>
      </w:r>
      <w:r w:rsidR="00B36801" w:rsidRPr="00A4741C">
        <w:rPr>
          <w:rFonts w:ascii="Arial" w:hAnsi="Arial" w:cs="Arial"/>
          <w:sz w:val="28"/>
          <w:szCs w:val="28"/>
        </w:rPr>
        <w:t>gement Process</w:t>
      </w:r>
      <w:bookmarkEnd w:id="45"/>
    </w:p>
    <w:p w14:paraId="1C636B15" w14:textId="77777777" w:rsidR="00F366C1" w:rsidRDefault="00B36801" w:rsidP="00F366C1">
      <w:pPr>
        <w:keepNext/>
        <w:jc w:val="center"/>
      </w:pPr>
      <w:r>
        <w:rPr>
          <w:noProof/>
          <w14:ligatures w14:val="standardContextual"/>
        </w:rPr>
        <w:drawing>
          <wp:inline distT="0" distB="0" distL="0" distR="0" wp14:anchorId="2F9DC44F" wp14:editId="71B587B1">
            <wp:extent cx="5733415" cy="2649220"/>
            <wp:effectExtent l="152400" t="152400" r="362585" b="360680"/>
            <wp:docPr id="1438248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24860" name="Picture 143824860"/>
                    <pic:cNvPicPr/>
                  </pic:nvPicPr>
                  <pic:blipFill>
                    <a:blip r:embed="rId14">
                      <a:duotone>
                        <a:schemeClr val="accent1">
                          <a:shade val="45000"/>
                          <a:satMod val="135000"/>
                        </a:schemeClr>
                        <a:prstClr val="white"/>
                      </a:duotone>
                      <a:extLst>
                        <a:ext uri="{BEBA8EAE-BF5A-486C-A8C5-ECC9F3942E4B}">
                          <a14:imgProps xmlns:a14="http://schemas.microsoft.com/office/drawing/2010/main">
                            <a14:imgLayer r:embed="rId15">
                              <a14:imgEffect>
                                <a14:colorTemperature colorTemp="11200"/>
                              </a14:imgEffect>
                            </a14:imgLayer>
                          </a14:imgProps>
                        </a:ext>
                        <a:ext uri="{28A0092B-C50C-407E-A947-70E740481C1C}">
                          <a14:useLocalDpi xmlns:a14="http://schemas.microsoft.com/office/drawing/2010/main" val="0"/>
                        </a:ext>
                      </a:extLst>
                    </a:blip>
                    <a:stretch>
                      <a:fillRect/>
                    </a:stretch>
                  </pic:blipFill>
                  <pic:spPr>
                    <a:xfrm>
                      <a:off x="0" y="0"/>
                      <a:ext cx="5733415" cy="2649220"/>
                    </a:xfrm>
                    <a:prstGeom prst="rect">
                      <a:avLst/>
                    </a:prstGeom>
                    <a:ln>
                      <a:noFill/>
                    </a:ln>
                    <a:effectLst>
                      <a:outerShdw blurRad="292100" dist="139700" dir="2700000" algn="tl" rotWithShape="0">
                        <a:srgbClr val="333333">
                          <a:alpha val="65000"/>
                        </a:srgbClr>
                      </a:outerShdw>
                    </a:effectLst>
                  </pic:spPr>
                </pic:pic>
              </a:graphicData>
            </a:graphic>
          </wp:inline>
        </w:drawing>
      </w:r>
    </w:p>
    <w:p w14:paraId="44C737CA" w14:textId="77B66564" w:rsidR="00B36801" w:rsidRPr="001808BD" w:rsidRDefault="00F366C1" w:rsidP="00F366C1">
      <w:pPr>
        <w:pStyle w:val="Caption"/>
        <w:jc w:val="center"/>
        <w:rPr>
          <w:rFonts w:cs="Times New Roman"/>
          <w:sz w:val="24"/>
          <w:szCs w:val="24"/>
        </w:rPr>
      </w:pPr>
      <w:bookmarkStart w:id="46" w:name="_Toc235308686"/>
      <w:r w:rsidRPr="001808BD">
        <w:rPr>
          <w:rFonts w:cs="Times New Roman"/>
          <w:sz w:val="24"/>
          <w:szCs w:val="24"/>
        </w:rPr>
        <w:t xml:space="preserve">Figure </w:t>
      </w:r>
      <w:r w:rsidR="00D94E28" w:rsidRPr="001808BD">
        <w:rPr>
          <w:rFonts w:cs="Times New Roman"/>
          <w:sz w:val="24"/>
          <w:szCs w:val="24"/>
        </w:rPr>
        <w:fldChar w:fldCharType="begin"/>
      </w:r>
      <w:r w:rsidR="00D94E28" w:rsidRPr="001808BD">
        <w:rPr>
          <w:rFonts w:cs="Times New Roman"/>
          <w:sz w:val="24"/>
          <w:szCs w:val="24"/>
        </w:rPr>
        <w:instrText xml:space="preserve"> SEQ Figure \* ARABIC </w:instrText>
      </w:r>
      <w:r w:rsidR="00D94E28" w:rsidRPr="001808BD">
        <w:rPr>
          <w:rFonts w:cs="Times New Roman"/>
          <w:sz w:val="24"/>
          <w:szCs w:val="24"/>
        </w:rPr>
        <w:fldChar w:fldCharType="separate"/>
      </w:r>
      <w:r w:rsidR="00C15A61">
        <w:rPr>
          <w:rFonts w:cs="Times New Roman"/>
          <w:noProof/>
          <w:sz w:val="24"/>
          <w:szCs w:val="24"/>
        </w:rPr>
        <w:t>2</w:t>
      </w:r>
      <w:r w:rsidR="00D94E28" w:rsidRPr="001808BD">
        <w:rPr>
          <w:rFonts w:cs="Times New Roman"/>
          <w:noProof/>
          <w:sz w:val="24"/>
          <w:szCs w:val="24"/>
        </w:rPr>
        <w:fldChar w:fldCharType="end"/>
      </w:r>
      <w:r w:rsidRPr="001808BD">
        <w:rPr>
          <w:rFonts w:cs="Times New Roman"/>
          <w:sz w:val="24"/>
          <w:szCs w:val="24"/>
        </w:rPr>
        <w:t>.1: Working Capital Management Process</w:t>
      </w:r>
      <w:bookmarkEnd w:id="46"/>
    </w:p>
    <w:p w14:paraId="48CAFC99" w14:textId="77777777" w:rsidR="00F366C1" w:rsidRPr="00F366C1" w:rsidRDefault="00F366C1" w:rsidP="00F366C1">
      <w:pPr>
        <w:pStyle w:val="ListParagraph"/>
        <w:spacing w:after="240" w:line="276" w:lineRule="auto"/>
      </w:pPr>
    </w:p>
    <w:p w14:paraId="6AAEEA6A" w14:textId="670F51B5" w:rsidR="00B36801" w:rsidRDefault="000C6291" w:rsidP="00A4741C">
      <w:pPr>
        <w:pStyle w:val="ListParagraph"/>
        <w:numPr>
          <w:ilvl w:val="0"/>
          <w:numId w:val="20"/>
        </w:numPr>
        <w:spacing w:after="240"/>
        <w:rPr>
          <w:rFonts w:ascii="Arial" w:hAnsi="Arial"/>
        </w:rPr>
      </w:pPr>
      <w:r w:rsidRPr="000C6291">
        <w:rPr>
          <w:rFonts w:ascii="Arial" w:hAnsi="Arial"/>
          <w:b/>
          <w:bCs/>
          <w:color w:val="000000" w:themeColor="text1"/>
        </w:rPr>
        <w:t>Forecast Capital Needs:</w:t>
      </w:r>
      <w:r w:rsidRPr="000C6291">
        <w:rPr>
          <w:rFonts w:ascii="Arial" w:hAnsi="Arial"/>
          <w:color w:val="000000" w:themeColor="text1"/>
        </w:rPr>
        <w:t xml:space="preserve"> </w:t>
      </w:r>
      <w:r w:rsidRPr="000C6291">
        <w:rPr>
          <w:rFonts w:ascii="Arial" w:hAnsi="Arial"/>
        </w:rPr>
        <w:t>Estimating forecast short-term cash requirement of business is the first step in cash budget preparation. Sales projections and seasonal demand have been reviewed to come up with this.</w:t>
      </w:r>
    </w:p>
    <w:p w14:paraId="254B6AE6" w14:textId="53E0E838" w:rsidR="000C6291" w:rsidRPr="000C6291" w:rsidRDefault="000C6291" w:rsidP="000C6291">
      <w:pPr>
        <w:pStyle w:val="ListParagraph"/>
        <w:numPr>
          <w:ilvl w:val="0"/>
          <w:numId w:val="20"/>
        </w:numPr>
        <w:spacing w:after="240"/>
        <w:rPr>
          <w:rFonts w:ascii="Arial" w:hAnsi="Arial"/>
        </w:rPr>
      </w:pPr>
      <w:r w:rsidRPr="000C6291">
        <w:rPr>
          <w:rFonts w:ascii="Arial" w:hAnsi="Arial"/>
        </w:rPr>
        <w:t>Page managers can’t manage these four items one after the other, but in parallel. Let’s check out the meaning.</w:t>
      </w:r>
    </w:p>
    <w:p w14:paraId="5950B4E6" w14:textId="7728F9DA" w:rsidR="000C6291" w:rsidRPr="000C6291" w:rsidRDefault="000C6291" w:rsidP="000C6291">
      <w:pPr>
        <w:pStyle w:val="ListParagraph"/>
        <w:spacing w:after="240"/>
        <w:rPr>
          <w:rFonts w:ascii="Arial" w:hAnsi="Arial"/>
        </w:rPr>
      </w:pPr>
      <w:r w:rsidRPr="000C6291">
        <w:rPr>
          <w:rFonts w:ascii="Arial" w:hAnsi="Arial"/>
          <w:b/>
          <w:bCs/>
        </w:rPr>
        <w:t>Cash:</w:t>
      </w:r>
      <w:r>
        <w:rPr>
          <w:rFonts w:ascii="Arial" w:hAnsi="Arial"/>
        </w:rPr>
        <w:t xml:space="preserve"> </w:t>
      </w:r>
      <w:r w:rsidRPr="000C6291">
        <w:rPr>
          <w:rFonts w:ascii="Arial" w:hAnsi="Arial"/>
        </w:rPr>
        <w:t>Keep enough cash to pay for your liabilities, do not hold too much cash.</w:t>
      </w:r>
    </w:p>
    <w:p w14:paraId="0838B001" w14:textId="621E2DE1" w:rsidR="000C6291" w:rsidRPr="000C6291" w:rsidRDefault="000C6291" w:rsidP="000C6291">
      <w:pPr>
        <w:pStyle w:val="ListParagraph"/>
        <w:spacing w:after="240"/>
        <w:rPr>
          <w:rFonts w:ascii="Arial" w:hAnsi="Arial"/>
        </w:rPr>
      </w:pPr>
      <w:r w:rsidRPr="000C6291">
        <w:rPr>
          <w:rFonts w:ascii="Arial" w:hAnsi="Arial"/>
          <w:b/>
          <w:bCs/>
        </w:rPr>
        <w:t>Collection:</w:t>
      </w:r>
      <w:r>
        <w:rPr>
          <w:rFonts w:ascii="Arial" w:hAnsi="Arial"/>
        </w:rPr>
        <w:t xml:space="preserve"> </w:t>
      </w:r>
      <w:r w:rsidRPr="000C6291">
        <w:rPr>
          <w:rFonts w:ascii="Arial" w:hAnsi="Arial"/>
        </w:rPr>
        <w:t>Policies for credit and collection; set guidelines on better terms with debtors.</w:t>
      </w:r>
    </w:p>
    <w:p w14:paraId="01C4BEAE" w14:textId="3C464381" w:rsidR="000C6291" w:rsidRPr="000C6291" w:rsidRDefault="000C6291" w:rsidP="000C6291">
      <w:pPr>
        <w:pStyle w:val="ListParagraph"/>
        <w:spacing w:after="240"/>
        <w:rPr>
          <w:rFonts w:ascii="Arial" w:hAnsi="Arial"/>
        </w:rPr>
      </w:pPr>
      <w:r w:rsidRPr="000C6291">
        <w:rPr>
          <w:rFonts w:ascii="Arial" w:hAnsi="Arial"/>
          <w:b/>
          <w:bCs/>
        </w:rPr>
        <w:t>Inventory:</w:t>
      </w:r>
      <w:r>
        <w:rPr>
          <w:rFonts w:ascii="Arial" w:hAnsi="Arial"/>
        </w:rPr>
        <w:t xml:space="preserve"> </w:t>
      </w:r>
      <w:r w:rsidRPr="000C6291">
        <w:rPr>
          <w:rFonts w:ascii="Arial" w:hAnsi="Arial"/>
        </w:rPr>
        <w:t>It is very important to have good inventory, maintaining the process smoothly without cash lock-up.</w:t>
      </w:r>
    </w:p>
    <w:p w14:paraId="73D3C20B" w14:textId="7D196A45" w:rsidR="000C6291" w:rsidRPr="000C6291" w:rsidRDefault="000C6291" w:rsidP="000C6291">
      <w:pPr>
        <w:pStyle w:val="ListParagraph"/>
        <w:numPr>
          <w:ilvl w:val="0"/>
          <w:numId w:val="20"/>
        </w:numPr>
        <w:spacing w:after="240"/>
        <w:rPr>
          <w:rFonts w:ascii="Arial" w:hAnsi="Arial"/>
        </w:rPr>
      </w:pPr>
      <w:r w:rsidRPr="000C6291">
        <w:rPr>
          <w:rFonts w:ascii="Arial" w:hAnsi="Arial"/>
          <w:b/>
          <w:bCs/>
        </w:rPr>
        <w:t>Payables:</w:t>
      </w:r>
      <w:r w:rsidRPr="000C6291">
        <w:rPr>
          <w:rFonts w:ascii="Arial" w:hAnsi="Arial"/>
        </w:rPr>
        <w:t xml:space="preserve"> Utilize a supplier's credit by making the most of the credit period without harming it</w:t>
      </w:r>
    </w:p>
    <w:p w14:paraId="11FF00FC" w14:textId="349C9C01" w:rsidR="000C6291" w:rsidRPr="000C6291" w:rsidRDefault="000C6291" w:rsidP="000C6291">
      <w:pPr>
        <w:pStyle w:val="ListParagraph"/>
        <w:numPr>
          <w:ilvl w:val="0"/>
          <w:numId w:val="20"/>
        </w:numPr>
        <w:spacing w:after="240"/>
        <w:rPr>
          <w:rFonts w:ascii="Arial" w:hAnsi="Arial"/>
        </w:rPr>
      </w:pPr>
      <w:r w:rsidRPr="000C6291">
        <w:rPr>
          <w:rFonts w:ascii="Arial" w:hAnsi="Arial"/>
        </w:rPr>
        <w:lastRenderedPageBreak/>
        <w:t>Evaluation and monitoring of performance is done continually using the key performance indicators. The cash conversion cycle (CCC) is a wide measurement of working capital management.</w:t>
      </w:r>
    </w:p>
    <w:p w14:paraId="7C553BCD" w14:textId="2FD17CA7" w:rsidR="002322DF" w:rsidRDefault="002322DF" w:rsidP="00A4741C">
      <w:pPr>
        <w:rPr>
          <w:rFonts w:ascii="Arial" w:hAnsi="Arial"/>
        </w:rPr>
      </w:pPr>
      <w:r w:rsidRPr="00C97BB4">
        <w:rPr>
          <w:rFonts w:ascii="Arial" w:hAnsi="Arial"/>
        </w:rPr>
        <w:t>CCC = Days Inventory Outstanding + Days Sales Outstanding − Days Payables Outstanding</w:t>
      </w:r>
    </w:p>
    <w:p w14:paraId="6641A33A" w14:textId="641D7FCF" w:rsidR="00CA1463" w:rsidRPr="00C97BB4" w:rsidRDefault="00CA1463" w:rsidP="00A4741C">
      <w:pPr>
        <w:rPr>
          <w:rFonts w:ascii="Arial" w:hAnsi="Arial"/>
        </w:rPr>
      </w:pPr>
      <w:r w:rsidRPr="00CA1463">
        <w:rPr>
          <w:rFonts w:ascii="Arial" w:hAnsi="Arial"/>
        </w:rPr>
        <w:t>The shorter the CCC, the less cash you have tied up, which means cash flows back into the business quicker. The quick ratio and current ratio are other common ratios other than debt equity.</w:t>
      </w:r>
    </w:p>
    <w:p w14:paraId="0C2C16C9" w14:textId="1F8D2520" w:rsidR="00C521CB" w:rsidRPr="00A4741C" w:rsidRDefault="00332FB8" w:rsidP="00C521CB">
      <w:pPr>
        <w:pStyle w:val="Heading2"/>
        <w:rPr>
          <w:rFonts w:ascii="Arial" w:hAnsi="Arial" w:cs="Arial"/>
          <w:sz w:val="28"/>
          <w:szCs w:val="28"/>
        </w:rPr>
      </w:pPr>
      <w:bookmarkStart w:id="47" w:name="_Toc235801949"/>
      <w:r>
        <w:rPr>
          <w:rFonts w:ascii="Arial" w:hAnsi="Arial" w:cs="Arial"/>
          <w:sz w:val="28"/>
          <w:szCs w:val="28"/>
        </w:rPr>
        <w:t>4</w:t>
      </w:r>
      <w:r w:rsidR="00C521CB" w:rsidRPr="00A4741C">
        <w:rPr>
          <w:rFonts w:ascii="Arial" w:hAnsi="Arial" w:cs="Arial"/>
          <w:sz w:val="28"/>
          <w:szCs w:val="28"/>
        </w:rPr>
        <w:t xml:space="preserve">.3 Policy Followed by </w:t>
      </w:r>
      <w:r w:rsidR="00C521CB" w:rsidRPr="00CB631B">
        <w:rPr>
          <w:rFonts w:ascii="Arial" w:hAnsi="Arial" w:cs="Arial"/>
          <w:sz w:val="28"/>
          <w:szCs w:val="28"/>
        </w:rPr>
        <w:t>Tokyo Consulting</w:t>
      </w:r>
      <w:r w:rsidR="00C521CB" w:rsidRPr="00A4741C">
        <w:rPr>
          <w:rFonts w:ascii="Arial" w:hAnsi="Arial" w:cs="Arial"/>
          <w:sz w:val="28"/>
          <w:szCs w:val="28"/>
        </w:rPr>
        <w:t xml:space="preserve"> Firm (TCF) Bangladesh</w:t>
      </w:r>
      <w:bookmarkEnd w:id="47"/>
    </w:p>
    <w:p w14:paraId="14217B19" w14:textId="77777777" w:rsidR="00CA1463" w:rsidRPr="00CA1463" w:rsidRDefault="00CA1463" w:rsidP="00CA1463">
      <w:pPr>
        <w:rPr>
          <w:rFonts w:ascii="Arial" w:hAnsi="Arial"/>
        </w:rPr>
      </w:pPr>
      <w:r w:rsidRPr="00CA1463">
        <w:rPr>
          <w:rFonts w:ascii="Arial" w:hAnsi="Arial"/>
        </w:rPr>
        <w:t>Tokyo Consulting Firm (TCF) based on the five-year data (2021–2025) follows both the ‘Conservative Working Capital Investment Policy’ and the ‘Conservative Working Capital Financing Policy’.</w:t>
      </w:r>
    </w:p>
    <w:p w14:paraId="5AE8FBF8" w14:textId="56971635" w:rsidR="00C521CB" w:rsidRPr="00A4741C" w:rsidRDefault="00CA1463" w:rsidP="00CA1463">
      <w:pPr>
        <w:rPr>
          <w:rFonts w:ascii="Arial" w:hAnsi="Arial"/>
        </w:rPr>
      </w:pPr>
      <w:r w:rsidRPr="00CA1463">
        <w:rPr>
          <w:rFonts w:ascii="Arial" w:hAnsi="Arial"/>
        </w:rPr>
        <w:t>The ratio of current assets to total assets (CA/TA) was less than 50% in all the 5 years, indicating that current assets contribute a lesser portion of total assets. This means TCF is dedicating a greater share of its resources to long-term</w:t>
      </w:r>
      <w:r>
        <w:rPr>
          <w:rFonts w:ascii="Arial" w:hAnsi="Arial"/>
        </w:rPr>
        <w:t xml:space="preserve"> </w:t>
      </w:r>
      <w:r w:rsidRPr="00CA1463">
        <w:rPr>
          <w:rFonts w:ascii="Arial" w:hAnsi="Arial"/>
        </w:rPr>
        <w:t>assets and not keeping too much cash, inventory or other short-term assets. It is reasonable to have lower current assets for a consulting firm that offers professional services instead of selling physical products. Therefore, TCF can be said to be following a Conservative Working Capital Investment Policy where management is concerned with the efficient use of assets while ensuring that enough current assets are available to meet the daily operational requirements.</w:t>
      </w:r>
    </w:p>
    <w:p w14:paraId="7AD43591" w14:textId="715D9D66" w:rsidR="00C521CB" w:rsidRPr="00A4741C" w:rsidRDefault="00CA1463" w:rsidP="00A4741C">
      <w:pPr>
        <w:rPr>
          <w:rFonts w:ascii="Arial" w:hAnsi="Arial"/>
        </w:rPr>
      </w:pPr>
      <w:r w:rsidRPr="00CA1463">
        <w:rPr>
          <w:rFonts w:ascii="Arial" w:hAnsi="Arial"/>
        </w:rPr>
        <w:t>Similarly, the Current Liabilities to Total Assets (CL/TA) ratio also remained below 50% during 2021–2025.  This suggests that the company is using shorter-term liabilities to finance its total assets and is more dependent on long-term financing or owners' equity. Such a financing approach reduces refinancing risk, improves financial stability, and strengthens the firm's ability to meet short-term obligations without excessive dependence on short-term borrowing.  This is the Conservative Working Capital Financing Policy, and it stresses financial safety and lower liquidity risk.</w:t>
      </w:r>
    </w:p>
    <w:p w14:paraId="18275442" w14:textId="6DC4E08C" w:rsidR="00C521CB" w:rsidRPr="00A4741C" w:rsidRDefault="00CA1463" w:rsidP="00A4741C">
      <w:pPr>
        <w:rPr>
          <w:rFonts w:ascii="Arial" w:hAnsi="Arial"/>
        </w:rPr>
      </w:pPr>
      <w:r w:rsidRPr="00CA1463">
        <w:rPr>
          <w:rFonts w:ascii="Arial" w:hAnsi="Arial"/>
        </w:rPr>
        <w:t xml:space="preserve">In summary, the evidence shows that Tokyo Consulting Firm has a Conservative Working Capital Investment Policy and a Conservative Working Capital Financing Policy. Together, the two points to a conservative approach to financial management, </w:t>
      </w:r>
      <w:r w:rsidRPr="00CA1463">
        <w:rPr>
          <w:rFonts w:ascii="Arial" w:hAnsi="Arial"/>
        </w:rPr>
        <w:lastRenderedPageBreak/>
        <w:t>with an emphasis on sustainable, long-term growth, sound asset management and a strong liquidity position rather than aggressive expansion fueled by short-term debt.</w:t>
      </w:r>
    </w:p>
    <w:p w14:paraId="78796AE9" w14:textId="1C17CCB2" w:rsidR="00A81E0D" w:rsidRPr="00A4741C" w:rsidRDefault="007E7FC8" w:rsidP="00975A44">
      <w:pPr>
        <w:pStyle w:val="Heading2"/>
        <w:rPr>
          <w:rFonts w:ascii="Arial" w:hAnsi="Arial" w:cs="Arial"/>
          <w:color w:val="156082" w:themeColor="accent1"/>
          <w:sz w:val="28"/>
          <w:szCs w:val="28"/>
        </w:rPr>
      </w:pPr>
      <w:bookmarkStart w:id="48" w:name="_Toc235801950"/>
      <w:r>
        <w:rPr>
          <w:rStyle w:val="Heading2Char"/>
          <w:rFonts w:ascii="Arial" w:hAnsi="Arial" w:cs="Arial"/>
          <w:b/>
          <w:color w:val="156082" w:themeColor="accent1"/>
          <w:sz w:val="28"/>
          <w:szCs w:val="28"/>
        </w:rPr>
        <w:t>4</w:t>
      </w:r>
      <w:r w:rsidR="00220257" w:rsidRPr="00A4741C">
        <w:rPr>
          <w:rStyle w:val="Heading2Char"/>
          <w:rFonts w:ascii="Arial" w:hAnsi="Arial" w:cs="Arial"/>
          <w:b/>
          <w:color w:val="156082" w:themeColor="accent1"/>
          <w:sz w:val="28"/>
          <w:szCs w:val="28"/>
        </w:rPr>
        <w:t>.</w:t>
      </w:r>
      <w:r w:rsidR="00C521CB" w:rsidRPr="00A4741C">
        <w:rPr>
          <w:rStyle w:val="Heading2Char"/>
          <w:rFonts w:ascii="Arial" w:hAnsi="Arial" w:cs="Arial"/>
          <w:b/>
          <w:color w:val="156082" w:themeColor="accent1"/>
          <w:sz w:val="28"/>
          <w:szCs w:val="28"/>
        </w:rPr>
        <w:t>4</w:t>
      </w:r>
      <w:r w:rsidR="00220257" w:rsidRPr="00A4741C">
        <w:rPr>
          <w:rStyle w:val="Heading2Char"/>
          <w:rFonts w:ascii="Arial" w:hAnsi="Arial" w:cs="Arial"/>
          <w:b/>
          <w:color w:val="156082" w:themeColor="accent1"/>
          <w:sz w:val="28"/>
          <w:szCs w:val="28"/>
        </w:rPr>
        <w:t xml:space="preserve"> </w:t>
      </w:r>
      <w:r w:rsidR="004F0962" w:rsidRPr="00A4741C">
        <w:rPr>
          <w:rStyle w:val="Heading2Char"/>
          <w:rFonts w:ascii="Arial" w:hAnsi="Arial" w:cs="Arial"/>
          <w:b/>
          <w:color w:val="156082" w:themeColor="accent1"/>
          <w:sz w:val="28"/>
          <w:szCs w:val="28"/>
        </w:rPr>
        <w:t>Working Capital</w:t>
      </w:r>
      <w:r w:rsidR="00A81E0D" w:rsidRPr="00A4741C">
        <w:rPr>
          <w:rStyle w:val="Heading2Char"/>
          <w:rFonts w:ascii="Arial" w:hAnsi="Arial" w:cs="Arial"/>
          <w:b/>
          <w:color w:val="156082" w:themeColor="accent1"/>
          <w:sz w:val="28"/>
          <w:szCs w:val="28"/>
        </w:rPr>
        <w:t xml:space="preserve"> Management</w:t>
      </w:r>
      <w:r w:rsidR="004F0962" w:rsidRPr="00A4741C">
        <w:rPr>
          <w:rStyle w:val="Heading2Char"/>
          <w:rFonts w:ascii="Arial" w:hAnsi="Arial" w:cs="Arial"/>
          <w:b/>
          <w:color w:val="156082" w:themeColor="accent1"/>
          <w:sz w:val="28"/>
          <w:szCs w:val="28"/>
        </w:rPr>
        <w:t xml:space="preserve"> Policy</w:t>
      </w:r>
      <w:bookmarkEnd w:id="48"/>
    </w:p>
    <w:p w14:paraId="64389507" w14:textId="20ADF969" w:rsidR="00A81E0D" w:rsidRPr="00A4741C" w:rsidRDefault="00CA1463" w:rsidP="00A4741C">
      <w:pPr>
        <w:rPr>
          <w:rFonts w:ascii="Arial" w:hAnsi="Arial"/>
        </w:rPr>
      </w:pPr>
      <w:r w:rsidRPr="00CA1463">
        <w:rPr>
          <w:rFonts w:ascii="Arial" w:hAnsi="Arial"/>
        </w:rPr>
        <w:t>Working Capital management is really built on 2 pillars:</w:t>
      </w:r>
    </w:p>
    <w:p w14:paraId="1CADE4E8" w14:textId="18D5FC31" w:rsidR="00A81E0D" w:rsidRPr="00A4741C" w:rsidRDefault="00A81E0D" w:rsidP="00A4741C">
      <w:pPr>
        <w:pStyle w:val="ListParagraph"/>
        <w:numPr>
          <w:ilvl w:val="0"/>
          <w:numId w:val="22"/>
        </w:numPr>
        <w:rPr>
          <w:rFonts w:ascii="Arial" w:hAnsi="Arial"/>
          <w:b/>
          <w:bCs/>
        </w:rPr>
      </w:pPr>
      <w:r w:rsidRPr="00A4741C">
        <w:rPr>
          <w:rFonts w:ascii="Arial" w:hAnsi="Arial"/>
          <w:b/>
          <w:bCs/>
        </w:rPr>
        <w:t xml:space="preserve">Investment Policy </w:t>
      </w:r>
    </w:p>
    <w:p w14:paraId="36BC4C14" w14:textId="0DFDEC61" w:rsidR="00A81E0D" w:rsidRPr="00A4741C" w:rsidRDefault="00A81E0D" w:rsidP="00A4741C">
      <w:pPr>
        <w:pStyle w:val="ListParagraph"/>
        <w:numPr>
          <w:ilvl w:val="0"/>
          <w:numId w:val="22"/>
        </w:numPr>
        <w:rPr>
          <w:rFonts w:ascii="Arial" w:hAnsi="Arial"/>
          <w:b/>
          <w:bCs/>
        </w:rPr>
      </w:pPr>
      <w:r w:rsidRPr="00A4741C">
        <w:rPr>
          <w:rFonts w:ascii="Arial" w:hAnsi="Arial"/>
          <w:b/>
          <w:bCs/>
        </w:rPr>
        <w:t xml:space="preserve">Financing Policy </w:t>
      </w:r>
    </w:p>
    <w:p w14:paraId="59A33271" w14:textId="6612A922" w:rsidR="002322DF" w:rsidRPr="00A4741C" w:rsidRDefault="00CA1463" w:rsidP="00A4741C">
      <w:pPr>
        <w:rPr>
          <w:rFonts w:ascii="Arial" w:hAnsi="Arial"/>
        </w:rPr>
      </w:pPr>
      <w:r w:rsidRPr="00CA1463">
        <w:rPr>
          <w:rFonts w:ascii="Arial" w:hAnsi="Arial"/>
        </w:rPr>
        <w:t>How much current assets to hold (Investment Policy). How to finance them (Financing Policy). These are two separate decisions a company makes, and both shape its overall risk-return profile.</w:t>
      </w:r>
    </w:p>
    <w:p w14:paraId="0B8B55D1" w14:textId="364D1F8D" w:rsidR="00A81E0D" w:rsidRPr="00CA1463" w:rsidRDefault="00CA1463" w:rsidP="00A4741C">
      <w:pPr>
        <w:rPr>
          <w:rFonts w:ascii="Arial" w:hAnsi="Arial"/>
          <w:b/>
          <w:bCs/>
          <w:color w:val="000000" w:themeColor="text1"/>
        </w:rPr>
      </w:pPr>
      <w:r w:rsidRPr="00CB631B">
        <w:rPr>
          <w:rFonts w:ascii="Arial" w:hAnsi="Arial"/>
          <w:b/>
          <w:bCs/>
          <w:color w:val="156082" w:themeColor="accent1"/>
        </w:rPr>
        <w:t>Investment Policy:</w:t>
      </w:r>
      <w:r w:rsidRPr="00191C42">
        <w:rPr>
          <w:rStyle w:val="Heading3Char"/>
          <w:rFonts w:ascii="Arial" w:hAnsi="Arial" w:cs="Arial"/>
          <w:color w:val="156082" w:themeColor="accent1"/>
          <w:sz w:val="24"/>
          <w:szCs w:val="24"/>
        </w:rPr>
        <w:t xml:space="preserve"> </w:t>
      </w:r>
      <w:r w:rsidRPr="00CA1463">
        <w:rPr>
          <w:rStyle w:val="Heading3Char"/>
          <w:rFonts w:ascii="Arial" w:hAnsi="Arial" w:cs="Arial"/>
          <w:b w:val="0"/>
          <w:bCs/>
          <w:color w:val="000000" w:themeColor="text1"/>
          <w:sz w:val="24"/>
          <w:szCs w:val="24"/>
        </w:rPr>
        <w:t>This policy determines the level of current assets such as cash, receivables, inventory in relation to the sales or operations of the company.</w:t>
      </w:r>
    </w:p>
    <w:p w14:paraId="4D4F0D20" w14:textId="1586143D" w:rsidR="00A81E0D" w:rsidRPr="00A4741C" w:rsidRDefault="00CA1463" w:rsidP="00A4741C">
      <w:pPr>
        <w:rPr>
          <w:rFonts w:ascii="Arial" w:hAnsi="Arial"/>
          <w:b/>
          <w:bCs/>
        </w:rPr>
      </w:pPr>
      <w:r>
        <w:rPr>
          <w:rFonts w:ascii="Arial" w:hAnsi="Arial"/>
          <w:b/>
          <w:bCs/>
        </w:rPr>
        <w:t>Conservative Investment Policy</w:t>
      </w:r>
    </w:p>
    <w:p w14:paraId="5098F972" w14:textId="04B4522A" w:rsidR="00A81E0D" w:rsidRPr="00A4741C" w:rsidRDefault="00A81E0D" w:rsidP="00A4741C">
      <w:pPr>
        <w:pStyle w:val="ListParagraph"/>
        <w:numPr>
          <w:ilvl w:val="0"/>
          <w:numId w:val="23"/>
        </w:numPr>
        <w:rPr>
          <w:rFonts w:ascii="Arial" w:hAnsi="Arial"/>
        </w:rPr>
      </w:pPr>
      <w:r w:rsidRPr="00A4741C">
        <w:rPr>
          <w:rFonts w:ascii="Arial" w:hAnsi="Arial"/>
        </w:rPr>
        <w:t>Maintains high levels of cash, inventory, and receivables.</w:t>
      </w:r>
    </w:p>
    <w:p w14:paraId="17A673FE" w14:textId="14C0C092" w:rsidR="00A81E0D" w:rsidRPr="00A4741C" w:rsidRDefault="00A81E0D" w:rsidP="00A4741C">
      <w:pPr>
        <w:pStyle w:val="ListParagraph"/>
        <w:numPr>
          <w:ilvl w:val="0"/>
          <w:numId w:val="23"/>
        </w:numPr>
        <w:rPr>
          <w:rFonts w:ascii="Arial" w:hAnsi="Arial"/>
        </w:rPr>
      </w:pPr>
      <w:r w:rsidRPr="00A4741C">
        <w:rPr>
          <w:rFonts w:ascii="Arial" w:hAnsi="Arial"/>
        </w:rPr>
        <w:t>Acts as a safety cushion against unexpected demand spikes, supply delays, or slow-paying customers.</w:t>
      </w:r>
    </w:p>
    <w:p w14:paraId="315EBBC0" w14:textId="7F1F9FBF" w:rsidR="00A81E0D" w:rsidRPr="00A4741C" w:rsidRDefault="00CA1463" w:rsidP="00A4741C">
      <w:pPr>
        <w:pStyle w:val="ListParagraph"/>
        <w:numPr>
          <w:ilvl w:val="0"/>
          <w:numId w:val="23"/>
        </w:numPr>
        <w:rPr>
          <w:rFonts w:ascii="Arial" w:hAnsi="Arial"/>
        </w:rPr>
      </w:pPr>
      <w:r>
        <w:rPr>
          <w:rFonts w:ascii="Arial" w:hAnsi="Arial"/>
        </w:rPr>
        <w:t>Tradeoff:</w:t>
      </w:r>
      <w:r w:rsidR="00A81E0D" w:rsidRPr="00A4741C">
        <w:rPr>
          <w:rFonts w:ascii="Arial" w:hAnsi="Arial"/>
        </w:rPr>
        <w:t xml:space="preserve"> </w:t>
      </w:r>
      <w:r w:rsidRPr="00CA1463">
        <w:rPr>
          <w:rFonts w:ascii="Arial" w:hAnsi="Arial"/>
        </w:rPr>
        <w:t>Capital is locked in low/no return assets, reducing overall profitability.</w:t>
      </w:r>
    </w:p>
    <w:p w14:paraId="189D2723" w14:textId="77777777" w:rsidR="00A81E0D" w:rsidRPr="00A4741C" w:rsidRDefault="00A81E0D" w:rsidP="00A4741C">
      <w:pPr>
        <w:rPr>
          <w:rFonts w:ascii="Arial" w:hAnsi="Arial"/>
          <w:b/>
          <w:bCs/>
        </w:rPr>
      </w:pPr>
      <w:r w:rsidRPr="00A4741C">
        <w:rPr>
          <w:rFonts w:ascii="Arial" w:hAnsi="Arial"/>
          <w:b/>
          <w:bCs/>
        </w:rPr>
        <w:t>Aggressive Investment Policy</w:t>
      </w:r>
    </w:p>
    <w:p w14:paraId="0D408C24" w14:textId="0DF26903" w:rsidR="00A81E0D" w:rsidRPr="00A4741C" w:rsidRDefault="00A81E0D" w:rsidP="00A4741C">
      <w:pPr>
        <w:pStyle w:val="ListParagraph"/>
        <w:numPr>
          <w:ilvl w:val="0"/>
          <w:numId w:val="24"/>
        </w:numPr>
        <w:rPr>
          <w:rFonts w:ascii="Arial" w:hAnsi="Arial"/>
        </w:rPr>
      </w:pPr>
      <w:r w:rsidRPr="00A4741C">
        <w:rPr>
          <w:rFonts w:ascii="Arial" w:hAnsi="Arial"/>
        </w:rPr>
        <w:t>Maintains minimal current assets just enough to barely cover operations</w:t>
      </w:r>
    </w:p>
    <w:p w14:paraId="004CE9FE" w14:textId="77777777" w:rsidR="00A81E0D" w:rsidRPr="00A4741C" w:rsidRDefault="00A81E0D" w:rsidP="00A4741C">
      <w:pPr>
        <w:pStyle w:val="ListParagraph"/>
        <w:numPr>
          <w:ilvl w:val="0"/>
          <w:numId w:val="24"/>
        </w:numPr>
        <w:rPr>
          <w:rFonts w:ascii="Arial" w:hAnsi="Arial"/>
        </w:rPr>
      </w:pPr>
      <w:r w:rsidRPr="00A4741C">
        <w:rPr>
          <w:rFonts w:ascii="Arial" w:hAnsi="Arial"/>
        </w:rPr>
        <w:t>Frees up capital that can be redirected toward higher-return investments (growth, expansion)</w:t>
      </w:r>
    </w:p>
    <w:p w14:paraId="2A756852" w14:textId="19B987AC" w:rsidR="00E8052F" w:rsidRPr="00A4741C" w:rsidRDefault="00A81E0D" w:rsidP="00A4741C">
      <w:pPr>
        <w:pStyle w:val="ListParagraph"/>
        <w:numPr>
          <w:ilvl w:val="0"/>
          <w:numId w:val="24"/>
        </w:numPr>
        <w:rPr>
          <w:rFonts w:ascii="Arial" w:hAnsi="Arial"/>
        </w:rPr>
      </w:pPr>
      <w:r w:rsidRPr="00A4741C">
        <w:rPr>
          <w:rFonts w:ascii="Arial" w:hAnsi="Arial"/>
        </w:rPr>
        <w:t>Tradeoff: Higher vulnerability, a single disruption (late shipment, slow collection) can cause a cash crunch or stockout</w:t>
      </w:r>
    </w:p>
    <w:p w14:paraId="22B437D3" w14:textId="77777777" w:rsidR="00321F71" w:rsidRPr="00A4741C" w:rsidRDefault="00321F71" w:rsidP="00A4741C">
      <w:pPr>
        <w:rPr>
          <w:rFonts w:ascii="Arial" w:hAnsi="Arial"/>
          <w:b/>
          <w:bCs/>
        </w:rPr>
      </w:pPr>
      <w:r w:rsidRPr="00A4741C">
        <w:rPr>
          <w:rFonts w:ascii="Arial" w:hAnsi="Arial"/>
          <w:b/>
          <w:bCs/>
        </w:rPr>
        <w:t>Moderate Investment Policy</w:t>
      </w:r>
    </w:p>
    <w:p w14:paraId="6893618E" w14:textId="7168A6CB" w:rsidR="00321F71" w:rsidRPr="00A4741C" w:rsidRDefault="00321F71" w:rsidP="00A4741C">
      <w:pPr>
        <w:pStyle w:val="ListParagraph"/>
        <w:numPr>
          <w:ilvl w:val="0"/>
          <w:numId w:val="25"/>
        </w:numPr>
        <w:rPr>
          <w:rFonts w:ascii="Arial" w:hAnsi="Arial"/>
        </w:rPr>
      </w:pPr>
      <w:r w:rsidRPr="00A4741C">
        <w:rPr>
          <w:rFonts w:ascii="Arial" w:hAnsi="Arial"/>
        </w:rPr>
        <w:t>Holds current assets at a level that matches expected, "normal" business needs no large buffer, but no bare-bones approach either</w:t>
      </w:r>
    </w:p>
    <w:p w14:paraId="486428B2" w14:textId="56D3AF75" w:rsidR="00E8052F" w:rsidRPr="00A4741C" w:rsidRDefault="00321F71" w:rsidP="00A4741C">
      <w:pPr>
        <w:pStyle w:val="ListParagraph"/>
        <w:numPr>
          <w:ilvl w:val="0"/>
          <w:numId w:val="25"/>
        </w:numPr>
        <w:rPr>
          <w:rFonts w:ascii="Arial" w:hAnsi="Arial"/>
        </w:rPr>
      </w:pPr>
      <w:r w:rsidRPr="00A4741C">
        <w:rPr>
          <w:rFonts w:ascii="Arial" w:hAnsi="Arial"/>
        </w:rPr>
        <w:t>Balances safety and efficiency reasonably well.</w:t>
      </w:r>
    </w:p>
    <w:p w14:paraId="39331B97" w14:textId="77777777" w:rsidR="00CB631B" w:rsidRDefault="00CB631B" w:rsidP="00191C42">
      <w:pPr>
        <w:rPr>
          <w:rFonts w:ascii="Arial" w:hAnsi="Arial"/>
          <w:b/>
          <w:bCs/>
          <w:color w:val="156082" w:themeColor="accent1"/>
        </w:rPr>
      </w:pPr>
    </w:p>
    <w:p w14:paraId="0324EFA0" w14:textId="77777777" w:rsidR="00CB631B" w:rsidRDefault="00CB631B" w:rsidP="00191C42">
      <w:pPr>
        <w:rPr>
          <w:rFonts w:ascii="Arial" w:hAnsi="Arial"/>
          <w:b/>
          <w:bCs/>
          <w:color w:val="156082" w:themeColor="accent1"/>
        </w:rPr>
      </w:pPr>
    </w:p>
    <w:p w14:paraId="77B6D8AF" w14:textId="77777777" w:rsidR="00CB631B" w:rsidRDefault="00CB631B" w:rsidP="00191C42">
      <w:pPr>
        <w:rPr>
          <w:rFonts w:ascii="Arial" w:hAnsi="Arial"/>
          <w:b/>
          <w:bCs/>
          <w:color w:val="156082" w:themeColor="accent1"/>
        </w:rPr>
      </w:pPr>
    </w:p>
    <w:p w14:paraId="6E04DB2E" w14:textId="77777777" w:rsidR="00CB631B" w:rsidRDefault="00CB631B" w:rsidP="00191C42">
      <w:pPr>
        <w:rPr>
          <w:rFonts w:ascii="Arial" w:hAnsi="Arial"/>
          <w:b/>
          <w:bCs/>
          <w:color w:val="156082" w:themeColor="accent1"/>
        </w:rPr>
      </w:pPr>
    </w:p>
    <w:p w14:paraId="3EBB6C9E" w14:textId="77777777" w:rsidR="00CB631B" w:rsidRDefault="00CB631B" w:rsidP="00191C42">
      <w:pPr>
        <w:rPr>
          <w:rFonts w:ascii="Arial" w:hAnsi="Arial"/>
          <w:b/>
          <w:bCs/>
          <w:color w:val="156082" w:themeColor="accent1"/>
        </w:rPr>
      </w:pPr>
    </w:p>
    <w:p w14:paraId="18B5DC69" w14:textId="77777777" w:rsidR="00CB631B" w:rsidRDefault="00CB631B" w:rsidP="00191C42">
      <w:pPr>
        <w:rPr>
          <w:rFonts w:ascii="Arial" w:hAnsi="Arial"/>
          <w:b/>
          <w:bCs/>
          <w:color w:val="156082" w:themeColor="accent1"/>
        </w:rPr>
      </w:pPr>
    </w:p>
    <w:p w14:paraId="60D1B88F" w14:textId="3742CCC1" w:rsidR="00C521CB" w:rsidRPr="00CB631B" w:rsidRDefault="00C521CB" w:rsidP="00191C42">
      <w:pPr>
        <w:rPr>
          <w:rFonts w:ascii="Arial" w:hAnsi="Arial"/>
          <w:b/>
          <w:bCs/>
          <w:color w:val="156082" w:themeColor="accent1"/>
        </w:rPr>
      </w:pPr>
      <w:r w:rsidRPr="00CB631B">
        <w:rPr>
          <w:rFonts w:ascii="Arial" w:hAnsi="Arial"/>
          <w:b/>
          <w:bCs/>
          <w:color w:val="156082" w:themeColor="accent1"/>
        </w:rPr>
        <w:lastRenderedPageBreak/>
        <w:t>Current Assets to Total Assets Ratio:</w:t>
      </w:r>
    </w:p>
    <w:p w14:paraId="68A22BD9" w14:textId="77777777" w:rsidR="00C521CB" w:rsidRPr="00A4741C" w:rsidRDefault="00C521CB" w:rsidP="00A4741C">
      <w:pPr>
        <w:rPr>
          <w:rFonts w:ascii="Arial" w:hAnsi="Arial"/>
        </w:rPr>
      </w:pPr>
      <w:r w:rsidRPr="00A4741C">
        <w:rPr>
          <w:rFonts w:ascii="Arial" w:hAnsi="Arial"/>
        </w:rPr>
        <w:t>Current Assets to Total Assets Ratio is a financial ratio that measures the proportion of a company's total assets that are held in the form of current assets. It indicates how much of the company's total resources are available to support its short-term operations and meet its short-term financial obligations.</w:t>
      </w:r>
    </w:p>
    <w:p w14:paraId="32963CE0" w14:textId="7958C7D8" w:rsidR="00C521CB" w:rsidRDefault="00C521CB" w:rsidP="00150129">
      <w:pPr>
        <w:jc w:val="center"/>
        <w:rPr>
          <w:rFonts w:ascii="Cambria Math" w:hAnsi="Cambria Math"/>
          <w:b/>
          <w:bCs/>
        </w:rPr>
      </w:pPr>
      <m:oMath>
        <m:r>
          <m:rPr>
            <m:nor/>
          </m:rPr>
          <w:rPr>
            <w:rFonts w:ascii="Cambria Math" w:hAnsi="Cambria Math"/>
            <w:b/>
            <w:bCs/>
          </w:rPr>
          <m:t>Current Assets to Total Assets</m:t>
        </m:r>
        <m:r>
          <m:rPr>
            <m:sty m:val="bi"/>
          </m:rPr>
          <w:rPr>
            <w:rFonts w:ascii="Cambria Math" w:hAnsi="Cambria Math"/>
          </w:rPr>
          <m:t>=</m:t>
        </m:r>
        <m:f>
          <m:fPr>
            <m:ctrlPr>
              <w:rPr>
                <w:rFonts w:ascii="Cambria Math" w:hAnsi="Cambria Math"/>
                <w:b/>
                <w:bCs/>
              </w:rPr>
            </m:ctrlPr>
          </m:fPr>
          <m:num>
            <m:r>
              <m:rPr>
                <m:nor/>
              </m:rPr>
              <w:rPr>
                <w:rFonts w:ascii="Cambria Math" w:hAnsi="Cambria Math"/>
                <w:b/>
                <w:bCs/>
              </w:rPr>
              <m:t>Current Assets</m:t>
            </m:r>
          </m:num>
          <m:den>
            <m:r>
              <m:rPr>
                <m:nor/>
              </m:rPr>
              <w:rPr>
                <w:rFonts w:ascii="Cambria Math" w:hAnsi="Cambria Math"/>
                <w:b/>
                <w:bCs/>
              </w:rPr>
              <m:t>Total Assets</m:t>
            </m:r>
          </m:den>
        </m:f>
      </m:oMath>
      <w:r w:rsidR="00150129">
        <w:rPr>
          <w:rFonts w:ascii="Cambria Math" w:hAnsi="Cambria Math"/>
          <w:b/>
          <w:bCs/>
        </w:rPr>
        <w:t xml:space="preserve">    (2)</w:t>
      </w:r>
    </w:p>
    <w:p w14:paraId="29C9D0AC" w14:textId="0AE5B867" w:rsidR="006B3461" w:rsidRPr="006B3461" w:rsidRDefault="006B3461" w:rsidP="006B3461">
      <w:pPr>
        <w:pStyle w:val="Caption"/>
        <w:jc w:val="center"/>
        <w:rPr>
          <w:rFonts w:cs="Times New Roman"/>
          <w:sz w:val="24"/>
          <w:szCs w:val="24"/>
        </w:rPr>
      </w:pPr>
      <w:bookmarkStart w:id="49" w:name="_Toc235308701"/>
      <w:bookmarkStart w:id="50" w:name="_Toc235803952"/>
      <w:bookmarkStart w:id="51" w:name="_Toc235804205"/>
      <w:r w:rsidRPr="006B3461">
        <w:rPr>
          <w:rFonts w:cs="Times New Roman"/>
          <w:sz w:val="24"/>
          <w:szCs w:val="24"/>
        </w:rPr>
        <w:t xml:space="preserve">Table </w:t>
      </w:r>
      <w:r w:rsidRPr="006B3461">
        <w:rPr>
          <w:rFonts w:cs="Times New Roman"/>
          <w:sz w:val="24"/>
          <w:szCs w:val="24"/>
        </w:rPr>
        <w:fldChar w:fldCharType="begin"/>
      </w:r>
      <w:r w:rsidRPr="006B3461">
        <w:rPr>
          <w:rFonts w:cs="Times New Roman"/>
          <w:sz w:val="24"/>
          <w:szCs w:val="24"/>
        </w:rPr>
        <w:instrText xml:space="preserve"> SEQ Table \* ARABIC </w:instrText>
      </w:r>
      <w:r w:rsidRPr="006B3461">
        <w:rPr>
          <w:rFonts w:cs="Times New Roman"/>
          <w:sz w:val="24"/>
          <w:szCs w:val="24"/>
        </w:rPr>
        <w:fldChar w:fldCharType="separate"/>
      </w:r>
      <w:r w:rsidR="003A3DA9">
        <w:rPr>
          <w:rFonts w:cs="Times New Roman"/>
          <w:noProof/>
          <w:sz w:val="24"/>
          <w:szCs w:val="24"/>
        </w:rPr>
        <w:t>2</w:t>
      </w:r>
      <w:r w:rsidRPr="006B3461">
        <w:rPr>
          <w:rFonts w:cs="Times New Roman"/>
          <w:sz w:val="24"/>
          <w:szCs w:val="24"/>
        </w:rPr>
        <w:fldChar w:fldCharType="end"/>
      </w:r>
      <w:r w:rsidRPr="006B3461">
        <w:rPr>
          <w:rFonts w:cs="Times New Roman"/>
          <w:sz w:val="24"/>
          <w:szCs w:val="24"/>
        </w:rPr>
        <w:t>.1: Current Assets to Total Asset Ratio</w:t>
      </w:r>
      <w:bookmarkEnd w:id="49"/>
      <w:bookmarkEnd w:id="50"/>
      <w:bookmarkEnd w:id="51"/>
    </w:p>
    <w:tbl>
      <w:tblPr>
        <w:tblStyle w:val="TableGrid"/>
        <w:tblW w:w="0" w:type="auto"/>
        <w:tblLook w:val="04A0" w:firstRow="1" w:lastRow="0" w:firstColumn="1" w:lastColumn="0" w:noHBand="0" w:noVBand="1"/>
      </w:tblPr>
      <w:tblGrid>
        <w:gridCol w:w="1503"/>
        <w:gridCol w:w="1503"/>
        <w:gridCol w:w="1503"/>
        <w:gridCol w:w="1503"/>
        <w:gridCol w:w="1503"/>
        <w:gridCol w:w="1504"/>
      </w:tblGrid>
      <w:tr w:rsidR="00C521CB" w:rsidRPr="00A4741C" w14:paraId="44916E64" w14:textId="77777777" w:rsidTr="00853B84">
        <w:tc>
          <w:tcPr>
            <w:tcW w:w="1503" w:type="dxa"/>
            <w:shd w:val="clear" w:color="auto" w:fill="156082" w:themeFill="accent1"/>
          </w:tcPr>
          <w:p w14:paraId="48AA1B31" w14:textId="77777777" w:rsidR="00C521CB" w:rsidRPr="00C97BB4" w:rsidRDefault="00C521CB" w:rsidP="00853B84">
            <w:pPr>
              <w:spacing w:line="276" w:lineRule="auto"/>
              <w:jc w:val="center"/>
              <w:rPr>
                <w:rFonts w:ascii="Arial" w:hAnsi="Arial"/>
                <w:b/>
                <w:bCs/>
                <w:color w:val="FFFFFF" w:themeColor="background1"/>
                <w:szCs w:val="24"/>
              </w:rPr>
            </w:pPr>
            <w:r w:rsidRPr="00C97BB4">
              <w:rPr>
                <w:rFonts w:ascii="Arial" w:hAnsi="Arial"/>
                <w:b/>
                <w:bCs/>
                <w:color w:val="FFFFFF" w:themeColor="background1"/>
                <w:szCs w:val="24"/>
              </w:rPr>
              <w:t>Year</w:t>
            </w:r>
          </w:p>
        </w:tc>
        <w:tc>
          <w:tcPr>
            <w:tcW w:w="1503" w:type="dxa"/>
            <w:shd w:val="clear" w:color="auto" w:fill="156082" w:themeFill="accent1"/>
          </w:tcPr>
          <w:p w14:paraId="40E1FB05" w14:textId="77777777" w:rsidR="00C521CB" w:rsidRPr="00C97BB4" w:rsidRDefault="00C521CB" w:rsidP="00853B84">
            <w:pPr>
              <w:spacing w:line="276" w:lineRule="auto"/>
              <w:jc w:val="center"/>
              <w:rPr>
                <w:rFonts w:ascii="Arial" w:hAnsi="Arial"/>
                <w:b/>
                <w:bCs/>
                <w:color w:val="FFFFFF" w:themeColor="background1"/>
                <w:szCs w:val="24"/>
              </w:rPr>
            </w:pPr>
            <w:r w:rsidRPr="00C97BB4">
              <w:rPr>
                <w:rFonts w:ascii="Arial" w:hAnsi="Arial"/>
                <w:b/>
                <w:bCs/>
                <w:color w:val="FFFFFF" w:themeColor="background1"/>
                <w:szCs w:val="24"/>
              </w:rPr>
              <w:t>2021</w:t>
            </w:r>
          </w:p>
        </w:tc>
        <w:tc>
          <w:tcPr>
            <w:tcW w:w="1503" w:type="dxa"/>
            <w:shd w:val="clear" w:color="auto" w:fill="156082" w:themeFill="accent1"/>
          </w:tcPr>
          <w:p w14:paraId="3867CEF3" w14:textId="77777777" w:rsidR="00C521CB" w:rsidRPr="00C97BB4" w:rsidRDefault="00C521CB" w:rsidP="00853B84">
            <w:pPr>
              <w:spacing w:line="276" w:lineRule="auto"/>
              <w:jc w:val="center"/>
              <w:rPr>
                <w:rFonts w:ascii="Arial" w:hAnsi="Arial"/>
                <w:b/>
                <w:bCs/>
                <w:color w:val="FFFFFF" w:themeColor="background1"/>
                <w:szCs w:val="24"/>
              </w:rPr>
            </w:pPr>
            <w:r w:rsidRPr="00C97BB4">
              <w:rPr>
                <w:rFonts w:ascii="Arial" w:hAnsi="Arial"/>
                <w:b/>
                <w:bCs/>
                <w:color w:val="FFFFFF" w:themeColor="background1"/>
                <w:szCs w:val="24"/>
              </w:rPr>
              <w:t>2022</w:t>
            </w:r>
          </w:p>
        </w:tc>
        <w:tc>
          <w:tcPr>
            <w:tcW w:w="1503" w:type="dxa"/>
            <w:shd w:val="clear" w:color="auto" w:fill="156082" w:themeFill="accent1"/>
          </w:tcPr>
          <w:p w14:paraId="017B1BD8" w14:textId="77777777" w:rsidR="00C521CB" w:rsidRPr="00C97BB4" w:rsidRDefault="00C521CB" w:rsidP="00853B84">
            <w:pPr>
              <w:spacing w:line="276" w:lineRule="auto"/>
              <w:jc w:val="center"/>
              <w:rPr>
                <w:rFonts w:ascii="Arial" w:hAnsi="Arial"/>
                <w:b/>
                <w:bCs/>
                <w:color w:val="FFFFFF" w:themeColor="background1"/>
                <w:szCs w:val="24"/>
              </w:rPr>
            </w:pPr>
            <w:r w:rsidRPr="00C97BB4">
              <w:rPr>
                <w:rFonts w:ascii="Arial" w:hAnsi="Arial"/>
                <w:b/>
                <w:bCs/>
                <w:color w:val="FFFFFF" w:themeColor="background1"/>
                <w:szCs w:val="24"/>
              </w:rPr>
              <w:t>2023</w:t>
            </w:r>
          </w:p>
        </w:tc>
        <w:tc>
          <w:tcPr>
            <w:tcW w:w="1503" w:type="dxa"/>
            <w:shd w:val="clear" w:color="auto" w:fill="156082" w:themeFill="accent1"/>
          </w:tcPr>
          <w:p w14:paraId="6AE7DF98" w14:textId="77777777" w:rsidR="00C521CB" w:rsidRPr="00C97BB4" w:rsidRDefault="00C521CB" w:rsidP="00853B84">
            <w:pPr>
              <w:spacing w:line="276" w:lineRule="auto"/>
              <w:jc w:val="center"/>
              <w:rPr>
                <w:rFonts w:ascii="Arial" w:hAnsi="Arial"/>
                <w:b/>
                <w:bCs/>
                <w:color w:val="FFFFFF" w:themeColor="background1"/>
                <w:szCs w:val="24"/>
              </w:rPr>
            </w:pPr>
            <w:r w:rsidRPr="00C97BB4">
              <w:rPr>
                <w:rFonts w:ascii="Arial" w:hAnsi="Arial"/>
                <w:b/>
                <w:bCs/>
                <w:color w:val="FFFFFF" w:themeColor="background1"/>
                <w:szCs w:val="24"/>
              </w:rPr>
              <w:t>2024</w:t>
            </w:r>
          </w:p>
        </w:tc>
        <w:tc>
          <w:tcPr>
            <w:tcW w:w="1504" w:type="dxa"/>
            <w:shd w:val="clear" w:color="auto" w:fill="156082" w:themeFill="accent1"/>
          </w:tcPr>
          <w:p w14:paraId="5C79B7EA" w14:textId="77777777" w:rsidR="00C521CB" w:rsidRPr="00C97BB4" w:rsidRDefault="00C521CB" w:rsidP="00853B84">
            <w:pPr>
              <w:spacing w:line="276" w:lineRule="auto"/>
              <w:jc w:val="center"/>
              <w:rPr>
                <w:rFonts w:ascii="Arial" w:hAnsi="Arial"/>
                <w:b/>
                <w:bCs/>
                <w:color w:val="FFFFFF" w:themeColor="background1"/>
                <w:szCs w:val="24"/>
              </w:rPr>
            </w:pPr>
            <w:r w:rsidRPr="00C97BB4">
              <w:rPr>
                <w:rFonts w:ascii="Arial" w:hAnsi="Arial"/>
                <w:b/>
                <w:bCs/>
                <w:color w:val="FFFFFF" w:themeColor="background1"/>
                <w:szCs w:val="24"/>
              </w:rPr>
              <w:t>2025</w:t>
            </w:r>
          </w:p>
        </w:tc>
      </w:tr>
      <w:tr w:rsidR="00C521CB" w:rsidRPr="00A4741C" w14:paraId="72C68070" w14:textId="77777777" w:rsidTr="00853B84">
        <w:tc>
          <w:tcPr>
            <w:tcW w:w="1503" w:type="dxa"/>
          </w:tcPr>
          <w:p w14:paraId="1A44B8C3" w14:textId="77777777" w:rsidR="00C521CB" w:rsidRPr="00C97BB4" w:rsidRDefault="00C521CB" w:rsidP="00C97BB4">
            <w:pPr>
              <w:spacing w:line="276" w:lineRule="auto"/>
              <w:jc w:val="center"/>
              <w:rPr>
                <w:rFonts w:ascii="Arial" w:hAnsi="Arial"/>
              </w:rPr>
            </w:pPr>
            <w:r w:rsidRPr="00C97BB4">
              <w:rPr>
                <w:rFonts w:ascii="Arial" w:hAnsi="Arial"/>
              </w:rPr>
              <w:t>Current Assets to Total Assets</w:t>
            </w:r>
          </w:p>
        </w:tc>
        <w:tc>
          <w:tcPr>
            <w:tcW w:w="1503" w:type="dxa"/>
          </w:tcPr>
          <w:p w14:paraId="5970E0C9" w14:textId="77777777" w:rsidR="00C521CB" w:rsidRPr="00C97BB4" w:rsidRDefault="00C521CB" w:rsidP="00853B84">
            <w:pPr>
              <w:spacing w:line="276" w:lineRule="auto"/>
              <w:jc w:val="center"/>
              <w:rPr>
                <w:rFonts w:ascii="Arial" w:hAnsi="Arial"/>
              </w:rPr>
            </w:pPr>
            <w:r w:rsidRPr="00C97BB4">
              <w:rPr>
                <w:rFonts w:ascii="Arial" w:hAnsi="Arial"/>
              </w:rPr>
              <w:t>43.67%</w:t>
            </w:r>
          </w:p>
        </w:tc>
        <w:tc>
          <w:tcPr>
            <w:tcW w:w="1503" w:type="dxa"/>
          </w:tcPr>
          <w:p w14:paraId="5A6C77F4" w14:textId="77777777" w:rsidR="00C521CB" w:rsidRPr="00C97BB4" w:rsidRDefault="00C521CB" w:rsidP="00853B84">
            <w:pPr>
              <w:spacing w:line="276" w:lineRule="auto"/>
              <w:jc w:val="center"/>
              <w:rPr>
                <w:rFonts w:ascii="Arial" w:hAnsi="Arial"/>
              </w:rPr>
            </w:pPr>
            <w:r w:rsidRPr="00C97BB4">
              <w:rPr>
                <w:rFonts w:ascii="Arial" w:hAnsi="Arial"/>
              </w:rPr>
              <w:t>34.87%</w:t>
            </w:r>
          </w:p>
        </w:tc>
        <w:tc>
          <w:tcPr>
            <w:tcW w:w="1503" w:type="dxa"/>
          </w:tcPr>
          <w:p w14:paraId="0E42ABED" w14:textId="77777777" w:rsidR="00C521CB" w:rsidRPr="00C97BB4" w:rsidRDefault="00C521CB" w:rsidP="00853B84">
            <w:pPr>
              <w:spacing w:line="276" w:lineRule="auto"/>
              <w:jc w:val="center"/>
              <w:rPr>
                <w:rFonts w:ascii="Arial" w:hAnsi="Arial"/>
              </w:rPr>
            </w:pPr>
            <w:r w:rsidRPr="00C97BB4">
              <w:rPr>
                <w:rFonts w:ascii="Arial" w:hAnsi="Arial"/>
              </w:rPr>
              <w:t>33.60%</w:t>
            </w:r>
          </w:p>
        </w:tc>
        <w:tc>
          <w:tcPr>
            <w:tcW w:w="1503" w:type="dxa"/>
          </w:tcPr>
          <w:p w14:paraId="2ECA663C" w14:textId="77777777" w:rsidR="00C521CB" w:rsidRPr="00C97BB4" w:rsidRDefault="00C521CB" w:rsidP="00853B84">
            <w:pPr>
              <w:spacing w:line="276" w:lineRule="auto"/>
              <w:jc w:val="center"/>
              <w:rPr>
                <w:rFonts w:ascii="Arial" w:hAnsi="Arial"/>
              </w:rPr>
            </w:pPr>
            <w:r w:rsidRPr="00C97BB4">
              <w:rPr>
                <w:rFonts w:ascii="Arial" w:hAnsi="Arial"/>
              </w:rPr>
              <w:t>38.95%</w:t>
            </w:r>
          </w:p>
        </w:tc>
        <w:tc>
          <w:tcPr>
            <w:tcW w:w="1504" w:type="dxa"/>
          </w:tcPr>
          <w:p w14:paraId="25C0DC0C" w14:textId="77777777" w:rsidR="00C521CB" w:rsidRPr="00C97BB4" w:rsidRDefault="00C521CB" w:rsidP="00853B84">
            <w:pPr>
              <w:spacing w:line="276" w:lineRule="auto"/>
              <w:jc w:val="center"/>
              <w:rPr>
                <w:rFonts w:ascii="Arial" w:hAnsi="Arial"/>
              </w:rPr>
            </w:pPr>
            <w:r w:rsidRPr="00C97BB4">
              <w:rPr>
                <w:rFonts w:ascii="Arial" w:hAnsi="Arial"/>
              </w:rPr>
              <w:t>27.66%</w:t>
            </w:r>
          </w:p>
        </w:tc>
      </w:tr>
    </w:tbl>
    <w:p w14:paraId="3731F73C" w14:textId="77777777" w:rsidR="006B3461" w:rsidRPr="006B3461" w:rsidRDefault="006B3461" w:rsidP="006B3461"/>
    <w:p w14:paraId="1C96AE31" w14:textId="30BE632D" w:rsidR="00C521CB" w:rsidRDefault="00C521CB" w:rsidP="00321F71">
      <w:pPr>
        <w:spacing w:line="276" w:lineRule="auto"/>
      </w:pPr>
      <w:r>
        <w:rPr>
          <w:noProof/>
          <w14:ligatures w14:val="standardContextual"/>
        </w:rPr>
        <w:drawing>
          <wp:inline distT="0" distB="0" distL="0" distR="0" wp14:anchorId="12EF7710" wp14:editId="08BA4AA9">
            <wp:extent cx="5689600" cy="3155950"/>
            <wp:effectExtent l="0" t="0" r="6350" b="6350"/>
            <wp:docPr id="1843382807" name="Chart 1">
              <a:extLst xmlns:a="http://schemas.openxmlformats.org/drawingml/2006/main">
                <a:ext uri="{FF2B5EF4-FFF2-40B4-BE49-F238E27FC236}">
                  <a16:creationId xmlns:a16="http://schemas.microsoft.com/office/drawing/2014/main" id="{881FE001-CED8-6AD9-1AF1-F1E042ED50F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57ADAC3" w14:textId="2F23FD05" w:rsidR="00C521CB" w:rsidRPr="001808BD" w:rsidRDefault="00706603" w:rsidP="00706603">
      <w:pPr>
        <w:pStyle w:val="Caption"/>
        <w:jc w:val="center"/>
        <w:rPr>
          <w:sz w:val="24"/>
          <w:szCs w:val="24"/>
        </w:rPr>
      </w:pPr>
      <w:bookmarkStart w:id="52" w:name="_Toc235308687"/>
      <w:r w:rsidRPr="001808BD">
        <w:rPr>
          <w:sz w:val="24"/>
          <w:szCs w:val="24"/>
        </w:rPr>
        <w:t xml:space="preserve">Figure </w:t>
      </w:r>
      <w:r w:rsidR="00D94E28" w:rsidRPr="001808BD">
        <w:rPr>
          <w:sz w:val="24"/>
          <w:szCs w:val="24"/>
        </w:rPr>
        <w:fldChar w:fldCharType="begin"/>
      </w:r>
      <w:r w:rsidR="00D94E28" w:rsidRPr="001808BD">
        <w:rPr>
          <w:sz w:val="24"/>
          <w:szCs w:val="24"/>
        </w:rPr>
        <w:instrText xml:space="preserve"> SEQ Figure \* ARABIC </w:instrText>
      </w:r>
      <w:r w:rsidR="00D94E28" w:rsidRPr="001808BD">
        <w:rPr>
          <w:sz w:val="24"/>
          <w:szCs w:val="24"/>
        </w:rPr>
        <w:fldChar w:fldCharType="separate"/>
      </w:r>
      <w:r w:rsidR="00C15A61">
        <w:rPr>
          <w:noProof/>
          <w:sz w:val="24"/>
          <w:szCs w:val="24"/>
        </w:rPr>
        <w:t>3</w:t>
      </w:r>
      <w:r w:rsidR="00D94E28" w:rsidRPr="001808BD">
        <w:rPr>
          <w:noProof/>
          <w:sz w:val="24"/>
          <w:szCs w:val="24"/>
        </w:rPr>
        <w:fldChar w:fldCharType="end"/>
      </w:r>
      <w:r w:rsidRPr="001808BD">
        <w:rPr>
          <w:sz w:val="24"/>
          <w:szCs w:val="24"/>
        </w:rPr>
        <w:t>.</w:t>
      </w:r>
      <w:r w:rsidR="00FC1709" w:rsidRPr="001808BD">
        <w:rPr>
          <w:sz w:val="24"/>
          <w:szCs w:val="24"/>
        </w:rPr>
        <w:t>1</w:t>
      </w:r>
      <w:r w:rsidRPr="001808BD">
        <w:rPr>
          <w:sz w:val="24"/>
          <w:szCs w:val="24"/>
        </w:rPr>
        <w:t>: Current Assets to Total Assets</w:t>
      </w:r>
      <w:bookmarkEnd w:id="52"/>
    </w:p>
    <w:p w14:paraId="6543497E" w14:textId="77777777" w:rsidR="00F90B1B" w:rsidRPr="00A4741C" w:rsidRDefault="00F90B1B" w:rsidP="00A4741C">
      <w:pPr>
        <w:rPr>
          <w:rFonts w:ascii="Arial" w:hAnsi="Arial"/>
        </w:rPr>
      </w:pPr>
      <w:r w:rsidRPr="00A4741C">
        <w:rPr>
          <w:rFonts w:ascii="Arial" w:hAnsi="Arial"/>
        </w:rPr>
        <w:t>Generally, a ratio below 50% indicates an Aggressive Working Capital Investment Policy, around 50% indicates a Moderate Policy, and above 50% indicates a Conservative Policy.</w:t>
      </w:r>
    </w:p>
    <w:p w14:paraId="0F8E870F" w14:textId="096139C3" w:rsidR="00F90B1B" w:rsidRPr="00CB631B" w:rsidRDefault="00F90B1B" w:rsidP="00A4741C">
      <w:pPr>
        <w:rPr>
          <w:rFonts w:ascii="Arial" w:hAnsi="Arial"/>
        </w:rPr>
      </w:pPr>
      <w:r w:rsidRPr="00A4741C">
        <w:rPr>
          <w:rFonts w:ascii="Arial" w:hAnsi="Arial"/>
        </w:rPr>
        <w:t>TCF Bangladesh has been running an ‘</w:t>
      </w:r>
      <w:r w:rsidRPr="00620868">
        <w:rPr>
          <w:rFonts w:ascii="Arial" w:hAnsi="Arial"/>
          <w:b/>
          <w:bCs/>
        </w:rPr>
        <w:t>Aggressive Working Capital Investment Policy’</w:t>
      </w:r>
      <w:r w:rsidRPr="00A4741C">
        <w:rPr>
          <w:rFonts w:ascii="Arial" w:hAnsi="Arial"/>
        </w:rPr>
        <w:t xml:space="preserve"> every single year from 2021 to 2025, since its Current Assets to Total Assets Ratio never crossed the 50% mark. Back in 2021, current assets made up about 44% of total assets, but this share kept shrinking dropping to around 35% in 2022 and 2023, ticking up slightly to 39% in 2024, then falling sharply to just 28% in 2025, the lowest </w:t>
      </w:r>
      <w:r w:rsidRPr="00A4741C">
        <w:rPr>
          <w:rFonts w:ascii="Arial" w:hAnsi="Arial"/>
        </w:rPr>
        <w:lastRenderedPageBreak/>
        <w:t xml:space="preserve">point in the whole period. </w:t>
      </w:r>
      <w:r w:rsidR="0000781F">
        <w:rPr>
          <w:rFonts w:ascii="Arial" w:hAnsi="Arial"/>
        </w:rPr>
        <w:t>This means Tokyo Consulting Firm</w:t>
      </w:r>
      <w:r w:rsidR="0000781F" w:rsidRPr="0000781F">
        <w:rPr>
          <w:rFonts w:ascii="Arial" w:hAnsi="Arial"/>
        </w:rPr>
        <w:t xml:space="preserve"> is putting most of its money into long-term assets, not hoarding cash or inventory. It’s a bit like deciding to invest in property rather than keeping savings liquid </w:t>
      </w:r>
      <w:r w:rsidR="0000781F">
        <w:rPr>
          <w:rFonts w:ascii="Arial" w:hAnsi="Arial"/>
        </w:rPr>
        <w:t>-</w:t>
      </w:r>
      <w:r w:rsidR="0000781F" w:rsidRPr="0000781F">
        <w:rPr>
          <w:rFonts w:ascii="Arial" w:hAnsi="Arial"/>
        </w:rPr>
        <w:t xml:space="preserve"> it can increase returns, but it leaves less buffer for short-term needs.</w:t>
      </w:r>
    </w:p>
    <w:p w14:paraId="69E00364" w14:textId="056873A6" w:rsidR="00F90B1B" w:rsidRPr="00A4741C" w:rsidRDefault="00F90B1B" w:rsidP="00A4741C">
      <w:pPr>
        <w:rPr>
          <w:rFonts w:ascii="Arial" w:hAnsi="Arial"/>
          <w:color w:val="000000" w:themeColor="text1"/>
          <w:szCs w:val="24"/>
        </w:rPr>
      </w:pPr>
      <w:r w:rsidRPr="00A4741C">
        <w:rPr>
          <w:rFonts w:ascii="Arial" w:hAnsi="Arial"/>
          <w:color w:val="000000" w:themeColor="text1"/>
          <w:szCs w:val="24"/>
        </w:rPr>
        <w:t xml:space="preserve">The </w:t>
      </w:r>
      <w:r w:rsidR="0000781F">
        <w:rPr>
          <w:rFonts w:ascii="Arial" w:hAnsi="Arial"/>
          <w:color w:val="000000" w:themeColor="text1"/>
          <w:szCs w:val="24"/>
        </w:rPr>
        <w:t>T</w:t>
      </w:r>
      <w:r w:rsidR="0000781F" w:rsidRPr="0000781F">
        <w:rPr>
          <w:rFonts w:ascii="Arial" w:hAnsi="Arial"/>
          <w:color w:val="000000" w:themeColor="text1"/>
          <w:szCs w:val="24"/>
        </w:rPr>
        <w:t>okyo consulting firm Bangladesh (TCF) observes the decline in current assets to total assets ratio has a positive impact on the firm. The low ratio may be reflecting that TCF is utilizing its funds more in long-term assets, which is positive. To illustrate, the company invests more in office infrastructure, digital systems, technology, and training of personnel. It helps your business work more efficiently and grow in the long run. The company might better manage the current assets for these reasons of not holding too much cash.</w:t>
      </w:r>
    </w:p>
    <w:p w14:paraId="0A4B1717" w14:textId="40DCBF04" w:rsidR="00321F71" w:rsidRPr="00690C11" w:rsidRDefault="00321F71" w:rsidP="00A4741C">
      <w:pPr>
        <w:rPr>
          <w:rFonts w:ascii="Arial" w:eastAsiaTheme="majorEastAsia" w:hAnsi="Arial"/>
          <w:b/>
          <w:color w:val="215E99" w:themeColor="text2" w:themeTint="BF"/>
          <w:szCs w:val="24"/>
        </w:rPr>
      </w:pPr>
      <w:r w:rsidRPr="00CB631B">
        <w:rPr>
          <w:rFonts w:ascii="Arial" w:hAnsi="Arial"/>
          <w:b/>
          <w:bCs/>
          <w:color w:val="156082" w:themeColor="accent1"/>
        </w:rPr>
        <w:t>Financing Policy:</w:t>
      </w:r>
      <w:r w:rsidRPr="00191C42">
        <w:rPr>
          <w:color w:val="156082" w:themeColor="accent1"/>
        </w:rPr>
        <w:t xml:space="preserve"> </w:t>
      </w:r>
      <w:r w:rsidRPr="00A4741C">
        <w:rPr>
          <w:rFonts w:ascii="Arial" w:hAnsi="Arial"/>
        </w:rPr>
        <w:t>This policy decides what mix of short-term vs. long-term funds is used to finance those current assets.</w:t>
      </w:r>
    </w:p>
    <w:p w14:paraId="7DC17464" w14:textId="40D0C212" w:rsidR="00321F71" w:rsidRPr="00A4741C" w:rsidRDefault="00321F71" w:rsidP="00A4741C">
      <w:pPr>
        <w:rPr>
          <w:rFonts w:ascii="Arial" w:hAnsi="Arial"/>
        </w:rPr>
      </w:pPr>
      <w:r w:rsidRPr="00A4741C">
        <w:rPr>
          <w:rFonts w:ascii="Arial" w:hAnsi="Arial"/>
        </w:rPr>
        <w:t>A useful way to think about this: working capital has two parts to it.</w:t>
      </w:r>
    </w:p>
    <w:p w14:paraId="35224B43" w14:textId="2878B6F5" w:rsidR="00321F71" w:rsidRPr="00A4741C" w:rsidRDefault="00321F71" w:rsidP="00A4741C">
      <w:pPr>
        <w:pStyle w:val="ListParagraph"/>
        <w:numPr>
          <w:ilvl w:val="0"/>
          <w:numId w:val="26"/>
        </w:numPr>
        <w:rPr>
          <w:rFonts w:ascii="Arial" w:hAnsi="Arial"/>
        </w:rPr>
      </w:pPr>
      <w:r w:rsidRPr="00A4741C">
        <w:rPr>
          <w:rFonts w:ascii="Arial" w:hAnsi="Arial"/>
          <w:b/>
          <w:bCs/>
        </w:rPr>
        <w:t>Permanent working capital:</w:t>
      </w:r>
      <w:r w:rsidRPr="00A4741C">
        <w:rPr>
          <w:rFonts w:ascii="Arial" w:hAnsi="Arial"/>
        </w:rPr>
        <w:t xml:space="preserve"> the baseline level of current assets a business always needs, even at its lowest point (minimum inventory to keep the lights on)</w:t>
      </w:r>
    </w:p>
    <w:p w14:paraId="0471F092" w14:textId="62B53863" w:rsidR="00A4741C" w:rsidRDefault="00321F71" w:rsidP="00A4741C">
      <w:pPr>
        <w:pStyle w:val="ListParagraph"/>
        <w:numPr>
          <w:ilvl w:val="0"/>
          <w:numId w:val="26"/>
        </w:numPr>
        <w:rPr>
          <w:rFonts w:ascii="Arial" w:hAnsi="Arial"/>
        </w:rPr>
      </w:pPr>
      <w:r w:rsidRPr="00A4741C">
        <w:rPr>
          <w:rFonts w:ascii="Arial" w:hAnsi="Arial"/>
          <w:b/>
          <w:bCs/>
        </w:rPr>
        <w:t>Temporary/fluctuating working capital:</w:t>
      </w:r>
      <w:r w:rsidRPr="00A4741C">
        <w:rPr>
          <w:rFonts w:ascii="Arial" w:hAnsi="Arial"/>
        </w:rPr>
        <w:t xml:space="preserve"> the extra current assets needed during peak periods (holiday season inventory)</w:t>
      </w:r>
    </w:p>
    <w:p w14:paraId="73E19F97" w14:textId="19D9C8CC" w:rsidR="00321F71" w:rsidRPr="00A4741C" w:rsidRDefault="00321F71" w:rsidP="00A4741C">
      <w:pPr>
        <w:rPr>
          <w:rFonts w:ascii="Arial" w:hAnsi="Arial"/>
          <w:b/>
          <w:bCs/>
        </w:rPr>
      </w:pPr>
      <w:r w:rsidRPr="00A4741C">
        <w:rPr>
          <w:rFonts w:ascii="Arial" w:hAnsi="Arial"/>
          <w:b/>
          <w:bCs/>
        </w:rPr>
        <w:t>Matching (Hedging) Approach</w:t>
      </w:r>
    </w:p>
    <w:p w14:paraId="6F27B3F0" w14:textId="34E66392" w:rsidR="00321F71" w:rsidRPr="00A4741C" w:rsidRDefault="00321F71" w:rsidP="00A4741C">
      <w:pPr>
        <w:pStyle w:val="ListParagraph"/>
        <w:numPr>
          <w:ilvl w:val="0"/>
          <w:numId w:val="27"/>
        </w:numPr>
        <w:rPr>
          <w:rFonts w:ascii="Arial" w:hAnsi="Arial"/>
        </w:rPr>
      </w:pPr>
      <w:r w:rsidRPr="00A4741C">
        <w:rPr>
          <w:rFonts w:ascii="Arial" w:hAnsi="Arial"/>
        </w:rPr>
        <w:t>Finances each asset with a liability of similar maturity: permanent working capital with long-term funds, temporary</w:t>
      </w:r>
      <w:r w:rsidR="007C7C87" w:rsidRPr="00A4741C">
        <w:rPr>
          <w:rFonts w:ascii="Arial" w:hAnsi="Arial"/>
        </w:rPr>
        <w:t xml:space="preserve"> or </w:t>
      </w:r>
      <w:r w:rsidRPr="00A4741C">
        <w:rPr>
          <w:rFonts w:ascii="Arial" w:hAnsi="Arial"/>
        </w:rPr>
        <w:t>seasonal needs with short-term funds.</w:t>
      </w:r>
    </w:p>
    <w:p w14:paraId="3B55826B" w14:textId="3F9FCB4E" w:rsidR="00321F71" w:rsidRPr="00A4741C" w:rsidRDefault="00321F71" w:rsidP="00A4741C">
      <w:pPr>
        <w:pStyle w:val="ListParagraph"/>
        <w:numPr>
          <w:ilvl w:val="0"/>
          <w:numId w:val="27"/>
        </w:numPr>
        <w:rPr>
          <w:rFonts w:ascii="Arial" w:hAnsi="Arial"/>
        </w:rPr>
      </w:pPr>
      <w:r w:rsidRPr="00A4741C">
        <w:rPr>
          <w:rFonts w:ascii="Arial" w:hAnsi="Arial"/>
        </w:rPr>
        <w:t>Theoretically the most "correct" approach, cost and risk are aligned with the asset's actual life.</w:t>
      </w:r>
    </w:p>
    <w:p w14:paraId="71B8F5B2" w14:textId="77777777" w:rsidR="00321F71" w:rsidRPr="00A4741C" w:rsidRDefault="00321F71" w:rsidP="00A4741C">
      <w:pPr>
        <w:rPr>
          <w:rFonts w:ascii="Arial" w:hAnsi="Arial"/>
          <w:b/>
          <w:bCs/>
        </w:rPr>
      </w:pPr>
      <w:r w:rsidRPr="00A4741C">
        <w:rPr>
          <w:rFonts w:ascii="Arial" w:hAnsi="Arial"/>
          <w:b/>
          <w:bCs/>
        </w:rPr>
        <w:t>Conservative Financing Approach</w:t>
      </w:r>
    </w:p>
    <w:p w14:paraId="7CEB7E65" w14:textId="2E1D3648" w:rsidR="00321F71" w:rsidRPr="00A4741C" w:rsidRDefault="00321F71" w:rsidP="00A4741C">
      <w:pPr>
        <w:pStyle w:val="ListParagraph"/>
        <w:numPr>
          <w:ilvl w:val="0"/>
          <w:numId w:val="28"/>
        </w:numPr>
        <w:rPr>
          <w:rFonts w:ascii="Arial" w:hAnsi="Arial"/>
        </w:rPr>
      </w:pPr>
      <w:r w:rsidRPr="00A4741C">
        <w:rPr>
          <w:rFonts w:ascii="Arial" w:hAnsi="Arial"/>
        </w:rPr>
        <w:t>Rely on long-term sources, even for some of the temporary</w:t>
      </w:r>
      <w:r w:rsidR="007C7C87" w:rsidRPr="00A4741C">
        <w:rPr>
          <w:rFonts w:ascii="Arial" w:hAnsi="Arial"/>
        </w:rPr>
        <w:t xml:space="preserve"> or </w:t>
      </w:r>
      <w:r w:rsidRPr="00A4741C">
        <w:rPr>
          <w:rFonts w:ascii="Arial" w:hAnsi="Arial"/>
        </w:rPr>
        <w:t>seasonal working capital needs.</w:t>
      </w:r>
    </w:p>
    <w:p w14:paraId="715CDABB" w14:textId="2FF8AC89" w:rsidR="00321F71" w:rsidRPr="00A4741C" w:rsidRDefault="00BB6C34" w:rsidP="00A4741C">
      <w:pPr>
        <w:pStyle w:val="ListParagraph"/>
        <w:numPr>
          <w:ilvl w:val="0"/>
          <w:numId w:val="28"/>
        </w:numPr>
        <w:rPr>
          <w:rFonts w:ascii="Arial" w:hAnsi="Arial"/>
        </w:rPr>
      </w:pPr>
      <w:r w:rsidRPr="00A4741C">
        <w:rPr>
          <w:rFonts w:ascii="Arial" w:hAnsi="Arial"/>
        </w:rPr>
        <w:t>Advantage</w:t>
      </w:r>
      <w:r w:rsidR="00321F71" w:rsidRPr="00A4741C">
        <w:rPr>
          <w:rFonts w:ascii="Arial" w:hAnsi="Arial"/>
        </w:rPr>
        <w:t>: Lower liquidity risks no scrambling to renew short-term loans.</w:t>
      </w:r>
    </w:p>
    <w:p w14:paraId="14747349" w14:textId="3F0E0B9F" w:rsidR="00E8052F" w:rsidRPr="00A4741C" w:rsidRDefault="00BB6C34" w:rsidP="00A4741C">
      <w:pPr>
        <w:pStyle w:val="ListParagraph"/>
        <w:numPr>
          <w:ilvl w:val="0"/>
          <w:numId w:val="28"/>
        </w:numPr>
        <w:rPr>
          <w:rFonts w:ascii="Arial" w:hAnsi="Arial"/>
        </w:rPr>
      </w:pPr>
      <w:r w:rsidRPr="00A4741C">
        <w:rPr>
          <w:rFonts w:ascii="Arial" w:hAnsi="Arial"/>
        </w:rPr>
        <w:t>Disadvantage</w:t>
      </w:r>
      <w:r w:rsidR="00321F71" w:rsidRPr="00A4741C">
        <w:rPr>
          <w:rFonts w:ascii="Arial" w:hAnsi="Arial"/>
        </w:rPr>
        <w:t>: Long-term debt/equity is typically more expensive, so profitability takes a hit.</w:t>
      </w:r>
    </w:p>
    <w:p w14:paraId="31F5D881" w14:textId="77777777" w:rsidR="00CA52E8" w:rsidRDefault="00CA52E8" w:rsidP="00A4741C">
      <w:pPr>
        <w:rPr>
          <w:rFonts w:ascii="Arial" w:hAnsi="Arial"/>
          <w:b/>
          <w:bCs/>
        </w:rPr>
      </w:pPr>
    </w:p>
    <w:p w14:paraId="1ACA0B81" w14:textId="77777777" w:rsidR="00CA52E8" w:rsidRDefault="00CA52E8" w:rsidP="00A4741C">
      <w:pPr>
        <w:rPr>
          <w:rFonts w:ascii="Arial" w:hAnsi="Arial"/>
          <w:b/>
          <w:bCs/>
        </w:rPr>
      </w:pPr>
    </w:p>
    <w:p w14:paraId="41667AA3" w14:textId="3F7F897B" w:rsidR="00321F71" w:rsidRPr="00A4741C" w:rsidRDefault="00321F71" w:rsidP="00A4741C">
      <w:pPr>
        <w:rPr>
          <w:rFonts w:ascii="Arial" w:hAnsi="Arial"/>
          <w:b/>
          <w:bCs/>
        </w:rPr>
      </w:pPr>
      <w:r w:rsidRPr="00A4741C">
        <w:rPr>
          <w:rFonts w:ascii="Arial" w:hAnsi="Arial"/>
          <w:b/>
          <w:bCs/>
        </w:rPr>
        <w:lastRenderedPageBreak/>
        <w:t>Aggressive Financing Approach</w:t>
      </w:r>
    </w:p>
    <w:p w14:paraId="080D3B5D" w14:textId="761E3C0C" w:rsidR="00321F71" w:rsidRPr="00A4741C" w:rsidRDefault="00321F71" w:rsidP="00A4741C">
      <w:pPr>
        <w:pStyle w:val="ListParagraph"/>
        <w:numPr>
          <w:ilvl w:val="0"/>
          <w:numId w:val="29"/>
        </w:numPr>
        <w:rPr>
          <w:rFonts w:ascii="Arial" w:hAnsi="Arial"/>
        </w:rPr>
      </w:pPr>
      <w:r w:rsidRPr="00A4741C">
        <w:rPr>
          <w:rFonts w:ascii="Arial" w:hAnsi="Arial"/>
        </w:rPr>
        <w:t>Rely more on short-term sources, even for part of the permanent working capital base.</w:t>
      </w:r>
    </w:p>
    <w:p w14:paraId="7EAB1F25" w14:textId="538C2193" w:rsidR="00321F71" w:rsidRPr="00A4741C" w:rsidRDefault="00BB6C34" w:rsidP="00A4741C">
      <w:pPr>
        <w:pStyle w:val="ListParagraph"/>
        <w:numPr>
          <w:ilvl w:val="0"/>
          <w:numId w:val="29"/>
        </w:numPr>
        <w:rPr>
          <w:rFonts w:ascii="Arial" w:hAnsi="Arial"/>
        </w:rPr>
      </w:pPr>
      <w:r w:rsidRPr="00A4741C">
        <w:rPr>
          <w:rFonts w:ascii="Arial" w:hAnsi="Arial"/>
        </w:rPr>
        <w:t>Advantage</w:t>
      </w:r>
      <w:r w:rsidR="00321F71" w:rsidRPr="00A4741C">
        <w:rPr>
          <w:rFonts w:ascii="Arial" w:hAnsi="Arial"/>
        </w:rPr>
        <w:t>: Short-term debt is usually cheaper, boosting returns.</w:t>
      </w:r>
    </w:p>
    <w:p w14:paraId="4D3908D0" w14:textId="73E4CAFF" w:rsidR="00E8052F" w:rsidRPr="00A4741C" w:rsidRDefault="00BB6C34" w:rsidP="00A4741C">
      <w:pPr>
        <w:pStyle w:val="ListParagraph"/>
        <w:numPr>
          <w:ilvl w:val="0"/>
          <w:numId w:val="29"/>
        </w:numPr>
        <w:rPr>
          <w:rFonts w:ascii="Arial" w:hAnsi="Arial"/>
        </w:rPr>
      </w:pPr>
      <w:r w:rsidRPr="00A4741C">
        <w:rPr>
          <w:rFonts w:ascii="Arial" w:hAnsi="Arial"/>
        </w:rPr>
        <w:t>Disadvantage</w:t>
      </w:r>
      <w:r w:rsidR="00321F71" w:rsidRPr="00A4741C">
        <w:rPr>
          <w:rFonts w:ascii="Arial" w:hAnsi="Arial"/>
        </w:rPr>
        <w:t>: Higher liquidity risk, if short-term credit dries up or rates rise suddenly, the company can be caught short on cash.</w:t>
      </w:r>
    </w:p>
    <w:p w14:paraId="4D6DF851" w14:textId="645178E7" w:rsidR="005E70C1" w:rsidRPr="00CB631B" w:rsidRDefault="005946AD" w:rsidP="00191C42">
      <w:pPr>
        <w:rPr>
          <w:rFonts w:ascii="Arial" w:hAnsi="Arial"/>
          <w:b/>
          <w:bCs/>
          <w:color w:val="156082" w:themeColor="accent1"/>
        </w:rPr>
      </w:pPr>
      <w:r w:rsidRPr="00CB631B">
        <w:rPr>
          <w:rFonts w:ascii="Arial" w:hAnsi="Arial"/>
          <w:b/>
          <w:bCs/>
          <w:color w:val="156082" w:themeColor="accent1"/>
        </w:rPr>
        <w:t xml:space="preserve">Current Liabilities to Total Assets: </w:t>
      </w:r>
    </w:p>
    <w:p w14:paraId="46219920" w14:textId="1B129757" w:rsidR="005946AD" w:rsidRPr="00A4741C" w:rsidRDefault="005946AD" w:rsidP="00A4741C">
      <w:pPr>
        <w:rPr>
          <w:rFonts w:ascii="Arial" w:hAnsi="Arial"/>
        </w:rPr>
      </w:pPr>
      <w:r w:rsidRPr="00A4741C">
        <w:rPr>
          <w:rFonts w:ascii="Arial" w:hAnsi="Arial"/>
        </w:rPr>
        <w:t>Current Liabilities to Total Assets Ratio is a financial ratio that measures the proportion of a company's total assets that is financed by current liabilities. It shows how much of the company's assets depend on short-term obligations, indicating the extent to which short-term debt is used to support its operations.</w:t>
      </w:r>
    </w:p>
    <w:p w14:paraId="41CA3B8A" w14:textId="07109EEF" w:rsidR="00FC65EF" w:rsidRDefault="005946AD" w:rsidP="00150129">
      <w:pPr>
        <w:spacing w:line="276" w:lineRule="auto"/>
        <w:jc w:val="center"/>
        <w:rPr>
          <w:rFonts w:ascii="Cambria Math" w:hAnsi="Cambria Math"/>
          <w:b/>
          <w:bCs/>
        </w:rPr>
      </w:pPr>
      <m:oMath>
        <m:r>
          <m:rPr>
            <m:nor/>
          </m:rPr>
          <w:rPr>
            <w:rFonts w:ascii="Cambria Math" w:hAnsi="Cambria Math"/>
            <w:b/>
            <w:bCs/>
          </w:rPr>
          <m:t>Current Liabilities to Total Assets</m:t>
        </m:r>
        <m:r>
          <m:rPr>
            <m:sty m:val="bi"/>
          </m:rPr>
          <w:rPr>
            <w:rFonts w:ascii="Cambria Math" w:hAnsi="Cambria Math"/>
          </w:rPr>
          <m:t>=</m:t>
        </m:r>
        <m:f>
          <m:fPr>
            <m:ctrlPr>
              <w:rPr>
                <w:rFonts w:ascii="Cambria Math" w:hAnsi="Cambria Math"/>
                <w:b/>
                <w:bCs/>
              </w:rPr>
            </m:ctrlPr>
          </m:fPr>
          <m:num>
            <m:r>
              <m:rPr>
                <m:nor/>
              </m:rPr>
              <w:rPr>
                <w:rFonts w:ascii="Cambria Math" w:hAnsi="Cambria Math"/>
                <w:b/>
                <w:bCs/>
              </w:rPr>
              <m:t>Total Current Liabilities</m:t>
            </m:r>
          </m:num>
          <m:den>
            <m:r>
              <m:rPr>
                <m:nor/>
              </m:rPr>
              <w:rPr>
                <w:rFonts w:ascii="Cambria Math" w:hAnsi="Cambria Math"/>
                <w:b/>
                <w:bCs/>
              </w:rPr>
              <m:t>Total Assets</m:t>
            </m:r>
          </m:den>
        </m:f>
      </m:oMath>
      <w:r w:rsidR="00150129">
        <w:rPr>
          <w:rFonts w:ascii="Cambria Math" w:hAnsi="Cambria Math"/>
          <w:b/>
          <w:bCs/>
        </w:rPr>
        <w:t xml:space="preserve">   (3)</w:t>
      </w:r>
    </w:p>
    <w:p w14:paraId="43A20622" w14:textId="6F6665AA" w:rsidR="005E70C1" w:rsidRPr="006B3461" w:rsidRDefault="006B3461" w:rsidP="006B3461">
      <w:pPr>
        <w:pStyle w:val="Caption"/>
        <w:jc w:val="center"/>
        <w:rPr>
          <w:sz w:val="24"/>
          <w:szCs w:val="24"/>
        </w:rPr>
      </w:pPr>
      <w:bookmarkStart w:id="53" w:name="_Toc235308702"/>
      <w:bookmarkStart w:id="54" w:name="_Toc235803953"/>
      <w:bookmarkStart w:id="55" w:name="_Toc235804206"/>
      <w:r w:rsidRPr="006B3461">
        <w:rPr>
          <w:sz w:val="24"/>
          <w:szCs w:val="24"/>
        </w:rPr>
        <w:t xml:space="preserve">Table </w:t>
      </w:r>
      <w:r w:rsidRPr="006B3461">
        <w:rPr>
          <w:sz w:val="24"/>
          <w:szCs w:val="24"/>
        </w:rPr>
        <w:fldChar w:fldCharType="begin"/>
      </w:r>
      <w:r w:rsidRPr="006B3461">
        <w:rPr>
          <w:sz w:val="24"/>
          <w:szCs w:val="24"/>
        </w:rPr>
        <w:instrText xml:space="preserve"> SEQ Table \* ARABIC </w:instrText>
      </w:r>
      <w:r w:rsidRPr="006B3461">
        <w:rPr>
          <w:sz w:val="24"/>
          <w:szCs w:val="24"/>
        </w:rPr>
        <w:fldChar w:fldCharType="separate"/>
      </w:r>
      <w:r w:rsidR="003A3DA9">
        <w:rPr>
          <w:noProof/>
          <w:sz w:val="24"/>
          <w:szCs w:val="24"/>
        </w:rPr>
        <w:t>3</w:t>
      </w:r>
      <w:r w:rsidRPr="006B3461">
        <w:rPr>
          <w:noProof/>
          <w:sz w:val="24"/>
          <w:szCs w:val="24"/>
        </w:rPr>
        <w:fldChar w:fldCharType="end"/>
      </w:r>
      <w:r w:rsidRPr="006B3461">
        <w:rPr>
          <w:sz w:val="24"/>
          <w:szCs w:val="24"/>
        </w:rPr>
        <w:t>.1: Current Liabilities to Total Assets</w:t>
      </w:r>
      <w:bookmarkEnd w:id="53"/>
      <w:bookmarkEnd w:id="54"/>
      <w:bookmarkEnd w:id="55"/>
    </w:p>
    <w:tbl>
      <w:tblPr>
        <w:tblStyle w:val="TableGrid"/>
        <w:tblW w:w="0" w:type="auto"/>
        <w:tblLook w:val="04A0" w:firstRow="1" w:lastRow="0" w:firstColumn="1" w:lastColumn="0" w:noHBand="0" w:noVBand="1"/>
      </w:tblPr>
      <w:tblGrid>
        <w:gridCol w:w="1503"/>
        <w:gridCol w:w="1503"/>
        <w:gridCol w:w="1503"/>
        <w:gridCol w:w="1503"/>
        <w:gridCol w:w="1503"/>
        <w:gridCol w:w="1504"/>
      </w:tblGrid>
      <w:tr w:rsidR="005946AD" w14:paraId="53D83E09" w14:textId="77777777" w:rsidTr="005946AD">
        <w:tc>
          <w:tcPr>
            <w:tcW w:w="1503" w:type="dxa"/>
            <w:shd w:val="clear" w:color="auto" w:fill="156082" w:themeFill="accent1"/>
          </w:tcPr>
          <w:p w14:paraId="28B1B61E" w14:textId="7D7E91D2" w:rsidR="005946AD" w:rsidRPr="00C97BB4" w:rsidRDefault="005946AD" w:rsidP="005946AD">
            <w:pPr>
              <w:spacing w:line="276" w:lineRule="auto"/>
              <w:jc w:val="center"/>
              <w:rPr>
                <w:rFonts w:ascii="Arial" w:hAnsi="Arial"/>
                <w:b/>
                <w:bCs/>
                <w:color w:val="FFFFFF" w:themeColor="background1"/>
              </w:rPr>
            </w:pPr>
            <w:r w:rsidRPr="00C97BB4">
              <w:rPr>
                <w:rFonts w:ascii="Arial" w:hAnsi="Arial"/>
                <w:b/>
                <w:bCs/>
                <w:color w:val="FFFFFF" w:themeColor="background1"/>
              </w:rPr>
              <w:t>Year</w:t>
            </w:r>
          </w:p>
        </w:tc>
        <w:tc>
          <w:tcPr>
            <w:tcW w:w="1503" w:type="dxa"/>
            <w:shd w:val="clear" w:color="auto" w:fill="156082" w:themeFill="accent1"/>
          </w:tcPr>
          <w:p w14:paraId="44A46B59" w14:textId="5DDB28B9" w:rsidR="005946AD" w:rsidRPr="00C97BB4" w:rsidRDefault="005946AD" w:rsidP="005946AD">
            <w:pPr>
              <w:spacing w:line="276" w:lineRule="auto"/>
              <w:jc w:val="center"/>
              <w:rPr>
                <w:rFonts w:ascii="Arial" w:hAnsi="Arial"/>
                <w:b/>
                <w:bCs/>
                <w:color w:val="FFFFFF" w:themeColor="background1"/>
              </w:rPr>
            </w:pPr>
            <w:r w:rsidRPr="00C97BB4">
              <w:rPr>
                <w:rFonts w:ascii="Arial" w:hAnsi="Arial"/>
                <w:b/>
                <w:bCs/>
                <w:color w:val="FFFFFF" w:themeColor="background1"/>
              </w:rPr>
              <w:t>2021</w:t>
            </w:r>
          </w:p>
        </w:tc>
        <w:tc>
          <w:tcPr>
            <w:tcW w:w="1503" w:type="dxa"/>
            <w:shd w:val="clear" w:color="auto" w:fill="156082" w:themeFill="accent1"/>
          </w:tcPr>
          <w:p w14:paraId="72B715FD" w14:textId="0427882B" w:rsidR="005946AD" w:rsidRPr="00C97BB4" w:rsidRDefault="005946AD" w:rsidP="005946AD">
            <w:pPr>
              <w:spacing w:line="276" w:lineRule="auto"/>
              <w:jc w:val="center"/>
              <w:rPr>
                <w:rFonts w:ascii="Arial" w:hAnsi="Arial"/>
                <w:b/>
                <w:bCs/>
                <w:color w:val="FFFFFF" w:themeColor="background1"/>
              </w:rPr>
            </w:pPr>
            <w:r w:rsidRPr="00C97BB4">
              <w:rPr>
                <w:rFonts w:ascii="Arial" w:hAnsi="Arial"/>
                <w:b/>
                <w:bCs/>
                <w:color w:val="FFFFFF" w:themeColor="background1"/>
              </w:rPr>
              <w:t>2022</w:t>
            </w:r>
          </w:p>
        </w:tc>
        <w:tc>
          <w:tcPr>
            <w:tcW w:w="1503" w:type="dxa"/>
            <w:shd w:val="clear" w:color="auto" w:fill="156082" w:themeFill="accent1"/>
          </w:tcPr>
          <w:p w14:paraId="74D370E2" w14:textId="0156A00B" w:rsidR="005946AD" w:rsidRPr="00C97BB4" w:rsidRDefault="005946AD" w:rsidP="005946AD">
            <w:pPr>
              <w:spacing w:line="276" w:lineRule="auto"/>
              <w:jc w:val="center"/>
              <w:rPr>
                <w:rFonts w:ascii="Arial" w:hAnsi="Arial"/>
                <w:b/>
                <w:bCs/>
                <w:color w:val="FFFFFF" w:themeColor="background1"/>
              </w:rPr>
            </w:pPr>
            <w:r w:rsidRPr="00C97BB4">
              <w:rPr>
                <w:rFonts w:ascii="Arial" w:hAnsi="Arial"/>
                <w:b/>
                <w:bCs/>
                <w:color w:val="FFFFFF" w:themeColor="background1"/>
              </w:rPr>
              <w:t>2023</w:t>
            </w:r>
          </w:p>
        </w:tc>
        <w:tc>
          <w:tcPr>
            <w:tcW w:w="1503" w:type="dxa"/>
            <w:shd w:val="clear" w:color="auto" w:fill="156082" w:themeFill="accent1"/>
          </w:tcPr>
          <w:p w14:paraId="6E9E968B" w14:textId="0B371998" w:rsidR="005946AD" w:rsidRPr="00C97BB4" w:rsidRDefault="005946AD" w:rsidP="005946AD">
            <w:pPr>
              <w:spacing w:line="276" w:lineRule="auto"/>
              <w:jc w:val="center"/>
              <w:rPr>
                <w:rFonts w:ascii="Arial" w:hAnsi="Arial"/>
                <w:b/>
                <w:bCs/>
                <w:color w:val="FFFFFF" w:themeColor="background1"/>
              </w:rPr>
            </w:pPr>
            <w:r w:rsidRPr="00C97BB4">
              <w:rPr>
                <w:rFonts w:ascii="Arial" w:hAnsi="Arial"/>
                <w:b/>
                <w:bCs/>
                <w:color w:val="FFFFFF" w:themeColor="background1"/>
              </w:rPr>
              <w:t>2024</w:t>
            </w:r>
          </w:p>
        </w:tc>
        <w:tc>
          <w:tcPr>
            <w:tcW w:w="1504" w:type="dxa"/>
            <w:shd w:val="clear" w:color="auto" w:fill="156082" w:themeFill="accent1"/>
          </w:tcPr>
          <w:p w14:paraId="550249DB" w14:textId="57AF3E98" w:rsidR="005946AD" w:rsidRPr="00C97BB4" w:rsidRDefault="005946AD" w:rsidP="005946AD">
            <w:pPr>
              <w:spacing w:line="276" w:lineRule="auto"/>
              <w:jc w:val="center"/>
              <w:rPr>
                <w:rFonts w:ascii="Arial" w:hAnsi="Arial"/>
                <w:b/>
                <w:bCs/>
                <w:color w:val="FFFFFF" w:themeColor="background1"/>
              </w:rPr>
            </w:pPr>
            <w:r w:rsidRPr="00C97BB4">
              <w:rPr>
                <w:rFonts w:ascii="Arial" w:hAnsi="Arial"/>
                <w:b/>
                <w:bCs/>
                <w:color w:val="FFFFFF" w:themeColor="background1"/>
              </w:rPr>
              <w:t>2025</w:t>
            </w:r>
          </w:p>
        </w:tc>
      </w:tr>
      <w:tr w:rsidR="005946AD" w14:paraId="57C08FC7" w14:textId="77777777" w:rsidTr="005946AD">
        <w:tc>
          <w:tcPr>
            <w:tcW w:w="1503" w:type="dxa"/>
          </w:tcPr>
          <w:p w14:paraId="29D0B331" w14:textId="34812703" w:rsidR="005946AD" w:rsidRPr="00C97BB4" w:rsidRDefault="005946AD" w:rsidP="00C97BB4">
            <w:pPr>
              <w:spacing w:line="276" w:lineRule="auto"/>
              <w:jc w:val="center"/>
              <w:rPr>
                <w:rFonts w:ascii="Arial" w:hAnsi="Arial"/>
              </w:rPr>
            </w:pPr>
            <w:r w:rsidRPr="00C97BB4">
              <w:rPr>
                <w:rFonts w:ascii="Arial" w:hAnsi="Arial"/>
              </w:rPr>
              <w:t>Current Liabilities to Total Assets</w:t>
            </w:r>
          </w:p>
        </w:tc>
        <w:tc>
          <w:tcPr>
            <w:tcW w:w="1503" w:type="dxa"/>
          </w:tcPr>
          <w:p w14:paraId="4677230F" w14:textId="22230DC6" w:rsidR="005946AD" w:rsidRPr="00C97BB4" w:rsidRDefault="005946AD" w:rsidP="005168C8">
            <w:pPr>
              <w:spacing w:line="276" w:lineRule="auto"/>
              <w:jc w:val="center"/>
              <w:rPr>
                <w:rFonts w:ascii="Arial" w:hAnsi="Arial"/>
              </w:rPr>
            </w:pPr>
            <w:r w:rsidRPr="00C97BB4">
              <w:rPr>
                <w:rFonts w:ascii="Arial" w:hAnsi="Arial"/>
              </w:rPr>
              <w:t>22.70%</w:t>
            </w:r>
          </w:p>
        </w:tc>
        <w:tc>
          <w:tcPr>
            <w:tcW w:w="1503" w:type="dxa"/>
          </w:tcPr>
          <w:p w14:paraId="6388E27E" w14:textId="45F52990" w:rsidR="005946AD" w:rsidRPr="00C97BB4" w:rsidRDefault="005946AD" w:rsidP="005168C8">
            <w:pPr>
              <w:spacing w:line="276" w:lineRule="auto"/>
              <w:jc w:val="center"/>
              <w:rPr>
                <w:rFonts w:ascii="Arial" w:hAnsi="Arial"/>
              </w:rPr>
            </w:pPr>
            <w:r w:rsidRPr="00C97BB4">
              <w:rPr>
                <w:rFonts w:ascii="Arial" w:hAnsi="Arial"/>
              </w:rPr>
              <w:t>23.61%</w:t>
            </w:r>
          </w:p>
        </w:tc>
        <w:tc>
          <w:tcPr>
            <w:tcW w:w="1503" w:type="dxa"/>
          </w:tcPr>
          <w:p w14:paraId="1565F922" w14:textId="0970D6C9" w:rsidR="005946AD" w:rsidRPr="00C97BB4" w:rsidRDefault="005946AD" w:rsidP="005168C8">
            <w:pPr>
              <w:spacing w:line="276" w:lineRule="auto"/>
              <w:jc w:val="center"/>
              <w:rPr>
                <w:rFonts w:ascii="Arial" w:hAnsi="Arial"/>
              </w:rPr>
            </w:pPr>
            <w:r w:rsidRPr="00C97BB4">
              <w:rPr>
                <w:rFonts w:ascii="Arial" w:hAnsi="Arial"/>
              </w:rPr>
              <w:t>25.22%</w:t>
            </w:r>
          </w:p>
        </w:tc>
        <w:tc>
          <w:tcPr>
            <w:tcW w:w="1503" w:type="dxa"/>
          </w:tcPr>
          <w:p w14:paraId="04133C69" w14:textId="340DD23A" w:rsidR="005946AD" w:rsidRPr="00C97BB4" w:rsidRDefault="005946AD" w:rsidP="005168C8">
            <w:pPr>
              <w:spacing w:line="276" w:lineRule="auto"/>
              <w:jc w:val="center"/>
              <w:rPr>
                <w:rFonts w:ascii="Arial" w:hAnsi="Arial"/>
              </w:rPr>
            </w:pPr>
            <w:r w:rsidRPr="00C97BB4">
              <w:rPr>
                <w:rFonts w:ascii="Arial" w:hAnsi="Arial"/>
              </w:rPr>
              <w:t>21.67%</w:t>
            </w:r>
          </w:p>
        </w:tc>
        <w:tc>
          <w:tcPr>
            <w:tcW w:w="1504" w:type="dxa"/>
          </w:tcPr>
          <w:p w14:paraId="71013E51" w14:textId="303807B0" w:rsidR="005946AD" w:rsidRPr="00C97BB4" w:rsidRDefault="005946AD" w:rsidP="005168C8">
            <w:pPr>
              <w:spacing w:line="276" w:lineRule="auto"/>
              <w:jc w:val="center"/>
              <w:rPr>
                <w:rFonts w:ascii="Arial" w:hAnsi="Arial"/>
              </w:rPr>
            </w:pPr>
            <w:r w:rsidRPr="00C97BB4">
              <w:rPr>
                <w:rFonts w:ascii="Arial" w:hAnsi="Arial"/>
              </w:rPr>
              <w:t>15.85%</w:t>
            </w:r>
          </w:p>
        </w:tc>
      </w:tr>
    </w:tbl>
    <w:p w14:paraId="728A2FF7" w14:textId="7459FA26" w:rsidR="005E70C1" w:rsidRDefault="00F71FF5" w:rsidP="00F71FF5">
      <w:pPr>
        <w:spacing w:line="276" w:lineRule="auto"/>
        <w:jc w:val="center"/>
      </w:pPr>
      <w:r>
        <w:rPr>
          <w:noProof/>
          <w14:ligatures w14:val="standardContextual"/>
        </w:rPr>
        <w:drawing>
          <wp:inline distT="0" distB="0" distL="0" distR="0" wp14:anchorId="3ADE8C66" wp14:editId="23ADE7C1">
            <wp:extent cx="5676900" cy="2978150"/>
            <wp:effectExtent l="0" t="0" r="0" b="12700"/>
            <wp:docPr id="1104447792" name="Chart 1">
              <a:extLst xmlns:a="http://schemas.openxmlformats.org/drawingml/2006/main">
                <a:ext uri="{FF2B5EF4-FFF2-40B4-BE49-F238E27FC236}">
                  <a16:creationId xmlns:a16="http://schemas.microsoft.com/office/drawing/2014/main" id="{78A722D1-072E-4D6C-3E28-79388E3A961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2637295" w14:textId="452C542E" w:rsidR="005E70C1" w:rsidRPr="001808BD" w:rsidRDefault="00FC1709" w:rsidP="00FC1709">
      <w:pPr>
        <w:pStyle w:val="Caption"/>
        <w:jc w:val="center"/>
        <w:rPr>
          <w:sz w:val="24"/>
          <w:szCs w:val="24"/>
        </w:rPr>
      </w:pPr>
      <w:bookmarkStart w:id="56" w:name="_Toc235308688"/>
      <w:r w:rsidRPr="001808BD">
        <w:rPr>
          <w:sz w:val="24"/>
          <w:szCs w:val="24"/>
        </w:rPr>
        <w:t xml:space="preserve">Figure </w:t>
      </w:r>
      <w:r w:rsidR="00D94E28" w:rsidRPr="001808BD">
        <w:rPr>
          <w:sz w:val="24"/>
          <w:szCs w:val="24"/>
        </w:rPr>
        <w:fldChar w:fldCharType="begin"/>
      </w:r>
      <w:r w:rsidR="00D94E28" w:rsidRPr="001808BD">
        <w:rPr>
          <w:sz w:val="24"/>
          <w:szCs w:val="24"/>
        </w:rPr>
        <w:instrText xml:space="preserve"> SEQ Figure \* ARABIC </w:instrText>
      </w:r>
      <w:r w:rsidR="00D94E28" w:rsidRPr="001808BD">
        <w:rPr>
          <w:sz w:val="24"/>
          <w:szCs w:val="24"/>
        </w:rPr>
        <w:fldChar w:fldCharType="separate"/>
      </w:r>
      <w:r w:rsidR="00C15A61">
        <w:rPr>
          <w:noProof/>
          <w:sz w:val="24"/>
          <w:szCs w:val="24"/>
        </w:rPr>
        <w:t>4</w:t>
      </w:r>
      <w:r w:rsidR="00D94E28" w:rsidRPr="001808BD">
        <w:rPr>
          <w:noProof/>
          <w:sz w:val="24"/>
          <w:szCs w:val="24"/>
        </w:rPr>
        <w:fldChar w:fldCharType="end"/>
      </w:r>
      <w:r w:rsidRPr="001808BD">
        <w:rPr>
          <w:sz w:val="24"/>
          <w:szCs w:val="24"/>
        </w:rPr>
        <w:t>.1: Current Liabilities to Total Assets</w:t>
      </w:r>
      <w:bookmarkEnd w:id="56"/>
    </w:p>
    <w:p w14:paraId="1307E0AF" w14:textId="65E48497" w:rsidR="0007668B" w:rsidRPr="00A4741C" w:rsidRDefault="00A60BE5" w:rsidP="00A4741C">
      <w:pPr>
        <w:rPr>
          <w:rFonts w:ascii="Arial" w:hAnsi="Arial"/>
        </w:rPr>
      </w:pPr>
      <w:r w:rsidRPr="00A4741C">
        <w:rPr>
          <w:rFonts w:ascii="Arial" w:hAnsi="Arial"/>
        </w:rPr>
        <w:t>Generally, a ratio above 50% indicates an Aggressive Financing Policy, around 50% indicates a Moderate Financing Policy, and below 50% indicates a Conservative Financing Policy.</w:t>
      </w:r>
    </w:p>
    <w:p w14:paraId="6C1AB666" w14:textId="712E8C57" w:rsidR="0000781F" w:rsidRPr="0000781F" w:rsidRDefault="00F071AC" w:rsidP="0000781F">
      <w:pPr>
        <w:rPr>
          <w:rFonts w:ascii="Arial" w:hAnsi="Arial"/>
        </w:rPr>
      </w:pPr>
      <w:r w:rsidRPr="00A4741C">
        <w:rPr>
          <w:rFonts w:ascii="Arial" w:hAnsi="Arial"/>
        </w:rPr>
        <w:lastRenderedPageBreak/>
        <w:t>TCF Bangladesh has stuck to a</w:t>
      </w:r>
      <w:r w:rsidRPr="00A4741C">
        <w:rPr>
          <w:rFonts w:ascii="Arial" w:hAnsi="Arial"/>
          <w:b/>
          <w:bCs/>
        </w:rPr>
        <w:t xml:space="preserve"> </w:t>
      </w:r>
      <w:r w:rsidR="00BB6C34" w:rsidRPr="00A4741C">
        <w:rPr>
          <w:rFonts w:ascii="Arial" w:hAnsi="Arial"/>
          <w:b/>
          <w:bCs/>
        </w:rPr>
        <w:t>‘</w:t>
      </w:r>
      <w:r w:rsidRPr="00A4741C">
        <w:rPr>
          <w:rFonts w:ascii="Arial" w:hAnsi="Arial"/>
          <w:b/>
          <w:bCs/>
        </w:rPr>
        <w:t>Conservative Working Capital Financing Policy</w:t>
      </w:r>
      <w:r w:rsidR="00BB6C34" w:rsidRPr="00A4741C">
        <w:rPr>
          <w:rFonts w:ascii="Arial" w:hAnsi="Arial"/>
          <w:b/>
          <w:bCs/>
        </w:rPr>
        <w:t>’</w:t>
      </w:r>
      <w:r w:rsidRPr="00A4741C">
        <w:rPr>
          <w:rFonts w:ascii="Arial" w:hAnsi="Arial"/>
        </w:rPr>
        <w:t xml:space="preserve"> throughout 2021 to 2025, since the ratio of current liabilities to total assets stayed well under the 50% mark every single year. It started at 22.70% in 2021, edged up slightly to 23.61% in 2022, and peaked at 25.22% in 2023 showing a bit more reliance on short-term liabilities during those years, but still nowhere close to the halfway point. </w:t>
      </w:r>
      <w:r w:rsidR="0000781F" w:rsidRPr="0000781F">
        <w:rPr>
          <w:rFonts w:ascii="Arial" w:hAnsi="Arial"/>
        </w:rPr>
        <w:t>After that, it hit the much lower number of 21.67% in 2024. Most recently, it also fell further, hitting just 15.85% in 2025. This is the least number in the whole five-year period for TCF and suggests it is doubling down on being more conservative.</w:t>
      </w:r>
    </w:p>
    <w:p w14:paraId="5A1FF47F" w14:textId="34E9B720" w:rsidR="0007668B" w:rsidRPr="00CB631B" w:rsidRDefault="0000781F" w:rsidP="00A4741C">
      <w:pPr>
        <w:rPr>
          <w:rFonts w:ascii="Arial" w:hAnsi="Arial"/>
        </w:rPr>
      </w:pPr>
      <w:r w:rsidRPr="0000781F">
        <w:rPr>
          <w:rFonts w:ascii="Arial" w:hAnsi="Arial"/>
        </w:rPr>
        <w:t>Essentially, this indicates that TCF is funding its assets without relying on a type of short-term debt or borrowed money it must repay soon. Funds from sellers and equity funds are put to higher use instead. Using a mortgage is like paying off your house rather than using your credit card. The repaying pressure becomes relatively low, and this gives it a steady financial position in the company even if it is less.</w:t>
      </w:r>
    </w:p>
    <w:p w14:paraId="66C5E317" w14:textId="542802D8" w:rsidR="0007668B" w:rsidRPr="00A4741C" w:rsidRDefault="008141CA" w:rsidP="00A4741C">
      <w:pPr>
        <w:rPr>
          <w:rFonts w:ascii="Arial" w:hAnsi="Arial"/>
          <w:color w:val="000000" w:themeColor="text1"/>
          <w:szCs w:val="24"/>
        </w:rPr>
      </w:pPr>
      <w:r w:rsidRPr="008141CA">
        <w:rPr>
          <w:rFonts w:ascii="Arial" w:hAnsi="Arial"/>
          <w:color w:val="000000" w:themeColor="text1"/>
          <w:szCs w:val="24"/>
        </w:rPr>
        <w:t xml:space="preserve">The ratio of total current liabilities to total assets is decreasing and it will be good for </w:t>
      </w:r>
    </w:p>
    <w:p w14:paraId="52CDC502" w14:textId="01C5287A" w:rsidR="00A60BE5" w:rsidRPr="00F3742D" w:rsidRDefault="00287D8C" w:rsidP="00F3742D">
      <w:pPr>
        <w:pStyle w:val="Heading2"/>
        <w:rPr>
          <w:rFonts w:ascii="Arial" w:hAnsi="Arial" w:cs="Arial"/>
          <w:sz w:val="28"/>
          <w:szCs w:val="28"/>
        </w:rPr>
      </w:pPr>
      <w:bookmarkStart w:id="57" w:name="_Toc235801951"/>
      <w:r w:rsidRPr="00F3742D">
        <w:rPr>
          <w:rFonts w:ascii="Arial" w:hAnsi="Arial" w:cs="Arial"/>
          <w:sz w:val="28"/>
          <w:szCs w:val="28"/>
        </w:rPr>
        <w:t>4</w:t>
      </w:r>
      <w:r w:rsidR="00A60BE5" w:rsidRPr="00F3742D">
        <w:rPr>
          <w:rFonts w:ascii="Arial" w:hAnsi="Arial" w:cs="Arial"/>
          <w:sz w:val="28"/>
          <w:szCs w:val="28"/>
        </w:rPr>
        <w:t>.</w:t>
      </w:r>
      <w:r w:rsidR="00F90B1B" w:rsidRPr="00F3742D">
        <w:rPr>
          <w:rFonts w:ascii="Arial" w:hAnsi="Arial" w:cs="Arial"/>
          <w:sz w:val="28"/>
          <w:szCs w:val="28"/>
        </w:rPr>
        <w:t>5</w:t>
      </w:r>
      <w:r w:rsidR="00A60BE5" w:rsidRPr="00F3742D">
        <w:rPr>
          <w:rFonts w:ascii="Arial" w:hAnsi="Arial" w:cs="Arial"/>
          <w:sz w:val="28"/>
          <w:szCs w:val="28"/>
        </w:rPr>
        <w:t xml:space="preserve"> Cash Conversion Cycle (CCC)</w:t>
      </w:r>
      <w:bookmarkEnd w:id="57"/>
    </w:p>
    <w:p w14:paraId="12A049C9" w14:textId="6DC9FF94" w:rsidR="00A60BE5" w:rsidRDefault="00CA03FF" w:rsidP="00A4741C">
      <w:pPr>
        <w:rPr>
          <w:rFonts w:ascii="Arial" w:hAnsi="Arial"/>
        </w:rPr>
      </w:pPr>
      <w:r w:rsidRPr="00CA03FF">
        <w:rPr>
          <w:rFonts w:ascii="Arial" w:hAnsi="Arial"/>
        </w:rPr>
        <w:t>The Cash Conversion Cycle (CCC) is a financial indicator of how many days a company takes to convert its investment in inventory and other resource costs into cash from customers. DSO is a simple measure of how well a business is managing its working capital. It measures the time between paying suppliers and collecting cash from sales.</w:t>
      </w:r>
    </w:p>
    <w:p w14:paraId="2F5CAF18" w14:textId="77777777" w:rsidR="00B26431" w:rsidRPr="00A4741C" w:rsidRDefault="00B26431" w:rsidP="00A4741C">
      <w:pPr>
        <w:rPr>
          <w:rFonts w:ascii="Arial" w:hAnsi="Arial"/>
        </w:rPr>
      </w:pPr>
    </w:p>
    <w:p w14:paraId="203FF82F" w14:textId="4DD0B486" w:rsidR="00D854F3" w:rsidRDefault="00A60BE5" w:rsidP="00150129">
      <w:pPr>
        <w:spacing w:line="276" w:lineRule="auto"/>
        <w:jc w:val="center"/>
        <w:rPr>
          <w:rFonts w:ascii="Cambria Math" w:hAnsi="Cambria Math"/>
          <w:b/>
          <w:bCs/>
        </w:rPr>
      </w:pPr>
      <w:r w:rsidRPr="006163DA">
        <w:rPr>
          <w:rFonts w:ascii="Cambria Math" w:hAnsi="Cambria Math"/>
          <w:b/>
          <w:bCs/>
        </w:rPr>
        <w:t>CCC = Days Inventory Outstanding (DIO) + Days Sales Outstanding (DSO) − Days Payables Outstanding (DPO)</w:t>
      </w:r>
      <w:r w:rsidR="00150129">
        <w:rPr>
          <w:rFonts w:ascii="Cambria Math" w:hAnsi="Cambria Math"/>
          <w:b/>
          <w:bCs/>
        </w:rPr>
        <w:t xml:space="preserve"> (4)</w:t>
      </w:r>
    </w:p>
    <w:p w14:paraId="5CC62BF4" w14:textId="77777777" w:rsidR="00252A5D" w:rsidRDefault="00252A5D" w:rsidP="00150129">
      <w:pPr>
        <w:spacing w:line="276" w:lineRule="auto"/>
        <w:jc w:val="center"/>
        <w:rPr>
          <w:rFonts w:ascii="Cambria Math" w:hAnsi="Cambria Math"/>
          <w:b/>
          <w:bCs/>
        </w:rPr>
      </w:pPr>
    </w:p>
    <w:p w14:paraId="6FDA3B20" w14:textId="6DF37B70" w:rsidR="006B3461" w:rsidRPr="006B3461" w:rsidRDefault="006B3461" w:rsidP="006B3461">
      <w:pPr>
        <w:pStyle w:val="Caption"/>
        <w:jc w:val="center"/>
        <w:rPr>
          <w:sz w:val="24"/>
          <w:szCs w:val="24"/>
        </w:rPr>
      </w:pPr>
      <w:bookmarkStart w:id="58" w:name="_Toc235308703"/>
      <w:bookmarkStart w:id="59" w:name="_Toc235803954"/>
      <w:bookmarkStart w:id="60" w:name="_Toc235804207"/>
      <w:r w:rsidRPr="006B3461">
        <w:rPr>
          <w:sz w:val="24"/>
          <w:szCs w:val="24"/>
        </w:rPr>
        <w:t xml:space="preserve">Table </w:t>
      </w:r>
      <w:r w:rsidRPr="006B3461">
        <w:rPr>
          <w:sz w:val="24"/>
          <w:szCs w:val="24"/>
        </w:rPr>
        <w:fldChar w:fldCharType="begin"/>
      </w:r>
      <w:r w:rsidRPr="006B3461">
        <w:rPr>
          <w:sz w:val="24"/>
          <w:szCs w:val="24"/>
        </w:rPr>
        <w:instrText xml:space="preserve"> SEQ Table \* ARABIC </w:instrText>
      </w:r>
      <w:r w:rsidRPr="006B3461">
        <w:rPr>
          <w:sz w:val="24"/>
          <w:szCs w:val="24"/>
        </w:rPr>
        <w:fldChar w:fldCharType="separate"/>
      </w:r>
      <w:r w:rsidR="003A3DA9">
        <w:rPr>
          <w:noProof/>
          <w:sz w:val="24"/>
          <w:szCs w:val="24"/>
        </w:rPr>
        <w:t>4</w:t>
      </w:r>
      <w:r w:rsidRPr="006B3461">
        <w:rPr>
          <w:noProof/>
          <w:sz w:val="24"/>
          <w:szCs w:val="24"/>
        </w:rPr>
        <w:fldChar w:fldCharType="end"/>
      </w:r>
      <w:r w:rsidRPr="006B3461">
        <w:rPr>
          <w:sz w:val="24"/>
          <w:szCs w:val="24"/>
        </w:rPr>
        <w:t>.1: Cash Conversion Cycle</w:t>
      </w:r>
      <w:bookmarkEnd w:id="58"/>
      <w:bookmarkEnd w:id="59"/>
      <w:bookmarkEnd w:id="60"/>
    </w:p>
    <w:tbl>
      <w:tblPr>
        <w:tblStyle w:val="TableGrid"/>
        <w:tblW w:w="0" w:type="auto"/>
        <w:tblLook w:val="04A0" w:firstRow="1" w:lastRow="0" w:firstColumn="1" w:lastColumn="0" w:noHBand="0" w:noVBand="1"/>
      </w:tblPr>
      <w:tblGrid>
        <w:gridCol w:w="1503"/>
        <w:gridCol w:w="1503"/>
        <w:gridCol w:w="1503"/>
        <w:gridCol w:w="1503"/>
        <w:gridCol w:w="1503"/>
        <w:gridCol w:w="1504"/>
      </w:tblGrid>
      <w:tr w:rsidR="00D854F3" w14:paraId="0DB50480" w14:textId="77777777" w:rsidTr="00D854F3">
        <w:tc>
          <w:tcPr>
            <w:tcW w:w="1503" w:type="dxa"/>
            <w:shd w:val="clear" w:color="auto" w:fill="156082" w:themeFill="accent1"/>
          </w:tcPr>
          <w:p w14:paraId="7878B176" w14:textId="26DD21D5" w:rsidR="00D854F3" w:rsidRPr="00C97BB4" w:rsidRDefault="00D854F3" w:rsidP="00D854F3">
            <w:pPr>
              <w:spacing w:line="276" w:lineRule="auto"/>
              <w:jc w:val="center"/>
              <w:rPr>
                <w:rFonts w:ascii="Arial" w:hAnsi="Arial"/>
                <w:b/>
                <w:bCs/>
                <w:color w:val="FFFFFF" w:themeColor="background1"/>
              </w:rPr>
            </w:pPr>
            <w:r w:rsidRPr="00C97BB4">
              <w:rPr>
                <w:rFonts w:ascii="Arial" w:hAnsi="Arial"/>
                <w:b/>
                <w:bCs/>
                <w:color w:val="FFFFFF" w:themeColor="background1"/>
              </w:rPr>
              <w:t>Year</w:t>
            </w:r>
          </w:p>
        </w:tc>
        <w:tc>
          <w:tcPr>
            <w:tcW w:w="1503" w:type="dxa"/>
            <w:shd w:val="clear" w:color="auto" w:fill="156082" w:themeFill="accent1"/>
          </w:tcPr>
          <w:p w14:paraId="493CEC7C" w14:textId="70C4D941" w:rsidR="00D854F3" w:rsidRPr="00C97BB4" w:rsidRDefault="00D854F3" w:rsidP="00D854F3">
            <w:pPr>
              <w:spacing w:line="276" w:lineRule="auto"/>
              <w:jc w:val="center"/>
              <w:rPr>
                <w:rFonts w:ascii="Arial" w:hAnsi="Arial"/>
                <w:b/>
                <w:bCs/>
                <w:color w:val="FFFFFF" w:themeColor="background1"/>
              </w:rPr>
            </w:pPr>
            <w:r w:rsidRPr="00C97BB4">
              <w:rPr>
                <w:rFonts w:ascii="Arial" w:hAnsi="Arial"/>
                <w:b/>
                <w:bCs/>
                <w:color w:val="FFFFFF" w:themeColor="background1"/>
              </w:rPr>
              <w:t>2021</w:t>
            </w:r>
          </w:p>
        </w:tc>
        <w:tc>
          <w:tcPr>
            <w:tcW w:w="1503" w:type="dxa"/>
            <w:shd w:val="clear" w:color="auto" w:fill="156082" w:themeFill="accent1"/>
          </w:tcPr>
          <w:p w14:paraId="41492B30" w14:textId="1910DF3C" w:rsidR="00D854F3" w:rsidRPr="00C97BB4" w:rsidRDefault="00D854F3" w:rsidP="00D854F3">
            <w:pPr>
              <w:spacing w:line="276" w:lineRule="auto"/>
              <w:jc w:val="center"/>
              <w:rPr>
                <w:rFonts w:ascii="Arial" w:hAnsi="Arial"/>
                <w:b/>
                <w:bCs/>
                <w:color w:val="FFFFFF" w:themeColor="background1"/>
              </w:rPr>
            </w:pPr>
            <w:r w:rsidRPr="00C97BB4">
              <w:rPr>
                <w:rFonts w:ascii="Arial" w:hAnsi="Arial"/>
                <w:b/>
                <w:bCs/>
                <w:color w:val="FFFFFF" w:themeColor="background1"/>
              </w:rPr>
              <w:t>2022</w:t>
            </w:r>
          </w:p>
        </w:tc>
        <w:tc>
          <w:tcPr>
            <w:tcW w:w="1503" w:type="dxa"/>
            <w:shd w:val="clear" w:color="auto" w:fill="156082" w:themeFill="accent1"/>
          </w:tcPr>
          <w:p w14:paraId="2F0A979F" w14:textId="3E333F8C" w:rsidR="00D854F3" w:rsidRPr="00C97BB4" w:rsidRDefault="00D854F3" w:rsidP="00D854F3">
            <w:pPr>
              <w:spacing w:line="276" w:lineRule="auto"/>
              <w:jc w:val="center"/>
              <w:rPr>
                <w:rFonts w:ascii="Arial" w:hAnsi="Arial"/>
                <w:b/>
                <w:bCs/>
                <w:color w:val="FFFFFF" w:themeColor="background1"/>
              </w:rPr>
            </w:pPr>
            <w:r w:rsidRPr="00C97BB4">
              <w:rPr>
                <w:rFonts w:ascii="Arial" w:hAnsi="Arial"/>
                <w:b/>
                <w:bCs/>
                <w:color w:val="FFFFFF" w:themeColor="background1"/>
              </w:rPr>
              <w:t>2023</w:t>
            </w:r>
          </w:p>
        </w:tc>
        <w:tc>
          <w:tcPr>
            <w:tcW w:w="1503" w:type="dxa"/>
            <w:shd w:val="clear" w:color="auto" w:fill="156082" w:themeFill="accent1"/>
          </w:tcPr>
          <w:p w14:paraId="446777AB" w14:textId="16C2D6B0" w:rsidR="00D854F3" w:rsidRPr="00C97BB4" w:rsidRDefault="00D854F3" w:rsidP="00D854F3">
            <w:pPr>
              <w:spacing w:line="276" w:lineRule="auto"/>
              <w:jc w:val="center"/>
              <w:rPr>
                <w:rFonts w:ascii="Arial" w:hAnsi="Arial"/>
                <w:b/>
                <w:bCs/>
                <w:color w:val="FFFFFF" w:themeColor="background1"/>
              </w:rPr>
            </w:pPr>
            <w:r w:rsidRPr="00C97BB4">
              <w:rPr>
                <w:rFonts w:ascii="Arial" w:hAnsi="Arial"/>
                <w:b/>
                <w:bCs/>
                <w:color w:val="FFFFFF" w:themeColor="background1"/>
              </w:rPr>
              <w:t>2024</w:t>
            </w:r>
          </w:p>
        </w:tc>
        <w:tc>
          <w:tcPr>
            <w:tcW w:w="1504" w:type="dxa"/>
            <w:shd w:val="clear" w:color="auto" w:fill="156082" w:themeFill="accent1"/>
          </w:tcPr>
          <w:p w14:paraId="5066AAD8" w14:textId="22DEBA40" w:rsidR="00D854F3" w:rsidRPr="00C97BB4" w:rsidRDefault="00D854F3" w:rsidP="00D854F3">
            <w:pPr>
              <w:spacing w:line="276" w:lineRule="auto"/>
              <w:jc w:val="center"/>
              <w:rPr>
                <w:rFonts w:ascii="Arial" w:hAnsi="Arial"/>
                <w:b/>
                <w:bCs/>
                <w:color w:val="FFFFFF" w:themeColor="background1"/>
              </w:rPr>
            </w:pPr>
            <w:r w:rsidRPr="00C97BB4">
              <w:rPr>
                <w:rFonts w:ascii="Arial" w:hAnsi="Arial"/>
                <w:b/>
                <w:bCs/>
                <w:color w:val="FFFFFF" w:themeColor="background1"/>
              </w:rPr>
              <w:t>2025</w:t>
            </w:r>
          </w:p>
        </w:tc>
      </w:tr>
      <w:tr w:rsidR="00D854F3" w14:paraId="087BD74D" w14:textId="77777777" w:rsidTr="00B26431">
        <w:trPr>
          <w:trHeight w:val="548"/>
        </w:trPr>
        <w:tc>
          <w:tcPr>
            <w:tcW w:w="1503" w:type="dxa"/>
          </w:tcPr>
          <w:p w14:paraId="747A68C8" w14:textId="57B58857" w:rsidR="00D854F3" w:rsidRPr="00C97BB4" w:rsidRDefault="00D854F3" w:rsidP="00D854F3">
            <w:pPr>
              <w:spacing w:line="276" w:lineRule="auto"/>
              <w:jc w:val="center"/>
              <w:rPr>
                <w:rFonts w:ascii="Arial" w:hAnsi="Arial"/>
              </w:rPr>
            </w:pPr>
            <w:r w:rsidRPr="00C97BB4">
              <w:rPr>
                <w:rFonts w:ascii="Arial" w:hAnsi="Arial"/>
              </w:rPr>
              <w:t>CCC</w:t>
            </w:r>
            <w:r w:rsidR="00072AFA" w:rsidRPr="00C97BB4">
              <w:rPr>
                <w:rFonts w:ascii="Arial" w:hAnsi="Arial"/>
              </w:rPr>
              <w:t>(Days)</w:t>
            </w:r>
          </w:p>
        </w:tc>
        <w:tc>
          <w:tcPr>
            <w:tcW w:w="1503" w:type="dxa"/>
          </w:tcPr>
          <w:p w14:paraId="1712A909" w14:textId="4B2F04EC" w:rsidR="00D854F3" w:rsidRPr="00C97BB4" w:rsidRDefault="00FC7BE7" w:rsidP="00FC7BE7">
            <w:pPr>
              <w:spacing w:line="276" w:lineRule="auto"/>
              <w:jc w:val="center"/>
              <w:rPr>
                <w:rFonts w:ascii="Arial" w:hAnsi="Arial"/>
              </w:rPr>
            </w:pPr>
            <w:r w:rsidRPr="00C97BB4">
              <w:rPr>
                <w:rFonts w:ascii="Arial" w:hAnsi="Arial"/>
              </w:rPr>
              <w:t>12 Days</w:t>
            </w:r>
          </w:p>
        </w:tc>
        <w:tc>
          <w:tcPr>
            <w:tcW w:w="1503" w:type="dxa"/>
          </w:tcPr>
          <w:p w14:paraId="41EB72CB" w14:textId="2FE2B770" w:rsidR="00D854F3" w:rsidRPr="00C97BB4" w:rsidRDefault="00FC7BE7" w:rsidP="00FC7BE7">
            <w:pPr>
              <w:spacing w:line="276" w:lineRule="auto"/>
              <w:jc w:val="center"/>
              <w:rPr>
                <w:rFonts w:ascii="Arial" w:hAnsi="Arial"/>
              </w:rPr>
            </w:pPr>
            <w:r w:rsidRPr="00C97BB4">
              <w:rPr>
                <w:rFonts w:ascii="Arial" w:hAnsi="Arial"/>
              </w:rPr>
              <w:t>23 Days</w:t>
            </w:r>
          </w:p>
        </w:tc>
        <w:tc>
          <w:tcPr>
            <w:tcW w:w="1503" w:type="dxa"/>
          </w:tcPr>
          <w:p w14:paraId="009FBC41" w14:textId="56B10739" w:rsidR="00D854F3" w:rsidRPr="00C97BB4" w:rsidRDefault="003A3637" w:rsidP="00FC7BE7">
            <w:pPr>
              <w:spacing w:line="276" w:lineRule="auto"/>
              <w:jc w:val="center"/>
              <w:rPr>
                <w:rFonts w:ascii="Arial" w:hAnsi="Arial"/>
              </w:rPr>
            </w:pPr>
            <w:r w:rsidRPr="00C97BB4">
              <w:rPr>
                <w:rFonts w:ascii="Arial" w:hAnsi="Arial"/>
              </w:rPr>
              <w:t>1</w:t>
            </w:r>
            <w:r w:rsidR="00FC7BE7" w:rsidRPr="00C97BB4">
              <w:rPr>
                <w:rFonts w:ascii="Arial" w:hAnsi="Arial"/>
              </w:rPr>
              <w:t>6 Days</w:t>
            </w:r>
          </w:p>
        </w:tc>
        <w:tc>
          <w:tcPr>
            <w:tcW w:w="1503" w:type="dxa"/>
          </w:tcPr>
          <w:p w14:paraId="0B05A950" w14:textId="12C3AEE4" w:rsidR="00D854F3" w:rsidRPr="00C97BB4" w:rsidRDefault="003A3637" w:rsidP="00FC7BE7">
            <w:pPr>
              <w:spacing w:line="276" w:lineRule="auto"/>
              <w:jc w:val="center"/>
              <w:rPr>
                <w:rFonts w:ascii="Arial" w:hAnsi="Arial"/>
              </w:rPr>
            </w:pPr>
            <w:r w:rsidRPr="00C97BB4">
              <w:rPr>
                <w:rFonts w:ascii="Arial" w:hAnsi="Arial"/>
              </w:rPr>
              <w:t>19</w:t>
            </w:r>
            <w:r w:rsidR="00FC7BE7" w:rsidRPr="00C97BB4">
              <w:rPr>
                <w:rFonts w:ascii="Arial" w:hAnsi="Arial"/>
              </w:rPr>
              <w:t xml:space="preserve"> Days</w:t>
            </w:r>
          </w:p>
        </w:tc>
        <w:tc>
          <w:tcPr>
            <w:tcW w:w="1504" w:type="dxa"/>
          </w:tcPr>
          <w:p w14:paraId="733D0F2B" w14:textId="4BCCB33A" w:rsidR="00D854F3" w:rsidRPr="00C97BB4" w:rsidRDefault="003A3637" w:rsidP="00FC7BE7">
            <w:pPr>
              <w:spacing w:line="276" w:lineRule="auto"/>
              <w:jc w:val="center"/>
              <w:rPr>
                <w:rFonts w:ascii="Arial" w:hAnsi="Arial"/>
              </w:rPr>
            </w:pPr>
            <w:r w:rsidRPr="00C97BB4">
              <w:rPr>
                <w:rFonts w:ascii="Arial" w:hAnsi="Arial"/>
              </w:rPr>
              <w:t>21</w:t>
            </w:r>
            <w:r w:rsidR="00FC7BE7" w:rsidRPr="00C97BB4">
              <w:rPr>
                <w:rFonts w:ascii="Arial" w:hAnsi="Arial"/>
              </w:rPr>
              <w:t xml:space="preserve"> Days</w:t>
            </w:r>
          </w:p>
        </w:tc>
      </w:tr>
    </w:tbl>
    <w:p w14:paraId="46337BF2" w14:textId="77777777" w:rsidR="006B3461" w:rsidRPr="006B3461" w:rsidRDefault="006B3461" w:rsidP="006B3461"/>
    <w:p w14:paraId="0FE549B6" w14:textId="449A3B18" w:rsidR="00C82899" w:rsidRDefault="00015CC9" w:rsidP="00015CC9">
      <w:pPr>
        <w:spacing w:line="276" w:lineRule="auto"/>
        <w:jc w:val="center"/>
        <w:rPr>
          <w:rFonts w:ascii="Cambria Math" w:hAnsi="Cambria Math"/>
        </w:rPr>
      </w:pPr>
      <w:r>
        <w:rPr>
          <w:noProof/>
          <w14:ligatures w14:val="standardContextual"/>
        </w:rPr>
        <w:lastRenderedPageBreak/>
        <w:drawing>
          <wp:inline distT="0" distB="0" distL="0" distR="0" wp14:anchorId="6BD9F3C3" wp14:editId="06C84C45">
            <wp:extent cx="5657850" cy="3028950"/>
            <wp:effectExtent l="0" t="0" r="0" b="0"/>
            <wp:docPr id="1731763789" name="Chart 1">
              <a:extLst xmlns:a="http://schemas.openxmlformats.org/drawingml/2006/main">
                <a:ext uri="{FF2B5EF4-FFF2-40B4-BE49-F238E27FC236}">
                  <a16:creationId xmlns:a16="http://schemas.microsoft.com/office/drawing/2014/main" id="{B8FFA6E4-7199-7288-1C47-44A53AF09E7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985A2EC" w14:textId="667D7A1A" w:rsidR="00015CC9" w:rsidRPr="001808BD" w:rsidRDefault="00FC1709" w:rsidP="00FC1709">
      <w:pPr>
        <w:pStyle w:val="Caption"/>
        <w:jc w:val="center"/>
        <w:rPr>
          <w:rFonts w:ascii="Cambria Math" w:hAnsi="Cambria Math"/>
          <w:sz w:val="24"/>
          <w:szCs w:val="24"/>
        </w:rPr>
      </w:pPr>
      <w:bookmarkStart w:id="61" w:name="_Toc235308689"/>
      <w:r w:rsidRPr="001808BD">
        <w:rPr>
          <w:sz w:val="24"/>
          <w:szCs w:val="24"/>
        </w:rPr>
        <w:t xml:space="preserve">Figure </w:t>
      </w:r>
      <w:r w:rsidR="00D94E28" w:rsidRPr="001808BD">
        <w:rPr>
          <w:sz w:val="24"/>
          <w:szCs w:val="24"/>
        </w:rPr>
        <w:fldChar w:fldCharType="begin"/>
      </w:r>
      <w:r w:rsidR="00D94E28" w:rsidRPr="001808BD">
        <w:rPr>
          <w:sz w:val="24"/>
          <w:szCs w:val="24"/>
        </w:rPr>
        <w:instrText xml:space="preserve"> SEQ Figure \* ARABIC </w:instrText>
      </w:r>
      <w:r w:rsidR="00D94E28" w:rsidRPr="001808BD">
        <w:rPr>
          <w:sz w:val="24"/>
          <w:szCs w:val="24"/>
        </w:rPr>
        <w:fldChar w:fldCharType="separate"/>
      </w:r>
      <w:r w:rsidR="00C15A61">
        <w:rPr>
          <w:noProof/>
          <w:sz w:val="24"/>
          <w:szCs w:val="24"/>
        </w:rPr>
        <w:t>5</w:t>
      </w:r>
      <w:r w:rsidR="00D94E28" w:rsidRPr="001808BD">
        <w:rPr>
          <w:noProof/>
          <w:sz w:val="24"/>
          <w:szCs w:val="24"/>
        </w:rPr>
        <w:fldChar w:fldCharType="end"/>
      </w:r>
      <w:r w:rsidRPr="001808BD">
        <w:rPr>
          <w:sz w:val="24"/>
          <w:szCs w:val="24"/>
        </w:rPr>
        <w:t>.1: Cash Conversion Cycle (Graph)</w:t>
      </w:r>
      <w:bookmarkEnd w:id="61"/>
    </w:p>
    <w:p w14:paraId="0DF76E21" w14:textId="05232989" w:rsidR="00015CC9" w:rsidRPr="00A4741C" w:rsidRDefault="00015CC9" w:rsidP="00A4741C">
      <w:pPr>
        <w:rPr>
          <w:rFonts w:ascii="Arial" w:hAnsi="Arial"/>
        </w:rPr>
      </w:pPr>
      <w:r w:rsidRPr="00A4741C">
        <w:rPr>
          <w:rFonts w:ascii="Arial" w:hAnsi="Arial"/>
        </w:rPr>
        <w:t xml:space="preserve">The </w:t>
      </w:r>
      <w:r w:rsidR="00CA03FF" w:rsidRPr="00CA03FF">
        <w:rPr>
          <w:rFonts w:ascii="Arial" w:hAnsi="Arial"/>
        </w:rPr>
        <w:t>Cash Conversion Cycle (CCC) is a measure of how long it takes for a company to convert its investment in operations into cash. In general, a shorter CCC is desirable because it means the company can collect cash faster and use its working capital more efficiently.</w:t>
      </w:r>
    </w:p>
    <w:p w14:paraId="7E20ACFE" w14:textId="252011F7" w:rsidR="00015CC9" w:rsidRPr="00CB631B" w:rsidRDefault="00CA03FF" w:rsidP="00A4741C">
      <w:pPr>
        <w:rPr>
          <w:rFonts w:ascii="Arial" w:hAnsi="Arial"/>
        </w:rPr>
      </w:pPr>
      <w:r w:rsidRPr="00CA03FF">
        <w:rPr>
          <w:rFonts w:ascii="Arial" w:hAnsi="Arial"/>
        </w:rPr>
        <w:t xml:space="preserve">According to the above table, Tokyo Consulting Firm’s CCM in 2021 was 12 days </w:t>
      </w:r>
      <w:r>
        <w:rPr>
          <w:rFonts w:ascii="Arial" w:hAnsi="Arial"/>
        </w:rPr>
        <w:t>-</w:t>
      </w:r>
      <w:r w:rsidRPr="00CA03FF">
        <w:rPr>
          <w:rFonts w:ascii="Arial" w:hAnsi="Arial"/>
        </w:rPr>
        <w:t xml:space="preserve"> it then increased to 23 days in 2022. The higher the number, the longer it took Tokyo Consulting Firm to turn its operating investments into cash. Thus, the CCM indicates inefficient fund management. The firm's CCC, nevertheless, improved to 16 days in 2023 but again increased to 19 in 2024 and to 21 in 2025. Overall, the Company’s CCC, although fluctuates during the five years, the number was relatively low </w:t>
      </w:r>
      <w:r>
        <w:rPr>
          <w:rFonts w:ascii="Arial" w:hAnsi="Arial"/>
        </w:rPr>
        <w:t xml:space="preserve">- </w:t>
      </w:r>
      <w:r w:rsidRPr="00CA03FF">
        <w:rPr>
          <w:rFonts w:ascii="Arial" w:hAnsi="Arial"/>
        </w:rPr>
        <w:t xml:space="preserve">which is a good point. This shows that Tokyo Consulting firm was efficient with their working capital management and could recover their cash from operations in a short period </w:t>
      </w:r>
      <w:r>
        <w:rPr>
          <w:rFonts w:ascii="Arial" w:hAnsi="Arial"/>
        </w:rPr>
        <w:t>-</w:t>
      </w:r>
      <w:r w:rsidRPr="00CA03FF">
        <w:rPr>
          <w:rFonts w:ascii="Arial" w:hAnsi="Arial"/>
        </w:rPr>
        <w:t xml:space="preserve"> an indicator of being liquid and smoothly running day-to-day businesses.</w:t>
      </w:r>
    </w:p>
    <w:p w14:paraId="09F289FA" w14:textId="1A0ECA1E" w:rsidR="00CA03FF" w:rsidRPr="00CA03FF" w:rsidRDefault="00CA03FF" w:rsidP="00CA03FF">
      <w:pPr>
        <w:rPr>
          <w:rFonts w:ascii="Arial" w:hAnsi="Arial"/>
          <w:color w:val="000000" w:themeColor="text1"/>
          <w:szCs w:val="24"/>
        </w:rPr>
      </w:pPr>
      <w:r w:rsidRPr="00CA03FF">
        <w:rPr>
          <w:rFonts w:ascii="Arial" w:hAnsi="Arial"/>
          <w:color w:val="000000" w:themeColor="text1"/>
          <w:szCs w:val="24"/>
        </w:rPr>
        <w:t>Tokyo Consulting Firm has a low Cash Conversion Cycle (CCC) which enables its good financial performance and efficient working capital management. As the company was able to convert its investment in operations into cash in a short duration of time, it remained healthy in liquidity and had sufficient cash available to make payments related to operating day-to-day expenses.</w:t>
      </w:r>
    </w:p>
    <w:p w14:paraId="6DFFF455" w14:textId="7F00CE4E" w:rsidR="005E70C1" w:rsidRPr="00F3742D" w:rsidRDefault="00287D8C" w:rsidP="00F3742D">
      <w:pPr>
        <w:pStyle w:val="Heading2"/>
        <w:rPr>
          <w:rFonts w:ascii="Arial" w:hAnsi="Arial" w:cs="Arial"/>
          <w:sz w:val="28"/>
          <w:szCs w:val="28"/>
        </w:rPr>
      </w:pPr>
      <w:bookmarkStart w:id="62" w:name="_Toc235801952"/>
      <w:r w:rsidRPr="00F3742D">
        <w:rPr>
          <w:rFonts w:ascii="Arial" w:hAnsi="Arial" w:cs="Arial"/>
          <w:sz w:val="28"/>
          <w:szCs w:val="28"/>
        </w:rPr>
        <w:lastRenderedPageBreak/>
        <w:t>4</w:t>
      </w:r>
      <w:r w:rsidR="00D854F3" w:rsidRPr="00F3742D">
        <w:rPr>
          <w:rFonts w:ascii="Arial" w:hAnsi="Arial" w:cs="Arial"/>
          <w:sz w:val="28"/>
          <w:szCs w:val="28"/>
        </w:rPr>
        <w:t>.</w:t>
      </w:r>
      <w:r w:rsidR="00F90B1B" w:rsidRPr="00F3742D">
        <w:rPr>
          <w:rFonts w:ascii="Arial" w:hAnsi="Arial" w:cs="Arial"/>
          <w:sz w:val="28"/>
          <w:szCs w:val="28"/>
        </w:rPr>
        <w:t>6 Days</w:t>
      </w:r>
      <w:r w:rsidR="00D854F3" w:rsidRPr="00F3742D">
        <w:rPr>
          <w:rFonts w:ascii="Arial" w:hAnsi="Arial" w:cs="Arial"/>
          <w:sz w:val="28"/>
          <w:szCs w:val="28"/>
        </w:rPr>
        <w:t xml:space="preserve"> </w:t>
      </w:r>
      <w:r w:rsidR="00F3742D">
        <w:rPr>
          <w:rFonts w:ascii="Arial" w:hAnsi="Arial" w:cs="Arial"/>
          <w:sz w:val="28"/>
          <w:szCs w:val="28"/>
        </w:rPr>
        <w:t xml:space="preserve">of </w:t>
      </w:r>
      <w:r w:rsidR="00F90B1B" w:rsidRPr="00CB631B">
        <w:rPr>
          <w:rFonts w:ascii="Arial" w:hAnsi="Arial" w:cs="Arial"/>
          <w:sz w:val="28"/>
          <w:szCs w:val="28"/>
        </w:rPr>
        <w:t xml:space="preserve">Inventory </w:t>
      </w:r>
      <w:r w:rsidR="00D854F3" w:rsidRPr="00CB631B">
        <w:rPr>
          <w:rFonts w:ascii="Arial" w:hAnsi="Arial" w:cs="Arial"/>
          <w:sz w:val="28"/>
          <w:szCs w:val="28"/>
        </w:rPr>
        <w:t>O</w:t>
      </w:r>
      <w:r w:rsidR="00D854F3" w:rsidRPr="00F3742D">
        <w:rPr>
          <w:rFonts w:ascii="Arial" w:hAnsi="Arial" w:cs="Arial"/>
          <w:sz w:val="28"/>
          <w:szCs w:val="28"/>
        </w:rPr>
        <w:t>utstanding (DIO)</w:t>
      </w:r>
      <w:bookmarkEnd w:id="62"/>
    </w:p>
    <w:p w14:paraId="21D84D97" w14:textId="1E01EE0A" w:rsidR="0060401A" w:rsidRPr="00A4741C" w:rsidRDefault="008143FC" w:rsidP="00A4741C">
      <w:pPr>
        <w:rPr>
          <w:rFonts w:ascii="Arial" w:hAnsi="Arial"/>
        </w:rPr>
      </w:pPr>
      <w:r w:rsidRPr="008143FC">
        <w:rPr>
          <w:rFonts w:ascii="Arial" w:hAnsi="Arial"/>
        </w:rPr>
        <w:t>The Days Inventory Outstanding is the average number of days it takes for a company to sell its inventory according to a financial measure. The inventory turnover ratio calculates the efficiency of a company in managing its stock in terms of the number of days it stays in stock before getting sold.</w:t>
      </w:r>
    </w:p>
    <w:p w14:paraId="17807DC5" w14:textId="4ED17DBD" w:rsidR="0060401A" w:rsidRDefault="00D854F3" w:rsidP="00CA52E8">
      <w:pPr>
        <w:spacing w:line="276" w:lineRule="auto"/>
        <w:jc w:val="center"/>
        <w:rPr>
          <w:rFonts w:ascii="Cambria Math" w:hAnsi="Cambria Math"/>
          <w:b/>
          <w:bCs/>
        </w:rPr>
      </w:pPr>
      <w:r w:rsidRPr="006163DA">
        <w:rPr>
          <w:rFonts w:ascii="Cambria Math" w:hAnsi="Cambria Math"/>
          <w:b/>
          <w:bCs/>
        </w:rPr>
        <w:t>Days Inventory Outstanding (DIO) = (Average Inventory ÷ Cost of Goods Sold) × 365</w:t>
      </w:r>
      <w:r w:rsidR="0060401A">
        <w:rPr>
          <w:rFonts w:ascii="Cambria Math" w:hAnsi="Cambria Math"/>
          <w:b/>
          <w:bCs/>
        </w:rPr>
        <w:t xml:space="preserve"> (5)</w:t>
      </w:r>
    </w:p>
    <w:p w14:paraId="5D73D74F" w14:textId="77777777" w:rsidR="006B3461" w:rsidRDefault="006B3461" w:rsidP="0060401A">
      <w:pPr>
        <w:spacing w:line="276" w:lineRule="auto"/>
        <w:jc w:val="center"/>
        <w:rPr>
          <w:rFonts w:ascii="Cambria Math" w:hAnsi="Cambria Math"/>
          <w:b/>
          <w:bCs/>
        </w:rPr>
      </w:pPr>
    </w:p>
    <w:p w14:paraId="7099C8BE" w14:textId="43D60B10" w:rsidR="006B3461" w:rsidRPr="006B3461" w:rsidRDefault="006B3461" w:rsidP="006B3461">
      <w:pPr>
        <w:pStyle w:val="Caption"/>
        <w:jc w:val="center"/>
        <w:rPr>
          <w:b/>
          <w:bCs/>
          <w:sz w:val="24"/>
          <w:szCs w:val="24"/>
        </w:rPr>
      </w:pPr>
      <w:bookmarkStart w:id="63" w:name="_Toc235308704"/>
      <w:bookmarkStart w:id="64" w:name="_Toc235803955"/>
      <w:bookmarkStart w:id="65" w:name="_Toc235804208"/>
      <w:r w:rsidRPr="006B3461">
        <w:rPr>
          <w:sz w:val="24"/>
          <w:szCs w:val="24"/>
        </w:rPr>
        <w:t xml:space="preserve">Table </w:t>
      </w:r>
      <w:r w:rsidRPr="006B3461">
        <w:rPr>
          <w:sz w:val="24"/>
          <w:szCs w:val="24"/>
        </w:rPr>
        <w:fldChar w:fldCharType="begin"/>
      </w:r>
      <w:r w:rsidRPr="006B3461">
        <w:rPr>
          <w:sz w:val="24"/>
          <w:szCs w:val="24"/>
        </w:rPr>
        <w:instrText xml:space="preserve"> SEQ Table \* ARABIC </w:instrText>
      </w:r>
      <w:r w:rsidRPr="006B3461">
        <w:rPr>
          <w:sz w:val="24"/>
          <w:szCs w:val="24"/>
        </w:rPr>
        <w:fldChar w:fldCharType="separate"/>
      </w:r>
      <w:r w:rsidR="003A3DA9">
        <w:rPr>
          <w:noProof/>
          <w:sz w:val="24"/>
          <w:szCs w:val="24"/>
        </w:rPr>
        <w:t>5</w:t>
      </w:r>
      <w:r w:rsidRPr="006B3461">
        <w:rPr>
          <w:noProof/>
          <w:sz w:val="24"/>
          <w:szCs w:val="24"/>
        </w:rPr>
        <w:fldChar w:fldCharType="end"/>
      </w:r>
      <w:r w:rsidRPr="006B3461">
        <w:rPr>
          <w:sz w:val="24"/>
          <w:szCs w:val="24"/>
        </w:rPr>
        <w:t>.1: Days Inventory Outstanding</w:t>
      </w:r>
      <w:bookmarkEnd w:id="63"/>
      <w:bookmarkEnd w:id="64"/>
      <w:bookmarkEnd w:id="65"/>
    </w:p>
    <w:tbl>
      <w:tblPr>
        <w:tblStyle w:val="TableGrid"/>
        <w:tblW w:w="0" w:type="auto"/>
        <w:tblLook w:val="04A0" w:firstRow="1" w:lastRow="0" w:firstColumn="1" w:lastColumn="0" w:noHBand="0" w:noVBand="1"/>
      </w:tblPr>
      <w:tblGrid>
        <w:gridCol w:w="1512"/>
        <w:gridCol w:w="1502"/>
        <w:gridCol w:w="1501"/>
        <w:gridCol w:w="1501"/>
        <w:gridCol w:w="1501"/>
        <w:gridCol w:w="1502"/>
      </w:tblGrid>
      <w:tr w:rsidR="00D854F3" w14:paraId="48EC578C" w14:textId="77777777" w:rsidTr="00D854F3">
        <w:tc>
          <w:tcPr>
            <w:tcW w:w="1503" w:type="dxa"/>
            <w:shd w:val="clear" w:color="auto" w:fill="156082" w:themeFill="accent1"/>
          </w:tcPr>
          <w:p w14:paraId="2AB026F8" w14:textId="076DFCC3" w:rsidR="00D854F3" w:rsidRPr="00C97BB4" w:rsidRDefault="00D854F3" w:rsidP="00D854F3">
            <w:pPr>
              <w:spacing w:line="276" w:lineRule="auto"/>
              <w:jc w:val="center"/>
              <w:rPr>
                <w:rFonts w:ascii="Arial" w:hAnsi="Arial"/>
                <w:b/>
                <w:bCs/>
                <w:color w:val="FFFFFF" w:themeColor="background1"/>
              </w:rPr>
            </w:pPr>
            <w:r w:rsidRPr="00C97BB4">
              <w:rPr>
                <w:rFonts w:ascii="Arial" w:hAnsi="Arial"/>
                <w:b/>
                <w:bCs/>
                <w:color w:val="FFFFFF" w:themeColor="background1"/>
              </w:rPr>
              <w:t>Year</w:t>
            </w:r>
          </w:p>
        </w:tc>
        <w:tc>
          <w:tcPr>
            <w:tcW w:w="1503" w:type="dxa"/>
            <w:shd w:val="clear" w:color="auto" w:fill="156082" w:themeFill="accent1"/>
          </w:tcPr>
          <w:p w14:paraId="42D3AF64" w14:textId="3BCF8C73" w:rsidR="00D854F3" w:rsidRPr="00C97BB4" w:rsidRDefault="00D854F3" w:rsidP="00D854F3">
            <w:pPr>
              <w:spacing w:line="276" w:lineRule="auto"/>
              <w:jc w:val="center"/>
              <w:rPr>
                <w:rFonts w:ascii="Arial" w:hAnsi="Arial"/>
                <w:b/>
                <w:bCs/>
                <w:color w:val="FFFFFF" w:themeColor="background1"/>
              </w:rPr>
            </w:pPr>
            <w:r w:rsidRPr="00C97BB4">
              <w:rPr>
                <w:rFonts w:ascii="Arial" w:hAnsi="Arial"/>
                <w:b/>
                <w:bCs/>
                <w:color w:val="FFFFFF" w:themeColor="background1"/>
              </w:rPr>
              <w:t>2021</w:t>
            </w:r>
          </w:p>
        </w:tc>
        <w:tc>
          <w:tcPr>
            <w:tcW w:w="1503" w:type="dxa"/>
            <w:shd w:val="clear" w:color="auto" w:fill="156082" w:themeFill="accent1"/>
          </w:tcPr>
          <w:p w14:paraId="4DFC6B1D" w14:textId="1499EE37" w:rsidR="00D854F3" w:rsidRPr="00C97BB4" w:rsidRDefault="00D854F3" w:rsidP="00D854F3">
            <w:pPr>
              <w:spacing w:line="276" w:lineRule="auto"/>
              <w:jc w:val="center"/>
              <w:rPr>
                <w:rFonts w:ascii="Arial" w:hAnsi="Arial"/>
                <w:b/>
                <w:bCs/>
                <w:color w:val="FFFFFF" w:themeColor="background1"/>
              </w:rPr>
            </w:pPr>
            <w:r w:rsidRPr="00C97BB4">
              <w:rPr>
                <w:rFonts w:ascii="Arial" w:hAnsi="Arial"/>
                <w:b/>
                <w:bCs/>
                <w:color w:val="FFFFFF" w:themeColor="background1"/>
              </w:rPr>
              <w:t>2022</w:t>
            </w:r>
          </w:p>
        </w:tc>
        <w:tc>
          <w:tcPr>
            <w:tcW w:w="1503" w:type="dxa"/>
            <w:shd w:val="clear" w:color="auto" w:fill="156082" w:themeFill="accent1"/>
          </w:tcPr>
          <w:p w14:paraId="67A624EE" w14:textId="76166463" w:rsidR="00D854F3" w:rsidRPr="00C97BB4" w:rsidRDefault="00D854F3" w:rsidP="00D854F3">
            <w:pPr>
              <w:spacing w:line="276" w:lineRule="auto"/>
              <w:jc w:val="center"/>
              <w:rPr>
                <w:rFonts w:ascii="Arial" w:hAnsi="Arial"/>
                <w:b/>
                <w:bCs/>
                <w:color w:val="FFFFFF" w:themeColor="background1"/>
              </w:rPr>
            </w:pPr>
            <w:r w:rsidRPr="00C97BB4">
              <w:rPr>
                <w:rFonts w:ascii="Arial" w:hAnsi="Arial"/>
                <w:b/>
                <w:bCs/>
                <w:color w:val="FFFFFF" w:themeColor="background1"/>
              </w:rPr>
              <w:t>2023</w:t>
            </w:r>
          </w:p>
        </w:tc>
        <w:tc>
          <w:tcPr>
            <w:tcW w:w="1503" w:type="dxa"/>
            <w:shd w:val="clear" w:color="auto" w:fill="156082" w:themeFill="accent1"/>
          </w:tcPr>
          <w:p w14:paraId="6BE39FCA" w14:textId="765B33D3" w:rsidR="00D854F3" w:rsidRPr="00C97BB4" w:rsidRDefault="00D854F3" w:rsidP="00D854F3">
            <w:pPr>
              <w:spacing w:line="276" w:lineRule="auto"/>
              <w:jc w:val="center"/>
              <w:rPr>
                <w:rFonts w:ascii="Arial" w:hAnsi="Arial"/>
                <w:b/>
                <w:bCs/>
                <w:color w:val="FFFFFF" w:themeColor="background1"/>
              </w:rPr>
            </w:pPr>
            <w:r w:rsidRPr="00C97BB4">
              <w:rPr>
                <w:rFonts w:ascii="Arial" w:hAnsi="Arial"/>
                <w:b/>
                <w:bCs/>
                <w:color w:val="FFFFFF" w:themeColor="background1"/>
              </w:rPr>
              <w:t>2024</w:t>
            </w:r>
          </w:p>
        </w:tc>
        <w:tc>
          <w:tcPr>
            <w:tcW w:w="1504" w:type="dxa"/>
            <w:shd w:val="clear" w:color="auto" w:fill="156082" w:themeFill="accent1"/>
          </w:tcPr>
          <w:p w14:paraId="167606B7" w14:textId="0FC43673" w:rsidR="00D854F3" w:rsidRPr="00C97BB4" w:rsidRDefault="00D854F3" w:rsidP="00D854F3">
            <w:pPr>
              <w:spacing w:line="276" w:lineRule="auto"/>
              <w:jc w:val="center"/>
              <w:rPr>
                <w:rFonts w:ascii="Arial" w:hAnsi="Arial"/>
                <w:b/>
                <w:bCs/>
                <w:color w:val="FFFFFF" w:themeColor="background1"/>
              </w:rPr>
            </w:pPr>
            <w:r w:rsidRPr="00C97BB4">
              <w:rPr>
                <w:rFonts w:ascii="Arial" w:hAnsi="Arial"/>
                <w:b/>
                <w:bCs/>
                <w:color w:val="FFFFFF" w:themeColor="background1"/>
              </w:rPr>
              <w:t>2025</w:t>
            </w:r>
          </w:p>
        </w:tc>
      </w:tr>
      <w:tr w:rsidR="00D854F3" w:rsidRPr="00D854F3" w14:paraId="00B7A3AA" w14:textId="77777777" w:rsidTr="00D854F3">
        <w:tc>
          <w:tcPr>
            <w:tcW w:w="1503" w:type="dxa"/>
          </w:tcPr>
          <w:p w14:paraId="2DE77120" w14:textId="70E8FB10" w:rsidR="00D854F3" w:rsidRPr="00C97BB4" w:rsidRDefault="00D854F3" w:rsidP="00C97BB4">
            <w:pPr>
              <w:spacing w:line="276" w:lineRule="auto"/>
              <w:jc w:val="center"/>
              <w:rPr>
                <w:rFonts w:ascii="Arial" w:hAnsi="Arial"/>
              </w:rPr>
            </w:pPr>
            <w:r w:rsidRPr="00C97BB4">
              <w:rPr>
                <w:rFonts w:ascii="Arial" w:hAnsi="Arial"/>
              </w:rPr>
              <w:t>Days Inventory Outstanding</w:t>
            </w:r>
          </w:p>
        </w:tc>
        <w:tc>
          <w:tcPr>
            <w:tcW w:w="1503" w:type="dxa"/>
          </w:tcPr>
          <w:p w14:paraId="22EB953E" w14:textId="3CD4F1FB" w:rsidR="00D854F3" w:rsidRPr="00C97BB4" w:rsidRDefault="003F54C8" w:rsidP="00D819FE">
            <w:pPr>
              <w:spacing w:line="276" w:lineRule="auto"/>
              <w:jc w:val="center"/>
              <w:rPr>
                <w:rFonts w:ascii="Arial" w:hAnsi="Arial"/>
              </w:rPr>
            </w:pPr>
            <w:r w:rsidRPr="00C97BB4">
              <w:rPr>
                <w:rFonts w:ascii="Arial" w:hAnsi="Arial"/>
              </w:rPr>
              <w:t>0</w:t>
            </w:r>
            <w:r w:rsidR="00EB46AC" w:rsidRPr="00C97BB4">
              <w:rPr>
                <w:rFonts w:ascii="Arial" w:hAnsi="Arial"/>
              </w:rPr>
              <w:t xml:space="preserve"> Days</w:t>
            </w:r>
          </w:p>
        </w:tc>
        <w:tc>
          <w:tcPr>
            <w:tcW w:w="1503" w:type="dxa"/>
          </w:tcPr>
          <w:p w14:paraId="42C94357" w14:textId="708A07D9" w:rsidR="00D854F3" w:rsidRPr="00C97BB4" w:rsidRDefault="003F54C8" w:rsidP="00D819FE">
            <w:pPr>
              <w:spacing w:line="276" w:lineRule="auto"/>
              <w:jc w:val="center"/>
              <w:rPr>
                <w:rFonts w:ascii="Arial" w:hAnsi="Arial"/>
              </w:rPr>
            </w:pPr>
            <w:r w:rsidRPr="00C97BB4">
              <w:rPr>
                <w:rFonts w:ascii="Arial" w:hAnsi="Arial"/>
              </w:rPr>
              <w:t>0</w:t>
            </w:r>
            <w:r w:rsidR="00EB46AC" w:rsidRPr="00C97BB4">
              <w:rPr>
                <w:rFonts w:ascii="Arial" w:hAnsi="Arial"/>
              </w:rPr>
              <w:t xml:space="preserve"> Days</w:t>
            </w:r>
          </w:p>
        </w:tc>
        <w:tc>
          <w:tcPr>
            <w:tcW w:w="1503" w:type="dxa"/>
          </w:tcPr>
          <w:p w14:paraId="3E2935F3" w14:textId="79311982" w:rsidR="00D854F3" w:rsidRPr="00C97BB4" w:rsidRDefault="003F54C8" w:rsidP="00D819FE">
            <w:pPr>
              <w:spacing w:line="276" w:lineRule="auto"/>
              <w:jc w:val="center"/>
              <w:rPr>
                <w:rFonts w:ascii="Arial" w:hAnsi="Arial"/>
              </w:rPr>
            </w:pPr>
            <w:r w:rsidRPr="00C97BB4">
              <w:rPr>
                <w:rFonts w:ascii="Arial" w:hAnsi="Arial"/>
              </w:rPr>
              <w:t>0</w:t>
            </w:r>
            <w:r w:rsidR="00EB46AC" w:rsidRPr="00C97BB4">
              <w:rPr>
                <w:rFonts w:ascii="Arial" w:hAnsi="Arial"/>
              </w:rPr>
              <w:t xml:space="preserve"> Days</w:t>
            </w:r>
          </w:p>
        </w:tc>
        <w:tc>
          <w:tcPr>
            <w:tcW w:w="1503" w:type="dxa"/>
          </w:tcPr>
          <w:p w14:paraId="4E0780D8" w14:textId="1741030C" w:rsidR="00D854F3" w:rsidRPr="00C97BB4" w:rsidRDefault="003F54C8" w:rsidP="00D819FE">
            <w:pPr>
              <w:spacing w:line="276" w:lineRule="auto"/>
              <w:jc w:val="center"/>
              <w:rPr>
                <w:rFonts w:ascii="Arial" w:hAnsi="Arial"/>
              </w:rPr>
            </w:pPr>
            <w:r w:rsidRPr="00C97BB4">
              <w:rPr>
                <w:rFonts w:ascii="Arial" w:hAnsi="Arial"/>
              </w:rPr>
              <w:t>0</w:t>
            </w:r>
            <w:r w:rsidR="00EB46AC" w:rsidRPr="00C97BB4">
              <w:rPr>
                <w:rFonts w:ascii="Arial" w:hAnsi="Arial"/>
              </w:rPr>
              <w:t xml:space="preserve"> Days</w:t>
            </w:r>
          </w:p>
        </w:tc>
        <w:tc>
          <w:tcPr>
            <w:tcW w:w="1504" w:type="dxa"/>
          </w:tcPr>
          <w:p w14:paraId="10E6C8F2" w14:textId="2FD09227" w:rsidR="00D854F3" w:rsidRPr="00C97BB4" w:rsidRDefault="003F54C8" w:rsidP="00D819FE">
            <w:pPr>
              <w:spacing w:line="276" w:lineRule="auto"/>
              <w:jc w:val="center"/>
              <w:rPr>
                <w:rFonts w:ascii="Arial" w:hAnsi="Arial"/>
              </w:rPr>
            </w:pPr>
            <w:r w:rsidRPr="00C97BB4">
              <w:rPr>
                <w:rFonts w:ascii="Arial" w:hAnsi="Arial"/>
              </w:rPr>
              <w:t>0</w:t>
            </w:r>
            <w:r w:rsidR="00EB46AC" w:rsidRPr="00C97BB4">
              <w:rPr>
                <w:rFonts w:ascii="Arial" w:hAnsi="Arial"/>
              </w:rPr>
              <w:t xml:space="preserve"> Days</w:t>
            </w:r>
          </w:p>
        </w:tc>
      </w:tr>
    </w:tbl>
    <w:p w14:paraId="0326FD14" w14:textId="77777777" w:rsidR="00CA52E8" w:rsidRDefault="00CA52E8" w:rsidP="00A4741C">
      <w:pPr>
        <w:rPr>
          <w:rFonts w:ascii="Arial" w:hAnsi="Arial"/>
          <w:color w:val="000000" w:themeColor="text1"/>
        </w:rPr>
      </w:pPr>
    </w:p>
    <w:p w14:paraId="561ED75E" w14:textId="42F31986" w:rsidR="005E70C1" w:rsidRPr="00A4741C" w:rsidRDefault="00A87C82" w:rsidP="00A4741C">
      <w:pPr>
        <w:rPr>
          <w:rFonts w:ascii="Arial" w:hAnsi="Arial"/>
        </w:rPr>
      </w:pPr>
      <w:r w:rsidRPr="00A4741C">
        <w:rPr>
          <w:rFonts w:ascii="Arial" w:hAnsi="Arial"/>
          <w:color w:val="000000" w:themeColor="text1"/>
        </w:rPr>
        <w:t>Tokyo Consulting Firm (TCF)</w:t>
      </w:r>
      <w:r w:rsidR="008143FC">
        <w:rPr>
          <w:rFonts w:ascii="Arial" w:hAnsi="Arial"/>
          <w:color w:val="000000" w:themeColor="text1"/>
        </w:rPr>
        <w:t xml:space="preserve"> Bangladesh</w:t>
      </w:r>
      <w:r w:rsidRPr="00A4741C">
        <w:rPr>
          <w:rFonts w:ascii="Arial" w:hAnsi="Arial"/>
          <w:color w:val="000000" w:themeColor="text1"/>
        </w:rPr>
        <w:t xml:space="preserve"> </w:t>
      </w:r>
      <w:r w:rsidR="008143FC">
        <w:rPr>
          <w:rFonts w:ascii="Arial" w:hAnsi="Arial"/>
          <w:color w:val="000000" w:themeColor="text1"/>
        </w:rPr>
        <w:t>d</w:t>
      </w:r>
      <w:r w:rsidR="008143FC" w:rsidRPr="008143FC">
        <w:rPr>
          <w:rFonts w:ascii="Arial" w:hAnsi="Arial"/>
          <w:color w:val="000000" w:themeColor="text1"/>
        </w:rPr>
        <w:t>oes not engage in selling products. Consulting, accounting, and VAT advice can’t be inventory for sale. So, there being no ‘Inventory’ line shown anywhere within the B/S for all five years, there’s just nothing to hold or turn. For this kind of service business, DIO at zero does not mean a whole lot.</w:t>
      </w:r>
    </w:p>
    <w:p w14:paraId="4C73B31E" w14:textId="676566AB" w:rsidR="005E70C1" w:rsidRPr="00F3742D" w:rsidRDefault="00287D8C" w:rsidP="00F3742D">
      <w:pPr>
        <w:pStyle w:val="Heading2"/>
        <w:rPr>
          <w:rFonts w:ascii="Arial" w:hAnsi="Arial" w:cs="Arial"/>
          <w:sz w:val="28"/>
          <w:szCs w:val="28"/>
        </w:rPr>
      </w:pPr>
      <w:bookmarkStart w:id="66" w:name="_Toc235801953"/>
      <w:r w:rsidRPr="00F3742D">
        <w:rPr>
          <w:rFonts w:ascii="Arial" w:hAnsi="Arial" w:cs="Arial"/>
          <w:sz w:val="28"/>
          <w:szCs w:val="28"/>
        </w:rPr>
        <w:t>4</w:t>
      </w:r>
      <w:r w:rsidR="00F90B1B" w:rsidRPr="00F3742D">
        <w:rPr>
          <w:rFonts w:ascii="Arial" w:hAnsi="Arial" w:cs="Arial"/>
          <w:sz w:val="28"/>
          <w:szCs w:val="28"/>
        </w:rPr>
        <w:t>.7</w:t>
      </w:r>
      <w:r w:rsidR="00D854F3" w:rsidRPr="00F3742D">
        <w:rPr>
          <w:rFonts w:ascii="Arial" w:hAnsi="Arial" w:cs="Arial"/>
          <w:sz w:val="28"/>
          <w:szCs w:val="28"/>
        </w:rPr>
        <w:t xml:space="preserve"> Days Sales Outstanding (DSO)</w:t>
      </w:r>
      <w:bookmarkEnd w:id="66"/>
      <w:r w:rsidR="00D854F3" w:rsidRPr="00F3742D">
        <w:rPr>
          <w:rFonts w:ascii="Arial" w:hAnsi="Arial" w:cs="Arial"/>
          <w:sz w:val="28"/>
          <w:szCs w:val="28"/>
        </w:rPr>
        <w:t xml:space="preserve"> </w:t>
      </w:r>
    </w:p>
    <w:p w14:paraId="7E283B43" w14:textId="6B428F3F" w:rsidR="009E7A37" w:rsidRPr="00F312CD" w:rsidRDefault="00DA2353" w:rsidP="00F312CD">
      <w:pPr>
        <w:rPr>
          <w:rFonts w:ascii="Arial" w:hAnsi="Arial"/>
        </w:rPr>
      </w:pPr>
      <w:r w:rsidRPr="00DA2353">
        <w:rPr>
          <w:rFonts w:ascii="Arial" w:hAnsi="Arial"/>
        </w:rPr>
        <w:t>Days Sales Outstanding (DSO) is the average number of days it takes for a company to collect cash from customers after making credit sales. It shows the effectiveness of the company’s management of accounts receivable and collection of outstanding payments.</w:t>
      </w:r>
    </w:p>
    <w:p w14:paraId="23128597" w14:textId="738AF316" w:rsidR="00FB11A4" w:rsidRDefault="009E7A37" w:rsidP="0060401A">
      <w:pPr>
        <w:spacing w:line="276" w:lineRule="auto"/>
        <w:jc w:val="center"/>
        <w:rPr>
          <w:rFonts w:ascii="Cambria Math" w:hAnsi="Cambria Math"/>
          <w:b/>
          <w:bCs/>
        </w:rPr>
      </w:pPr>
      <w:r w:rsidRPr="006163DA">
        <w:rPr>
          <w:rFonts w:ascii="Cambria Math" w:hAnsi="Cambria Math"/>
          <w:b/>
          <w:bCs/>
        </w:rPr>
        <w:t>Days Sales Outstanding (DSO) = (Average Accounts Receivable ÷ Net Credit Sales) × 365</w:t>
      </w:r>
      <w:r w:rsidR="0060401A">
        <w:rPr>
          <w:rFonts w:ascii="Cambria Math" w:hAnsi="Cambria Math"/>
          <w:b/>
          <w:bCs/>
        </w:rPr>
        <w:t xml:space="preserve"> (6)</w:t>
      </w:r>
    </w:p>
    <w:p w14:paraId="0E4A8CA8" w14:textId="77777777" w:rsidR="00252A5D" w:rsidRDefault="00252A5D" w:rsidP="0060401A">
      <w:pPr>
        <w:spacing w:line="276" w:lineRule="auto"/>
        <w:jc w:val="center"/>
        <w:rPr>
          <w:rFonts w:ascii="Cambria Math" w:hAnsi="Cambria Math"/>
          <w:b/>
          <w:bCs/>
        </w:rPr>
      </w:pPr>
    </w:p>
    <w:p w14:paraId="505EE719" w14:textId="6D4CF42D" w:rsidR="008C0D23" w:rsidRPr="006B3461" w:rsidRDefault="008C0D23" w:rsidP="006B3461">
      <w:pPr>
        <w:pStyle w:val="Caption"/>
        <w:jc w:val="center"/>
        <w:rPr>
          <w:sz w:val="24"/>
          <w:szCs w:val="24"/>
        </w:rPr>
      </w:pPr>
      <w:bookmarkStart w:id="67" w:name="_Toc235308705"/>
      <w:bookmarkStart w:id="68" w:name="_Toc235803956"/>
      <w:bookmarkStart w:id="69" w:name="_Toc235804209"/>
      <w:r w:rsidRPr="006B3461">
        <w:rPr>
          <w:sz w:val="24"/>
          <w:szCs w:val="24"/>
        </w:rPr>
        <w:t xml:space="preserve">Table </w:t>
      </w:r>
      <w:r w:rsidRPr="006B3461">
        <w:rPr>
          <w:sz w:val="24"/>
          <w:szCs w:val="24"/>
        </w:rPr>
        <w:fldChar w:fldCharType="begin"/>
      </w:r>
      <w:r w:rsidRPr="006B3461">
        <w:rPr>
          <w:sz w:val="24"/>
          <w:szCs w:val="24"/>
        </w:rPr>
        <w:instrText xml:space="preserve"> SEQ Table \* ARABIC </w:instrText>
      </w:r>
      <w:r w:rsidRPr="006B3461">
        <w:rPr>
          <w:sz w:val="24"/>
          <w:szCs w:val="24"/>
        </w:rPr>
        <w:fldChar w:fldCharType="separate"/>
      </w:r>
      <w:r w:rsidR="003A3DA9">
        <w:rPr>
          <w:noProof/>
          <w:sz w:val="24"/>
          <w:szCs w:val="24"/>
        </w:rPr>
        <w:t>6</w:t>
      </w:r>
      <w:r w:rsidRPr="006B3461">
        <w:rPr>
          <w:noProof/>
          <w:sz w:val="24"/>
          <w:szCs w:val="24"/>
        </w:rPr>
        <w:fldChar w:fldCharType="end"/>
      </w:r>
      <w:r w:rsidRPr="006B3461">
        <w:rPr>
          <w:sz w:val="24"/>
          <w:szCs w:val="24"/>
        </w:rPr>
        <w:t>.1: Days Sales Outstanding</w:t>
      </w:r>
      <w:bookmarkEnd w:id="67"/>
      <w:bookmarkEnd w:id="68"/>
      <w:bookmarkEnd w:id="69"/>
    </w:p>
    <w:tbl>
      <w:tblPr>
        <w:tblStyle w:val="TableGrid"/>
        <w:tblW w:w="0" w:type="auto"/>
        <w:tblLook w:val="04A0" w:firstRow="1" w:lastRow="0" w:firstColumn="1" w:lastColumn="0" w:noHBand="0" w:noVBand="1"/>
      </w:tblPr>
      <w:tblGrid>
        <w:gridCol w:w="1512"/>
        <w:gridCol w:w="1502"/>
        <w:gridCol w:w="1501"/>
        <w:gridCol w:w="1501"/>
        <w:gridCol w:w="1501"/>
        <w:gridCol w:w="1502"/>
      </w:tblGrid>
      <w:tr w:rsidR="009E7A37" w14:paraId="47E14ECA" w14:textId="77777777" w:rsidTr="009E7A37">
        <w:tc>
          <w:tcPr>
            <w:tcW w:w="1503" w:type="dxa"/>
            <w:shd w:val="clear" w:color="auto" w:fill="156082" w:themeFill="accent1"/>
          </w:tcPr>
          <w:p w14:paraId="4D1ABD67" w14:textId="4ED8E808" w:rsidR="009E7A37" w:rsidRPr="00C97BB4" w:rsidRDefault="009E7A37" w:rsidP="009E7A37">
            <w:pPr>
              <w:spacing w:line="276" w:lineRule="auto"/>
              <w:jc w:val="center"/>
              <w:rPr>
                <w:rFonts w:ascii="Arial" w:hAnsi="Arial"/>
                <w:b/>
                <w:bCs/>
                <w:color w:val="FFFFFF" w:themeColor="background1"/>
              </w:rPr>
            </w:pPr>
            <w:r w:rsidRPr="00C97BB4">
              <w:rPr>
                <w:rFonts w:ascii="Arial" w:hAnsi="Arial"/>
                <w:b/>
                <w:bCs/>
                <w:color w:val="FFFFFF" w:themeColor="background1"/>
              </w:rPr>
              <w:t>Year</w:t>
            </w:r>
          </w:p>
        </w:tc>
        <w:tc>
          <w:tcPr>
            <w:tcW w:w="1503" w:type="dxa"/>
            <w:shd w:val="clear" w:color="auto" w:fill="156082" w:themeFill="accent1"/>
          </w:tcPr>
          <w:p w14:paraId="15E0E419" w14:textId="14F01566" w:rsidR="009E7A37" w:rsidRPr="00C97BB4" w:rsidRDefault="009E7A37" w:rsidP="009E7A37">
            <w:pPr>
              <w:spacing w:line="276" w:lineRule="auto"/>
              <w:jc w:val="center"/>
              <w:rPr>
                <w:rFonts w:ascii="Arial" w:hAnsi="Arial"/>
                <w:b/>
                <w:bCs/>
                <w:color w:val="FFFFFF" w:themeColor="background1"/>
              </w:rPr>
            </w:pPr>
            <w:r w:rsidRPr="00C97BB4">
              <w:rPr>
                <w:rFonts w:ascii="Arial" w:hAnsi="Arial"/>
                <w:b/>
                <w:bCs/>
                <w:color w:val="FFFFFF" w:themeColor="background1"/>
              </w:rPr>
              <w:t>2021</w:t>
            </w:r>
          </w:p>
        </w:tc>
        <w:tc>
          <w:tcPr>
            <w:tcW w:w="1503" w:type="dxa"/>
            <w:shd w:val="clear" w:color="auto" w:fill="156082" w:themeFill="accent1"/>
          </w:tcPr>
          <w:p w14:paraId="6F9B5817" w14:textId="7BC5AE1D" w:rsidR="009E7A37" w:rsidRPr="00C97BB4" w:rsidRDefault="009E7A37" w:rsidP="009E7A37">
            <w:pPr>
              <w:spacing w:line="276" w:lineRule="auto"/>
              <w:jc w:val="center"/>
              <w:rPr>
                <w:rFonts w:ascii="Arial" w:hAnsi="Arial"/>
                <w:b/>
                <w:bCs/>
                <w:color w:val="FFFFFF" w:themeColor="background1"/>
              </w:rPr>
            </w:pPr>
            <w:r w:rsidRPr="00C97BB4">
              <w:rPr>
                <w:rFonts w:ascii="Arial" w:hAnsi="Arial"/>
                <w:b/>
                <w:bCs/>
                <w:color w:val="FFFFFF" w:themeColor="background1"/>
              </w:rPr>
              <w:t>2022</w:t>
            </w:r>
          </w:p>
        </w:tc>
        <w:tc>
          <w:tcPr>
            <w:tcW w:w="1503" w:type="dxa"/>
            <w:shd w:val="clear" w:color="auto" w:fill="156082" w:themeFill="accent1"/>
          </w:tcPr>
          <w:p w14:paraId="358F4F5C" w14:textId="6CAEAF52" w:rsidR="009E7A37" w:rsidRPr="00C97BB4" w:rsidRDefault="009E7A37" w:rsidP="009E7A37">
            <w:pPr>
              <w:spacing w:line="276" w:lineRule="auto"/>
              <w:jc w:val="center"/>
              <w:rPr>
                <w:rFonts w:ascii="Arial" w:hAnsi="Arial"/>
                <w:b/>
                <w:bCs/>
                <w:color w:val="FFFFFF" w:themeColor="background1"/>
              </w:rPr>
            </w:pPr>
            <w:r w:rsidRPr="00C97BB4">
              <w:rPr>
                <w:rFonts w:ascii="Arial" w:hAnsi="Arial"/>
                <w:b/>
                <w:bCs/>
                <w:color w:val="FFFFFF" w:themeColor="background1"/>
              </w:rPr>
              <w:t>2023</w:t>
            </w:r>
          </w:p>
        </w:tc>
        <w:tc>
          <w:tcPr>
            <w:tcW w:w="1503" w:type="dxa"/>
            <w:shd w:val="clear" w:color="auto" w:fill="156082" w:themeFill="accent1"/>
          </w:tcPr>
          <w:p w14:paraId="55E45091" w14:textId="4572B0BB" w:rsidR="009E7A37" w:rsidRPr="00C97BB4" w:rsidRDefault="009E7A37" w:rsidP="009E7A37">
            <w:pPr>
              <w:spacing w:line="276" w:lineRule="auto"/>
              <w:jc w:val="center"/>
              <w:rPr>
                <w:rFonts w:ascii="Arial" w:hAnsi="Arial"/>
                <w:b/>
                <w:bCs/>
                <w:color w:val="FFFFFF" w:themeColor="background1"/>
              </w:rPr>
            </w:pPr>
            <w:r w:rsidRPr="00C97BB4">
              <w:rPr>
                <w:rFonts w:ascii="Arial" w:hAnsi="Arial"/>
                <w:b/>
                <w:bCs/>
                <w:color w:val="FFFFFF" w:themeColor="background1"/>
              </w:rPr>
              <w:t>2024</w:t>
            </w:r>
          </w:p>
        </w:tc>
        <w:tc>
          <w:tcPr>
            <w:tcW w:w="1504" w:type="dxa"/>
            <w:shd w:val="clear" w:color="auto" w:fill="156082" w:themeFill="accent1"/>
          </w:tcPr>
          <w:p w14:paraId="32F3A3D7" w14:textId="04CF2D7A" w:rsidR="009E7A37" w:rsidRPr="00C97BB4" w:rsidRDefault="009E7A37" w:rsidP="009E7A37">
            <w:pPr>
              <w:spacing w:line="276" w:lineRule="auto"/>
              <w:jc w:val="center"/>
              <w:rPr>
                <w:rFonts w:ascii="Arial" w:hAnsi="Arial"/>
                <w:b/>
                <w:bCs/>
                <w:color w:val="FFFFFF" w:themeColor="background1"/>
              </w:rPr>
            </w:pPr>
            <w:r w:rsidRPr="00C97BB4">
              <w:rPr>
                <w:rFonts w:ascii="Arial" w:hAnsi="Arial"/>
                <w:b/>
                <w:bCs/>
                <w:color w:val="FFFFFF" w:themeColor="background1"/>
              </w:rPr>
              <w:t>2025</w:t>
            </w:r>
          </w:p>
        </w:tc>
      </w:tr>
      <w:tr w:rsidR="009E7A37" w14:paraId="5EB48755" w14:textId="77777777" w:rsidTr="009E7A37">
        <w:tc>
          <w:tcPr>
            <w:tcW w:w="1503" w:type="dxa"/>
          </w:tcPr>
          <w:p w14:paraId="29987380" w14:textId="5E8FBCF1" w:rsidR="009E7A37" w:rsidRPr="00C97BB4" w:rsidRDefault="009E7A37" w:rsidP="00C97BB4">
            <w:pPr>
              <w:spacing w:line="276" w:lineRule="auto"/>
              <w:jc w:val="center"/>
              <w:rPr>
                <w:rFonts w:ascii="Arial" w:hAnsi="Arial"/>
              </w:rPr>
            </w:pPr>
            <w:r w:rsidRPr="00C97BB4">
              <w:rPr>
                <w:rFonts w:ascii="Arial" w:hAnsi="Arial"/>
              </w:rPr>
              <w:t>Days Sales Outstanding</w:t>
            </w:r>
          </w:p>
        </w:tc>
        <w:tc>
          <w:tcPr>
            <w:tcW w:w="1503" w:type="dxa"/>
          </w:tcPr>
          <w:p w14:paraId="5893C05A" w14:textId="13F072F5" w:rsidR="009E7A37" w:rsidRPr="00C97BB4" w:rsidRDefault="005168C8" w:rsidP="005168C8">
            <w:pPr>
              <w:spacing w:line="276" w:lineRule="auto"/>
              <w:jc w:val="center"/>
              <w:rPr>
                <w:rFonts w:ascii="Arial" w:hAnsi="Arial"/>
              </w:rPr>
            </w:pPr>
            <w:r w:rsidRPr="00C97BB4">
              <w:rPr>
                <w:rFonts w:ascii="Arial" w:hAnsi="Arial"/>
              </w:rPr>
              <w:t>33 Days</w:t>
            </w:r>
          </w:p>
        </w:tc>
        <w:tc>
          <w:tcPr>
            <w:tcW w:w="1503" w:type="dxa"/>
          </w:tcPr>
          <w:p w14:paraId="37472825" w14:textId="2D9759A3" w:rsidR="009E7A37" w:rsidRPr="00C97BB4" w:rsidRDefault="00FC7BE7" w:rsidP="005168C8">
            <w:pPr>
              <w:spacing w:line="276" w:lineRule="auto"/>
              <w:jc w:val="center"/>
              <w:rPr>
                <w:rFonts w:ascii="Arial" w:hAnsi="Arial"/>
              </w:rPr>
            </w:pPr>
            <w:r w:rsidRPr="00C97BB4">
              <w:rPr>
                <w:rFonts w:ascii="Arial" w:hAnsi="Arial"/>
              </w:rPr>
              <w:t>46</w:t>
            </w:r>
            <w:r w:rsidR="005168C8" w:rsidRPr="00C97BB4">
              <w:rPr>
                <w:rFonts w:ascii="Arial" w:hAnsi="Arial"/>
              </w:rPr>
              <w:t xml:space="preserve"> Days</w:t>
            </w:r>
          </w:p>
        </w:tc>
        <w:tc>
          <w:tcPr>
            <w:tcW w:w="1503" w:type="dxa"/>
          </w:tcPr>
          <w:p w14:paraId="3FDBD90D" w14:textId="3D8325D1" w:rsidR="009E7A37" w:rsidRPr="00C97BB4" w:rsidRDefault="003A3637" w:rsidP="005168C8">
            <w:pPr>
              <w:spacing w:line="276" w:lineRule="auto"/>
              <w:jc w:val="center"/>
              <w:rPr>
                <w:rFonts w:ascii="Arial" w:hAnsi="Arial"/>
              </w:rPr>
            </w:pPr>
            <w:r w:rsidRPr="00C97BB4">
              <w:rPr>
                <w:rFonts w:ascii="Arial" w:hAnsi="Arial"/>
              </w:rPr>
              <w:t>4</w:t>
            </w:r>
            <w:r w:rsidR="00FC7BE7" w:rsidRPr="00C97BB4">
              <w:rPr>
                <w:rFonts w:ascii="Arial" w:hAnsi="Arial"/>
              </w:rPr>
              <w:t>1</w:t>
            </w:r>
            <w:r w:rsidR="005168C8" w:rsidRPr="00C97BB4">
              <w:rPr>
                <w:rFonts w:ascii="Arial" w:hAnsi="Arial"/>
              </w:rPr>
              <w:t xml:space="preserve"> Days</w:t>
            </w:r>
          </w:p>
        </w:tc>
        <w:tc>
          <w:tcPr>
            <w:tcW w:w="1503" w:type="dxa"/>
          </w:tcPr>
          <w:p w14:paraId="702297BE" w14:textId="0D5A0303" w:rsidR="009E7A37" w:rsidRPr="00C97BB4" w:rsidRDefault="003A3637" w:rsidP="005168C8">
            <w:pPr>
              <w:spacing w:line="276" w:lineRule="auto"/>
              <w:jc w:val="center"/>
              <w:rPr>
                <w:rFonts w:ascii="Arial" w:hAnsi="Arial"/>
              </w:rPr>
            </w:pPr>
            <w:r w:rsidRPr="00C97BB4">
              <w:rPr>
                <w:rFonts w:ascii="Arial" w:hAnsi="Arial"/>
              </w:rPr>
              <w:t>39</w:t>
            </w:r>
            <w:r w:rsidR="005168C8" w:rsidRPr="00C97BB4">
              <w:rPr>
                <w:rFonts w:ascii="Arial" w:hAnsi="Arial"/>
              </w:rPr>
              <w:t xml:space="preserve"> Days</w:t>
            </w:r>
          </w:p>
        </w:tc>
        <w:tc>
          <w:tcPr>
            <w:tcW w:w="1504" w:type="dxa"/>
          </w:tcPr>
          <w:p w14:paraId="7A2453EC" w14:textId="3E4BE621" w:rsidR="009E7A37" w:rsidRPr="00C97BB4" w:rsidRDefault="005168C8" w:rsidP="005168C8">
            <w:pPr>
              <w:spacing w:line="276" w:lineRule="auto"/>
              <w:jc w:val="center"/>
              <w:rPr>
                <w:rFonts w:ascii="Arial" w:hAnsi="Arial"/>
              </w:rPr>
            </w:pPr>
            <w:r w:rsidRPr="00C97BB4">
              <w:rPr>
                <w:rFonts w:ascii="Arial" w:hAnsi="Arial"/>
              </w:rPr>
              <w:t>4</w:t>
            </w:r>
            <w:r w:rsidR="003A3637" w:rsidRPr="00C97BB4">
              <w:rPr>
                <w:rFonts w:ascii="Arial" w:hAnsi="Arial"/>
              </w:rPr>
              <w:t>3</w:t>
            </w:r>
            <w:r w:rsidRPr="00C97BB4">
              <w:rPr>
                <w:rFonts w:ascii="Arial" w:hAnsi="Arial"/>
              </w:rPr>
              <w:t xml:space="preserve"> Days</w:t>
            </w:r>
          </w:p>
        </w:tc>
      </w:tr>
    </w:tbl>
    <w:p w14:paraId="0FD57F96" w14:textId="77777777" w:rsidR="00181181" w:rsidRPr="00181181" w:rsidRDefault="00181181" w:rsidP="00181181"/>
    <w:p w14:paraId="2729DA73" w14:textId="2B8F639F" w:rsidR="00072AFA" w:rsidRDefault="00602FCB" w:rsidP="00602FCB">
      <w:pPr>
        <w:spacing w:line="276" w:lineRule="auto"/>
        <w:jc w:val="center"/>
      </w:pPr>
      <w:r>
        <w:rPr>
          <w:noProof/>
          <w14:ligatures w14:val="standardContextual"/>
        </w:rPr>
        <w:lastRenderedPageBreak/>
        <w:drawing>
          <wp:inline distT="0" distB="0" distL="0" distR="0" wp14:anchorId="36ED9385" wp14:editId="2C99A81E">
            <wp:extent cx="5657850" cy="2876550"/>
            <wp:effectExtent l="0" t="0" r="0" b="0"/>
            <wp:docPr id="48467161" name="Chart 1">
              <a:extLst xmlns:a="http://schemas.openxmlformats.org/drawingml/2006/main">
                <a:ext uri="{FF2B5EF4-FFF2-40B4-BE49-F238E27FC236}">
                  <a16:creationId xmlns:a16="http://schemas.microsoft.com/office/drawing/2014/main" id="{E290FB4D-E634-0EFD-116F-884AA97AB57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3415F714" w14:textId="5E66CF13" w:rsidR="00072AFA" w:rsidRPr="001808BD" w:rsidRDefault="00D565C0" w:rsidP="00D565C0">
      <w:pPr>
        <w:pStyle w:val="Caption"/>
        <w:jc w:val="center"/>
        <w:rPr>
          <w:sz w:val="24"/>
          <w:szCs w:val="24"/>
        </w:rPr>
      </w:pPr>
      <w:bookmarkStart w:id="70" w:name="_Toc235308690"/>
      <w:r w:rsidRPr="001808BD">
        <w:rPr>
          <w:sz w:val="24"/>
          <w:szCs w:val="24"/>
        </w:rPr>
        <w:t xml:space="preserve">Figure </w:t>
      </w:r>
      <w:r w:rsidR="00D94E28" w:rsidRPr="001808BD">
        <w:rPr>
          <w:sz w:val="24"/>
          <w:szCs w:val="24"/>
        </w:rPr>
        <w:fldChar w:fldCharType="begin"/>
      </w:r>
      <w:r w:rsidR="00D94E28" w:rsidRPr="001808BD">
        <w:rPr>
          <w:sz w:val="24"/>
          <w:szCs w:val="24"/>
        </w:rPr>
        <w:instrText xml:space="preserve"> SEQ Figure \* ARABIC </w:instrText>
      </w:r>
      <w:r w:rsidR="00D94E28" w:rsidRPr="001808BD">
        <w:rPr>
          <w:sz w:val="24"/>
          <w:szCs w:val="24"/>
        </w:rPr>
        <w:fldChar w:fldCharType="separate"/>
      </w:r>
      <w:r w:rsidR="00C15A61">
        <w:rPr>
          <w:noProof/>
          <w:sz w:val="24"/>
          <w:szCs w:val="24"/>
        </w:rPr>
        <w:t>6</w:t>
      </w:r>
      <w:r w:rsidR="00D94E28" w:rsidRPr="001808BD">
        <w:rPr>
          <w:noProof/>
          <w:sz w:val="24"/>
          <w:szCs w:val="24"/>
        </w:rPr>
        <w:fldChar w:fldCharType="end"/>
      </w:r>
      <w:r w:rsidRPr="001808BD">
        <w:rPr>
          <w:sz w:val="24"/>
          <w:szCs w:val="24"/>
        </w:rPr>
        <w:t>.1: Days Sales Outstanding (Graph)</w:t>
      </w:r>
      <w:bookmarkEnd w:id="70"/>
    </w:p>
    <w:p w14:paraId="0F159708" w14:textId="77777777" w:rsidR="00252A5D" w:rsidRDefault="00252A5D" w:rsidP="00DF6AAB">
      <w:pPr>
        <w:rPr>
          <w:rFonts w:ascii="Arial" w:hAnsi="Arial"/>
        </w:rPr>
      </w:pPr>
    </w:p>
    <w:p w14:paraId="58394A15" w14:textId="227C2148" w:rsidR="00602FCB" w:rsidRDefault="00DF6AAB" w:rsidP="00DF6AAB">
      <w:pPr>
        <w:rPr>
          <w:rFonts w:ascii="Arial" w:hAnsi="Arial"/>
        </w:rPr>
      </w:pPr>
      <w:r w:rsidRPr="00DF6AAB">
        <w:rPr>
          <w:rFonts w:ascii="Arial" w:hAnsi="Arial"/>
        </w:rPr>
        <w:t>The Days Sales Outstanding (DSO) is a measure of the average number of days that a company takes to receive cash after it has provided services. Lower DSO is generally better, as it means faster collection of receivables and better cash flow management.</w:t>
      </w:r>
    </w:p>
    <w:p w14:paraId="7A5D444A" w14:textId="3AA7B4D7" w:rsidR="00602FCB" w:rsidRDefault="00DF6AAB" w:rsidP="00CA52E8">
      <w:pPr>
        <w:rPr>
          <w:rFonts w:ascii="Arial" w:hAnsi="Arial"/>
        </w:rPr>
      </w:pPr>
      <w:r w:rsidRPr="00DF6AAB">
        <w:rPr>
          <w:rFonts w:ascii="Arial" w:hAnsi="Arial"/>
        </w:rPr>
        <w:t>According to the table, the DSO for Tokyo Consulting Firm was 33 days in 2021, and increased to 46 days in 2022, meaning that customers delayed their payments. The DSO improved to 41 days in 2023 and 39 days in 2024, showing better collection efficiency. But it nudged up a bit to 43 days in 2025. The company’s DSO remained at a reasonable range of 33</w:t>
      </w:r>
      <w:r>
        <w:rPr>
          <w:rFonts w:ascii="Arial" w:hAnsi="Arial"/>
        </w:rPr>
        <w:t>-</w:t>
      </w:r>
      <w:r w:rsidRPr="00DF6AAB">
        <w:rPr>
          <w:rFonts w:ascii="Arial" w:hAnsi="Arial"/>
        </w:rPr>
        <w:t>46 days overall, indicating effective receivables management. The fluctuations show some variation in</w:t>
      </w:r>
      <w:r>
        <w:rPr>
          <w:rFonts w:ascii="Arial" w:hAnsi="Arial"/>
        </w:rPr>
        <w:t xml:space="preserve"> </w:t>
      </w:r>
      <w:r w:rsidRPr="00DF6AAB">
        <w:rPr>
          <w:rFonts w:ascii="Arial" w:hAnsi="Arial"/>
        </w:rPr>
        <w:t>collection efficiency but in general the company managed to maintain a healthy cash collection process which is a good sign of liquidity and day-to-day operations.</w:t>
      </w:r>
    </w:p>
    <w:p w14:paraId="4FBB59BB" w14:textId="77777777" w:rsidR="00252A5D" w:rsidRDefault="00252A5D" w:rsidP="00CA52E8">
      <w:pPr>
        <w:rPr>
          <w:rFonts w:ascii="Arial" w:hAnsi="Arial"/>
        </w:rPr>
      </w:pPr>
    </w:p>
    <w:p w14:paraId="44124579" w14:textId="77777777" w:rsidR="00252A5D" w:rsidRDefault="00252A5D" w:rsidP="00CA52E8">
      <w:pPr>
        <w:rPr>
          <w:rFonts w:ascii="Arial" w:hAnsi="Arial"/>
        </w:rPr>
      </w:pPr>
    </w:p>
    <w:p w14:paraId="0CE8F456" w14:textId="77777777" w:rsidR="00252A5D" w:rsidRDefault="00252A5D" w:rsidP="00CA52E8">
      <w:pPr>
        <w:rPr>
          <w:rFonts w:ascii="Arial" w:hAnsi="Arial"/>
        </w:rPr>
      </w:pPr>
    </w:p>
    <w:p w14:paraId="3D52A55A" w14:textId="77777777" w:rsidR="00252A5D" w:rsidRDefault="00252A5D" w:rsidP="00CA52E8">
      <w:pPr>
        <w:rPr>
          <w:rFonts w:ascii="Arial" w:hAnsi="Arial"/>
        </w:rPr>
      </w:pPr>
    </w:p>
    <w:p w14:paraId="38214A3E" w14:textId="77777777" w:rsidR="00252A5D" w:rsidRDefault="00252A5D" w:rsidP="00CA52E8">
      <w:pPr>
        <w:rPr>
          <w:rFonts w:ascii="Arial" w:hAnsi="Arial"/>
        </w:rPr>
      </w:pPr>
    </w:p>
    <w:p w14:paraId="4932083D" w14:textId="77777777" w:rsidR="00252A5D" w:rsidRPr="00CA52E8" w:rsidRDefault="00252A5D" w:rsidP="00CA52E8">
      <w:pPr>
        <w:rPr>
          <w:rFonts w:ascii="Arial" w:hAnsi="Arial"/>
        </w:rPr>
      </w:pPr>
    </w:p>
    <w:p w14:paraId="7A18098E" w14:textId="566DF31C" w:rsidR="005E70C1" w:rsidRPr="00F3742D" w:rsidRDefault="00287D8C" w:rsidP="00F3742D">
      <w:pPr>
        <w:pStyle w:val="Heading2"/>
        <w:rPr>
          <w:rFonts w:ascii="Arial" w:hAnsi="Arial" w:cs="Arial"/>
          <w:sz w:val="28"/>
          <w:szCs w:val="28"/>
        </w:rPr>
      </w:pPr>
      <w:bookmarkStart w:id="71" w:name="_Toc235801954"/>
      <w:r w:rsidRPr="00F3742D">
        <w:rPr>
          <w:rFonts w:ascii="Arial" w:hAnsi="Arial" w:cs="Arial"/>
          <w:sz w:val="28"/>
          <w:szCs w:val="28"/>
        </w:rPr>
        <w:lastRenderedPageBreak/>
        <w:t>4</w:t>
      </w:r>
      <w:r w:rsidR="00F90B1B" w:rsidRPr="00F3742D">
        <w:rPr>
          <w:rFonts w:ascii="Arial" w:hAnsi="Arial" w:cs="Arial"/>
          <w:sz w:val="28"/>
          <w:szCs w:val="28"/>
        </w:rPr>
        <w:t>.8</w:t>
      </w:r>
      <w:r w:rsidR="009E7A37" w:rsidRPr="00F3742D">
        <w:rPr>
          <w:rFonts w:ascii="Arial" w:hAnsi="Arial" w:cs="Arial"/>
          <w:sz w:val="28"/>
          <w:szCs w:val="28"/>
        </w:rPr>
        <w:t xml:space="preserve"> Days Payables Outstanding</w:t>
      </w:r>
      <w:bookmarkEnd w:id="71"/>
    </w:p>
    <w:p w14:paraId="37D9F51C" w14:textId="4A4FD982" w:rsidR="005E70C1" w:rsidRPr="00252A5D" w:rsidRDefault="007928EF" w:rsidP="00252A5D">
      <w:pPr>
        <w:rPr>
          <w:rFonts w:ascii="Arial" w:hAnsi="Arial"/>
        </w:rPr>
      </w:pPr>
      <w:r w:rsidRPr="00F312CD">
        <w:rPr>
          <w:rFonts w:ascii="Arial" w:hAnsi="Arial"/>
        </w:rPr>
        <w:t>Days Payables Outstanding (DPO) is a financial ratio that measures the average number of days a company takes to pay its suppliers for purchases made on credit. It indicates how efficiently the company manages its accounts payable and short-term payment obligations.</w:t>
      </w:r>
    </w:p>
    <w:p w14:paraId="3135512E" w14:textId="55D18923" w:rsidR="0060401A" w:rsidRDefault="007928EF" w:rsidP="00CA52E8">
      <w:pPr>
        <w:spacing w:line="276" w:lineRule="auto"/>
        <w:jc w:val="center"/>
        <w:rPr>
          <w:rFonts w:ascii="Cambria Math" w:hAnsi="Cambria Math"/>
          <w:b/>
          <w:bCs/>
        </w:rPr>
      </w:pPr>
      <w:r w:rsidRPr="006163DA">
        <w:rPr>
          <w:rFonts w:ascii="Cambria Math" w:hAnsi="Cambria Math"/>
          <w:b/>
          <w:bCs/>
        </w:rPr>
        <w:t>Days Payables Outstanding (DPO) = (Average Accounts Payable ÷ Cost of Goods Sold) × 365</w:t>
      </w:r>
      <w:r w:rsidR="0060401A">
        <w:rPr>
          <w:rFonts w:ascii="Cambria Math" w:hAnsi="Cambria Math"/>
          <w:b/>
          <w:bCs/>
        </w:rPr>
        <w:t xml:space="preserve"> (7)</w:t>
      </w:r>
    </w:p>
    <w:p w14:paraId="28EC4079" w14:textId="77777777" w:rsidR="00181181" w:rsidRPr="0060401A" w:rsidRDefault="00181181" w:rsidP="0060401A">
      <w:pPr>
        <w:spacing w:line="276" w:lineRule="auto"/>
        <w:jc w:val="center"/>
        <w:rPr>
          <w:rFonts w:ascii="Cambria Math" w:hAnsi="Cambria Math"/>
          <w:b/>
          <w:bCs/>
        </w:rPr>
      </w:pPr>
    </w:p>
    <w:p w14:paraId="62EF46A2" w14:textId="03D15C0C" w:rsidR="00D94E28" w:rsidRPr="00181181" w:rsidRDefault="00181181" w:rsidP="00181181">
      <w:pPr>
        <w:pStyle w:val="Caption"/>
        <w:jc w:val="center"/>
        <w:rPr>
          <w:sz w:val="24"/>
          <w:szCs w:val="24"/>
        </w:rPr>
      </w:pPr>
      <w:bookmarkStart w:id="72" w:name="_Toc235308706"/>
      <w:bookmarkStart w:id="73" w:name="_Toc235803957"/>
      <w:bookmarkStart w:id="74" w:name="_Toc235804210"/>
      <w:r w:rsidRPr="00181181">
        <w:rPr>
          <w:sz w:val="24"/>
          <w:szCs w:val="24"/>
        </w:rPr>
        <w:t xml:space="preserve">Table </w:t>
      </w:r>
      <w:r w:rsidRPr="00181181">
        <w:rPr>
          <w:sz w:val="24"/>
          <w:szCs w:val="24"/>
        </w:rPr>
        <w:fldChar w:fldCharType="begin"/>
      </w:r>
      <w:r w:rsidRPr="00181181">
        <w:rPr>
          <w:sz w:val="24"/>
          <w:szCs w:val="24"/>
        </w:rPr>
        <w:instrText xml:space="preserve"> SEQ Table \* ARABIC </w:instrText>
      </w:r>
      <w:r w:rsidRPr="00181181">
        <w:rPr>
          <w:sz w:val="24"/>
          <w:szCs w:val="24"/>
        </w:rPr>
        <w:fldChar w:fldCharType="separate"/>
      </w:r>
      <w:r w:rsidR="003A3DA9">
        <w:rPr>
          <w:noProof/>
          <w:sz w:val="24"/>
          <w:szCs w:val="24"/>
        </w:rPr>
        <w:t>7</w:t>
      </w:r>
      <w:r w:rsidRPr="00181181">
        <w:rPr>
          <w:noProof/>
          <w:sz w:val="24"/>
          <w:szCs w:val="24"/>
        </w:rPr>
        <w:fldChar w:fldCharType="end"/>
      </w:r>
      <w:r w:rsidRPr="00181181">
        <w:rPr>
          <w:sz w:val="24"/>
          <w:szCs w:val="24"/>
        </w:rPr>
        <w:t>.1: Days Payables Outstanding</w:t>
      </w:r>
      <w:bookmarkEnd w:id="72"/>
      <w:bookmarkEnd w:id="73"/>
      <w:bookmarkEnd w:id="74"/>
    </w:p>
    <w:tbl>
      <w:tblPr>
        <w:tblStyle w:val="TableGrid"/>
        <w:tblW w:w="0" w:type="auto"/>
        <w:tblLook w:val="04A0" w:firstRow="1" w:lastRow="0" w:firstColumn="1" w:lastColumn="0" w:noHBand="0" w:noVBand="1"/>
      </w:tblPr>
      <w:tblGrid>
        <w:gridCol w:w="1512"/>
        <w:gridCol w:w="1502"/>
        <w:gridCol w:w="1501"/>
        <w:gridCol w:w="1501"/>
        <w:gridCol w:w="1501"/>
        <w:gridCol w:w="1502"/>
      </w:tblGrid>
      <w:tr w:rsidR="007928EF" w:rsidRPr="007928EF" w14:paraId="7130F64A" w14:textId="77777777" w:rsidTr="007928EF">
        <w:tc>
          <w:tcPr>
            <w:tcW w:w="1503" w:type="dxa"/>
            <w:shd w:val="clear" w:color="auto" w:fill="156082" w:themeFill="accent1"/>
          </w:tcPr>
          <w:p w14:paraId="22B92388" w14:textId="1D37271F" w:rsidR="007928EF" w:rsidRPr="00C97BB4" w:rsidRDefault="007928EF" w:rsidP="007928EF">
            <w:pPr>
              <w:spacing w:line="276" w:lineRule="auto"/>
              <w:jc w:val="center"/>
              <w:rPr>
                <w:rFonts w:ascii="Arial" w:hAnsi="Arial"/>
                <w:b/>
                <w:bCs/>
                <w:color w:val="FFFFFF" w:themeColor="background1"/>
              </w:rPr>
            </w:pPr>
            <w:r w:rsidRPr="00C97BB4">
              <w:rPr>
                <w:rFonts w:ascii="Arial" w:hAnsi="Arial"/>
                <w:b/>
                <w:bCs/>
                <w:color w:val="FFFFFF" w:themeColor="background1"/>
              </w:rPr>
              <w:t>Year</w:t>
            </w:r>
          </w:p>
        </w:tc>
        <w:tc>
          <w:tcPr>
            <w:tcW w:w="1503" w:type="dxa"/>
            <w:shd w:val="clear" w:color="auto" w:fill="156082" w:themeFill="accent1"/>
          </w:tcPr>
          <w:p w14:paraId="3394DFAA" w14:textId="08849866" w:rsidR="007928EF" w:rsidRPr="00C97BB4" w:rsidRDefault="007928EF" w:rsidP="007928EF">
            <w:pPr>
              <w:spacing w:line="276" w:lineRule="auto"/>
              <w:jc w:val="center"/>
              <w:rPr>
                <w:rFonts w:ascii="Arial" w:hAnsi="Arial"/>
                <w:b/>
                <w:bCs/>
                <w:color w:val="FFFFFF" w:themeColor="background1"/>
              </w:rPr>
            </w:pPr>
            <w:r w:rsidRPr="00C97BB4">
              <w:rPr>
                <w:rFonts w:ascii="Arial" w:hAnsi="Arial"/>
                <w:b/>
                <w:bCs/>
                <w:color w:val="FFFFFF" w:themeColor="background1"/>
              </w:rPr>
              <w:t>2021</w:t>
            </w:r>
          </w:p>
        </w:tc>
        <w:tc>
          <w:tcPr>
            <w:tcW w:w="1503" w:type="dxa"/>
            <w:shd w:val="clear" w:color="auto" w:fill="156082" w:themeFill="accent1"/>
          </w:tcPr>
          <w:p w14:paraId="71554CA1" w14:textId="1DCC83D8" w:rsidR="007928EF" w:rsidRPr="00C97BB4" w:rsidRDefault="007928EF" w:rsidP="007928EF">
            <w:pPr>
              <w:spacing w:line="276" w:lineRule="auto"/>
              <w:jc w:val="center"/>
              <w:rPr>
                <w:rFonts w:ascii="Arial" w:hAnsi="Arial"/>
                <w:b/>
                <w:bCs/>
                <w:color w:val="FFFFFF" w:themeColor="background1"/>
              </w:rPr>
            </w:pPr>
            <w:r w:rsidRPr="00C97BB4">
              <w:rPr>
                <w:rFonts w:ascii="Arial" w:hAnsi="Arial"/>
                <w:b/>
                <w:bCs/>
                <w:color w:val="FFFFFF" w:themeColor="background1"/>
              </w:rPr>
              <w:t>2022</w:t>
            </w:r>
          </w:p>
        </w:tc>
        <w:tc>
          <w:tcPr>
            <w:tcW w:w="1503" w:type="dxa"/>
            <w:shd w:val="clear" w:color="auto" w:fill="156082" w:themeFill="accent1"/>
          </w:tcPr>
          <w:p w14:paraId="7069AE74" w14:textId="5A9E2218" w:rsidR="007928EF" w:rsidRPr="00C97BB4" w:rsidRDefault="007928EF" w:rsidP="007928EF">
            <w:pPr>
              <w:spacing w:line="276" w:lineRule="auto"/>
              <w:jc w:val="center"/>
              <w:rPr>
                <w:rFonts w:ascii="Arial" w:hAnsi="Arial"/>
                <w:b/>
                <w:bCs/>
                <w:color w:val="FFFFFF" w:themeColor="background1"/>
              </w:rPr>
            </w:pPr>
            <w:r w:rsidRPr="00C97BB4">
              <w:rPr>
                <w:rFonts w:ascii="Arial" w:hAnsi="Arial"/>
                <w:b/>
                <w:bCs/>
                <w:color w:val="FFFFFF" w:themeColor="background1"/>
              </w:rPr>
              <w:t>2023</w:t>
            </w:r>
          </w:p>
        </w:tc>
        <w:tc>
          <w:tcPr>
            <w:tcW w:w="1503" w:type="dxa"/>
            <w:shd w:val="clear" w:color="auto" w:fill="156082" w:themeFill="accent1"/>
          </w:tcPr>
          <w:p w14:paraId="21567C9F" w14:textId="75EFDD6A" w:rsidR="007928EF" w:rsidRPr="00C97BB4" w:rsidRDefault="007928EF" w:rsidP="007928EF">
            <w:pPr>
              <w:spacing w:line="276" w:lineRule="auto"/>
              <w:jc w:val="center"/>
              <w:rPr>
                <w:rFonts w:ascii="Arial" w:hAnsi="Arial"/>
                <w:b/>
                <w:bCs/>
                <w:color w:val="FFFFFF" w:themeColor="background1"/>
              </w:rPr>
            </w:pPr>
            <w:r w:rsidRPr="00C97BB4">
              <w:rPr>
                <w:rFonts w:ascii="Arial" w:hAnsi="Arial"/>
                <w:b/>
                <w:bCs/>
                <w:color w:val="FFFFFF" w:themeColor="background1"/>
              </w:rPr>
              <w:t>2024</w:t>
            </w:r>
          </w:p>
        </w:tc>
        <w:tc>
          <w:tcPr>
            <w:tcW w:w="1504" w:type="dxa"/>
            <w:shd w:val="clear" w:color="auto" w:fill="156082" w:themeFill="accent1"/>
          </w:tcPr>
          <w:p w14:paraId="0DF7A992" w14:textId="7B356D92" w:rsidR="007928EF" w:rsidRPr="00C97BB4" w:rsidRDefault="007928EF" w:rsidP="007928EF">
            <w:pPr>
              <w:spacing w:line="276" w:lineRule="auto"/>
              <w:jc w:val="center"/>
              <w:rPr>
                <w:rFonts w:ascii="Arial" w:hAnsi="Arial"/>
                <w:b/>
                <w:bCs/>
                <w:color w:val="FFFFFF" w:themeColor="background1"/>
              </w:rPr>
            </w:pPr>
            <w:r w:rsidRPr="00C97BB4">
              <w:rPr>
                <w:rFonts w:ascii="Arial" w:hAnsi="Arial"/>
                <w:b/>
                <w:bCs/>
                <w:color w:val="FFFFFF" w:themeColor="background1"/>
              </w:rPr>
              <w:t>2025</w:t>
            </w:r>
          </w:p>
        </w:tc>
      </w:tr>
      <w:tr w:rsidR="007928EF" w14:paraId="59596FD1" w14:textId="77777777" w:rsidTr="007928EF">
        <w:tc>
          <w:tcPr>
            <w:tcW w:w="1503" w:type="dxa"/>
          </w:tcPr>
          <w:p w14:paraId="7E65742F" w14:textId="1C31F8A4" w:rsidR="007928EF" w:rsidRPr="00C97BB4" w:rsidRDefault="007928EF" w:rsidP="00C97BB4">
            <w:pPr>
              <w:spacing w:line="276" w:lineRule="auto"/>
              <w:jc w:val="center"/>
              <w:rPr>
                <w:rFonts w:ascii="Arial" w:hAnsi="Arial"/>
              </w:rPr>
            </w:pPr>
            <w:r w:rsidRPr="00C97BB4">
              <w:rPr>
                <w:rFonts w:ascii="Arial" w:hAnsi="Arial"/>
              </w:rPr>
              <w:t>Days Payables Outstanding</w:t>
            </w:r>
          </w:p>
        </w:tc>
        <w:tc>
          <w:tcPr>
            <w:tcW w:w="1503" w:type="dxa"/>
          </w:tcPr>
          <w:p w14:paraId="1527204B" w14:textId="183F556D" w:rsidR="007928EF" w:rsidRPr="00C97BB4" w:rsidRDefault="005168C8" w:rsidP="00FC7BE7">
            <w:pPr>
              <w:spacing w:line="276" w:lineRule="auto"/>
              <w:jc w:val="center"/>
              <w:rPr>
                <w:rFonts w:ascii="Arial" w:hAnsi="Arial"/>
              </w:rPr>
            </w:pPr>
            <w:r w:rsidRPr="00C97BB4">
              <w:rPr>
                <w:rFonts w:ascii="Arial" w:hAnsi="Arial"/>
              </w:rPr>
              <w:t>21 Days</w:t>
            </w:r>
          </w:p>
        </w:tc>
        <w:tc>
          <w:tcPr>
            <w:tcW w:w="1503" w:type="dxa"/>
          </w:tcPr>
          <w:p w14:paraId="190EA268" w14:textId="6B4F6910" w:rsidR="007928EF" w:rsidRPr="00C97BB4" w:rsidRDefault="005168C8" w:rsidP="00FC7BE7">
            <w:pPr>
              <w:spacing w:line="276" w:lineRule="auto"/>
              <w:jc w:val="center"/>
              <w:rPr>
                <w:rFonts w:ascii="Arial" w:hAnsi="Arial"/>
              </w:rPr>
            </w:pPr>
            <w:r w:rsidRPr="00C97BB4">
              <w:rPr>
                <w:rFonts w:ascii="Arial" w:hAnsi="Arial"/>
              </w:rPr>
              <w:t>2</w:t>
            </w:r>
            <w:r w:rsidR="00FC7BE7" w:rsidRPr="00C97BB4">
              <w:rPr>
                <w:rFonts w:ascii="Arial" w:hAnsi="Arial"/>
              </w:rPr>
              <w:t>3</w:t>
            </w:r>
            <w:r w:rsidRPr="00C97BB4">
              <w:rPr>
                <w:rFonts w:ascii="Arial" w:hAnsi="Arial"/>
              </w:rPr>
              <w:t xml:space="preserve"> Days</w:t>
            </w:r>
          </w:p>
        </w:tc>
        <w:tc>
          <w:tcPr>
            <w:tcW w:w="1503" w:type="dxa"/>
          </w:tcPr>
          <w:p w14:paraId="61793C5B" w14:textId="1132E8CE" w:rsidR="007928EF" w:rsidRPr="00C97BB4" w:rsidRDefault="00FC7BE7" w:rsidP="00FC7BE7">
            <w:pPr>
              <w:spacing w:line="276" w:lineRule="auto"/>
              <w:jc w:val="center"/>
              <w:rPr>
                <w:rFonts w:ascii="Arial" w:hAnsi="Arial"/>
              </w:rPr>
            </w:pPr>
            <w:r w:rsidRPr="00C97BB4">
              <w:rPr>
                <w:rFonts w:ascii="Arial" w:hAnsi="Arial"/>
              </w:rPr>
              <w:t>25</w:t>
            </w:r>
            <w:r w:rsidR="005168C8" w:rsidRPr="00C97BB4">
              <w:rPr>
                <w:rFonts w:ascii="Arial" w:hAnsi="Arial"/>
              </w:rPr>
              <w:t xml:space="preserve"> Days</w:t>
            </w:r>
          </w:p>
        </w:tc>
        <w:tc>
          <w:tcPr>
            <w:tcW w:w="1503" w:type="dxa"/>
          </w:tcPr>
          <w:p w14:paraId="030D6154" w14:textId="1B335C9D" w:rsidR="007928EF" w:rsidRPr="00C97BB4" w:rsidRDefault="003A3637" w:rsidP="00FC7BE7">
            <w:pPr>
              <w:spacing w:line="276" w:lineRule="auto"/>
              <w:jc w:val="center"/>
              <w:rPr>
                <w:rFonts w:ascii="Arial" w:hAnsi="Arial"/>
              </w:rPr>
            </w:pPr>
            <w:r w:rsidRPr="00C97BB4">
              <w:rPr>
                <w:rFonts w:ascii="Arial" w:hAnsi="Arial"/>
              </w:rPr>
              <w:t xml:space="preserve">20 </w:t>
            </w:r>
            <w:r w:rsidR="00FC7BE7" w:rsidRPr="00C97BB4">
              <w:rPr>
                <w:rFonts w:ascii="Arial" w:hAnsi="Arial"/>
              </w:rPr>
              <w:t>Days</w:t>
            </w:r>
          </w:p>
        </w:tc>
        <w:tc>
          <w:tcPr>
            <w:tcW w:w="1504" w:type="dxa"/>
          </w:tcPr>
          <w:p w14:paraId="335B8711" w14:textId="54C6102B" w:rsidR="007928EF" w:rsidRPr="00C97BB4" w:rsidRDefault="00FC7BE7" w:rsidP="00FC7BE7">
            <w:pPr>
              <w:spacing w:line="276" w:lineRule="auto"/>
              <w:jc w:val="center"/>
              <w:rPr>
                <w:rFonts w:ascii="Arial" w:hAnsi="Arial"/>
              </w:rPr>
            </w:pPr>
            <w:r w:rsidRPr="00C97BB4">
              <w:rPr>
                <w:rFonts w:ascii="Arial" w:hAnsi="Arial"/>
              </w:rPr>
              <w:t>2</w:t>
            </w:r>
            <w:r w:rsidR="003A3637" w:rsidRPr="00C97BB4">
              <w:rPr>
                <w:rFonts w:ascii="Arial" w:hAnsi="Arial"/>
              </w:rPr>
              <w:t>2</w:t>
            </w:r>
            <w:r w:rsidRPr="00C97BB4">
              <w:rPr>
                <w:rFonts w:ascii="Arial" w:hAnsi="Arial"/>
              </w:rPr>
              <w:t xml:space="preserve"> Days</w:t>
            </w:r>
          </w:p>
        </w:tc>
      </w:tr>
    </w:tbl>
    <w:p w14:paraId="378BEBE9" w14:textId="77777777" w:rsidR="00181181" w:rsidRPr="00181181" w:rsidRDefault="00181181" w:rsidP="00181181"/>
    <w:p w14:paraId="112F3870" w14:textId="55C5DA20" w:rsidR="0007668B" w:rsidRDefault="00B9777A" w:rsidP="00B9777A">
      <w:pPr>
        <w:spacing w:line="276" w:lineRule="auto"/>
        <w:jc w:val="center"/>
      </w:pPr>
      <w:r>
        <w:rPr>
          <w:noProof/>
          <w14:ligatures w14:val="standardContextual"/>
        </w:rPr>
        <w:drawing>
          <wp:inline distT="0" distB="0" distL="0" distR="0" wp14:anchorId="224DDECF" wp14:editId="6AD5008B">
            <wp:extent cx="5734050" cy="3117850"/>
            <wp:effectExtent l="0" t="0" r="0" b="6350"/>
            <wp:docPr id="1466862497" name="Chart 1">
              <a:extLst xmlns:a="http://schemas.openxmlformats.org/drawingml/2006/main">
                <a:ext uri="{FF2B5EF4-FFF2-40B4-BE49-F238E27FC236}">
                  <a16:creationId xmlns:a16="http://schemas.microsoft.com/office/drawing/2014/main" id="{4C1EE6D9-E11B-B357-2232-E46B1FEDD6A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30286054" w14:textId="68A572ED" w:rsidR="0007668B" w:rsidRPr="001808BD" w:rsidRDefault="00D565C0" w:rsidP="00D565C0">
      <w:pPr>
        <w:pStyle w:val="Caption"/>
        <w:jc w:val="center"/>
        <w:rPr>
          <w:sz w:val="24"/>
          <w:szCs w:val="24"/>
        </w:rPr>
      </w:pPr>
      <w:bookmarkStart w:id="75" w:name="_Toc235308691"/>
      <w:r w:rsidRPr="001808BD">
        <w:rPr>
          <w:sz w:val="24"/>
          <w:szCs w:val="24"/>
        </w:rPr>
        <w:t xml:space="preserve">Figure </w:t>
      </w:r>
      <w:r w:rsidR="00D94E28" w:rsidRPr="001808BD">
        <w:rPr>
          <w:sz w:val="24"/>
          <w:szCs w:val="24"/>
        </w:rPr>
        <w:fldChar w:fldCharType="begin"/>
      </w:r>
      <w:r w:rsidR="00D94E28" w:rsidRPr="001808BD">
        <w:rPr>
          <w:sz w:val="24"/>
          <w:szCs w:val="24"/>
        </w:rPr>
        <w:instrText xml:space="preserve"> SEQ Figure \* ARABIC </w:instrText>
      </w:r>
      <w:r w:rsidR="00D94E28" w:rsidRPr="001808BD">
        <w:rPr>
          <w:sz w:val="24"/>
          <w:szCs w:val="24"/>
        </w:rPr>
        <w:fldChar w:fldCharType="separate"/>
      </w:r>
      <w:r w:rsidR="00C15A61">
        <w:rPr>
          <w:noProof/>
          <w:sz w:val="24"/>
          <w:szCs w:val="24"/>
        </w:rPr>
        <w:t>7</w:t>
      </w:r>
      <w:r w:rsidR="00D94E28" w:rsidRPr="001808BD">
        <w:rPr>
          <w:noProof/>
          <w:sz w:val="24"/>
          <w:szCs w:val="24"/>
        </w:rPr>
        <w:fldChar w:fldCharType="end"/>
      </w:r>
      <w:r w:rsidRPr="001808BD">
        <w:rPr>
          <w:sz w:val="24"/>
          <w:szCs w:val="24"/>
        </w:rPr>
        <w:t>.1: Days Payables Outstanding (Graph)</w:t>
      </w:r>
      <w:bookmarkEnd w:id="75"/>
    </w:p>
    <w:p w14:paraId="22EF6820" w14:textId="758EA497" w:rsidR="0007668B" w:rsidRPr="00F312CD" w:rsidRDefault="00864F96" w:rsidP="00F312CD">
      <w:pPr>
        <w:rPr>
          <w:rFonts w:ascii="Arial" w:hAnsi="Arial"/>
        </w:rPr>
      </w:pPr>
      <w:r w:rsidRPr="00F312CD">
        <w:rPr>
          <w:rFonts w:ascii="Arial" w:hAnsi="Arial"/>
        </w:rPr>
        <w:t>The Days Payables Outstanding (DPO) measures the average number of days a company takes to pay its suppliers and other short-term creditors. A moderate DPO is generally considered favorable because it allows a company to use available cash efficiently without delaying payments excessively.</w:t>
      </w:r>
    </w:p>
    <w:p w14:paraId="08329C10" w14:textId="20E0DF71" w:rsidR="00864F96" w:rsidRPr="00CA52E8" w:rsidRDefault="00864F96" w:rsidP="00F312CD">
      <w:pPr>
        <w:rPr>
          <w:rFonts w:ascii="Arial" w:hAnsi="Arial"/>
        </w:rPr>
      </w:pPr>
      <w:r w:rsidRPr="00F312CD">
        <w:rPr>
          <w:rFonts w:ascii="Arial" w:hAnsi="Arial"/>
        </w:rPr>
        <w:t xml:space="preserve">According to the table, Tokyo Consulting Firm's DPO was 21 days in 2021, increased slightly to 23 days in 2022, and reached 25 days in 2023, indicating that the company took a little longer to settle its short-term obligations. In 2024, the DPO declined to 20 </w:t>
      </w:r>
      <w:r w:rsidRPr="00F312CD">
        <w:rPr>
          <w:rFonts w:ascii="Arial" w:hAnsi="Arial"/>
        </w:rPr>
        <w:lastRenderedPageBreak/>
        <w:t>days, showing faster payments to suppliers, before increasing slightly to 22 days in 2025. Overall, the DPO remained stable within a narrow range of 20 to 25 days, which is a positive sign. It suggests that the company maintains a balanced payment policy by meeting its obligations on time while retaining cash long enough to support efficient working capital management and smooth business operations.</w:t>
      </w:r>
    </w:p>
    <w:p w14:paraId="387BAF19" w14:textId="51846070" w:rsidR="00E8052F" w:rsidRPr="00F312CD" w:rsidRDefault="00287D8C" w:rsidP="00975A44">
      <w:pPr>
        <w:pStyle w:val="Heading2"/>
        <w:rPr>
          <w:rFonts w:ascii="Arial" w:hAnsi="Arial" w:cs="Arial"/>
          <w:sz w:val="28"/>
          <w:szCs w:val="28"/>
        </w:rPr>
      </w:pPr>
      <w:bookmarkStart w:id="76" w:name="_Toc235801955"/>
      <w:r>
        <w:rPr>
          <w:rFonts w:ascii="Arial" w:hAnsi="Arial" w:cs="Arial"/>
          <w:sz w:val="28"/>
          <w:szCs w:val="28"/>
        </w:rPr>
        <w:t>4</w:t>
      </w:r>
      <w:r w:rsidR="00F90B1B" w:rsidRPr="00F312CD">
        <w:rPr>
          <w:rFonts w:ascii="Arial" w:hAnsi="Arial" w:cs="Arial"/>
          <w:sz w:val="28"/>
          <w:szCs w:val="28"/>
        </w:rPr>
        <w:t>.9</w:t>
      </w:r>
      <w:r w:rsidR="008D3605" w:rsidRPr="00F312CD">
        <w:rPr>
          <w:rFonts w:ascii="Arial" w:hAnsi="Arial" w:cs="Arial"/>
          <w:sz w:val="28"/>
          <w:szCs w:val="28"/>
        </w:rPr>
        <w:t xml:space="preserve"> </w:t>
      </w:r>
      <w:r w:rsidR="003D1413" w:rsidRPr="00F312CD">
        <w:rPr>
          <w:rFonts w:ascii="Arial" w:hAnsi="Arial" w:cs="Arial"/>
          <w:sz w:val="28"/>
          <w:szCs w:val="28"/>
        </w:rPr>
        <w:t>Identification of Working Capital</w:t>
      </w:r>
      <w:bookmarkEnd w:id="76"/>
    </w:p>
    <w:p w14:paraId="24A34217" w14:textId="2FA88DAD" w:rsidR="003D1413" w:rsidRDefault="001722CE" w:rsidP="003D1413">
      <w:pPr>
        <w:spacing w:line="276" w:lineRule="auto"/>
        <w:rPr>
          <w:rFonts w:ascii="Arial" w:hAnsi="Arial"/>
        </w:rPr>
      </w:pPr>
      <w:r w:rsidRPr="001722CE">
        <w:rPr>
          <w:rFonts w:ascii="Arial" w:hAnsi="Arial"/>
        </w:rPr>
        <w:t>Working capital is a measure of a company’s current assets minus current liabilities. The formula used is:</w:t>
      </w:r>
    </w:p>
    <w:p w14:paraId="13F826CE" w14:textId="77777777" w:rsidR="008C55C2" w:rsidRPr="00F312CD" w:rsidRDefault="008C55C2" w:rsidP="003D1413">
      <w:pPr>
        <w:spacing w:line="276" w:lineRule="auto"/>
        <w:rPr>
          <w:rFonts w:ascii="Arial" w:hAnsi="Arial"/>
        </w:rPr>
      </w:pPr>
    </w:p>
    <w:p w14:paraId="4E0464F8" w14:textId="061B4E38" w:rsidR="00FB11A4" w:rsidRPr="000D1702" w:rsidRDefault="003D1413" w:rsidP="00A962FA">
      <w:pPr>
        <w:spacing w:line="276" w:lineRule="auto"/>
        <w:jc w:val="center"/>
        <w:rPr>
          <w:rFonts w:ascii="Cambria Math" w:hAnsi="Cambria Math"/>
          <w:b/>
          <w:bCs/>
        </w:rPr>
      </w:pPr>
      <w:r w:rsidRPr="006163DA">
        <w:rPr>
          <w:rFonts w:ascii="Cambria Math" w:hAnsi="Cambria Math"/>
          <w:b/>
          <w:bCs/>
        </w:rPr>
        <w:t>Working Capital = Current Assets − Current Liabilities</w:t>
      </w:r>
      <w:r w:rsidR="0060401A">
        <w:rPr>
          <w:rFonts w:ascii="Cambria Math" w:hAnsi="Cambria Math"/>
          <w:b/>
          <w:bCs/>
        </w:rPr>
        <w:t xml:space="preserve"> (8)</w:t>
      </w:r>
    </w:p>
    <w:p w14:paraId="63F48C0F" w14:textId="5AC9D364" w:rsidR="003D1413" w:rsidRPr="008C55C2" w:rsidRDefault="001722CE" w:rsidP="008C55C2">
      <w:pPr>
        <w:pStyle w:val="ListParagraph"/>
        <w:numPr>
          <w:ilvl w:val="0"/>
          <w:numId w:val="40"/>
        </w:numPr>
        <w:rPr>
          <w:rFonts w:ascii="Arial" w:hAnsi="Arial"/>
        </w:rPr>
      </w:pPr>
      <w:r w:rsidRPr="001722CE">
        <w:rPr>
          <w:rFonts w:ascii="Arial" w:hAnsi="Arial"/>
        </w:rPr>
        <w:t>Current assets are cash and cash equivalents, accounts receivable, inventory, and other short-term assets that can be converted to cash in less than one year.</w:t>
      </w:r>
    </w:p>
    <w:p w14:paraId="37AE1429" w14:textId="4CB22B54" w:rsidR="003D1413" w:rsidRPr="008C55C2" w:rsidRDefault="001722CE" w:rsidP="008C55C2">
      <w:pPr>
        <w:pStyle w:val="ListParagraph"/>
        <w:numPr>
          <w:ilvl w:val="0"/>
          <w:numId w:val="40"/>
        </w:numPr>
        <w:rPr>
          <w:rFonts w:ascii="Arial" w:hAnsi="Arial"/>
        </w:rPr>
      </w:pPr>
      <w:r w:rsidRPr="001722CE">
        <w:rPr>
          <w:rFonts w:ascii="Arial" w:hAnsi="Arial"/>
        </w:rPr>
        <w:t>Current Liabilities: accounts payable, short-term loans, accrued expenses and other obligations due within one year.</w:t>
      </w:r>
    </w:p>
    <w:p w14:paraId="2044F7D9" w14:textId="197DE1F9" w:rsidR="00E8052F" w:rsidRPr="008C55C2" w:rsidRDefault="001722CE" w:rsidP="008C55C2">
      <w:pPr>
        <w:pStyle w:val="ListParagraph"/>
        <w:numPr>
          <w:ilvl w:val="0"/>
          <w:numId w:val="40"/>
        </w:numPr>
        <w:rPr>
          <w:rFonts w:ascii="Arial" w:hAnsi="Arial"/>
        </w:rPr>
      </w:pPr>
      <w:r w:rsidRPr="001722CE">
        <w:rPr>
          <w:rFonts w:ascii="Arial" w:hAnsi="Arial"/>
        </w:rPr>
        <w:t xml:space="preserve">Current assets, fewer current liabilities provide a measure of the </w:t>
      </w:r>
      <w:r w:rsidR="00460E2E" w:rsidRPr="001722CE">
        <w:rPr>
          <w:rFonts w:ascii="Arial" w:hAnsi="Arial"/>
        </w:rPr>
        <w:t>short-term</w:t>
      </w:r>
      <w:r w:rsidRPr="001722CE">
        <w:rPr>
          <w:rFonts w:ascii="Arial" w:hAnsi="Arial"/>
        </w:rPr>
        <w:t xml:space="preserve"> funds available to the firm after payment of its immediate obligations. A positive number indicates that the company can meet its short-term obligations. A negative number may indicate that the firm has liquidity problems, and more analysis of the company's cash flow and credit policies may be necessary.</w:t>
      </w:r>
    </w:p>
    <w:p w14:paraId="75C63B8D" w14:textId="36C32696" w:rsidR="003D1413" w:rsidRPr="0018264E" w:rsidRDefault="00287D8C" w:rsidP="00A54757">
      <w:pPr>
        <w:pStyle w:val="Heading2"/>
        <w:rPr>
          <w:rFonts w:ascii="Arial" w:hAnsi="Arial" w:cs="Arial"/>
          <w:sz w:val="28"/>
          <w:szCs w:val="28"/>
        </w:rPr>
      </w:pPr>
      <w:bookmarkStart w:id="77" w:name="_Toc235801956"/>
      <w:r>
        <w:rPr>
          <w:rFonts w:ascii="Arial" w:hAnsi="Arial" w:cs="Arial"/>
          <w:sz w:val="28"/>
          <w:szCs w:val="28"/>
        </w:rPr>
        <w:t>4</w:t>
      </w:r>
      <w:r w:rsidR="00F90B1B" w:rsidRPr="0018264E">
        <w:rPr>
          <w:rFonts w:ascii="Arial" w:hAnsi="Arial" w:cs="Arial"/>
          <w:sz w:val="28"/>
          <w:szCs w:val="28"/>
        </w:rPr>
        <w:t>.10</w:t>
      </w:r>
      <w:r w:rsidR="008D3605" w:rsidRPr="0018264E">
        <w:rPr>
          <w:rFonts w:ascii="Arial" w:hAnsi="Arial" w:cs="Arial"/>
          <w:sz w:val="28"/>
          <w:szCs w:val="28"/>
        </w:rPr>
        <w:t xml:space="preserve"> </w:t>
      </w:r>
      <w:r w:rsidR="003D1413" w:rsidRPr="0018264E">
        <w:rPr>
          <w:rFonts w:ascii="Arial" w:hAnsi="Arial" w:cs="Arial"/>
          <w:sz w:val="28"/>
          <w:szCs w:val="28"/>
        </w:rPr>
        <w:t xml:space="preserve">Working Capital’s Impact on </w:t>
      </w:r>
      <w:r w:rsidR="007928EF" w:rsidRPr="0018264E">
        <w:rPr>
          <w:rFonts w:ascii="Arial" w:hAnsi="Arial" w:cs="Arial"/>
          <w:sz w:val="28"/>
          <w:szCs w:val="28"/>
        </w:rPr>
        <w:t>Tokyo Consulting</w:t>
      </w:r>
      <w:r w:rsidR="00C87535" w:rsidRPr="0018264E">
        <w:rPr>
          <w:rFonts w:ascii="Arial" w:hAnsi="Arial" w:cs="Arial"/>
          <w:sz w:val="28"/>
          <w:szCs w:val="28"/>
        </w:rPr>
        <w:t xml:space="preserve"> </w:t>
      </w:r>
      <w:r w:rsidR="003D1413" w:rsidRPr="0018264E">
        <w:rPr>
          <w:rFonts w:ascii="Arial" w:hAnsi="Arial" w:cs="Arial"/>
          <w:sz w:val="28"/>
          <w:szCs w:val="28"/>
        </w:rPr>
        <w:t>Firm</w:t>
      </w:r>
      <w:bookmarkEnd w:id="77"/>
      <w:r w:rsidR="00C87535" w:rsidRPr="0018264E">
        <w:rPr>
          <w:rFonts w:ascii="Arial" w:hAnsi="Arial" w:cs="Arial"/>
          <w:sz w:val="28"/>
          <w:szCs w:val="28"/>
        </w:rPr>
        <w:t xml:space="preserve"> </w:t>
      </w:r>
    </w:p>
    <w:p w14:paraId="6B659A88" w14:textId="1B41F937" w:rsidR="003D1413" w:rsidRPr="00F312CD" w:rsidRDefault="001722CE" w:rsidP="00F312CD">
      <w:pPr>
        <w:rPr>
          <w:rFonts w:ascii="Arial" w:hAnsi="Arial"/>
        </w:rPr>
      </w:pPr>
      <w:r w:rsidRPr="001722CE">
        <w:rPr>
          <w:rFonts w:ascii="Arial" w:hAnsi="Arial"/>
        </w:rPr>
        <w:t xml:space="preserve">Working capital is essentially the fuel that keeps day-to-day operations </w:t>
      </w:r>
      <w:r w:rsidR="00460E2E" w:rsidRPr="001722CE">
        <w:rPr>
          <w:rFonts w:ascii="Arial" w:hAnsi="Arial"/>
        </w:rPr>
        <w:t>running and</w:t>
      </w:r>
      <w:r w:rsidRPr="001722CE">
        <w:rPr>
          <w:rFonts w:ascii="Arial" w:hAnsi="Arial"/>
        </w:rPr>
        <w:t xml:space="preserve"> it determines whether a company can pay its bills, staff and short-term commitments without stress. For TCF Bangladesh, a consulting firm that bills clients and has operating costs and taxes as the main “assets” and “liabilities,” respectively, managing this is vital to its financial health.</w:t>
      </w:r>
    </w:p>
    <w:p w14:paraId="33F59D6B" w14:textId="64C9331E" w:rsidR="003D1413" w:rsidRPr="00F312CD" w:rsidRDefault="003D1413" w:rsidP="00F312CD">
      <w:pPr>
        <w:rPr>
          <w:rFonts w:ascii="Arial" w:hAnsi="Arial"/>
          <w:b/>
          <w:bCs/>
          <w:color w:val="000000" w:themeColor="text1"/>
        </w:rPr>
      </w:pPr>
      <w:r w:rsidRPr="00F312CD">
        <w:rPr>
          <w:rFonts w:ascii="Arial" w:hAnsi="Arial"/>
          <w:b/>
          <w:bCs/>
          <w:color w:val="000000" w:themeColor="text1"/>
        </w:rPr>
        <w:t>The overall impact: stability with manageable bumps</w:t>
      </w:r>
    </w:p>
    <w:p w14:paraId="70CE0B12" w14:textId="71383BA1" w:rsidR="00460E2E" w:rsidRPr="00460E2E" w:rsidRDefault="00460E2E" w:rsidP="00460E2E">
      <w:pPr>
        <w:rPr>
          <w:rFonts w:ascii="Arial" w:hAnsi="Arial"/>
        </w:rPr>
      </w:pPr>
      <w:r w:rsidRPr="00460E2E">
        <w:rPr>
          <w:rFonts w:ascii="Arial" w:hAnsi="Arial"/>
        </w:rPr>
        <w:t>After reviewing all the numbers, it’s clear that TCF Bangladesh has a sound working capital position throughout. In every single year, the current ratio remained above the 1.0 mark, which means that the firm always had more short-term assets than short-term liabilities. Thus, there was never any real danger of the firm going into a liquidity crisis. Due to this, the firm was able to keep their cool and continue with their business as usual.</w:t>
      </w:r>
      <w:r>
        <w:rPr>
          <w:rFonts w:ascii="Arial" w:hAnsi="Arial"/>
        </w:rPr>
        <w:t xml:space="preserve"> </w:t>
      </w:r>
      <w:r w:rsidRPr="00460E2E">
        <w:rPr>
          <w:rFonts w:ascii="Arial" w:hAnsi="Arial"/>
        </w:rPr>
        <w:t xml:space="preserve">The period of receivable collections signals a growth story. Just because the spike to 61 days in FY2022 happened does not mean we were careless in managing </w:t>
      </w:r>
      <w:r w:rsidRPr="00460E2E">
        <w:rPr>
          <w:rFonts w:ascii="Arial" w:hAnsi="Arial"/>
        </w:rPr>
        <w:lastRenderedPageBreak/>
        <w:t xml:space="preserve">our working capital. It is a natural outcome of a fast-growing client base, which takes time for new clients to create a payment regime. Subsequent years saw TCF bring the period back down to a sensible range of 41- 45 days, demonstrating flexibility. </w:t>
      </w:r>
    </w:p>
    <w:p w14:paraId="6236B291" w14:textId="2B8B938C" w:rsidR="00E8052F" w:rsidRPr="00F312CD" w:rsidRDefault="00460E2E" w:rsidP="00460E2E">
      <w:pPr>
        <w:rPr>
          <w:rFonts w:ascii="Arial" w:hAnsi="Arial"/>
        </w:rPr>
      </w:pPr>
      <w:r w:rsidRPr="00460E2E">
        <w:rPr>
          <w:rFonts w:ascii="Arial" w:hAnsi="Arial"/>
        </w:rPr>
        <w:t>On the other hand, the NWC trend itself confirms this: apart from a temporary spike in tax provision that squeezed cash in FY2023, the firm tightly bounced strongly in FY2025.</w:t>
      </w:r>
    </w:p>
    <w:p w14:paraId="672C06CB" w14:textId="263F12C4" w:rsidR="00E8052F" w:rsidRDefault="00287D8C" w:rsidP="00975A44">
      <w:pPr>
        <w:pStyle w:val="Heading2"/>
        <w:rPr>
          <w:rFonts w:ascii="Arial" w:hAnsi="Arial" w:cs="Arial"/>
          <w:sz w:val="28"/>
          <w:szCs w:val="28"/>
        </w:rPr>
      </w:pPr>
      <w:bookmarkStart w:id="78" w:name="_Toc235801957"/>
      <w:r>
        <w:rPr>
          <w:rFonts w:ascii="Arial" w:hAnsi="Arial" w:cs="Arial"/>
          <w:sz w:val="28"/>
          <w:szCs w:val="28"/>
        </w:rPr>
        <w:t>4</w:t>
      </w:r>
      <w:r w:rsidR="00F90B1B" w:rsidRPr="00F312CD">
        <w:rPr>
          <w:rFonts w:ascii="Arial" w:hAnsi="Arial" w:cs="Arial"/>
          <w:sz w:val="28"/>
          <w:szCs w:val="28"/>
        </w:rPr>
        <w:t>.11</w:t>
      </w:r>
      <w:r w:rsidR="008D3605" w:rsidRPr="00F312CD">
        <w:rPr>
          <w:rFonts w:ascii="Arial" w:hAnsi="Arial" w:cs="Arial"/>
          <w:sz w:val="28"/>
          <w:szCs w:val="28"/>
        </w:rPr>
        <w:t xml:space="preserve"> </w:t>
      </w:r>
      <w:r w:rsidR="00133C61" w:rsidRPr="00F312CD">
        <w:rPr>
          <w:rFonts w:ascii="Arial" w:hAnsi="Arial" w:cs="Arial"/>
          <w:sz w:val="28"/>
          <w:szCs w:val="28"/>
        </w:rPr>
        <w:t>Operating Cycle of Working Capital of Firm</w:t>
      </w:r>
      <w:bookmarkEnd w:id="78"/>
    </w:p>
    <w:p w14:paraId="47C6C81F" w14:textId="77777777" w:rsidR="00460E2E" w:rsidRPr="00460E2E" w:rsidRDefault="00460E2E" w:rsidP="00460E2E">
      <w:pPr>
        <w:rPr>
          <w:rFonts w:ascii="Arial" w:hAnsi="Arial"/>
        </w:rPr>
      </w:pPr>
      <w:r w:rsidRPr="00460E2E">
        <w:rPr>
          <w:rFonts w:ascii="Arial" w:hAnsi="Arial"/>
        </w:rPr>
        <w:t>The operating cycle of a business organization refers to the length of time taken by the business unit to convert its inputs into cash through normal business operations. In other terms, it changes money to goods and services and back to money.</w:t>
      </w:r>
    </w:p>
    <w:p w14:paraId="448C8922" w14:textId="2FF81558" w:rsidR="00460E2E" w:rsidRPr="00460E2E" w:rsidRDefault="00460E2E" w:rsidP="00460E2E">
      <w:pPr>
        <w:rPr>
          <w:rFonts w:ascii="Arial" w:hAnsi="Arial"/>
        </w:rPr>
      </w:pPr>
      <w:r w:rsidRPr="00460E2E">
        <w:rPr>
          <w:rFonts w:ascii="Arial" w:hAnsi="Arial"/>
        </w:rPr>
        <w:t>A typical business firm experiences the process in the following way.</w:t>
      </w:r>
    </w:p>
    <w:p w14:paraId="2BF06291" w14:textId="5022BC1B" w:rsidR="00133C61" w:rsidRPr="00F312CD" w:rsidRDefault="00133C61" w:rsidP="00F312CD">
      <w:pPr>
        <w:pStyle w:val="ListParagraph"/>
        <w:numPr>
          <w:ilvl w:val="0"/>
          <w:numId w:val="30"/>
        </w:numPr>
        <w:rPr>
          <w:rFonts w:ascii="Arial" w:hAnsi="Arial"/>
        </w:rPr>
      </w:pPr>
      <w:r w:rsidRPr="00F312CD">
        <w:rPr>
          <w:rFonts w:ascii="Arial" w:hAnsi="Arial"/>
          <w:b/>
          <w:bCs/>
        </w:rPr>
        <w:t>Buy/produce</w:t>
      </w:r>
      <w:r w:rsidRPr="00F312CD">
        <w:rPr>
          <w:rFonts w:ascii="Arial" w:hAnsi="Arial"/>
        </w:rPr>
        <w:t>: Cash goes out to acquire inventory or deliver a service</w:t>
      </w:r>
    </w:p>
    <w:p w14:paraId="40021DE2" w14:textId="5B6006C2" w:rsidR="00133C61" w:rsidRPr="00F312CD" w:rsidRDefault="00133C61" w:rsidP="00F312CD">
      <w:pPr>
        <w:pStyle w:val="ListParagraph"/>
        <w:numPr>
          <w:ilvl w:val="0"/>
          <w:numId w:val="30"/>
        </w:numPr>
        <w:rPr>
          <w:rFonts w:ascii="Arial" w:hAnsi="Arial"/>
        </w:rPr>
      </w:pPr>
      <w:r w:rsidRPr="00F312CD">
        <w:rPr>
          <w:rFonts w:ascii="Arial" w:hAnsi="Arial"/>
          <w:b/>
          <w:bCs/>
        </w:rPr>
        <w:t>Sales</w:t>
      </w:r>
      <w:r w:rsidRPr="00F312CD">
        <w:rPr>
          <w:rFonts w:ascii="Arial" w:hAnsi="Arial"/>
        </w:rPr>
        <w:t>: Goods or services are provided to customers</w:t>
      </w:r>
    </w:p>
    <w:p w14:paraId="220CF6D0" w14:textId="4586A86B" w:rsidR="00133C61" w:rsidRPr="00F312CD" w:rsidRDefault="00133C61" w:rsidP="00F312CD">
      <w:pPr>
        <w:pStyle w:val="ListParagraph"/>
        <w:numPr>
          <w:ilvl w:val="0"/>
          <w:numId w:val="30"/>
        </w:numPr>
        <w:rPr>
          <w:rFonts w:ascii="Arial" w:hAnsi="Arial"/>
        </w:rPr>
      </w:pPr>
      <w:r w:rsidRPr="00F312CD">
        <w:rPr>
          <w:rFonts w:ascii="Arial" w:hAnsi="Arial"/>
          <w:b/>
          <w:bCs/>
        </w:rPr>
        <w:t>Collect</w:t>
      </w:r>
      <w:r w:rsidRPr="00F312CD">
        <w:rPr>
          <w:rFonts w:ascii="Arial" w:hAnsi="Arial"/>
        </w:rPr>
        <w:t>: Cash comes back when customers pay their invoices</w:t>
      </w:r>
    </w:p>
    <w:p w14:paraId="284E0C05" w14:textId="24CD46B3" w:rsidR="00133C61" w:rsidRDefault="00133C61" w:rsidP="00F312CD">
      <w:pPr>
        <w:rPr>
          <w:rFonts w:ascii="Arial" w:hAnsi="Arial"/>
        </w:rPr>
      </w:pPr>
      <w:r w:rsidRPr="00F312CD">
        <w:rPr>
          <w:rFonts w:ascii="Arial" w:hAnsi="Arial"/>
        </w:rPr>
        <w:t>The shorter this cycle, the better it means cash is tied up for less time and the company has more liquidity to reinvest or cover obligations.</w:t>
      </w:r>
    </w:p>
    <w:p w14:paraId="3B61A014" w14:textId="4784CB89" w:rsidR="00460E2E" w:rsidRPr="00F312CD" w:rsidRDefault="00460E2E" w:rsidP="00F312CD">
      <w:pPr>
        <w:rPr>
          <w:rFonts w:ascii="Arial" w:hAnsi="Arial"/>
        </w:rPr>
      </w:pPr>
      <w:r w:rsidRPr="00460E2E">
        <w:rPr>
          <w:rFonts w:ascii="Arial" w:hAnsi="Arial"/>
        </w:rPr>
        <w:t>The operating cycle for a consulting firm like Tokyo Consulting Firm (TCF) Bangladesh is simpler as there is no physical inventory and is mainly driven by:</w:t>
      </w:r>
    </w:p>
    <w:p w14:paraId="41809C41" w14:textId="40CABD85" w:rsidR="00133C61" w:rsidRPr="00F312CD" w:rsidRDefault="00133C61" w:rsidP="00F312CD">
      <w:pPr>
        <w:pStyle w:val="ListParagraph"/>
        <w:numPr>
          <w:ilvl w:val="0"/>
          <w:numId w:val="31"/>
        </w:numPr>
        <w:rPr>
          <w:rFonts w:ascii="Arial" w:hAnsi="Arial"/>
        </w:rPr>
      </w:pPr>
      <w:r w:rsidRPr="00F312CD">
        <w:rPr>
          <w:rFonts w:ascii="Arial" w:hAnsi="Arial"/>
          <w:b/>
          <w:bCs/>
        </w:rPr>
        <w:t>Service delivery</w:t>
      </w:r>
      <w:r w:rsidRPr="00F312CD">
        <w:rPr>
          <w:rFonts w:ascii="Arial" w:hAnsi="Arial"/>
        </w:rPr>
        <w:t>: Consulting work is performed for clients</w:t>
      </w:r>
    </w:p>
    <w:p w14:paraId="7DF73BA8" w14:textId="659363FC" w:rsidR="00133C61" w:rsidRPr="00F312CD" w:rsidRDefault="00133C61" w:rsidP="00F312CD">
      <w:pPr>
        <w:pStyle w:val="ListParagraph"/>
        <w:numPr>
          <w:ilvl w:val="0"/>
          <w:numId w:val="31"/>
        </w:numPr>
        <w:rPr>
          <w:rFonts w:ascii="Arial" w:hAnsi="Arial"/>
        </w:rPr>
      </w:pPr>
      <w:r w:rsidRPr="00F312CD">
        <w:rPr>
          <w:rFonts w:ascii="Arial" w:hAnsi="Arial"/>
          <w:b/>
          <w:bCs/>
        </w:rPr>
        <w:t>Billing</w:t>
      </w:r>
      <w:r w:rsidRPr="00F312CD">
        <w:rPr>
          <w:rFonts w:ascii="Arial" w:hAnsi="Arial"/>
        </w:rPr>
        <w:t>: Invoices are raised</w:t>
      </w:r>
    </w:p>
    <w:p w14:paraId="25D1F33F" w14:textId="1A592BF0" w:rsidR="00E8052F" w:rsidRDefault="00133C61" w:rsidP="00F312CD">
      <w:pPr>
        <w:pStyle w:val="ListParagraph"/>
        <w:numPr>
          <w:ilvl w:val="0"/>
          <w:numId w:val="31"/>
        </w:numPr>
        <w:rPr>
          <w:rFonts w:ascii="Arial" w:hAnsi="Arial"/>
        </w:rPr>
      </w:pPr>
      <w:r w:rsidRPr="00F312CD">
        <w:rPr>
          <w:rFonts w:ascii="Arial" w:hAnsi="Arial"/>
          <w:b/>
          <w:bCs/>
        </w:rPr>
        <w:t>Collection</w:t>
      </w:r>
      <w:r w:rsidRPr="00F312CD">
        <w:rPr>
          <w:rFonts w:ascii="Arial" w:hAnsi="Arial"/>
        </w:rPr>
        <w:t xml:space="preserve">: Cash is received (this is captured by the receivable collection period, </w:t>
      </w:r>
      <w:r w:rsidR="00460E2E">
        <w:rPr>
          <w:rFonts w:ascii="Arial" w:hAnsi="Arial"/>
        </w:rPr>
        <w:t>example</w:t>
      </w:r>
      <w:r w:rsidRPr="00F312CD">
        <w:rPr>
          <w:rFonts w:ascii="Arial" w:hAnsi="Arial"/>
        </w:rPr>
        <w:t xml:space="preserve"> 45 days in FY2025)</w:t>
      </w:r>
    </w:p>
    <w:p w14:paraId="0A778751" w14:textId="468FF99C" w:rsidR="00460E2E" w:rsidRDefault="00460E2E" w:rsidP="00460E2E">
      <w:pPr>
        <w:rPr>
          <w:rFonts w:ascii="Arial" w:hAnsi="Arial"/>
        </w:rPr>
      </w:pPr>
      <w:r w:rsidRPr="00460E2E">
        <w:rPr>
          <w:rFonts w:ascii="Arial" w:hAnsi="Arial"/>
        </w:rPr>
        <w:t>The operating cycle of TCF is essentially the same as its receivables collection period as there is no inventory stage to worry about. Shorter cycle (like 33 days in FY2021) means cash flows back quickly improving liquidity. When the cycle lengthens (e.g. 61 days in FY2022), cash is tied up in unpaid invoices for longer, putting more pressure on working capital even if the underlying business is growing well.</w:t>
      </w:r>
    </w:p>
    <w:p w14:paraId="76E7ED9C" w14:textId="77777777" w:rsidR="00252A5D" w:rsidRPr="00460E2E" w:rsidRDefault="00252A5D" w:rsidP="00460E2E">
      <w:pPr>
        <w:rPr>
          <w:rFonts w:ascii="Arial" w:hAnsi="Arial"/>
        </w:rPr>
      </w:pPr>
    </w:p>
    <w:p w14:paraId="56CD5B07" w14:textId="3EA2889B" w:rsidR="00F90B1B" w:rsidRPr="00F312CD" w:rsidRDefault="00287D8C" w:rsidP="00F90B1B">
      <w:pPr>
        <w:pStyle w:val="Heading2"/>
        <w:rPr>
          <w:rFonts w:ascii="Arial" w:hAnsi="Arial" w:cs="Arial"/>
          <w:sz w:val="28"/>
          <w:szCs w:val="28"/>
        </w:rPr>
      </w:pPr>
      <w:bookmarkStart w:id="79" w:name="_Toc235801958"/>
      <w:r>
        <w:rPr>
          <w:rFonts w:ascii="Arial" w:hAnsi="Arial" w:cs="Arial"/>
          <w:sz w:val="28"/>
          <w:szCs w:val="28"/>
        </w:rPr>
        <w:lastRenderedPageBreak/>
        <w:t>4</w:t>
      </w:r>
      <w:r w:rsidR="00F90B1B" w:rsidRPr="00F312CD">
        <w:rPr>
          <w:rFonts w:ascii="Arial" w:hAnsi="Arial" w:cs="Arial"/>
          <w:sz w:val="28"/>
          <w:szCs w:val="28"/>
        </w:rPr>
        <w:t>.12 Ratio Analysis</w:t>
      </w:r>
      <w:bookmarkEnd w:id="79"/>
    </w:p>
    <w:p w14:paraId="571918D4" w14:textId="76D147F9" w:rsidR="00DF5A52" w:rsidRPr="00F3742D" w:rsidRDefault="00287D8C" w:rsidP="00F90B1B">
      <w:pPr>
        <w:pStyle w:val="Heading3"/>
        <w:rPr>
          <w:rFonts w:ascii="Arial" w:hAnsi="Arial" w:cs="Arial"/>
          <w:sz w:val="24"/>
          <w:szCs w:val="24"/>
        </w:rPr>
      </w:pPr>
      <w:bookmarkStart w:id="80" w:name="_Toc235801959"/>
      <w:r w:rsidRPr="00F3742D">
        <w:rPr>
          <w:rFonts w:ascii="Arial" w:hAnsi="Arial" w:cs="Arial"/>
          <w:sz w:val="24"/>
          <w:szCs w:val="24"/>
        </w:rPr>
        <w:t>4</w:t>
      </w:r>
      <w:r w:rsidR="00DF5A52" w:rsidRPr="00F3742D">
        <w:rPr>
          <w:rFonts w:ascii="Arial" w:hAnsi="Arial" w:cs="Arial"/>
          <w:sz w:val="24"/>
          <w:szCs w:val="24"/>
        </w:rPr>
        <w:t>.</w:t>
      </w:r>
      <w:r w:rsidR="00C604F6" w:rsidRPr="00F3742D">
        <w:rPr>
          <w:rFonts w:ascii="Arial" w:hAnsi="Arial" w:cs="Arial"/>
          <w:sz w:val="24"/>
          <w:szCs w:val="24"/>
        </w:rPr>
        <w:t>1</w:t>
      </w:r>
      <w:r w:rsidR="00F90B1B" w:rsidRPr="00F3742D">
        <w:rPr>
          <w:rFonts w:ascii="Arial" w:hAnsi="Arial" w:cs="Arial"/>
          <w:sz w:val="24"/>
          <w:szCs w:val="24"/>
        </w:rPr>
        <w:t>2.1</w:t>
      </w:r>
      <w:r w:rsidR="00DF5A52" w:rsidRPr="00F3742D">
        <w:rPr>
          <w:rFonts w:ascii="Arial" w:hAnsi="Arial" w:cs="Arial"/>
          <w:sz w:val="24"/>
          <w:szCs w:val="24"/>
        </w:rPr>
        <w:t xml:space="preserve"> Current Ratio Analysis</w:t>
      </w:r>
      <w:bookmarkEnd w:id="80"/>
    </w:p>
    <w:p w14:paraId="32C1716B" w14:textId="3A9373E1" w:rsidR="00802570" w:rsidRPr="00F312CD" w:rsidRDefault="00460E2E" w:rsidP="00F312CD">
      <w:pPr>
        <w:rPr>
          <w:rFonts w:ascii="Arial" w:hAnsi="Arial"/>
        </w:rPr>
      </w:pPr>
      <w:r w:rsidRPr="00460E2E">
        <w:rPr>
          <w:rFonts w:ascii="Arial" w:hAnsi="Arial"/>
        </w:rPr>
        <w:t>A liquidity ratio that measures a business’s ability to pay short-term obligation with short-term assets is current ratio.  This ratio indicates whether the firm has enough current assets such as cash, inventory as well as receivables to cover current liabilities.</w:t>
      </w:r>
    </w:p>
    <w:p w14:paraId="0CBB665F" w14:textId="0C52F6A6" w:rsidR="00252A5D" w:rsidRPr="00252A5D" w:rsidRDefault="00FF5129" w:rsidP="00252A5D">
      <w:pPr>
        <w:shd w:val="clear" w:color="auto" w:fill="FFFFFF" w:themeFill="background1"/>
        <w:spacing w:after="120" w:line="276" w:lineRule="auto"/>
        <w:jc w:val="center"/>
        <w:rPr>
          <w:rFonts w:ascii="Arial" w:hAnsi="Arial"/>
          <w:b/>
          <w:color w:val="000000" w:themeColor="text1"/>
        </w:rPr>
      </w:pPr>
      <m:oMath>
        <m:r>
          <m:rPr>
            <m:sty m:val="b"/>
          </m:rPr>
          <w:rPr>
            <w:rFonts w:ascii="Cambria Math" w:hAnsi="Cambria Math"/>
            <w:color w:val="000000" w:themeColor="text1"/>
          </w:rPr>
          <m:t>Current Ratio</m:t>
        </m:r>
        <m:r>
          <m:rPr>
            <m:sty m:val="p"/>
          </m:rPr>
          <w:rPr>
            <w:rFonts w:ascii="Cambria Math" w:hAnsi="Cambria Math"/>
            <w:color w:val="000000" w:themeColor="text1"/>
          </w:rPr>
          <m:t xml:space="preserve"> =</m:t>
        </m:r>
        <m:r>
          <m:rPr>
            <m:sty m:val="b"/>
          </m:rPr>
          <w:rPr>
            <w:rFonts w:ascii="Cambria Math" w:hAnsi="Cambria Math"/>
            <w:color w:val="000000" w:themeColor="text1"/>
          </w:rPr>
          <m:t>Total Current Assets/Total Current Liabilities</m:t>
        </m:r>
      </m:oMath>
      <w:r w:rsidR="00A962FA">
        <w:rPr>
          <w:rFonts w:ascii="Arial" w:hAnsi="Arial"/>
          <w:b/>
          <w:color w:val="000000" w:themeColor="text1"/>
        </w:rPr>
        <w:t xml:space="preserve"> (9)</w:t>
      </w:r>
    </w:p>
    <w:p w14:paraId="5EC46E81" w14:textId="47419940" w:rsidR="00920581" w:rsidRPr="00252A5D" w:rsidRDefault="00DF5A52" w:rsidP="00920581">
      <w:pPr>
        <w:spacing w:after="80" w:line="276" w:lineRule="auto"/>
        <w:rPr>
          <w:rFonts w:ascii="Arial" w:hAnsi="Arial"/>
          <w:szCs w:val="24"/>
        </w:rPr>
      </w:pPr>
      <w:r w:rsidRPr="00252A5D">
        <w:rPr>
          <w:rFonts w:ascii="Arial" w:hAnsi="Arial"/>
          <w:b/>
          <w:bCs/>
          <w:szCs w:val="24"/>
        </w:rPr>
        <w:t>Ideal Range:</w:t>
      </w:r>
      <w:r w:rsidR="00460E2E" w:rsidRPr="00252A5D">
        <w:rPr>
          <w:rFonts w:ascii="Arial" w:hAnsi="Arial"/>
        </w:rPr>
        <w:t xml:space="preserve"> </w:t>
      </w:r>
      <w:r w:rsidR="00460E2E" w:rsidRPr="00252A5D">
        <w:rPr>
          <w:rFonts w:ascii="Arial" w:hAnsi="Arial"/>
          <w:szCs w:val="24"/>
        </w:rPr>
        <w:t>1.5 - 2.0 (higher is generally better but too high ratio may be idle assets</w:t>
      </w:r>
      <w:r w:rsidRPr="00252A5D">
        <w:rPr>
          <w:rFonts w:ascii="Arial" w:hAnsi="Arial"/>
          <w:szCs w:val="24"/>
        </w:rPr>
        <w:t>)</w:t>
      </w:r>
    </w:p>
    <w:p w14:paraId="62D8EE7C" w14:textId="6AAE9E48" w:rsidR="00181181" w:rsidRPr="00181181" w:rsidRDefault="00181181" w:rsidP="00181181">
      <w:pPr>
        <w:pStyle w:val="Caption"/>
        <w:jc w:val="center"/>
        <w:rPr>
          <w:rFonts w:cs="Times New Roman"/>
          <w:sz w:val="24"/>
          <w:szCs w:val="24"/>
        </w:rPr>
      </w:pPr>
      <w:bookmarkStart w:id="81" w:name="_Toc235308707"/>
      <w:bookmarkStart w:id="82" w:name="_Toc235803958"/>
      <w:bookmarkStart w:id="83" w:name="_Toc235804211"/>
      <w:r w:rsidRPr="00181181">
        <w:rPr>
          <w:sz w:val="24"/>
          <w:szCs w:val="24"/>
        </w:rPr>
        <w:t xml:space="preserve">Table </w:t>
      </w:r>
      <w:r w:rsidRPr="00181181">
        <w:rPr>
          <w:sz w:val="24"/>
          <w:szCs w:val="24"/>
        </w:rPr>
        <w:fldChar w:fldCharType="begin"/>
      </w:r>
      <w:r w:rsidRPr="00181181">
        <w:rPr>
          <w:sz w:val="24"/>
          <w:szCs w:val="24"/>
        </w:rPr>
        <w:instrText xml:space="preserve"> SEQ Table \* ARABIC </w:instrText>
      </w:r>
      <w:r w:rsidRPr="00181181">
        <w:rPr>
          <w:sz w:val="24"/>
          <w:szCs w:val="24"/>
        </w:rPr>
        <w:fldChar w:fldCharType="separate"/>
      </w:r>
      <w:r w:rsidR="003A3DA9">
        <w:rPr>
          <w:noProof/>
          <w:sz w:val="24"/>
          <w:szCs w:val="24"/>
        </w:rPr>
        <w:t>8</w:t>
      </w:r>
      <w:r w:rsidRPr="00181181">
        <w:rPr>
          <w:noProof/>
          <w:sz w:val="24"/>
          <w:szCs w:val="24"/>
        </w:rPr>
        <w:fldChar w:fldCharType="end"/>
      </w:r>
      <w:r w:rsidRPr="00181181">
        <w:rPr>
          <w:sz w:val="24"/>
          <w:szCs w:val="24"/>
        </w:rPr>
        <w:t>.1: Current Ratio</w:t>
      </w:r>
      <w:bookmarkEnd w:id="81"/>
      <w:bookmarkEnd w:id="82"/>
      <w:bookmarkEnd w:id="83"/>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60"/>
        <w:gridCol w:w="1560"/>
        <w:gridCol w:w="1560"/>
        <w:gridCol w:w="1560"/>
        <w:gridCol w:w="1560"/>
        <w:gridCol w:w="1560"/>
      </w:tblGrid>
      <w:tr w:rsidR="00735DB8" w14:paraId="7476D1B3" w14:textId="77777777" w:rsidTr="00906B09">
        <w:tc>
          <w:tcPr>
            <w:tcW w:w="1560" w:type="dxa"/>
            <w:shd w:val="clear" w:color="auto" w:fill="156082" w:themeFill="accent1"/>
            <w:tcMar>
              <w:top w:w="100" w:type="dxa"/>
              <w:left w:w="120" w:type="dxa"/>
              <w:bottom w:w="100" w:type="dxa"/>
              <w:right w:w="120" w:type="dxa"/>
            </w:tcMar>
            <w:vAlign w:val="center"/>
          </w:tcPr>
          <w:p w14:paraId="79B56A62" w14:textId="77777777" w:rsidR="00DF5A52" w:rsidRPr="006163DA" w:rsidRDefault="00DF5A52" w:rsidP="00E13EDB">
            <w:pPr>
              <w:spacing w:line="276" w:lineRule="auto"/>
              <w:jc w:val="center"/>
              <w:rPr>
                <w:rFonts w:ascii="Arial" w:hAnsi="Arial"/>
                <w:szCs w:val="24"/>
              </w:rPr>
            </w:pPr>
            <w:r w:rsidRPr="006163DA">
              <w:rPr>
                <w:rFonts w:ascii="Arial" w:hAnsi="Arial"/>
                <w:b/>
                <w:bCs/>
                <w:color w:val="FFFFFF"/>
                <w:szCs w:val="24"/>
              </w:rPr>
              <w:t>Year</w:t>
            </w:r>
          </w:p>
        </w:tc>
        <w:tc>
          <w:tcPr>
            <w:tcW w:w="1560" w:type="dxa"/>
            <w:shd w:val="clear" w:color="auto" w:fill="156082" w:themeFill="accent1"/>
            <w:tcMar>
              <w:top w:w="100" w:type="dxa"/>
              <w:left w:w="120" w:type="dxa"/>
              <w:bottom w:w="100" w:type="dxa"/>
              <w:right w:w="120" w:type="dxa"/>
            </w:tcMar>
            <w:vAlign w:val="center"/>
          </w:tcPr>
          <w:p w14:paraId="3FBF2777" w14:textId="3BB2846A" w:rsidR="00DF5A52" w:rsidRPr="006163DA" w:rsidRDefault="00DF5A52" w:rsidP="00E13EDB">
            <w:pPr>
              <w:spacing w:line="276" w:lineRule="auto"/>
              <w:jc w:val="center"/>
              <w:rPr>
                <w:rFonts w:ascii="Arial" w:hAnsi="Arial"/>
                <w:szCs w:val="24"/>
              </w:rPr>
            </w:pPr>
            <w:r w:rsidRPr="006163DA">
              <w:rPr>
                <w:rFonts w:ascii="Arial" w:hAnsi="Arial"/>
                <w:b/>
                <w:bCs/>
                <w:color w:val="FFFFFF"/>
                <w:szCs w:val="24"/>
              </w:rPr>
              <w:t xml:space="preserve"> 2021</w:t>
            </w:r>
          </w:p>
        </w:tc>
        <w:tc>
          <w:tcPr>
            <w:tcW w:w="1560" w:type="dxa"/>
            <w:shd w:val="clear" w:color="auto" w:fill="156082" w:themeFill="accent1"/>
            <w:tcMar>
              <w:top w:w="100" w:type="dxa"/>
              <w:left w:w="120" w:type="dxa"/>
              <w:bottom w:w="100" w:type="dxa"/>
              <w:right w:w="120" w:type="dxa"/>
            </w:tcMar>
            <w:vAlign w:val="center"/>
          </w:tcPr>
          <w:p w14:paraId="2359CF6F" w14:textId="348A7566" w:rsidR="00DF5A52" w:rsidRPr="006163DA" w:rsidRDefault="00DF5A52" w:rsidP="00E13EDB">
            <w:pPr>
              <w:spacing w:line="276" w:lineRule="auto"/>
              <w:jc w:val="center"/>
              <w:rPr>
                <w:rFonts w:ascii="Arial" w:hAnsi="Arial"/>
                <w:szCs w:val="24"/>
              </w:rPr>
            </w:pPr>
            <w:r w:rsidRPr="006163DA">
              <w:rPr>
                <w:rFonts w:ascii="Arial" w:hAnsi="Arial"/>
                <w:b/>
                <w:bCs/>
                <w:color w:val="FFFFFF"/>
                <w:szCs w:val="24"/>
              </w:rPr>
              <w:t>2022</w:t>
            </w:r>
          </w:p>
        </w:tc>
        <w:tc>
          <w:tcPr>
            <w:tcW w:w="1560" w:type="dxa"/>
            <w:shd w:val="clear" w:color="auto" w:fill="156082" w:themeFill="accent1"/>
            <w:tcMar>
              <w:top w:w="100" w:type="dxa"/>
              <w:left w:w="120" w:type="dxa"/>
              <w:bottom w:w="100" w:type="dxa"/>
              <w:right w:w="120" w:type="dxa"/>
            </w:tcMar>
            <w:vAlign w:val="center"/>
          </w:tcPr>
          <w:p w14:paraId="47778893" w14:textId="17981BD4" w:rsidR="00DF5A52" w:rsidRPr="006163DA" w:rsidRDefault="00DF5A52" w:rsidP="00E13EDB">
            <w:pPr>
              <w:spacing w:line="276" w:lineRule="auto"/>
              <w:jc w:val="center"/>
              <w:rPr>
                <w:rFonts w:ascii="Arial" w:hAnsi="Arial"/>
                <w:szCs w:val="24"/>
              </w:rPr>
            </w:pPr>
            <w:r w:rsidRPr="006163DA">
              <w:rPr>
                <w:rFonts w:ascii="Arial" w:hAnsi="Arial"/>
                <w:b/>
                <w:bCs/>
                <w:color w:val="FFFFFF"/>
                <w:szCs w:val="24"/>
              </w:rPr>
              <w:t>2023</w:t>
            </w:r>
          </w:p>
        </w:tc>
        <w:tc>
          <w:tcPr>
            <w:tcW w:w="1560" w:type="dxa"/>
            <w:shd w:val="clear" w:color="auto" w:fill="156082" w:themeFill="accent1"/>
            <w:tcMar>
              <w:top w:w="100" w:type="dxa"/>
              <w:left w:w="120" w:type="dxa"/>
              <w:bottom w:w="100" w:type="dxa"/>
              <w:right w:w="120" w:type="dxa"/>
            </w:tcMar>
            <w:vAlign w:val="center"/>
          </w:tcPr>
          <w:p w14:paraId="4FBF5288" w14:textId="0D85338E" w:rsidR="00DF5A52" w:rsidRPr="006163DA" w:rsidRDefault="00DF5A52" w:rsidP="00E13EDB">
            <w:pPr>
              <w:spacing w:line="276" w:lineRule="auto"/>
              <w:jc w:val="center"/>
              <w:rPr>
                <w:rFonts w:ascii="Arial" w:hAnsi="Arial"/>
                <w:szCs w:val="24"/>
              </w:rPr>
            </w:pPr>
            <w:r w:rsidRPr="006163DA">
              <w:rPr>
                <w:rFonts w:ascii="Arial" w:hAnsi="Arial"/>
                <w:b/>
                <w:bCs/>
                <w:color w:val="FFFFFF"/>
                <w:szCs w:val="24"/>
              </w:rPr>
              <w:t>2024</w:t>
            </w:r>
          </w:p>
        </w:tc>
        <w:tc>
          <w:tcPr>
            <w:tcW w:w="1560" w:type="dxa"/>
            <w:shd w:val="clear" w:color="auto" w:fill="156082" w:themeFill="accent1"/>
            <w:tcMar>
              <w:top w:w="100" w:type="dxa"/>
              <w:left w:w="120" w:type="dxa"/>
              <w:bottom w:w="100" w:type="dxa"/>
              <w:right w:w="120" w:type="dxa"/>
            </w:tcMar>
            <w:vAlign w:val="center"/>
          </w:tcPr>
          <w:p w14:paraId="79CE1128" w14:textId="03DA8012" w:rsidR="00DF5A52" w:rsidRPr="006163DA" w:rsidRDefault="00DF5A52" w:rsidP="00E13EDB">
            <w:pPr>
              <w:spacing w:line="276" w:lineRule="auto"/>
              <w:jc w:val="center"/>
              <w:rPr>
                <w:rFonts w:ascii="Arial" w:hAnsi="Arial"/>
                <w:szCs w:val="24"/>
              </w:rPr>
            </w:pPr>
            <w:r w:rsidRPr="006163DA">
              <w:rPr>
                <w:rFonts w:ascii="Arial" w:hAnsi="Arial"/>
                <w:b/>
                <w:bCs/>
                <w:color w:val="FFFFFF"/>
                <w:szCs w:val="24"/>
              </w:rPr>
              <w:t>2025</w:t>
            </w:r>
          </w:p>
        </w:tc>
      </w:tr>
      <w:tr w:rsidR="00735DB8" w14:paraId="7BACDB36" w14:textId="77777777" w:rsidTr="00BC2B39">
        <w:tc>
          <w:tcPr>
            <w:tcW w:w="1560" w:type="dxa"/>
            <w:shd w:val="clear" w:color="auto" w:fill="FFFFFF" w:themeFill="background1"/>
            <w:tcMar>
              <w:top w:w="80" w:type="dxa"/>
              <w:left w:w="120" w:type="dxa"/>
              <w:bottom w:w="80" w:type="dxa"/>
              <w:right w:w="120" w:type="dxa"/>
            </w:tcMar>
          </w:tcPr>
          <w:p w14:paraId="3532F308" w14:textId="77777777" w:rsidR="00DF5A52" w:rsidRPr="006163DA" w:rsidRDefault="00DF5A52" w:rsidP="00BC2B39">
            <w:pPr>
              <w:spacing w:line="276" w:lineRule="auto"/>
              <w:jc w:val="center"/>
              <w:rPr>
                <w:rFonts w:ascii="Arial" w:hAnsi="Arial"/>
                <w:szCs w:val="24"/>
              </w:rPr>
            </w:pPr>
            <w:r w:rsidRPr="006163DA">
              <w:rPr>
                <w:rFonts w:ascii="Arial" w:hAnsi="Arial"/>
                <w:szCs w:val="24"/>
              </w:rPr>
              <w:t>Current Ratio</w:t>
            </w:r>
          </w:p>
        </w:tc>
        <w:tc>
          <w:tcPr>
            <w:tcW w:w="1560" w:type="dxa"/>
            <w:shd w:val="clear" w:color="auto" w:fill="FFFFFF" w:themeFill="background1"/>
            <w:tcMar>
              <w:top w:w="80" w:type="dxa"/>
              <w:left w:w="120" w:type="dxa"/>
              <w:bottom w:w="80" w:type="dxa"/>
              <w:right w:w="120" w:type="dxa"/>
            </w:tcMar>
            <w:vAlign w:val="center"/>
          </w:tcPr>
          <w:p w14:paraId="7EA23E03" w14:textId="77777777" w:rsidR="00DF5A52" w:rsidRPr="006163DA" w:rsidRDefault="00DF5A52" w:rsidP="00E13EDB">
            <w:pPr>
              <w:spacing w:line="276" w:lineRule="auto"/>
              <w:jc w:val="center"/>
              <w:rPr>
                <w:rFonts w:ascii="Arial" w:hAnsi="Arial"/>
                <w:szCs w:val="24"/>
              </w:rPr>
            </w:pPr>
            <w:r w:rsidRPr="006163DA">
              <w:rPr>
                <w:rFonts w:ascii="Arial" w:hAnsi="Arial"/>
                <w:szCs w:val="24"/>
              </w:rPr>
              <w:t>1.92</w:t>
            </w:r>
          </w:p>
        </w:tc>
        <w:tc>
          <w:tcPr>
            <w:tcW w:w="1560" w:type="dxa"/>
            <w:shd w:val="clear" w:color="auto" w:fill="FFFFFF" w:themeFill="background1"/>
            <w:tcMar>
              <w:top w:w="80" w:type="dxa"/>
              <w:left w:w="120" w:type="dxa"/>
              <w:bottom w:w="80" w:type="dxa"/>
              <w:right w:w="120" w:type="dxa"/>
            </w:tcMar>
            <w:vAlign w:val="center"/>
          </w:tcPr>
          <w:p w14:paraId="3131FD90" w14:textId="77777777" w:rsidR="00DF5A52" w:rsidRPr="006163DA" w:rsidRDefault="00DF5A52" w:rsidP="00E13EDB">
            <w:pPr>
              <w:spacing w:line="276" w:lineRule="auto"/>
              <w:jc w:val="center"/>
              <w:rPr>
                <w:rFonts w:ascii="Arial" w:hAnsi="Arial"/>
                <w:szCs w:val="24"/>
              </w:rPr>
            </w:pPr>
            <w:r w:rsidRPr="006163DA">
              <w:rPr>
                <w:rFonts w:ascii="Arial" w:hAnsi="Arial"/>
                <w:szCs w:val="24"/>
              </w:rPr>
              <w:t>1.48</w:t>
            </w:r>
          </w:p>
        </w:tc>
        <w:tc>
          <w:tcPr>
            <w:tcW w:w="1560" w:type="dxa"/>
            <w:shd w:val="clear" w:color="auto" w:fill="FFFFFF" w:themeFill="background1"/>
            <w:tcMar>
              <w:top w:w="80" w:type="dxa"/>
              <w:left w:w="120" w:type="dxa"/>
              <w:bottom w:w="80" w:type="dxa"/>
              <w:right w:w="120" w:type="dxa"/>
            </w:tcMar>
            <w:vAlign w:val="center"/>
          </w:tcPr>
          <w:p w14:paraId="65D95C8B" w14:textId="77777777" w:rsidR="00DF5A52" w:rsidRPr="006163DA" w:rsidRDefault="00DF5A52" w:rsidP="00E13EDB">
            <w:pPr>
              <w:spacing w:line="276" w:lineRule="auto"/>
              <w:jc w:val="center"/>
              <w:rPr>
                <w:rFonts w:ascii="Arial" w:hAnsi="Arial"/>
                <w:szCs w:val="24"/>
              </w:rPr>
            </w:pPr>
            <w:r w:rsidRPr="006163DA">
              <w:rPr>
                <w:rFonts w:ascii="Arial" w:hAnsi="Arial"/>
                <w:szCs w:val="24"/>
              </w:rPr>
              <w:t>1.33</w:t>
            </w:r>
          </w:p>
        </w:tc>
        <w:tc>
          <w:tcPr>
            <w:tcW w:w="1560" w:type="dxa"/>
            <w:shd w:val="clear" w:color="auto" w:fill="FFFFFF" w:themeFill="background1"/>
            <w:tcMar>
              <w:top w:w="80" w:type="dxa"/>
              <w:left w:w="120" w:type="dxa"/>
              <w:bottom w:w="80" w:type="dxa"/>
              <w:right w:w="120" w:type="dxa"/>
            </w:tcMar>
            <w:vAlign w:val="center"/>
          </w:tcPr>
          <w:p w14:paraId="5EC03B87" w14:textId="77777777" w:rsidR="00DF5A52" w:rsidRPr="006163DA" w:rsidRDefault="00DF5A52" w:rsidP="00E13EDB">
            <w:pPr>
              <w:spacing w:line="276" w:lineRule="auto"/>
              <w:jc w:val="center"/>
              <w:rPr>
                <w:rFonts w:ascii="Arial" w:hAnsi="Arial"/>
                <w:szCs w:val="24"/>
              </w:rPr>
            </w:pPr>
            <w:r w:rsidRPr="006163DA">
              <w:rPr>
                <w:rFonts w:ascii="Arial" w:hAnsi="Arial"/>
                <w:szCs w:val="24"/>
              </w:rPr>
              <w:t>1.80</w:t>
            </w:r>
          </w:p>
        </w:tc>
        <w:tc>
          <w:tcPr>
            <w:tcW w:w="1560" w:type="dxa"/>
            <w:shd w:val="clear" w:color="auto" w:fill="FFFFFF" w:themeFill="background1"/>
            <w:tcMar>
              <w:top w:w="80" w:type="dxa"/>
              <w:left w:w="120" w:type="dxa"/>
              <w:bottom w:w="80" w:type="dxa"/>
              <w:right w:w="120" w:type="dxa"/>
            </w:tcMar>
            <w:vAlign w:val="center"/>
          </w:tcPr>
          <w:p w14:paraId="0FB88DA0" w14:textId="77777777" w:rsidR="00DF5A52" w:rsidRPr="006163DA" w:rsidRDefault="00DF5A52" w:rsidP="00E13EDB">
            <w:pPr>
              <w:spacing w:line="276" w:lineRule="auto"/>
              <w:jc w:val="center"/>
              <w:rPr>
                <w:rFonts w:ascii="Arial" w:hAnsi="Arial"/>
                <w:szCs w:val="24"/>
              </w:rPr>
            </w:pPr>
            <w:r w:rsidRPr="006163DA">
              <w:rPr>
                <w:rFonts w:ascii="Arial" w:hAnsi="Arial"/>
                <w:szCs w:val="24"/>
              </w:rPr>
              <w:t>1.75</w:t>
            </w:r>
          </w:p>
        </w:tc>
      </w:tr>
    </w:tbl>
    <w:p w14:paraId="0A5D7A13" w14:textId="323B3BB2" w:rsidR="002A2C9C" w:rsidRPr="00716B98" w:rsidRDefault="00422D1B" w:rsidP="00920581">
      <w:pPr>
        <w:pStyle w:val="Caption"/>
        <w:jc w:val="center"/>
        <w:rPr>
          <w:rFonts w:cs="Times New Roman"/>
          <w:sz w:val="24"/>
          <w:szCs w:val="36"/>
        </w:rPr>
      </w:pPr>
      <w:bookmarkStart w:id="84" w:name="_Toc235308692"/>
      <w:r w:rsidRPr="00716B98">
        <w:rPr>
          <w:noProof/>
          <w:sz w:val="24"/>
          <w:szCs w:val="24"/>
          <w:shd w:val="clear" w:color="auto" w:fill="0F4761" w:themeFill="accent1" w:themeFillShade="BF"/>
        </w:rPr>
        <w:drawing>
          <wp:anchor distT="0" distB="0" distL="114300" distR="114300" simplePos="0" relativeHeight="251659264" behindDoc="1" locked="0" layoutInCell="1" allowOverlap="1" wp14:anchorId="3CF31D65" wp14:editId="497F4124">
            <wp:simplePos x="0" y="0"/>
            <wp:positionH relativeFrom="margin">
              <wp:align>left</wp:align>
            </wp:positionH>
            <wp:positionV relativeFrom="paragraph">
              <wp:posOffset>107950</wp:posOffset>
            </wp:positionV>
            <wp:extent cx="5902960" cy="3060700"/>
            <wp:effectExtent l="0" t="0" r="2540" b="6350"/>
            <wp:wrapSquare wrapText="bothSides"/>
            <wp:docPr id="1702872905" name="Chart 1">
              <a:extLst xmlns:a="http://schemas.openxmlformats.org/drawingml/2006/main">
                <a:ext uri="{FF2B5EF4-FFF2-40B4-BE49-F238E27FC236}">
                  <a16:creationId xmlns:a16="http://schemas.microsoft.com/office/drawing/2014/main" id="{397A53FB-C4AD-FA63-4A75-0E21A0F1707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anchor>
        </w:drawing>
      </w:r>
      <w:r w:rsidR="00920581" w:rsidRPr="00716B98">
        <w:rPr>
          <w:sz w:val="24"/>
          <w:szCs w:val="24"/>
        </w:rPr>
        <w:t xml:space="preserve">Figure </w:t>
      </w:r>
      <w:r w:rsidR="00D94E28" w:rsidRPr="00716B98">
        <w:rPr>
          <w:sz w:val="24"/>
          <w:szCs w:val="24"/>
        </w:rPr>
        <w:fldChar w:fldCharType="begin"/>
      </w:r>
      <w:r w:rsidR="00D94E28" w:rsidRPr="00716B98">
        <w:rPr>
          <w:sz w:val="24"/>
          <w:szCs w:val="24"/>
        </w:rPr>
        <w:instrText xml:space="preserve"> SEQ Figure \* ARABIC </w:instrText>
      </w:r>
      <w:r w:rsidR="00D94E28" w:rsidRPr="00716B98">
        <w:rPr>
          <w:sz w:val="24"/>
          <w:szCs w:val="24"/>
        </w:rPr>
        <w:fldChar w:fldCharType="separate"/>
      </w:r>
      <w:r w:rsidR="00C15A61">
        <w:rPr>
          <w:noProof/>
          <w:sz w:val="24"/>
          <w:szCs w:val="24"/>
        </w:rPr>
        <w:t>8</w:t>
      </w:r>
      <w:r w:rsidR="00D94E28" w:rsidRPr="00716B98">
        <w:rPr>
          <w:noProof/>
          <w:sz w:val="24"/>
          <w:szCs w:val="24"/>
        </w:rPr>
        <w:fldChar w:fldCharType="end"/>
      </w:r>
      <w:r w:rsidR="00920581" w:rsidRPr="00716B98">
        <w:rPr>
          <w:sz w:val="24"/>
          <w:szCs w:val="24"/>
        </w:rPr>
        <w:t>.1: Current Ratio (Graph)</w:t>
      </w:r>
      <w:bookmarkEnd w:id="84"/>
    </w:p>
    <w:p w14:paraId="3591FF12" w14:textId="4E7777AE" w:rsidR="00DF5A52" w:rsidRDefault="00460E2E" w:rsidP="00F312CD">
      <w:pPr>
        <w:spacing w:after="80"/>
        <w:rPr>
          <w:rFonts w:ascii="Arial" w:hAnsi="Arial"/>
          <w:szCs w:val="24"/>
        </w:rPr>
      </w:pPr>
      <w:r w:rsidRPr="00460E2E">
        <w:rPr>
          <w:rFonts w:ascii="Arial" w:hAnsi="Arial"/>
          <w:szCs w:val="24"/>
        </w:rPr>
        <w:t>The company has been relatively good at paying its short-term bills over the past five years, but it has had its ups and downs. The current ratio in FY2021 was 1.92, the best year, and the company had almost twice the assets needed to cover its short-term liabilities. The comfort cushion shrank to 1.33 by FY2023, largely because the company set aside a lot more money for taxes, which temporarily ate into its liquid</w:t>
      </w:r>
    </w:p>
    <w:p w14:paraId="554500B3" w14:textId="0FEF478B" w:rsidR="00460E2E" w:rsidRPr="00F312CD" w:rsidRDefault="00460E2E" w:rsidP="00F312CD">
      <w:pPr>
        <w:spacing w:after="80"/>
        <w:rPr>
          <w:rFonts w:ascii="Arial" w:hAnsi="Arial"/>
          <w:szCs w:val="24"/>
        </w:rPr>
      </w:pPr>
      <w:r w:rsidRPr="00460E2E">
        <w:rPr>
          <w:rFonts w:ascii="Arial" w:hAnsi="Arial"/>
          <w:szCs w:val="24"/>
        </w:rPr>
        <w:t xml:space="preserve">resources. The good news is that by FY2025, the ratio rebounded to 1.74, indicating the company had recaptured some of that financial breathing room. The big picture: </w:t>
      </w:r>
      <w:r w:rsidRPr="00460E2E">
        <w:rPr>
          <w:rFonts w:ascii="Arial" w:hAnsi="Arial"/>
          <w:szCs w:val="24"/>
        </w:rPr>
        <w:lastRenderedPageBreak/>
        <w:t>Even in its leanest year, the ratio never dipped below 1.0, the danger zone where a company can’t meet its near-term debt obligations. So, despite the ups and downs, TCF Bangladesh has consistently maintained a healthy stock of liquid assets on hand, so there is really no reason to worry about it</w:t>
      </w:r>
      <w:r>
        <w:rPr>
          <w:rFonts w:ascii="Arial" w:hAnsi="Arial"/>
          <w:szCs w:val="24"/>
        </w:rPr>
        <w:t xml:space="preserve"> </w:t>
      </w:r>
      <w:r w:rsidRPr="00460E2E">
        <w:rPr>
          <w:rFonts w:ascii="Arial" w:hAnsi="Arial"/>
          <w:szCs w:val="24"/>
        </w:rPr>
        <w:t>running into cash-flow trouble anytime soon.</w:t>
      </w:r>
    </w:p>
    <w:p w14:paraId="557AE87F" w14:textId="37A4842E" w:rsidR="00DF5A52" w:rsidRPr="00F3742D" w:rsidRDefault="00287D8C" w:rsidP="00F3742D">
      <w:pPr>
        <w:pStyle w:val="Heading3"/>
        <w:rPr>
          <w:rFonts w:ascii="Arial" w:hAnsi="Arial" w:cs="Arial"/>
          <w:sz w:val="24"/>
          <w:szCs w:val="24"/>
        </w:rPr>
      </w:pPr>
      <w:bookmarkStart w:id="85" w:name="_Toc235801960"/>
      <w:r w:rsidRPr="00F3742D">
        <w:rPr>
          <w:rFonts w:ascii="Arial" w:hAnsi="Arial" w:cs="Arial"/>
          <w:sz w:val="24"/>
          <w:szCs w:val="24"/>
        </w:rPr>
        <w:t>4</w:t>
      </w:r>
      <w:r w:rsidR="00DF5A52" w:rsidRPr="00F3742D">
        <w:rPr>
          <w:rFonts w:ascii="Arial" w:hAnsi="Arial" w:cs="Arial"/>
          <w:sz w:val="24"/>
          <w:szCs w:val="24"/>
        </w:rPr>
        <w:t>.</w:t>
      </w:r>
      <w:r w:rsidR="00F90B1B" w:rsidRPr="00F3742D">
        <w:rPr>
          <w:rFonts w:ascii="Arial" w:hAnsi="Arial" w:cs="Arial"/>
          <w:sz w:val="24"/>
          <w:szCs w:val="24"/>
        </w:rPr>
        <w:t>1</w:t>
      </w:r>
      <w:r w:rsidR="00C604F6" w:rsidRPr="00F3742D">
        <w:rPr>
          <w:rFonts w:ascii="Arial" w:hAnsi="Arial" w:cs="Arial"/>
          <w:sz w:val="24"/>
          <w:szCs w:val="24"/>
        </w:rPr>
        <w:t>2</w:t>
      </w:r>
      <w:r w:rsidR="00F90B1B" w:rsidRPr="00F3742D">
        <w:rPr>
          <w:rFonts w:ascii="Arial" w:hAnsi="Arial" w:cs="Arial"/>
          <w:sz w:val="24"/>
          <w:szCs w:val="24"/>
        </w:rPr>
        <w:t>.2</w:t>
      </w:r>
      <w:r w:rsidR="00DF5A52" w:rsidRPr="00F3742D">
        <w:rPr>
          <w:rFonts w:ascii="Arial" w:hAnsi="Arial" w:cs="Arial"/>
          <w:sz w:val="24"/>
          <w:szCs w:val="24"/>
        </w:rPr>
        <w:t xml:space="preserve"> Quick Ratio Analysis</w:t>
      </w:r>
      <w:bookmarkEnd w:id="85"/>
    </w:p>
    <w:p w14:paraId="7D290305" w14:textId="13047B7D" w:rsidR="00CF4231" w:rsidRPr="00D94E28" w:rsidRDefault="006544E4" w:rsidP="00D94E28">
      <w:pPr>
        <w:rPr>
          <w:rFonts w:ascii="Arial" w:hAnsi="Arial"/>
        </w:rPr>
      </w:pPr>
      <w:r w:rsidRPr="006544E4">
        <w:rPr>
          <w:rFonts w:ascii="Arial" w:hAnsi="Arial"/>
        </w:rPr>
        <w:t>The Quick Ratio is also referred to as the Acid-Test Ratio. This is a liquidity ratio that measures a company’s ability to pay off short-term liabilities with its most liquid assets. These liquid assets include cash, marketable securities, and accounts receivable, but exclude the sale of inventory. It shows how well a business can pay for its short-term financial obligations.</w:t>
      </w:r>
    </w:p>
    <w:p w14:paraId="717BDAF8" w14:textId="61351043" w:rsidR="003B57A4" w:rsidRPr="00A962FA" w:rsidRDefault="00097E4C" w:rsidP="00A962FA">
      <w:pPr>
        <w:spacing w:after="80" w:line="276" w:lineRule="auto"/>
        <w:jc w:val="center"/>
        <w:rPr>
          <w:rFonts w:ascii="Arial" w:hAnsi="Arial"/>
          <w:b/>
          <w:color w:val="000000" w:themeColor="text1"/>
        </w:rPr>
      </w:pPr>
      <m:oMath>
        <m:r>
          <m:rPr>
            <m:sty m:val="b"/>
          </m:rPr>
          <w:rPr>
            <w:rFonts w:ascii="Cambria Math" w:hAnsi="Cambria Math"/>
            <w:color w:val="000000" w:themeColor="text1"/>
          </w:rPr>
          <m:t>Quick Ratio  =(Cash + Trade Receivables) /  Total Current Liabilities</m:t>
        </m:r>
      </m:oMath>
      <w:r w:rsidR="00A962FA">
        <w:rPr>
          <w:rFonts w:ascii="Arial" w:hAnsi="Arial"/>
          <w:b/>
          <w:color w:val="000000" w:themeColor="text1"/>
        </w:rPr>
        <w:t xml:space="preserve"> (10)</w:t>
      </w:r>
    </w:p>
    <w:p w14:paraId="67362BB2" w14:textId="577797D8" w:rsidR="00DF5A52" w:rsidRDefault="00DF5A52" w:rsidP="00F312CD">
      <w:pPr>
        <w:spacing w:after="80"/>
        <w:rPr>
          <w:rFonts w:ascii="Arial" w:hAnsi="Arial"/>
          <w:szCs w:val="24"/>
        </w:rPr>
      </w:pPr>
      <w:r w:rsidRPr="00F312CD">
        <w:rPr>
          <w:rFonts w:ascii="Arial" w:hAnsi="Arial"/>
          <w:b/>
          <w:bCs/>
          <w:szCs w:val="24"/>
        </w:rPr>
        <w:t>Note:</w:t>
      </w:r>
      <w:r w:rsidRPr="00F312CD">
        <w:rPr>
          <w:rFonts w:ascii="Arial" w:hAnsi="Arial"/>
          <w:szCs w:val="24"/>
        </w:rPr>
        <w:t xml:space="preserve"> </w:t>
      </w:r>
      <w:r w:rsidR="006544E4" w:rsidRPr="006544E4">
        <w:rPr>
          <w:rFonts w:ascii="Arial" w:hAnsi="Arial"/>
          <w:szCs w:val="24"/>
        </w:rPr>
        <w:t>Since it is not easily convertible into cash, advance income tax and pre payments are excluded.</w:t>
      </w:r>
    </w:p>
    <w:p w14:paraId="4DBF178B" w14:textId="1E228E1E" w:rsidR="001A49B2" w:rsidRPr="001A49B2" w:rsidRDefault="001A49B2" w:rsidP="001A49B2">
      <w:pPr>
        <w:pStyle w:val="Caption"/>
        <w:jc w:val="center"/>
        <w:rPr>
          <w:noProof/>
          <w:sz w:val="24"/>
          <w:szCs w:val="24"/>
        </w:rPr>
      </w:pPr>
      <w:bookmarkStart w:id="86" w:name="_Toc235803959"/>
      <w:bookmarkStart w:id="87" w:name="_Toc235804212"/>
      <w:r w:rsidRPr="001A49B2">
        <w:rPr>
          <w:sz w:val="24"/>
          <w:szCs w:val="24"/>
        </w:rPr>
        <w:t xml:space="preserve">Table </w:t>
      </w:r>
      <w:r w:rsidRPr="001A49B2">
        <w:rPr>
          <w:sz w:val="24"/>
          <w:szCs w:val="24"/>
        </w:rPr>
        <w:fldChar w:fldCharType="begin"/>
      </w:r>
      <w:r w:rsidRPr="001A49B2">
        <w:rPr>
          <w:sz w:val="24"/>
          <w:szCs w:val="24"/>
        </w:rPr>
        <w:instrText xml:space="preserve"> SEQ Table \* ARABIC </w:instrText>
      </w:r>
      <w:r w:rsidRPr="001A49B2">
        <w:rPr>
          <w:sz w:val="24"/>
          <w:szCs w:val="24"/>
        </w:rPr>
        <w:fldChar w:fldCharType="separate"/>
      </w:r>
      <w:r w:rsidR="003A3DA9">
        <w:rPr>
          <w:noProof/>
          <w:sz w:val="24"/>
          <w:szCs w:val="24"/>
        </w:rPr>
        <w:t>9</w:t>
      </w:r>
      <w:r w:rsidRPr="001A49B2">
        <w:rPr>
          <w:noProof/>
          <w:sz w:val="24"/>
          <w:szCs w:val="24"/>
        </w:rPr>
        <w:fldChar w:fldCharType="end"/>
      </w:r>
      <w:r w:rsidRPr="001A49B2">
        <w:rPr>
          <w:sz w:val="24"/>
          <w:szCs w:val="24"/>
        </w:rPr>
        <w:t>.1: Quick Ratio</w:t>
      </w:r>
      <w:bookmarkEnd w:id="86"/>
      <w:bookmarkEnd w:id="87"/>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60"/>
        <w:gridCol w:w="1560"/>
        <w:gridCol w:w="1560"/>
        <w:gridCol w:w="1560"/>
        <w:gridCol w:w="1560"/>
        <w:gridCol w:w="1560"/>
      </w:tblGrid>
      <w:tr w:rsidR="00735DB8" w14:paraId="2E2B54B1" w14:textId="77777777" w:rsidTr="00906B09">
        <w:tc>
          <w:tcPr>
            <w:tcW w:w="1560" w:type="dxa"/>
            <w:shd w:val="clear" w:color="auto" w:fill="156082" w:themeFill="accent1"/>
            <w:tcMar>
              <w:top w:w="100" w:type="dxa"/>
              <w:left w:w="120" w:type="dxa"/>
              <w:bottom w:w="100" w:type="dxa"/>
              <w:right w:w="120" w:type="dxa"/>
            </w:tcMar>
            <w:vAlign w:val="center"/>
          </w:tcPr>
          <w:p w14:paraId="24374A85" w14:textId="77777777" w:rsidR="00DF5A52" w:rsidRPr="006163DA" w:rsidRDefault="00DF5A52" w:rsidP="00E13EDB">
            <w:pPr>
              <w:spacing w:line="276" w:lineRule="auto"/>
              <w:jc w:val="center"/>
              <w:rPr>
                <w:rFonts w:ascii="Arial" w:hAnsi="Arial"/>
                <w:szCs w:val="24"/>
              </w:rPr>
            </w:pPr>
            <w:r w:rsidRPr="006163DA">
              <w:rPr>
                <w:rFonts w:ascii="Arial" w:hAnsi="Arial"/>
                <w:b/>
                <w:bCs/>
                <w:color w:val="FFFFFF"/>
                <w:szCs w:val="24"/>
              </w:rPr>
              <w:t>Year</w:t>
            </w:r>
          </w:p>
        </w:tc>
        <w:tc>
          <w:tcPr>
            <w:tcW w:w="1560" w:type="dxa"/>
            <w:shd w:val="clear" w:color="auto" w:fill="156082" w:themeFill="accent1"/>
            <w:tcMar>
              <w:top w:w="100" w:type="dxa"/>
              <w:left w:w="120" w:type="dxa"/>
              <w:bottom w:w="100" w:type="dxa"/>
              <w:right w:w="120" w:type="dxa"/>
            </w:tcMar>
            <w:vAlign w:val="center"/>
          </w:tcPr>
          <w:p w14:paraId="783297A5" w14:textId="190E4C2A" w:rsidR="00DF5A52" w:rsidRPr="006163DA" w:rsidRDefault="00DF5A52" w:rsidP="00E13EDB">
            <w:pPr>
              <w:spacing w:line="276" w:lineRule="auto"/>
              <w:jc w:val="center"/>
              <w:rPr>
                <w:rFonts w:ascii="Arial" w:hAnsi="Arial"/>
                <w:szCs w:val="24"/>
              </w:rPr>
            </w:pPr>
            <w:r w:rsidRPr="006163DA">
              <w:rPr>
                <w:rFonts w:ascii="Arial" w:hAnsi="Arial"/>
                <w:b/>
                <w:bCs/>
                <w:color w:val="FFFFFF"/>
                <w:szCs w:val="24"/>
              </w:rPr>
              <w:t>2021</w:t>
            </w:r>
          </w:p>
        </w:tc>
        <w:tc>
          <w:tcPr>
            <w:tcW w:w="1560" w:type="dxa"/>
            <w:shd w:val="clear" w:color="auto" w:fill="156082" w:themeFill="accent1"/>
            <w:tcMar>
              <w:top w:w="100" w:type="dxa"/>
              <w:left w:w="120" w:type="dxa"/>
              <w:bottom w:w="100" w:type="dxa"/>
              <w:right w:w="120" w:type="dxa"/>
            </w:tcMar>
            <w:vAlign w:val="center"/>
          </w:tcPr>
          <w:p w14:paraId="47F09225" w14:textId="6D2ABBA9" w:rsidR="00DF5A52" w:rsidRPr="006163DA" w:rsidRDefault="00DF5A52" w:rsidP="00E13EDB">
            <w:pPr>
              <w:spacing w:line="276" w:lineRule="auto"/>
              <w:jc w:val="center"/>
              <w:rPr>
                <w:rFonts w:ascii="Arial" w:hAnsi="Arial"/>
                <w:szCs w:val="24"/>
              </w:rPr>
            </w:pPr>
            <w:r w:rsidRPr="006163DA">
              <w:rPr>
                <w:rFonts w:ascii="Arial" w:hAnsi="Arial"/>
                <w:b/>
                <w:bCs/>
                <w:color w:val="FFFFFF"/>
                <w:szCs w:val="24"/>
              </w:rPr>
              <w:t>2022</w:t>
            </w:r>
          </w:p>
        </w:tc>
        <w:tc>
          <w:tcPr>
            <w:tcW w:w="1560" w:type="dxa"/>
            <w:shd w:val="clear" w:color="auto" w:fill="156082" w:themeFill="accent1"/>
            <w:tcMar>
              <w:top w:w="100" w:type="dxa"/>
              <w:left w:w="120" w:type="dxa"/>
              <w:bottom w:w="100" w:type="dxa"/>
              <w:right w:w="120" w:type="dxa"/>
            </w:tcMar>
            <w:vAlign w:val="center"/>
          </w:tcPr>
          <w:p w14:paraId="7323835C" w14:textId="7FA178AE" w:rsidR="00DF5A52" w:rsidRPr="006163DA" w:rsidRDefault="00DF5A52" w:rsidP="00E13EDB">
            <w:pPr>
              <w:spacing w:line="276" w:lineRule="auto"/>
              <w:jc w:val="center"/>
              <w:rPr>
                <w:rFonts w:ascii="Arial" w:hAnsi="Arial"/>
                <w:szCs w:val="24"/>
              </w:rPr>
            </w:pPr>
            <w:r w:rsidRPr="006163DA">
              <w:rPr>
                <w:rFonts w:ascii="Arial" w:hAnsi="Arial"/>
                <w:b/>
                <w:bCs/>
                <w:color w:val="FFFFFF"/>
                <w:szCs w:val="24"/>
              </w:rPr>
              <w:t>2023</w:t>
            </w:r>
          </w:p>
        </w:tc>
        <w:tc>
          <w:tcPr>
            <w:tcW w:w="1560" w:type="dxa"/>
            <w:shd w:val="clear" w:color="auto" w:fill="156082" w:themeFill="accent1"/>
            <w:tcMar>
              <w:top w:w="100" w:type="dxa"/>
              <w:left w:w="120" w:type="dxa"/>
              <w:bottom w:w="100" w:type="dxa"/>
              <w:right w:w="120" w:type="dxa"/>
            </w:tcMar>
            <w:vAlign w:val="center"/>
          </w:tcPr>
          <w:p w14:paraId="34734C2B" w14:textId="49F303DD" w:rsidR="00DF5A52" w:rsidRPr="006163DA" w:rsidRDefault="00DF5A52" w:rsidP="00E13EDB">
            <w:pPr>
              <w:spacing w:line="276" w:lineRule="auto"/>
              <w:jc w:val="center"/>
              <w:rPr>
                <w:rFonts w:ascii="Arial" w:hAnsi="Arial"/>
                <w:szCs w:val="24"/>
              </w:rPr>
            </w:pPr>
            <w:r w:rsidRPr="006163DA">
              <w:rPr>
                <w:rFonts w:ascii="Arial" w:hAnsi="Arial"/>
                <w:b/>
                <w:bCs/>
                <w:color w:val="FFFFFF"/>
                <w:szCs w:val="24"/>
              </w:rPr>
              <w:t>2024</w:t>
            </w:r>
          </w:p>
        </w:tc>
        <w:tc>
          <w:tcPr>
            <w:tcW w:w="1560" w:type="dxa"/>
            <w:shd w:val="clear" w:color="auto" w:fill="156082" w:themeFill="accent1"/>
            <w:tcMar>
              <w:top w:w="100" w:type="dxa"/>
              <w:left w:w="120" w:type="dxa"/>
              <w:bottom w:w="100" w:type="dxa"/>
              <w:right w:w="120" w:type="dxa"/>
            </w:tcMar>
            <w:vAlign w:val="center"/>
          </w:tcPr>
          <w:p w14:paraId="463DEF41" w14:textId="1A9699DA" w:rsidR="00DF5A52" w:rsidRPr="006163DA" w:rsidRDefault="00DF5A52" w:rsidP="00E13EDB">
            <w:pPr>
              <w:spacing w:line="276" w:lineRule="auto"/>
              <w:jc w:val="center"/>
              <w:rPr>
                <w:rFonts w:ascii="Arial" w:hAnsi="Arial"/>
                <w:szCs w:val="24"/>
              </w:rPr>
            </w:pPr>
            <w:r w:rsidRPr="006163DA">
              <w:rPr>
                <w:rFonts w:ascii="Arial" w:hAnsi="Arial"/>
                <w:b/>
                <w:bCs/>
                <w:color w:val="FFFFFF"/>
                <w:szCs w:val="24"/>
              </w:rPr>
              <w:t>2025</w:t>
            </w:r>
          </w:p>
        </w:tc>
      </w:tr>
      <w:tr w:rsidR="00735DB8" w14:paraId="3A3024AC" w14:textId="77777777" w:rsidTr="00BC2B39">
        <w:tc>
          <w:tcPr>
            <w:tcW w:w="1560" w:type="dxa"/>
            <w:shd w:val="clear" w:color="auto" w:fill="FFFFFF" w:themeFill="background1"/>
            <w:tcMar>
              <w:top w:w="80" w:type="dxa"/>
              <w:left w:w="120" w:type="dxa"/>
              <w:bottom w:w="80" w:type="dxa"/>
              <w:right w:w="120" w:type="dxa"/>
            </w:tcMar>
          </w:tcPr>
          <w:p w14:paraId="7BF66B26" w14:textId="77777777" w:rsidR="00DF5A52" w:rsidRPr="006163DA" w:rsidRDefault="00DF5A52" w:rsidP="00BC2B39">
            <w:pPr>
              <w:spacing w:line="276" w:lineRule="auto"/>
              <w:jc w:val="center"/>
              <w:rPr>
                <w:rFonts w:ascii="Arial" w:hAnsi="Arial"/>
                <w:szCs w:val="24"/>
              </w:rPr>
            </w:pPr>
            <w:r w:rsidRPr="006163DA">
              <w:rPr>
                <w:rFonts w:ascii="Arial" w:hAnsi="Arial"/>
                <w:szCs w:val="24"/>
              </w:rPr>
              <w:t>Quick Ratio</w:t>
            </w:r>
          </w:p>
        </w:tc>
        <w:tc>
          <w:tcPr>
            <w:tcW w:w="1560" w:type="dxa"/>
            <w:shd w:val="clear" w:color="auto" w:fill="FFFFFF" w:themeFill="background1"/>
            <w:tcMar>
              <w:top w:w="80" w:type="dxa"/>
              <w:left w:w="120" w:type="dxa"/>
              <w:bottom w:w="80" w:type="dxa"/>
              <w:right w:w="120" w:type="dxa"/>
            </w:tcMar>
            <w:vAlign w:val="center"/>
          </w:tcPr>
          <w:p w14:paraId="377985FE" w14:textId="77777777" w:rsidR="00DF5A52" w:rsidRPr="006163DA" w:rsidRDefault="00DF5A52" w:rsidP="00E13EDB">
            <w:pPr>
              <w:spacing w:line="276" w:lineRule="auto"/>
              <w:jc w:val="center"/>
              <w:rPr>
                <w:rFonts w:ascii="Arial" w:hAnsi="Arial"/>
                <w:szCs w:val="24"/>
              </w:rPr>
            </w:pPr>
            <w:r w:rsidRPr="006163DA">
              <w:rPr>
                <w:rFonts w:ascii="Arial" w:hAnsi="Arial"/>
                <w:szCs w:val="24"/>
              </w:rPr>
              <w:t>1.40</w:t>
            </w:r>
          </w:p>
        </w:tc>
        <w:tc>
          <w:tcPr>
            <w:tcW w:w="1560" w:type="dxa"/>
            <w:shd w:val="clear" w:color="auto" w:fill="FFFFFF" w:themeFill="background1"/>
            <w:tcMar>
              <w:top w:w="80" w:type="dxa"/>
              <w:left w:w="120" w:type="dxa"/>
              <w:bottom w:w="80" w:type="dxa"/>
              <w:right w:w="120" w:type="dxa"/>
            </w:tcMar>
            <w:vAlign w:val="center"/>
          </w:tcPr>
          <w:p w14:paraId="4C163E69" w14:textId="77777777" w:rsidR="00DF5A52" w:rsidRPr="006163DA" w:rsidRDefault="00DF5A52" w:rsidP="00E13EDB">
            <w:pPr>
              <w:spacing w:line="276" w:lineRule="auto"/>
              <w:jc w:val="center"/>
              <w:rPr>
                <w:rFonts w:ascii="Arial" w:hAnsi="Arial"/>
                <w:szCs w:val="24"/>
              </w:rPr>
            </w:pPr>
            <w:r w:rsidRPr="006163DA">
              <w:rPr>
                <w:rFonts w:ascii="Arial" w:hAnsi="Arial"/>
                <w:szCs w:val="24"/>
              </w:rPr>
              <w:t>0.80</w:t>
            </w:r>
          </w:p>
        </w:tc>
        <w:tc>
          <w:tcPr>
            <w:tcW w:w="1560" w:type="dxa"/>
            <w:shd w:val="clear" w:color="auto" w:fill="FFFFFF" w:themeFill="background1"/>
            <w:tcMar>
              <w:top w:w="80" w:type="dxa"/>
              <w:left w:w="120" w:type="dxa"/>
              <w:bottom w:w="80" w:type="dxa"/>
              <w:right w:w="120" w:type="dxa"/>
            </w:tcMar>
            <w:vAlign w:val="center"/>
          </w:tcPr>
          <w:p w14:paraId="0C651385" w14:textId="77777777" w:rsidR="00DF5A52" w:rsidRPr="006163DA" w:rsidRDefault="00DF5A52" w:rsidP="00E13EDB">
            <w:pPr>
              <w:spacing w:line="276" w:lineRule="auto"/>
              <w:jc w:val="center"/>
              <w:rPr>
                <w:rFonts w:ascii="Arial" w:hAnsi="Arial"/>
                <w:szCs w:val="24"/>
              </w:rPr>
            </w:pPr>
            <w:r w:rsidRPr="006163DA">
              <w:rPr>
                <w:rFonts w:ascii="Arial" w:hAnsi="Arial"/>
                <w:szCs w:val="24"/>
              </w:rPr>
              <w:t>0.57</w:t>
            </w:r>
          </w:p>
        </w:tc>
        <w:tc>
          <w:tcPr>
            <w:tcW w:w="1560" w:type="dxa"/>
            <w:shd w:val="clear" w:color="auto" w:fill="FFFFFF" w:themeFill="background1"/>
            <w:tcMar>
              <w:top w:w="80" w:type="dxa"/>
              <w:left w:w="120" w:type="dxa"/>
              <w:bottom w:w="80" w:type="dxa"/>
              <w:right w:w="120" w:type="dxa"/>
            </w:tcMar>
            <w:vAlign w:val="center"/>
          </w:tcPr>
          <w:p w14:paraId="1CAA92D6" w14:textId="77777777" w:rsidR="00DF5A52" w:rsidRPr="006163DA" w:rsidRDefault="00DF5A52" w:rsidP="00E13EDB">
            <w:pPr>
              <w:spacing w:line="276" w:lineRule="auto"/>
              <w:jc w:val="center"/>
              <w:rPr>
                <w:rFonts w:ascii="Arial" w:hAnsi="Arial"/>
                <w:szCs w:val="24"/>
              </w:rPr>
            </w:pPr>
            <w:r w:rsidRPr="006163DA">
              <w:rPr>
                <w:rFonts w:ascii="Arial" w:hAnsi="Arial"/>
                <w:szCs w:val="24"/>
              </w:rPr>
              <w:t>0.79</w:t>
            </w:r>
          </w:p>
        </w:tc>
        <w:tc>
          <w:tcPr>
            <w:tcW w:w="1560" w:type="dxa"/>
            <w:shd w:val="clear" w:color="auto" w:fill="FFFFFF" w:themeFill="background1"/>
            <w:tcMar>
              <w:top w:w="80" w:type="dxa"/>
              <w:left w:w="120" w:type="dxa"/>
              <w:bottom w:w="80" w:type="dxa"/>
              <w:right w:w="120" w:type="dxa"/>
            </w:tcMar>
            <w:vAlign w:val="center"/>
          </w:tcPr>
          <w:p w14:paraId="56CFD416" w14:textId="77777777" w:rsidR="00DF5A52" w:rsidRPr="006163DA" w:rsidRDefault="00DF5A52" w:rsidP="00E13EDB">
            <w:pPr>
              <w:spacing w:line="276" w:lineRule="auto"/>
              <w:jc w:val="center"/>
              <w:rPr>
                <w:rFonts w:ascii="Arial" w:hAnsi="Arial"/>
                <w:szCs w:val="24"/>
              </w:rPr>
            </w:pPr>
            <w:r w:rsidRPr="006163DA">
              <w:rPr>
                <w:rFonts w:ascii="Arial" w:hAnsi="Arial"/>
                <w:szCs w:val="24"/>
              </w:rPr>
              <w:t>0.68</w:t>
            </w:r>
          </w:p>
        </w:tc>
      </w:tr>
    </w:tbl>
    <w:p w14:paraId="1DA37ABD" w14:textId="5728895A" w:rsidR="00DF5A52" w:rsidRDefault="00422D1B" w:rsidP="00F312CD">
      <w:pPr>
        <w:pStyle w:val="Caption"/>
        <w:rPr>
          <w:rFonts w:cs="Times New Roman"/>
          <w:szCs w:val="24"/>
        </w:rPr>
      </w:pPr>
      <w:bookmarkStart w:id="88" w:name="_Toc235308708"/>
      <w:r>
        <w:rPr>
          <w:noProof/>
        </w:rPr>
        <w:drawing>
          <wp:anchor distT="0" distB="0" distL="114300" distR="114300" simplePos="0" relativeHeight="251660288" behindDoc="1" locked="0" layoutInCell="1" allowOverlap="1" wp14:anchorId="267FBC8D" wp14:editId="76A6C46C">
            <wp:simplePos x="0" y="0"/>
            <wp:positionH relativeFrom="margin">
              <wp:align>left</wp:align>
            </wp:positionH>
            <wp:positionV relativeFrom="paragraph">
              <wp:posOffset>335684</wp:posOffset>
            </wp:positionV>
            <wp:extent cx="5903089" cy="2959100"/>
            <wp:effectExtent l="0" t="0" r="2540" b="12700"/>
            <wp:wrapTight wrapText="bothSides">
              <wp:wrapPolygon edited="0">
                <wp:start x="0" y="0"/>
                <wp:lineTo x="0" y="21554"/>
                <wp:lineTo x="21540" y="21554"/>
                <wp:lineTo x="21540" y="0"/>
                <wp:lineTo x="0" y="0"/>
              </wp:wrapPolygon>
            </wp:wrapTight>
            <wp:docPr id="135574859" name="Chart 1">
              <a:extLst xmlns:a="http://schemas.openxmlformats.org/drawingml/2006/main">
                <a:ext uri="{FF2B5EF4-FFF2-40B4-BE49-F238E27FC236}">
                  <a16:creationId xmlns:a16="http://schemas.microsoft.com/office/drawing/2014/main" id="{5BBAD9D0-6B44-6FCB-BC1C-8621E5DDECE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anchor>
        </w:drawing>
      </w:r>
      <w:bookmarkEnd w:id="88"/>
    </w:p>
    <w:p w14:paraId="6316A0D2" w14:textId="4AD42691" w:rsidR="004A4A69" w:rsidRPr="00716B98" w:rsidRDefault="004A4A69" w:rsidP="004A4A69">
      <w:pPr>
        <w:pStyle w:val="Caption"/>
        <w:jc w:val="center"/>
        <w:rPr>
          <w:sz w:val="24"/>
          <w:szCs w:val="24"/>
        </w:rPr>
      </w:pPr>
      <w:bookmarkStart w:id="89" w:name="_Toc235308693"/>
      <w:r w:rsidRPr="00716B98">
        <w:rPr>
          <w:sz w:val="24"/>
          <w:szCs w:val="24"/>
        </w:rPr>
        <w:t xml:space="preserve">Figure </w:t>
      </w:r>
      <w:r w:rsidR="00D94E28" w:rsidRPr="00716B98">
        <w:rPr>
          <w:sz w:val="24"/>
          <w:szCs w:val="24"/>
        </w:rPr>
        <w:fldChar w:fldCharType="begin"/>
      </w:r>
      <w:r w:rsidR="00D94E28" w:rsidRPr="00716B98">
        <w:rPr>
          <w:sz w:val="24"/>
          <w:szCs w:val="24"/>
        </w:rPr>
        <w:instrText xml:space="preserve"> SEQ Figure \* ARABIC </w:instrText>
      </w:r>
      <w:r w:rsidR="00D94E28" w:rsidRPr="00716B98">
        <w:rPr>
          <w:sz w:val="24"/>
          <w:szCs w:val="24"/>
        </w:rPr>
        <w:fldChar w:fldCharType="separate"/>
      </w:r>
      <w:r w:rsidR="00C15A61">
        <w:rPr>
          <w:noProof/>
          <w:sz w:val="24"/>
          <w:szCs w:val="24"/>
        </w:rPr>
        <w:t>9</w:t>
      </w:r>
      <w:r w:rsidR="00D94E28" w:rsidRPr="00716B98">
        <w:rPr>
          <w:noProof/>
          <w:sz w:val="24"/>
          <w:szCs w:val="24"/>
        </w:rPr>
        <w:fldChar w:fldCharType="end"/>
      </w:r>
      <w:r w:rsidRPr="00716B98">
        <w:rPr>
          <w:sz w:val="24"/>
          <w:szCs w:val="24"/>
        </w:rPr>
        <w:t>.1: Quick Ratio (Graph)</w:t>
      </w:r>
      <w:bookmarkEnd w:id="89"/>
    </w:p>
    <w:p w14:paraId="0E387225" w14:textId="3240A2CD" w:rsidR="00DF5A52" w:rsidRPr="00F312CD" w:rsidRDefault="006544E4" w:rsidP="00F312CD">
      <w:pPr>
        <w:spacing w:after="240"/>
        <w:rPr>
          <w:rFonts w:ascii="Arial" w:hAnsi="Arial"/>
        </w:rPr>
      </w:pPr>
      <w:r w:rsidRPr="006544E4">
        <w:rPr>
          <w:rFonts w:ascii="Arial" w:hAnsi="Arial"/>
        </w:rPr>
        <w:lastRenderedPageBreak/>
        <w:t>In its fiscal year 2021, the company liquidity position was comfortable with the current ratio of 1.40 as the Company had adequate liquid cash and near cash assets to meet their short-term obligations. But, by FY2022 the cushion got lowered significantly to 0.57.  This was not due to any hassle but due to designs. The company has moved a big part of their money (BDT 1.70 Crores to BDT 0.78 Crores) to FDRs (fixed deposit) and thus the ratio got impacted. In fiscal year 2023, the ratio remained stable at 0.56 before improving to 0.78 in fiscal year 2024, then declining to 0.68.</w:t>
      </w:r>
    </w:p>
    <w:p w14:paraId="2ABB8243" w14:textId="6E0730DB" w:rsidR="006544E4" w:rsidRPr="006544E4" w:rsidRDefault="006544E4" w:rsidP="006544E4">
      <w:pPr>
        <w:spacing w:after="240"/>
        <w:rPr>
          <w:rFonts w:ascii="Arial" w:hAnsi="Arial"/>
          <w:color w:val="000000" w:themeColor="text1"/>
          <w:szCs w:val="24"/>
        </w:rPr>
      </w:pPr>
      <w:r w:rsidRPr="006544E4">
        <w:rPr>
          <w:rFonts w:ascii="Arial" w:hAnsi="Arial"/>
          <w:color w:val="000000" w:themeColor="text1"/>
          <w:szCs w:val="24"/>
        </w:rPr>
        <w:t>A quick ratio of less than 1.0 at first glance might appear dangerous because the firm cannot pay its short-term bills. But this is misleading in this case. A lot of the ‘current liabilities’ are tax provisions, which are accounting entries, not bills that must be paid immediately. So, the real pressure on liquidity is much less than the ratio implies. The drop in the quick ratio, coupled with the business's capacity to generate strong, consistent cash flows from its primary operations, indicates a deliberate strategic shift to investment rather than a liquidity problem.</w:t>
      </w:r>
      <w:r w:rsidR="00CA52E8">
        <w:rPr>
          <w:rFonts w:ascii="Arial" w:hAnsi="Arial"/>
          <w:color w:val="000000" w:themeColor="text1"/>
          <w:szCs w:val="24"/>
        </w:rPr>
        <w:t xml:space="preserve"> </w:t>
      </w:r>
      <w:r w:rsidRPr="006544E4">
        <w:rPr>
          <w:rFonts w:ascii="Arial" w:hAnsi="Arial"/>
          <w:color w:val="000000" w:themeColor="text1"/>
          <w:szCs w:val="24"/>
        </w:rPr>
        <w:t>In fact, TCF Bangladesh’s sub 1.0 quick ratio is not a warning sign, but a reflection of smart financial strategy. The company sacrificed excess liquidity for better investment returns but kept its cash flow from operations healthy and its short-term liabilities comfortably under control.</w:t>
      </w:r>
    </w:p>
    <w:p w14:paraId="2F313B8E" w14:textId="7E335EA5" w:rsidR="00DF5A52" w:rsidRPr="00F3742D" w:rsidRDefault="00287D8C" w:rsidP="005F644C">
      <w:pPr>
        <w:pStyle w:val="Heading3"/>
        <w:rPr>
          <w:rFonts w:ascii="Arial" w:hAnsi="Arial" w:cs="Arial"/>
          <w:sz w:val="24"/>
          <w:szCs w:val="24"/>
        </w:rPr>
      </w:pPr>
      <w:bookmarkStart w:id="90" w:name="_Toc235801961"/>
      <w:r w:rsidRPr="00F3742D">
        <w:rPr>
          <w:rFonts w:ascii="Arial" w:hAnsi="Arial" w:cs="Arial"/>
          <w:sz w:val="24"/>
          <w:szCs w:val="24"/>
        </w:rPr>
        <w:t>4</w:t>
      </w:r>
      <w:r w:rsidR="00DF5A52" w:rsidRPr="00F3742D">
        <w:rPr>
          <w:rFonts w:ascii="Arial" w:hAnsi="Arial" w:cs="Arial"/>
          <w:sz w:val="24"/>
          <w:szCs w:val="24"/>
        </w:rPr>
        <w:t>.</w:t>
      </w:r>
      <w:r w:rsidR="00640C28" w:rsidRPr="00F3742D">
        <w:rPr>
          <w:rFonts w:ascii="Arial" w:hAnsi="Arial" w:cs="Arial"/>
          <w:sz w:val="24"/>
          <w:szCs w:val="24"/>
        </w:rPr>
        <w:t>12.</w:t>
      </w:r>
      <w:r w:rsidR="00C604F6" w:rsidRPr="00F3742D">
        <w:rPr>
          <w:rFonts w:ascii="Arial" w:hAnsi="Arial" w:cs="Arial"/>
          <w:sz w:val="24"/>
          <w:szCs w:val="24"/>
        </w:rPr>
        <w:t>3</w:t>
      </w:r>
      <w:r w:rsidR="00DF5A52" w:rsidRPr="00F3742D">
        <w:rPr>
          <w:rFonts w:ascii="Arial" w:hAnsi="Arial" w:cs="Arial"/>
          <w:sz w:val="24"/>
          <w:szCs w:val="24"/>
        </w:rPr>
        <w:t xml:space="preserve"> Cash Ratio Analysis</w:t>
      </w:r>
      <w:bookmarkEnd w:id="90"/>
    </w:p>
    <w:p w14:paraId="036BE742" w14:textId="5A00E237" w:rsidR="00CF4231" w:rsidRPr="00F312CD" w:rsidRDefault="006544E4" w:rsidP="005F644C">
      <w:pPr>
        <w:rPr>
          <w:rFonts w:ascii="Arial" w:hAnsi="Arial"/>
        </w:rPr>
      </w:pPr>
      <w:r w:rsidRPr="006544E4">
        <w:rPr>
          <w:rFonts w:ascii="Arial" w:hAnsi="Arial"/>
        </w:rPr>
        <w:t>Cash Ratio is a liquidity ratio that measures a company’s ability to pay off its short-term liabilities with only its most liquid assets such as cash and cash equivalents. It indicates the ability of the business to pay short term liabilities without depending on inventory or accounts receivable.</w:t>
      </w:r>
    </w:p>
    <w:p w14:paraId="1E62B8E8" w14:textId="196267C8" w:rsidR="00847008" w:rsidRPr="003B57A4" w:rsidRDefault="00776B5F" w:rsidP="00A962FA">
      <w:pPr>
        <w:spacing w:after="80"/>
        <w:jc w:val="center"/>
        <w:rPr>
          <w:rFonts w:ascii="Arial" w:hAnsi="Arial"/>
          <w:b/>
          <w:color w:val="000000" w:themeColor="text1"/>
        </w:rPr>
      </w:pPr>
      <m:oMath>
        <m:r>
          <m:rPr>
            <m:sty m:val="b"/>
          </m:rPr>
          <w:rPr>
            <w:rFonts w:ascii="Cambria Math" w:hAnsi="Cambria Math"/>
            <w:color w:val="000000" w:themeColor="text1"/>
          </w:rPr>
          <m:t>Cash Ratio  =Cash &amp; Cash Equivalents/  Total Current Liabilities</m:t>
        </m:r>
      </m:oMath>
      <w:r w:rsidR="00A962FA">
        <w:rPr>
          <w:rFonts w:ascii="Arial" w:hAnsi="Arial"/>
          <w:b/>
          <w:color w:val="000000" w:themeColor="text1"/>
        </w:rPr>
        <w:t xml:space="preserve">  (11)</w:t>
      </w:r>
    </w:p>
    <w:p w14:paraId="6EC2A3C1" w14:textId="3AB73FBE" w:rsidR="00DF5A52" w:rsidRDefault="006544E4" w:rsidP="005F644C">
      <w:pPr>
        <w:spacing w:after="80"/>
        <w:rPr>
          <w:rFonts w:ascii="Arial" w:hAnsi="Arial"/>
          <w:szCs w:val="24"/>
        </w:rPr>
      </w:pPr>
      <w:r w:rsidRPr="006544E4">
        <w:rPr>
          <w:rFonts w:ascii="Arial" w:hAnsi="Arial"/>
          <w:szCs w:val="24"/>
        </w:rPr>
        <w:t>The liquidity ratio that assesses whether the company can pay its current liabilities without any regard to the current assets.</w:t>
      </w:r>
    </w:p>
    <w:p w14:paraId="4A019AED" w14:textId="0A866C06" w:rsidR="001A49B2" w:rsidRPr="001A49B2" w:rsidRDefault="001A49B2" w:rsidP="001A49B2">
      <w:pPr>
        <w:pStyle w:val="Caption"/>
        <w:jc w:val="center"/>
        <w:rPr>
          <w:rFonts w:cs="Times New Roman"/>
          <w:sz w:val="24"/>
          <w:szCs w:val="24"/>
        </w:rPr>
      </w:pPr>
      <w:bookmarkStart w:id="91" w:name="_Toc235308709"/>
      <w:bookmarkStart w:id="92" w:name="_Toc235803960"/>
      <w:bookmarkStart w:id="93" w:name="_Toc235804213"/>
      <w:r w:rsidRPr="001A49B2">
        <w:rPr>
          <w:sz w:val="24"/>
          <w:szCs w:val="24"/>
        </w:rPr>
        <w:t xml:space="preserve">Table </w:t>
      </w:r>
      <w:r w:rsidRPr="001A49B2">
        <w:rPr>
          <w:sz w:val="24"/>
          <w:szCs w:val="24"/>
        </w:rPr>
        <w:fldChar w:fldCharType="begin"/>
      </w:r>
      <w:r w:rsidRPr="001A49B2">
        <w:rPr>
          <w:sz w:val="24"/>
          <w:szCs w:val="24"/>
        </w:rPr>
        <w:instrText xml:space="preserve"> SEQ Table \* ARABIC </w:instrText>
      </w:r>
      <w:r w:rsidRPr="001A49B2">
        <w:rPr>
          <w:sz w:val="24"/>
          <w:szCs w:val="24"/>
        </w:rPr>
        <w:fldChar w:fldCharType="separate"/>
      </w:r>
      <w:r w:rsidR="003A3DA9">
        <w:rPr>
          <w:noProof/>
          <w:sz w:val="24"/>
          <w:szCs w:val="24"/>
        </w:rPr>
        <w:t>10</w:t>
      </w:r>
      <w:r w:rsidRPr="001A49B2">
        <w:rPr>
          <w:noProof/>
          <w:sz w:val="24"/>
          <w:szCs w:val="24"/>
        </w:rPr>
        <w:fldChar w:fldCharType="end"/>
      </w:r>
      <w:r w:rsidRPr="001A49B2">
        <w:rPr>
          <w:sz w:val="24"/>
          <w:szCs w:val="24"/>
        </w:rPr>
        <w:t>.1: Cash Ration</w:t>
      </w:r>
      <w:bookmarkEnd w:id="91"/>
      <w:bookmarkEnd w:id="92"/>
      <w:bookmarkEnd w:id="93"/>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60"/>
        <w:gridCol w:w="1560"/>
        <w:gridCol w:w="1560"/>
        <w:gridCol w:w="1560"/>
        <w:gridCol w:w="1560"/>
        <w:gridCol w:w="1560"/>
      </w:tblGrid>
      <w:tr w:rsidR="00735DB8" w:rsidRPr="005F644C" w14:paraId="49E889D5" w14:textId="77777777" w:rsidTr="00906B09">
        <w:tc>
          <w:tcPr>
            <w:tcW w:w="1560" w:type="dxa"/>
            <w:shd w:val="clear" w:color="auto" w:fill="156082" w:themeFill="accent1"/>
            <w:tcMar>
              <w:top w:w="100" w:type="dxa"/>
              <w:left w:w="120" w:type="dxa"/>
              <w:bottom w:w="100" w:type="dxa"/>
              <w:right w:w="120" w:type="dxa"/>
            </w:tcMar>
            <w:vAlign w:val="center"/>
          </w:tcPr>
          <w:p w14:paraId="3C112111" w14:textId="77777777" w:rsidR="00DF5A52" w:rsidRPr="006163DA" w:rsidRDefault="00DF5A52" w:rsidP="005F644C">
            <w:pPr>
              <w:jc w:val="center"/>
              <w:rPr>
                <w:rFonts w:ascii="Arial" w:hAnsi="Arial"/>
                <w:szCs w:val="24"/>
              </w:rPr>
            </w:pPr>
            <w:r w:rsidRPr="006163DA">
              <w:rPr>
                <w:rFonts w:ascii="Arial" w:hAnsi="Arial"/>
                <w:b/>
                <w:bCs/>
                <w:color w:val="FFFFFF"/>
                <w:szCs w:val="24"/>
              </w:rPr>
              <w:t>Year</w:t>
            </w:r>
          </w:p>
        </w:tc>
        <w:tc>
          <w:tcPr>
            <w:tcW w:w="1560" w:type="dxa"/>
            <w:shd w:val="clear" w:color="auto" w:fill="156082" w:themeFill="accent1"/>
            <w:tcMar>
              <w:top w:w="100" w:type="dxa"/>
              <w:left w:w="120" w:type="dxa"/>
              <w:bottom w:w="100" w:type="dxa"/>
              <w:right w:w="120" w:type="dxa"/>
            </w:tcMar>
            <w:vAlign w:val="center"/>
          </w:tcPr>
          <w:p w14:paraId="782E700D" w14:textId="2F4A1255" w:rsidR="00DF5A52" w:rsidRPr="006163DA" w:rsidRDefault="00DF5A52" w:rsidP="005F644C">
            <w:pPr>
              <w:jc w:val="center"/>
              <w:rPr>
                <w:rFonts w:ascii="Arial" w:hAnsi="Arial"/>
                <w:szCs w:val="24"/>
              </w:rPr>
            </w:pPr>
            <w:r w:rsidRPr="006163DA">
              <w:rPr>
                <w:rFonts w:ascii="Arial" w:hAnsi="Arial"/>
                <w:b/>
                <w:bCs/>
                <w:color w:val="FFFFFF"/>
                <w:szCs w:val="24"/>
              </w:rPr>
              <w:t>2021</w:t>
            </w:r>
          </w:p>
        </w:tc>
        <w:tc>
          <w:tcPr>
            <w:tcW w:w="1560" w:type="dxa"/>
            <w:shd w:val="clear" w:color="auto" w:fill="156082" w:themeFill="accent1"/>
            <w:tcMar>
              <w:top w:w="100" w:type="dxa"/>
              <w:left w:w="120" w:type="dxa"/>
              <w:bottom w:w="100" w:type="dxa"/>
              <w:right w:w="120" w:type="dxa"/>
            </w:tcMar>
            <w:vAlign w:val="center"/>
          </w:tcPr>
          <w:p w14:paraId="288D8BA0" w14:textId="73E26DC7" w:rsidR="00DF5A52" w:rsidRPr="006163DA" w:rsidRDefault="00DF5A52" w:rsidP="005F644C">
            <w:pPr>
              <w:jc w:val="center"/>
              <w:rPr>
                <w:rFonts w:ascii="Arial" w:hAnsi="Arial"/>
                <w:szCs w:val="24"/>
              </w:rPr>
            </w:pPr>
            <w:r w:rsidRPr="006163DA">
              <w:rPr>
                <w:rFonts w:ascii="Arial" w:hAnsi="Arial"/>
                <w:b/>
                <w:bCs/>
                <w:color w:val="FFFFFF"/>
                <w:szCs w:val="24"/>
              </w:rPr>
              <w:t>2022</w:t>
            </w:r>
          </w:p>
        </w:tc>
        <w:tc>
          <w:tcPr>
            <w:tcW w:w="1560" w:type="dxa"/>
            <w:shd w:val="clear" w:color="auto" w:fill="156082" w:themeFill="accent1"/>
            <w:tcMar>
              <w:top w:w="100" w:type="dxa"/>
              <w:left w:w="120" w:type="dxa"/>
              <w:bottom w:w="100" w:type="dxa"/>
              <w:right w:w="120" w:type="dxa"/>
            </w:tcMar>
            <w:vAlign w:val="center"/>
          </w:tcPr>
          <w:p w14:paraId="593237FD" w14:textId="4D268F63" w:rsidR="00DF5A52" w:rsidRPr="006163DA" w:rsidRDefault="00DF5A52" w:rsidP="005F644C">
            <w:pPr>
              <w:jc w:val="center"/>
              <w:rPr>
                <w:rFonts w:ascii="Arial" w:hAnsi="Arial"/>
                <w:szCs w:val="24"/>
              </w:rPr>
            </w:pPr>
            <w:r w:rsidRPr="006163DA">
              <w:rPr>
                <w:rFonts w:ascii="Arial" w:hAnsi="Arial"/>
                <w:b/>
                <w:bCs/>
                <w:color w:val="FFFFFF"/>
                <w:szCs w:val="24"/>
              </w:rPr>
              <w:t xml:space="preserve"> 2023</w:t>
            </w:r>
          </w:p>
        </w:tc>
        <w:tc>
          <w:tcPr>
            <w:tcW w:w="1560" w:type="dxa"/>
            <w:shd w:val="clear" w:color="auto" w:fill="156082" w:themeFill="accent1"/>
            <w:tcMar>
              <w:top w:w="100" w:type="dxa"/>
              <w:left w:w="120" w:type="dxa"/>
              <w:bottom w:w="100" w:type="dxa"/>
              <w:right w:w="120" w:type="dxa"/>
            </w:tcMar>
            <w:vAlign w:val="center"/>
          </w:tcPr>
          <w:p w14:paraId="769ACDF5" w14:textId="3FD67799" w:rsidR="00DF5A52" w:rsidRPr="006163DA" w:rsidRDefault="00DF5A52" w:rsidP="005F644C">
            <w:pPr>
              <w:jc w:val="center"/>
              <w:rPr>
                <w:rFonts w:ascii="Arial" w:hAnsi="Arial"/>
                <w:szCs w:val="24"/>
              </w:rPr>
            </w:pPr>
            <w:r w:rsidRPr="006163DA">
              <w:rPr>
                <w:rFonts w:ascii="Arial" w:hAnsi="Arial"/>
                <w:b/>
                <w:bCs/>
                <w:color w:val="FFFFFF"/>
                <w:szCs w:val="24"/>
              </w:rPr>
              <w:t>2024</w:t>
            </w:r>
          </w:p>
        </w:tc>
        <w:tc>
          <w:tcPr>
            <w:tcW w:w="1560" w:type="dxa"/>
            <w:shd w:val="clear" w:color="auto" w:fill="156082" w:themeFill="accent1"/>
            <w:tcMar>
              <w:top w:w="100" w:type="dxa"/>
              <w:left w:w="120" w:type="dxa"/>
              <w:bottom w:w="100" w:type="dxa"/>
              <w:right w:w="120" w:type="dxa"/>
            </w:tcMar>
            <w:vAlign w:val="center"/>
          </w:tcPr>
          <w:p w14:paraId="2BDC232C" w14:textId="2A771BE1" w:rsidR="00DF5A52" w:rsidRPr="006163DA" w:rsidRDefault="00DF5A52" w:rsidP="005F644C">
            <w:pPr>
              <w:jc w:val="center"/>
              <w:rPr>
                <w:rFonts w:ascii="Arial" w:hAnsi="Arial"/>
                <w:szCs w:val="24"/>
              </w:rPr>
            </w:pPr>
            <w:r w:rsidRPr="006163DA">
              <w:rPr>
                <w:rFonts w:ascii="Arial" w:hAnsi="Arial"/>
                <w:b/>
                <w:bCs/>
                <w:color w:val="FFFFFF"/>
                <w:szCs w:val="24"/>
              </w:rPr>
              <w:t>2025</w:t>
            </w:r>
          </w:p>
        </w:tc>
      </w:tr>
      <w:tr w:rsidR="00735DB8" w:rsidRPr="005F644C" w14:paraId="0D23E2F0" w14:textId="77777777" w:rsidTr="00BC2B39">
        <w:tc>
          <w:tcPr>
            <w:tcW w:w="1560" w:type="dxa"/>
            <w:shd w:val="clear" w:color="auto" w:fill="FFFFFF"/>
            <w:tcMar>
              <w:top w:w="80" w:type="dxa"/>
              <w:left w:w="120" w:type="dxa"/>
              <w:bottom w:w="80" w:type="dxa"/>
              <w:right w:w="120" w:type="dxa"/>
            </w:tcMar>
          </w:tcPr>
          <w:p w14:paraId="61FF6E61" w14:textId="77777777" w:rsidR="00DF5A52" w:rsidRPr="006163DA" w:rsidRDefault="00DF5A52" w:rsidP="005F644C">
            <w:pPr>
              <w:jc w:val="center"/>
              <w:rPr>
                <w:rFonts w:ascii="Arial" w:hAnsi="Arial"/>
                <w:szCs w:val="24"/>
              </w:rPr>
            </w:pPr>
            <w:r w:rsidRPr="006163DA">
              <w:rPr>
                <w:rFonts w:ascii="Arial" w:hAnsi="Arial"/>
                <w:szCs w:val="24"/>
              </w:rPr>
              <w:t>Cash Ratio</w:t>
            </w:r>
          </w:p>
        </w:tc>
        <w:tc>
          <w:tcPr>
            <w:tcW w:w="1560" w:type="dxa"/>
            <w:shd w:val="clear" w:color="auto" w:fill="FFFFFF"/>
            <w:tcMar>
              <w:top w:w="80" w:type="dxa"/>
              <w:left w:w="120" w:type="dxa"/>
              <w:bottom w:w="80" w:type="dxa"/>
              <w:right w:w="120" w:type="dxa"/>
            </w:tcMar>
            <w:vAlign w:val="center"/>
          </w:tcPr>
          <w:p w14:paraId="1F3A7B3F" w14:textId="77777777" w:rsidR="00DF5A52" w:rsidRPr="006163DA" w:rsidRDefault="00DF5A52" w:rsidP="005F644C">
            <w:pPr>
              <w:jc w:val="center"/>
              <w:rPr>
                <w:rFonts w:ascii="Arial" w:hAnsi="Arial"/>
                <w:szCs w:val="24"/>
              </w:rPr>
            </w:pPr>
            <w:r w:rsidRPr="006163DA">
              <w:rPr>
                <w:rFonts w:ascii="Arial" w:hAnsi="Arial"/>
                <w:szCs w:val="24"/>
              </w:rPr>
              <w:t>1.14</w:t>
            </w:r>
          </w:p>
        </w:tc>
        <w:tc>
          <w:tcPr>
            <w:tcW w:w="1560" w:type="dxa"/>
            <w:shd w:val="clear" w:color="auto" w:fill="FFFFFF" w:themeFill="background1"/>
            <w:tcMar>
              <w:top w:w="80" w:type="dxa"/>
              <w:left w:w="120" w:type="dxa"/>
              <w:bottom w:w="80" w:type="dxa"/>
              <w:right w:w="120" w:type="dxa"/>
            </w:tcMar>
            <w:vAlign w:val="center"/>
          </w:tcPr>
          <w:p w14:paraId="2196EAF8" w14:textId="77777777" w:rsidR="00DF5A52" w:rsidRPr="006163DA" w:rsidRDefault="00DF5A52" w:rsidP="005F644C">
            <w:pPr>
              <w:jc w:val="center"/>
              <w:rPr>
                <w:rFonts w:ascii="Arial" w:hAnsi="Arial"/>
                <w:szCs w:val="24"/>
              </w:rPr>
            </w:pPr>
            <w:r w:rsidRPr="006163DA">
              <w:rPr>
                <w:rFonts w:ascii="Arial" w:hAnsi="Arial"/>
                <w:szCs w:val="24"/>
              </w:rPr>
              <w:t>0.40</w:t>
            </w:r>
          </w:p>
        </w:tc>
        <w:tc>
          <w:tcPr>
            <w:tcW w:w="1560" w:type="dxa"/>
            <w:shd w:val="clear" w:color="auto" w:fill="FFFFFF" w:themeFill="background1"/>
            <w:tcMar>
              <w:top w:w="80" w:type="dxa"/>
              <w:left w:w="120" w:type="dxa"/>
              <w:bottom w:w="80" w:type="dxa"/>
              <w:right w:w="120" w:type="dxa"/>
            </w:tcMar>
            <w:vAlign w:val="center"/>
          </w:tcPr>
          <w:p w14:paraId="35C0DFB8" w14:textId="77777777" w:rsidR="00DF5A52" w:rsidRPr="006163DA" w:rsidRDefault="00DF5A52" w:rsidP="005F644C">
            <w:pPr>
              <w:jc w:val="center"/>
              <w:rPr>
                <w:rFonts w:ascii="Arial" w:hAnsi="Arial"/>
                <w:szCs w:val="24"/>
              </w:rPr>
            </w:pPr>
            <w:r w:rsidRPr="006163DA">
              <w:rPr>
                <w:rFonts w:ascii="Arial" w:hAnsi="Arial"/>
                <w:szCs w:val="24"/>
              </w:rPr>
              <w:t>0.31</w:t>
            </w:r>
          </w:p>
        </w:tc>
        <w:tc>
          <w:tcPr>
            <w:tcW w:w="1560" w:type="dxa"/>
            <w:shd w:val="clear" w:color="auto" w:fill="FFFFFF" w:themeFill="background1"/>
            <w:tcMar>
              <w:top w:w="80" w:type="dxa"/>
              <w:left w:w="120" w:type="dxa"/>
              <w:bottom w:w="80" w:type="dxa"/>
              <w:right w:w="120" w:type="dxa"/>
            </w:tcMar>
            <w:vAlign w:val="center"/>
          </w:tcPr>
          <w:p w14:paraId="43537574" w14:textId="77777777" w:rsidR="00DF5A52" w:rsidRPr="006163DA" w:rsidRDefault="00DF5A52" w:rsidP="005F644C">
            <w:pPr>
              <w:jc w:val="center"/>
              <w:rPr>
                <w:rFonts w:ascii="Arial" w:hAnsi="Arial"/>
                <w:szCs w:val="24"/>
              </w:rPr>
            </w:pPr>
            <w:r w:rsidRPr="006163DA">
              <w:rPr>
                <w:rFonts w:ascii="Arial" w:hAnsi="Arial"/>
                <w:szCs w:val="24"/>
              </w:rPr>
              <w:t>0.55</w:t>
            </w:r>
          </w:p>
        </w:tc>
        <w:tc>
          <w:tcPr>
            <w:tcW w:w="1560" w:type="dxa"/>
            <w:shd w:val="clear" w:color="auto" w:fill="FFFFFF" w:themeFill="background1"/>
            <w:tcMar>
              <w:top w:w="80" w:type="dxa"/>
              <w:left w:w="120" w:type="dxa"/>
              <w:bottom w:w="80" w:type="dxa"/>
              <w:right w:w="120" w:type="dxa"/>
            </w:tcMar>
            <w:vAlign w:val="center"/>
          </w:tcPr>
          <w:p w14:paraId="73CDB449" w14:textId="77777777" w:rsidR="00DF5A52" w:rsidRPr="006163DA" w:rsidRDefault="00DF5A52" w:rsidP="005F644C">
            <w:pPr>
              <w:jc w:val="center"/>
              <w:rPr>
                <w:rFonts w:ascii="Arial" w:hAnsi="Arial"/>
                <w:szCs w:val="24"/>
              </w:rPr>
            </w:pPr>
            <w:r w:rsidRPr="006163DA">
              <w:rPr>
                <w:rFonts w:ascii="Arial" w:hAnsi="Arial"/>
                <w:szCs w:val="24"/>
              </w:rPr>
              <w:t>0.35</w:t>
            </w:r>
          </w:p>
        </w:tc>
      </w:tr>
    </w:tbl>
    <w:p w14:paraId="5D286CB9" w14:textId="77777777" w:rsidR="00DF5A52" w:rsidRDefault="00DF5A52" w:rsidP="00E13EDB">
      <w:pPr>
        <w:spacing w:after="80" w:line="276" w:lineRule="auto"/>
        <w:jc w:val="center"/>
        <w:rPr>
          <w:rFonts w:cs="Times New Roman"/>
          <w:szCs w:val="24"/>
        </w:rPr>
      </w:pPr>
      <w:r>
        <w:rPr>
          <w:noProof/>
        </w:rPr>
        <w:lastRenderedPageBreak/>
        <w:drawing>
          <wp:inline distT="0" distB="0" distL="0" distR="0" wp14:anchorId="5E36C60A" wp14:editId="147AFE3B">
            <wp:extent cx="5613400" cy="2584450"/>
            <wp:effectExtent l="0" t="0" r="6350" b="6350"/>
            <wp:docPr id="330540057" name="Chart 1">
              <a:extLst xmlns:a="http://schemas.openxmlformats.org/drawingml/2006/main">
                <a:ext uri="{FF2B5EF4-FFF2-40B4-BE49-F238E27FC236}">
                  <a16:creationId xmlns:a16="http://schemas.microsoft.com/office/drawing/2014/main" id="{DDF17EF5-90BC-07B5-718F-6ED1FDFFBDA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238572D7" w14:textId="1FF9075F" w:rsidR="004A4A69" w:rsidRPr="00716B98" w:rsidRDefault="004A4A69" w:rsidP="00CE1CA7">
      <w:pPr>
        <w:pStyle w:val="Caption"/>
        <w:jc w:val="center"/>
        <w:rPr>
          <w:rFonts w:cs="Times New Roman"/>
          <w:sz w:val="24"/>
          <w:szCs w:val="36"/>
        </w:rPr>
      </w:pPr>
      <w:bookmarkStart w:id="94" w:name="_Toc235308694"/>
      <w:r w:rsidRPr="00716B98">
        <w:rPr>
          <w:sz w:val="24"/>
          <w:szCs w:val="24"/>
        </w:rPr>
        <w:t xml:space="preserve">Figure </w:t>
      </w:r>
      <w:r w:rsidR="00D94E28" w:rsidRPr="00716B98">
        <w:rPr>
          <w:sz w:val="24"/>
          <w:szCs w:val="24"/>
        </w:rPr>
        <w:fldChar w:fldCharType="begin"/>
      </w:r>
      <w:r w:rsidR="00D94E28" w:rsidRPr="00716B98">
        <w:rPr>
          <w:sz w:val="24"/>
          <w:szCs w:val="24"/>
        </w:rPr>
        <w:instrText xml:space="preserve"> SEQ Figure \* ARABIC </w:instrText>
      </w:r>
      <w:r w:rsidR="00D94E28" w:rsidRPr="00716B98">
        <w:rPr>
          <w:sz w:val="24"/>
          <w:szCs w:val="24"/>
        </w:rPr>
        <w:fldChar w:fldCharType="separate"/>
      </w:r>
      <w:r w:rsidR="00C15A61">
        <w:rPr>
          <w:noProof/>
          <w:sz w:val="24"/>
          <w:szCs w:val="24"/>
        </w:rPr>
        <w:t>10</w:t>
      </w:r>
      <w:r w:rsidR="00D94E28" w:rsidRPr="00716B98">
        <w:rPr>
          <w:noProof/>
          <w:sz w:val="24"/>
          <w:szCs w:val="24"/>
        </w:rPr>
        <w:fldChar w:fldCharType="end"/>
      </w:r>
      <w:r w:rsidRPr="00716B98">
        <w:rPr>
          <w:sz w:val="24"/>
          <w:szCs w:val="24"/>
        </w:rPr>
        <w:t>.1: Cash Ration (Graph)</w:t>
      </w:r>
      <w:bookmarkEnd w:id="94"/>
    </w:p>
    <w:p w14:paraId="15544DBB" w14:textId="4116C3FF" w:rsidR="00DF5A52" w:rsidRPr="005F644C" w:rsidRDefault="00D0773D" w:rsidP="00D0773D">
      <w:pPr>
        <w:spacing w:after="80"/>
        <w:rPr>
          <w:rFonts w:ascii="Arial" w:hAnsi="Arial"/>
          <w:szCs w:val="24"/>
        </w:rPr>
      </w:pPr>
      <w:r w:rsidRPr="005F644C">
        <w:rPr>
          <w:rFonts w:ascii="Arial" w:hAnsi="Arial"/>
          <w:szCs w:val="24"/>
        </w:rPr>
        <w:t>Could</w:t>
      </w:r>
      <w:r w:rsidRPr="00D0773D">
        <w:rPr>
          <w:rFonts w:ascii="Arial" w:hAnsi="Arial"/>
          <w:szCs w:val="24"/>
        </w:rPr>
        <w:t xml:space="preserve"> you rephrase that? The intuition may be that this firm is running low on cash. That's not really what's going on here, though. TCF was purposely deciding to put their cash in fixed deposit receipts, rather than sitting on cash in the bank earning nothing. This text essentially means the FDR (Fixed Deposit Receipt) would be BDT 9.79 Cr by 2025 from BDT 3.33 Cr in 2021. The cash ratio does fluctuate, however, recovering to 0.55 in FY2024, then dipping back to 0.35 in FY2025 but that is normal treasury management behavior, not financial stress. It is critical to note that TCF has consistently generated positive operating cash flow throughout </w:t>
      </w:r>
      <w:r>
        <w:rPr>
          <w:rFonts w:ascii="Arial" w:hAnsi="Arial"/>
          <w:szCs w:val="24"/>
        </w:rPr>
        <w:t>-</w:t>
      </w:r>
      <w:r w:rsidRPr="00D0773D">
        <w:rPr>
          <w:rFonts w:ascii="Arial" w:hAnsi="Arial"/>
          <w:szCs w:val="24"/>
        </w:rPr>
        <w:t xml:space="preserve"> this is the real measure of cash health here, not just cash sitting in the bank.</w:t>
      </w:r>
    </w:p>
    <w:p w14:paraId="54CE9D6F" w14:textId="124ABB09" w:rsidR="00F3742D" w:rsidRPr="00F3742D" w:rsidRDefault="00F3742D" w:rsidP="00F3742D">
      <w:pPr>
        <w:pStyle w:val="Heading3"/>
        <w:rPr>
          <w:rFonts w:ascii="Arial" w:hAnsi="Arial" w:cs="Arial"/>
          <w:sz w:val="24"/>
          <w:szCs w:val="24"/>
        </w:rPr>
      </w:pPr>
      <w:bookmarkStart w:id="95" w:name="_Toc235801962"/>
      <w:r w:rsidRPr="00F3742D">
        <w:rPr>
          <w:rFonts w:ascii="Arial" w:hAnsi="Arial" w:cs="Arial"/>
          <w:sz w:val="24"/>
          <w:szCs w:val="24"/>
        </w:rPr>
        <w:t>4.12.4 Receivable Turnover Ratio</w:t>
      </w:r>
      <w:bookmarkEnd w:id="95"/>
    </w:p>
    <w:p w14:paraId="4B7928C2" w14:textId="27757E4D" w:rsidR="00755780" w:rsidRPr="005F644C" w:rsidRDefault="00D0773D" w:rsidP="00F312CD">
      <w:pPr>
        <w:rPr>
          <w:rFonts w:ascii="Arial" w:hAnsi="Arial"/>
        </w:rPr>
      </w:pPr>
      <w:r w:rsidRPr="00D0773D">
        <w:rPr>
          <w:rFonts w:ascii="Arial" w:hAnsi="Arial"/>
        </w:rPr>
        <w:t>The Receivable Turnover Ratio is used to measure the efficiency of a company in collecting cash from its customers. It shows the number of times on average that the accounts receivable is turned into cash during the financial year. A high ratio indicates quick collections and effective credit policy. A low ratio indicates slow collections or poor credit policy.</w:t>
      </w:r>
    </w:p>
    <w:p w14:paraId="053792EC" w14:textId="40D69311" w:rsidR="00755780" w:rsidRDefault="00755780" w:rsidP="00A962FA">
      <w:pPr>
        <w:spacing w:line="276" w:lineRule="auto"/>
        <w:jc w:val="center"/>
        <w:rPr>
          <w:rFonts w:ascii="Cambria Math" w:hAnsi="Cambria Math"/>
          <w:b/>
          <w:bCs/>
        </w:rPr>
      </w:pPr>
      <w:r w:rsidRPr="0018264E">
        <w:rPr>
          <w:rFonts w:ascii="Cambria Math" w:hAnsi="Cambria Math"/>
          <w:b/>
          <w:bCs/>
        </w:rPr>
        <w:t>Receivable Turnover Ratio = Net Credit Sales/Average Accounts Receivable</w:t>
      </w:r>
      <w:r w:rsidR="00A962FA">
        <w:rPr>
          <w:rFonts w:ascii="Cambria Math" w:hAnsi="Cambria Math"/>
          <w:b/>
          <w:bCs/>
        </w:rPr>
        <w:t xml:space="preserve"> (12)</w:t>
      </w:r>
    </w:p>
    <w:p w14:paraId="68AFEAD4" w14:textId="49E8F198" w:rsidR="001A49B2" w:rsidRPr="001A49B2" w:rsidRDefault="001A49B2" w:rsidP="001A49B2">
      <w:pPr>
        <w:pStyle w:val="Caption"/>
        <w:jc w:val="center"/>
        <w:rPr>
          <w:sz w:val="24"/>
          <w:szCs w:val="24"/>
        </w:rPr>
      </w:pPr>
      <w:bookmarkStart w:id="96" w:name="_Toc235308710"/>
      <w:bookmarkStart w:id="97" w:name="_Toc235803961"/>
      <w:bookmarkStart w:id="98" w:name="_Toc235804214"/>
      <w:r w:rsidRPr="001A49B2">
        <w:rPr>
          <w:sz w:val="24"/>
          <w:szCs w:val="24"/>
        </w:rPr>
        <w:t xml:space="preserve">Table </w:t>
      </w:r>
      <w:r w:rsidRPr="001A49B2">
        <w:rPr>
          <w:sz w:val="24"/>
          <w:szCs w:val="24"/>
        </w:rPr>
        <w:fldChar w:fldCharType="begin"/>
      </w:r>
      <w:r w:rsidRPr="001A49B2">
        <w:rPr>
          <w:sz w:val="24"/>
          <w:szCs w:val="24"/>
        </w:rPr>
        <w:instrText xml:space="preserve"> SEQ Table \* ARABIC </w:instrText>
      </w:r>
      <w:r w:rsidRPr="001A49B2">
        <w:rPr>
          <w:sz w:val="24"/>
          <w:szCs w:val="24"/>
        </w:rPr>
        <w:fldChar w:fldCharType="separate"/>
      </w:r>
      <w:r w:rsidR="003A3DA9">
        <w:rPr>
          <w:noProof/>
          <w:sz w:val="24"/>
          <w:szCs w:val="24"/>
        </w:rPr>
        <w:t>11</w:t>
      </w:r>
      <w:r w:rsidRPr="001A49B2">
        <w:rPr>
          <w:noProof/>
          <w:sz w:val="24"/>
          <w:szCs w:val="24"/>
        </w:rPr>
        <w:fldChar w:fldCharType="end"/>
      </w:r>
      <w:r w:rsidRPr="001A49B2">
        <w:rPr>
          <w:sz w:val="24"/>
          <w:szCs w:val="24"/>
        </w:rPr>
        <w:t>.1: Receivable Turnover Ratio</w:t>
      </w:r>
      <w:bookmarkEnd w:id="96"/>
      <w:bookmarkEnd w:id="97"/>
      <w:bookmarkEnd w:id="98"/>
    </w:p>
    <w:tbl>
      <w:tblPr>
        <w:tblStyle w:val="TableGrid"/>
        <w:tblW w:w="0" w:type="auto"/>
        <w:tblLook w:val="04A0" w:firstRow="1" w:lastRow="0" w:firstColumn="1" w:lastColumn="0" w:noHBand="0" w:noVBand="1"/>
      </w:tblPr>
      <w:tblGrid>
        <w:gridCol w:w="1503"/>
        <w:gridCol w:w="1503"/>
        <w:gridCol w:w="1503"/>
        <w:gridCol w:w="1503"/>
        <w:gridCol w:w="1503"/>
        <w:gridCol w:w="1504"/>
      </w:tblGrid>
      <w:tr w:rsidR="00755780" w:rsidRPr="005F644C" w14:paraId="18574044" w14:textId="77777777" w:rsidTr="00755780">
        <w:tc>
          <w:tcPr>
            <w:tcW w:w="1503" w:type="dxa"/>
            <w:shd w:val="clear" w:color="auto" w:fill="156082" w:themeFill="accent1"/>
          </w:tcPr>
          <w:p w14:paraId="5D4578A7" w14:textId="2C78AF09" w:rsidR="00755780" w:rsidRPr="006163DA" w:rsidRDefault="00755780" w:rsidP="00755780">
            <w:pPr>
              <w:spacing w:line="276" w:lineRule="auto"/>
              <w:jc w:val="center"/>
              <w:rPr>
                <w:rFonts w:ascii="Arial" w:hAnsi="Arial"/>
                <w:b/>
                <w:bCs/>
                <w:color w:val="FFFFFF" w:themeColor="background1"/>
              </w:rPr>
            </w:pPr>
            <w:r w:rsidRPr="006163DA">
              <w:rPr>
                <w:rFonts w:ascii="Arial" w:hAnsi="Arial"/>
                <w:b/>
                <w:bCs/>
                <w:color w:val="FFFFFF" w:themeColor="background1"/>
              </w:rPr>
              <w:t>Year</w:t>
            </w:r>
          </w:p>
        </w:tc>
        <w:tc>
          <w:tcPr>
            <w:tcW w:w="1503" w:type="dxa"/>
            <w:shd w:val="clear" w:color="auto" w:fill="156082" w:themeFill="accent1"/>
          </w:tcPr>
          <w:p w14:paraId="4D327895" w14:textId="119EA28E" w:rsidR="00755780" w:rsidRPr="006163DA" w:rsidRDefault="00755780" w:rsidP="00755780">
            <w:pPr>
              <w:spacing w:line="276" w:lineRule="auto"/>
              <w:jc w:val="center"/>
              <w:rPr>
                <w:rFonts w:ascii="Arial" w:hAnsi="Arial"/>
                <w:b/>
                <w:bCs/>
                <w:color w:val="FFFFFF" w:themeColor="background1"/>
              </w:rPr>
            </w:pPr>
            <w:r w:rsidRPr="006163DA">
              <w:rPr>
                <w:rFonts w:ascii="Arial" w:hAnsi="Arial"/>
                <w:b/>
                <w:bCs/>
                <w:color w:val="FFFFFF" w:themeColor="background1"/>
              </w:rPr>
              <w:t>2021</w:t>
            </w:r>
          </w:p>
        </w:tc>
        <w:tc>
          <w:tcPr>
            <w:tcW w:w="1503" w:type="dxa"/>
            <w:shd w:val="clear" w:color="auto" w:fill="156082" w:themeFill="accent1"/>
          </w:tcPr>
          <w:p w14:paraId="2448C4C5" w14:textId="75FA42EB" w:rsidR="00755780" w:rsidRPr="006163DA" w:rsidRDefault="00755780" w:rsidP="00755780">
            <w:pPr>
              <w:spacing w:line="276" w:lineRule="auto"/>
              <w:jc w:val="center"/>
              <w:rPr>
                <w:rFonts w:ascii="Arial" w:hAnsi="Arial"/>
                <w:b/>
                <w:bCs/>
                <w:color w:val="FFFFFF" w:themeColor="background1"/>
              </w:rPr>
            </w:pPr>
            <w:r w:rsidRPr="006163DA">
              <w:rPr>
                <w:rFonts w:ascii="Arial" w:hAnsi="Arial"/>
                <w:b/>
                <w:bCs/>
                <w:color w:val="FFFFFF" w:themeColor="background1"/>
              </w:rPr>
              <w:t>2022</w:t>
            </w:r>
          </w:p>
        </w:tc>
        <w:tc>
          <w:tcPr>
            <w:tcW w:w="1503" w:type="dxa"/>
            <w:shd w:val="clear" w:color="auto" w:fill="156082" w:themeFill="accent1"/>
          </w:tcPr>
          <w:p w14:paraId="16B18ED6" w14:textId="3AFDFA3B" w:rsidR="00755780" w:rsidRPr="006163DA" w:rsidRDefault="00755780" w:rsidP="00755780">
            <w:pPr>
              <w:spacing w:line="276" w:lineRule="auto"/>
              <w:jc w:val="center"/>
              <w:rPr>
                <w:rFonts w:ascii="Arial" w:hAnsi="Arial"/>
                <w:b/>
                <w:bCs/>
                <w:color w:val="FFFFFF" w:themeColor="background1"/>
              </w:rPr>
            </w:pPr>
            <w:r w:rsidRPr="006163DA">
              <w:rPr>
                <w:rFonts w:ascii="Arial" w:hAnsi="Arial"/>
                <w:b/>
                <w:bCs/>
                <w:color w:val="FFFFFF" w:themeColor="background1"/>
              </w:rPr>
              <w:t>2023</w:t>
            </w:r>
          </w:p>
        </w:tc>
        <w:tc>
          <w:tcPr>
            <w:tcW w:w="1503" w:type="dxa"/>
            <w:shd w:val="clear" w:color="auto" w:fill="156082" w:themeFill="accent1"/>
          </w:tcPr>
          <w:p w14:paraId="34C17658" w14:textId="1B2B91C7" w:rsidR="00755780" w:rsidRPr="006163DA" w:rsidRDefault="00755780" w:rsidP="00755780">
            <w:pPr>
              <w:spacing w:line="276" w:lineRule="auto"/>
              <w:jc w:val="center"/>
              <w:rPr>
                <w:rFonts w:ascii="Arial" w:hAnsi="Arial"/>
                <w:b/>
                <w:bCs/>
                <w:color w:val="FFFFFF" w:themeColor="background1"/>
              </w:rPr>
            </w:pPr>
            <w:r w:rsidRPr="006163DA">
              <w:rPr>
                <w:rFonts w:ascii="Arial" w:hAnsi="Arial"/>
                <w:b/>
                <w:bCs/>
                <w:color w:val="FFFFFF" w:themeColor="background1"/>
              </w:rPr>
              <w:t>2024</w:t>
            </w:r>
          </w:p>
        </w:tc>
        <w:tc>
          <w:tcPr>
            <w:tcW w:w="1504" w:type="dxa"/>
            <w:shd w:val="clear" w:color="auto" w:fill="156082" w:themeFill="accent1"/>
          </w:tcPr>
          <w:p w14:paraId="7CE5D632" w14:textId="24603479" w:rsidR="00755780" w:rsidRPr="006163DA" w:rsidRDefault="00755780" w:rsidP="00755780">
            <w:pPr>
              <w:spacing w:line="276" w:lineRule="auto"/>
              <w:jc w:val="center"/>
              <w:rPr>
                <w:rFonts w:ascii="Arial" w:hAnsi="Arial"/>
                <w:b/>
                <w:bCs/>
                <w:color w:val="FFFFFF" w:themeColor="background1"/>
              </w:rPr>
            </w:pPr>
            <w:r w:rsidRPr="006163DA">
              <w:rPr>
                <w:rFonts w:ascii="Arial" w:hAnsi="Arial"/>
                <w:b/>
                <w:bCs/>
                <w:color w:val="FFFFFF" w:themeColor="background1"/>
              </w:rPr>
              <w:t>2025</w:t>
            </w:r>
          </w:p>
        </w:tc>
      </w:tr>
      <w:tr w:rsidR="00755780" w:rsidRPr="005F644C" w14:paraId="3BFFE325" w14:textId="77777777" w:rsidTr="00755780">
        <w:tc>
          <w:tcPr>
            <w:tcW w:w="1503" w:type="dxa"/>
          </w:tcPr>
          <w:p w14:paraId="66492D2B" w14:textId="1B5A93F3" w:rsidR="00755780" w:rsidRPr="006163DA" w:rsidRDefault="00755780" w:rsidP="00755780">
            <w:pPr>
              <w:spacing w:line="276" w:lineRule="auto"/>
              <w:jc w:val="center"/>
              <w:rPr>
                <w:rFonts w:ascii="Arial" w:hAnsi="Arial"/>
              </w:rPr>
            </w:pPr>
            <w:r w:rsidRPr="006163DA">
              <w:rPr>
                <w:rFonts w:ascii="Arial" w:hAnsi="Arial"/>
              </w:rPr>
              <w:t xml:space="preserve">Receivable Turnover </w:t>
            </w:r>
            <w:r w:rsidR="00E362F4" w:rsidRPr="006163DA">
              <w:rPr>
                <w:rFonts w:ascii="Arial" w:hAnsi="Arial"/>
              </w:rPr>
              <w:t>Ratio (Times)</w:t>
            </w:r>
          </w:p>
        </w:tc>
        <w:tc>
          <w:tcPr>
            <w:tcW w:w="1503" w:type="dxa"/>
          </w:tcPr>
          <w:p w14:paraId="2056BADE" w14:textId="6829764A" w:rsidR="00755780" w:rsidRPr="006163DA" w:rsidRDefault="000F7972" w:rsidP="00755780">
            <w:pPr>
              <w:spacing w:line="276" w:lineRule="auto"/>
              <w:jc w:val="center"/>
              <w:rPr>
                <w:rFonts w:ascii="Arial" w:hAnsi="Arial"/>
              </w:rPr>
            </w:pPr>
            <w:r w:rsidRPr="006163DA">
              <w:rPr>
                <w:rFonts w:ascii="Arial" w:hAnsi="Arial"/>
              </w:rPr>
              <w:t>1</w:t>
            </w:r>
            <w:r w:rsidR="00E362F4" w:rsidRPr="006163DA">
              <w:rPr>
                <w:rFonts w:ascii="Arial" w:hAnsi="Arial"/>
              </w:rPr>
              <w:t>1.06</w:t>
            </w:r>
            <w:r w:rsidRPr="006163DA">
              <w:rPr>
                <w:rFonts w:ascii="Arial" w:hAnsi="Arial"/>
              </w:rPr>
              <w:t xml:space="preserve"> Times</w:t>
            </w:r>
          </w:p>
        </w:tc>
        <w:tc>
          <w:tcPr>
            <w:tcW w:w="1503" w:type="dxa"/>
          </w:tcPr>
          <w:p w14:paraId="3A4B8DDF" w14:textId="66CF9472" w:rsidR="00755780" w:rsidRPr="006163DA" w:rsidRDefault="00E362F4" w:rsidP="00755780">
            <w:pPr>
              <w:spacing w:line="276" w:lineRule="auto"/>
              <w:jc w:val="center"/>
              <w:rPr>
                <w:rFonts w:ascii="Arial" w:hAnsi="Arial"/>
              </w:rPr>
            </w:pPr>
            <w:r w:rsidRPr="006163DA">
              <w:rPr>
                <w:rFonts w:ascii="Arial" w:hAnsi="Arial"/>
              </w:rPr>
              <w:t>7.93</w:t>
            </w:r>
            <w:r w:rsidR="000F7972" w:rsidRPr="006163DA">
              <w:rPr>
                <w:rFonts w:ascii="Arial" w:hAnsi="Arial"/>
              </w:rPr>
              <w:t xml:space="preserve"> Times</w:t>
            </w:r>
          </w:p>
        </w:tc>
        <w:tc>
          <w:tcPr>
            <w:tcW w:w="1503" w:type="dxa"/>
          </w:tcPr>
          <w:p w14:paraId="7F8E78D4" w14:textId="7B80505F" w:rsidR="00755780" w:rsidRPr="006163DA" w:rsidRDefault="00E362F4" w:rsidP="00755780">
            <w:pPr>
              <w:spacing w:line="276" w:lineRule="auto"/>
              <w:jc w:val="center"/>
              <w:rPr>
                <w:rFonts w:ascii="Arial" w:hAnsi="Arial"/>
              </w:rPr>
            </w:pPr>
            <w:r w:rsidRPr="006163DA">
              <w:rPr>
                <w:rFonts w:ascii="Arial" w:hAnsi="Arial"/>
              </w:rPr>
              <w:t>8.90</w:t>
            </w:r>
            <w:r w:rsidR="000F7972" w:rsidRPr="006163DA">
              <w:rPr>
                <w:rFonts w:ascii="Arial" w:hAnsi="Arial"/>
              </w:rPr>
              <w:t xml:space="preserve"> Times </w:t>
            </w:r>
          </w:p>
        </w:tc>
        <w:tc>
          <w:tcPr>
            <w:tcW w:w="1503" w:type="dxa"/>
          </w:tcPr>
          <w:p w14:paraId="17BE4E89" w14:textId="003BA91A" w:rsidR="00755780" w:rsidRPr="006163DA" w:rsidRDefault="00E362F4" w:rsidP="00755780">
            <w:pPr>
              <w:spacing w:line="276" w:lineRule="auto"/>
              <w:jc w:val="center"/>
              <w:rPr>
                <w:rFonts w:ascii="Arial" w:hAnsi="Arial"/>
              </w:rPr>
            </w:pPr>
            <w:r w:rsidRPr="006163DA">
              <w:rPr>
                <w:rFonts w:ascii="Arial" w:hAnsi="Arial"/>
              </w:rPr>
              <w:t>9.35 Times</w:t>
            </w:r>
          </w:p>
        </w:tc>
        <w:tc>
          <w:tcPr>
            <w:tcW w:w="1504" w:type="dxa"/>
          </w:tcPr>
          <w:p w14:paraId="7AD7986F" w14:textId="6DB640D7" w:rsidR="00755780" w:rsidRPr="006163DA" w:rsidRDefault="00E362F4" w:rsidP="00755780">
            <w:pPr>
              <w:spacing w:line="276" w:lineRule="auto"/>
              <w:jc w:val="center"/>
              <w:rPr>
                <w:rFonts w:ascii="Arial" w:hAnsi="Arial"/>
              </w:rPr>
            </w:pPr>
            <w:r w:rsidRPr="006163DA">
              <w:rPr>
                <w:rFonts w:ascii="Arial" w:hAnsi="Arial"/>
              </w:rPr>
              <w:t>8.48 Times</w:t>
            </w:r>
          </w:p>
        </w:tc>
      </w:tr>
    </w:tbl>
    <w:p w14:paraId="7AE99742" w14:textId="77777777" w:rsidR="001A49B2" w:rsidRPr="001A49B2" w:rsidRDefault="001A49B2" w:rsidP="001A49B2"/>
    <w:p w14:paraId="2A327562" w14:textId="76959863" w:rsidR="00352EEE" w:rsidRDefault="00352EEE" w:rsidP="00352EEE">
      <w:pPr>
        <w:spacing w:line="276" w:lineRule="auto"/>
        <w:jc w:val="center"/>
        <w:rPr>
          <w:rFonts w:ascii="Cambria Math" w:hAnsi="Cambria Math"/>
          <w:b/>
          <w:bCs/>
        </w:rPr>
      </w:pPr>
      <w:r>
        <w:rPr>
          <w:noProof/>
          <w14:ligatures w14:val="standardContextual"/>
        </w:rPr>
        <w:drawing>
          <wp:inline distT="0" distB="0" distL="0" distR="0" wp14:anchorId="64040C38" wp14:editId="40E77679">
            <wp:extent cx="5804535" cy="2986268"/>
            <wp:effectExtent l="0" t="0" r="5715" b="5080"/>
            <wp:docPr id="1158037672" name="Chart 1">
              <a:extLst xmlns:a="http://schemas.openxmlformats.org/drawingml/2006/main">
                <a:ext uri="{FF2B5EF4-FFF2-40B4-BE49-F238E27FC236}">
                  <a16:creationId xmlns:a16="http://schemas.microsoft.com/office/drawing/2014/main" id="{5CA8C164-F130-14C5-4CCF-6F01F755D40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5C6A85C1" w14:textId="3ED84A8B" w:rsidR="00352EEE" w:rsidRPr="00716B98" w:rsidRDefault="00CE1CA7" w:rsidP="00CE1CA7">
      <w:pPr>
        <w:pStyle w:val="Caption"/>
        <w:jc w:val="center"/>
        <w:rPr>
          <w:rFonts w:ascii="Cambria Math" w:hAnsi="Cambria Math"/>
          <w:b/>
          <w:bCs/>
          <w:sz w:val="24"/>
          <w:szCs w:val="24"/>
        </w:rPr>
      </w:pPr>
      <w:bookmarkStart w:id="99" w:name="_Toc235308695"/>
      <w:r w:rsidRPr="00716B98">
        <w:rPr>
          <w:sz w:val="24"/>
          <w:szCs w:val="24"/>
        </w:rPr>
        <w:t xml:space="preserve">Figure </w:t>
      </w:r>
      <w:r w:rsidR="00D94E28" w:rsidRPr="00716B98">
        <w:rPr>
          <w:sz w:val="24"/>
          <w:szCs w:val="24"/>
        </w:rPr>
        <w:fldChar w:fldCharType="begin"/>
      </w:r>
      <w:r w:rsidR="00D94E28" w:rsidRPr="00716B98">
        <w:rPr>
          <w:sz w:val="24"/>
          <w:szCs w:val="24"/>
        </w:rPr>
        <w:instrText xml:space="preserve"> SEQ Figure \* ARABIC </w:instrText>
      </w:r>
      <w:r w:rsidR="00D94E28" w:rsidRPr="00716B98">
        <w:rPr>
          <w:sz w:val="24"/>
          <w:szCs w:val="24"/>
        </w:rPr>
        <w:fldChar w:fldCharType="separate"/>
      </w:r>
      <w:r w:rsidR="00C15A61">
        <w:rPr>
          <w:noProof/>
          <w:sz w:val="24"/>
          <w:szCs w:val="24"/>
        </w:rPr>
        <w:t>11</w:t>
      </w:r>
      <w:r w:rsidR="00D94E28" w:rsidRPr="00716B98">
        <w:rPr>
          <w:noProof/>
          <w:sz w:val="24"/>
          <w:szCs w:val="24"/>
        </w:rPr>
        <w:fldChar w:fldCharType="end"/>
      </w:r>
      <w:r w:rsidRPr="00716B98">
        <w:rPr>
          <w:sz w:val="24"/>
          <w:szCs w:val="24"/>
        </w:rPr>
        <w:t>.1: Receivable Turnover Ratio (Graph)</w:t>
      </w:r>
      <w:bookmarkEnd w:id="99"/>
    </w:p>
    <w:p w14:paraId="4D524859" w14:textId="2B84060A" w:rsidR="00D0773D" w:rsidRPr="00D0773D" w:rsidRDefault="00D0773D" w:rsidP="00D0773D">
      <w:pPr>
        <w:rPr>
          <w:rFonts w:ascii="Arial" w:hAnsi="Arial"/>
          <w:color w:val="000000" w:themeColor="text1"/>
          <w:szCs w:val="24"/>
        </w:rPr>
      </w:pPr>
      <w:r w:rsidRPr="00D0773D">
        <w:rPr>
          <w:rFonts w:ascii="Arial" w:hAnsi="Arial"/>
          <w:color w:val="000000" w:themeColor="text1"/>
          <w:szCs w:val="24"/>
        </w:rPr>
        <w:t>The Receivable Turnover Ratio of Tokyo Consulting Firm (TCF) indicates how many times a year the firm collects its clients’ payments. It began well at 11.06 times in 2021, but dropped to 7.93 times in 2022, meaning collections slowed quite a bit as clients were taking longer to pay. After this, it continuously improved to 8.90 in 2023, and again peaked at 9.35 in 2024, showing better collection efficiency. In 2025 it came down a little to 8.48 times.</w:t>
      </w:r>
    </w:p>
    <w:p w14:paraId="46EE8483" w14:textId="14F79A79" w:rsidR="00396D84" w:rsidRPr="005F644C" w:rsidRDefault="00D0773D" w:rsidP="00D0773D">
      <w:pPr>
        <w:rPr>
          <w:rFonts w:ascii="Arial" w:hAnsi="Arial"/>
          <w:color w:val="000000" w:themeColor="text1"/>
          <w:szCs w:val="24"/>
        </w:rPr>
      </w:pPr>
      <w:r w:rsidRPr="00D0773D">
        <w:rPr>
          <w:rFonts w:ascii="Arial" w:hAnsi="Arial"/>
          <w:color w:val="000000" w:themeColor="text1"/>
          <w:szCs w:val="24"/>
        </w:rPr>
        <w:t xml:space="preserve">Generally, Tokyo Consulting Firm’ collects its receivables on consistent basis, </w:t>
      </w:r>
      <w:r>
        <w:rPr>
          <w:rFonts w:ascii="Arial" w:hAnsi="Arial"/>
          <w:color w:val="000000" w:themeColor="text1"/>
          <w:szCs w:val="24"/>
        </w:rPr>
        <w:t>like</w:t>
      </w:r>
      <w:r w:rsidRPr="00D0773D">
        <w:rPr>
          <w:rFonts w:ascii="Arial" w:hAnsi="Arial"/>
          <w:color w:val="000000" w:themeColor="text1"/>
          <w:szCs w:val="24"/>
        </w:rPr>
        <w:t xml:space="preserve"> approximately 8 to 9 times a year,</w:t>
      </w:r>
      <w:r>
        <w:rPr>
          <w:rFonts w:ascii="Arial" w:hAnsi="Arial"/>
          <w:color w:val="000000" w:themeColor="text1"/>
          <w:szCs w:val="24"/>
        </w:rPr>
        <w:t xml:space="preserve"> </w:t>
      </w:r>
      <w:r w:rsidRPr="00D0773D">
        <w:rPr>
          <w:rFonts w:ascii="Arial" w:hAnsi="Arial"/>
          <w:color w:val="000000" w:themeColor="text1"/>
          <w:szCs w:val="24"/>
        </w:rPr>
        <w:t>which translates to collection of dues around every 40 - 45 days on average. That ratio has not returned to 2021 levels, but it has been high and healthy in recent years</w:t>
      </w:r>
      <w:r w:rsidR="00CA52E8">
        <w:rPr>
          <w:rFonts w:ascii="Arial" w:hAnsi="Arial"/>
          <w:color w:val="000000" w:themeColor="text1"/>
          <w:szCs w:val="24"/>
        </w:rPr>
        <w:t xml:space="preserve">. </w:t>
      </w:r>
      <w:r w:rsidRPr="00D0773D">
        <w:rPr>
          <w:rFonts w:ascii="Arial" w:hAnsi="Arial"/>
          <w:color w:val="000000" w:themeColor="text1"/>
          <w:szCs w:val="24"/>
        </w:rPr>
        <w:t>Tokyo Consulting Firm has a steady Receivable Turnover of 8 - 9 times a year, which means it is not letting client payments drag for too long and keeps cash flowing in predictably. This is positive for day-to-day operations, as the firm does not have to rely heavily on external financing to meet short-term needs. The ratio has not fully recovered to its 2021 high, so there is still some room to improve collections, maybe by following up more quickly or setting clearer payment terms with customers. Overall, the collection process at Tokyo Consulting Firm seems to be quite healthy, just not operating at its most efficient rate yet.</w:t>
      </w:r>
    </w:p>
    <w:p w14:paraId="1C8CF56D" w14:textId="6CDDBEF3" w:rsidR="00C604F6" w:rsidRPr="0018264E" w:rsidRDefault="001444C8" w:rsidP="00640C28">
      <w:pPr>
        <w:pStyle w:val="Heading3"/>
        <w:rPr>
          <w:rFonts w:ascii="Arial" w:hAnsi="Arial" w:cs="Arial"/>
          <w:sz w:val="24"/>
          <w:szCs w:val="24"/>
        </w:rPr>
      </w:pPr>
      <w:bookmarkStart w:id="100" w:name="_Toc235801963"/>
      <w:r>
        <w:rPr>
          <w:rFonts w:ascii="Arial" w:hAnsi="Arial" w:cs="Arial"/>
          <w:sz w:val="24"/>
          <w:szCs w:val="24"/>
        </w:rPr>
        <w:lastRenderedPageBreak/>
        <w:t>4</w:t>
      </w:r>
      <w:r w:rsidR="00C604F6" w:rsidRPr="0018264E">
        <w:rPr>
          <w:rFonts w:ascii="Arial" w:hAnsi="Arial" w:cs="Arial"/>
          <w:sz w:val="24"/>
          <w:szCs w:val="24"/>
        </w:rPr>
        <w:t>.</w:t>
      </w:r>
      <w:r w:rsidR="00640C28" w:rsidRPr="0018264E">
        <w:rPr>
          <w:rFonts w:ascii="Arial" w:hAnsi="Arial" w:cs="Arial"/>
          <w:sz w:val="24"/>
          <w:szCs w:val="24"/>
        </w:rPr>
        <w:t>12.</w:t>
      </w:r>
      <w:r w:rsidR="00C604F6" w:rsidRPr="0018264E">
        <w:rPr>
          <w:rFonts w:ascii="Arial" w:hAnsi="Arial" w:cs="Arial"/>
          <w:sz w:val="24"/>
          <w:szCs w:val="24"/>
        </w:rPr>
        <w:t>5 Payable Turnover Ratio</w:t>
      </w:r>
      <w:bookmarkEnd w:id="100"/>
    </w:p>
    <w:p w14:paraId="062B2284" w14:textId="54D1D5A0" w:rsidR="00F312CD" w:rsidRPr="005F644C" w:rsidRDefault="00755780" w:rsidP="00F312CD">
      <w:pPr>
        <w:rPr>
          <w:rFonts w:ascii="Arial" w:hAnsi="Arial"/>
        </w:rPr>
      </w:pPr>
      <w:r w:rsidRPr="005F644C">
        <w:rPr>
          <w:rFonts w:ascii="Arial" w:hAnsi="Arial"/>
        </w:rPr>
        <w:t>The</w:t>
      </w:r>
      <w:r w:rsidR="00D0773D" w:rsidRPr="00D0773D">
        <w:rPr>
          <w:rFonts w:ascii="Arial" w:hAnsi="Arial"/>
        </w:rPr>
        <w:t xml:space="preserve"> Payable Turnover Ratio is a measure of the efficiency of the payment of suppliers of a company. It expresses the average number of accounts payable are paid during a financial year. The higher the ratio the faster the company pays its suppliers. The lower the ratio the longer it takes to pay its obligations and the longer it gets to hold onto its cash.</w:t>
      </w:r>
    </w:p>
    <w:p w14:paraId="3AB2403D" w14:textId="33D7EEA0" w:rsidR="007302CC" w:rsidRPr="00A962FA" w:rsidRDefault="00755780" w:rsidP="00A962FA">
      <w:pPr>
        <w:spacing w:line="276" w:lineRule="auto"/>
        <w:jc w:val="center"/>
        <w:rPr>
          <w:rFonts w:ascii="Cambria Math" w:hAnsi="Cambria Math"/>
          <w:b/>
          <w:bCs/>
        </w:rPr>
      </w:pPr>
      <w:r w:rsidRPr="0018264E">
        <w:rPr>
          <w:rFonts w:ascii="Cambria Math" w:hAnsi="Cambria Math"/>
          <w:b/>
          <w:bCs/>
        </w:rPr>
        <w:t>Payable Turnover Ratio = Net Credit Purchases/Average Accounts Payable</w:t>
      </w:r>
      <w:r w:rsidR="00A962FA">
        <w:rPr>
          <w:rFonts w:ascii="Cambria Math" w:hAnsi="Cambria Math"/>
          <w:b/>
          <w:bCs/>
        </w:rPr>
        <w:t xml:space="preserve"> (13)</w:t>
      </w:r>
    </w:p>
    <w:p w14:paraId="3180CE28" w14:textId="77777777" w:rsidR="001A49B2" w:rsidRDefault="001A49B2" w:rsidP="001A49B2">
      <w:pPr>
        <w:pStyle w:val="Caption"/>
        <w:jc w:val="center"/>
      </w:pPr>
      <w:bookmarkStart w:id="101" w:name="_Toc235308711"/>
    </w:p>
    <w:p w14:paraId="7DC11293" w14:textId="0288EBC7" w:rsidR="001A49B2" w:rsidRPr="001A49B2" w:rsidRDefault="001A49B2" w:rsidP="001A49B2">
      <w:pPr>
        <w:pStyle w:val="Caption"/>
        <w:jc w:val="center"/>
        <w:rPr>
          <w:rFonts w:ascii="Cambria Math" w:hAnsi="Cambria Math"/>
          <w:b/>
          <w:bCs/>
          <w:sz w:val="24"/>
          <w:szCs w:val="24"/>
        </w:rPr>
      </w:pPr>
      <w:bookmarkStart w:id="102" w:name="_Toc235803962"/>
      <w:bookmarkStart w:id="103" w:name="_Toc235804215"/>
      <w:r w:rsidRPr="001A49B2">
        <w:rPr>
          <w:sz w:val="24"/>
          <w:szCs w:val="24"/>
        </w:rPr>
        <w:t xml:space="preserve">Table </w:t>
      </w:r>
      <w:r w:rsidRPr="001A49B2">
        <w:rPr>
          <w:sz w:val="24"/>
          <w:szCs w:val="24"/>
        </w:rPr>
        <w:fldChar w:fldCharType="begin"/>
      </w:r>
      <w:r w:rsidRPr="001A49B2">
        <w:rPr>
          <w:sz w:val="24"/>
          <w:szCs w:val="24"/>
        </w:rPr>
        <w:instrText xml:space="preserve"> SEQ Table \* ARABIC </w:instrText>
      </w:r>
      <w:r w:rsidRPr="001A49B2">
        <w:rPr>
          <w:sz w:val="24"/>
          <w:szCs w:val="24"/>
        </w:rPr>
        <w:fldChar w:fldCharType="separate"/>
      </w:r>
      <w:r w:rsidR="003A3DA9">
        <w:rPr>
          <w:noProof/>
          <w:sz w:val="24"/>
          <w:szCs w:val="24"/>
        </w:rPr>
        <w:t>12</w:t>
      </w:r>
      <w:r w:rsidRPr="001A49B2">
        <w:rPr>
          <w:noProof/>
          <w:sz w:val="24"/>
          <w:szCs w:val="24"/>
        </w:rPr>
        <w:fldChar w:fldCharType="end"/>
      </w:r>
      <w:r w:rsidRPr="001A49B2">
        <w:rPr>
          <w:sz w:val="24"/>
          <w:szCs w:val="24"/>
        </w:rPr>
        <w:t>.1: Payable Turnover Ratio</w:t>
      </w:r>
      <w:bookmarkEnd w:id="101"/>
      <w:bookmarkEnd w:id="102"/>
      <w:bookmarkEnd w:id="103"/>
    </w:p>
    <w:tbl>
      <w:tblPr>
        <w:tblStyle w:val="TableGrid"/>
        <w:tblW w:w="0" w:type="auto"/>
        <w:tblLook w:val="04A0" w:firstRow="1" w:lastRow="0" w:firstColumn="1" w:lastColumn="0" w:noHBand="0" w:noVBand="1"/>
      </w:tblPr>
      <w:tblGrid>
        <w:gridCol w:w="1503"/>
        <w:gridCol w:w="1503"/>
        <w:gridCol w:w="1503"/>
        <w:gridCol w:w="1503"/>
        <w:gridCol w:w="1503"/>
        <w:gridCol w:w="1504"/>
      </w:tblGrid>
      <w:tr w:rsidR="00755780" w:rsidRPr="005F644C" w14:paraId="5690FE87" w14:textId="77777777" w:rsidTr="00390642">
        <w:tc>
          <w:tcPr>
            <w:tcW w:w="1503" w:type="dxa"/>
            <w:shd w:val="clear" w:color="auto" w:fill="156082" w:themeFill="accent1"/>
          </w:tcPr>
          <w:p w14:paraId="56367437" w14:textId="6861ABCF" w:rsidR="00755780" w:rsidRPr="006163DA" w:rsidRDefault="00755780" w:rsidP="00755780">
            <w:pPr>
              <w:spacing w:line="276" w:lineRule="auto"/>
              <w:jc w:val="center"/>
              <w:rPr>
                <w:rFonts w:ascii="Arial" w:hAnsi="Arial"/>
                <w:b/>
                <w:bCs/>
                <w:color w:val="FFFFFF" w:themeColor="background1"/>
              </w:rPr>
            </w:pPr>
            <w:r w:rsidRPr="006163DA">
              <w:rPr>
                <w:rFonts w:ascii="Arial" w:hAnsi="Arial"/>
                <w:b/>
                <w:bCs/>
                <w:color w:val="FFFFFF" w:themeColor="background1"/>
              </w:rPr>
              <w:t>Year</w:t>
            </w:r>
          </w:p>
        </w:tc>
        <w:tc>
          <w:tcPr>
            <w:tcW w:w="1503" w:type="dxa"/>
            <w:shd w:val="clear" w:color="auto" w:fill="156082" w:themeFill="accent1"/>
          </w:tcPr>
          <w:p w14:paraId="021553E0" w14:textId="0CF61C95" w:rsidR="00755780" w:rsidRPr="006163DA" w:rsidRDefault="00755780" w:rsidP="00755780">
            <w:pPr>
              <w:spacing w:line="276" w:lineRule="auto"/>
              <w:jc w:val="center"/>
              <w:rPr>
                <w:rFonts w:ascii="Arial" w:hAnsi="Arial"/>
                <w:b/>
                <w:bCs/>
                <w:color w:val="FFFFFF" w:themeColor="background1"/>
              </w:rPr>
            </w:pPr>
            <w:r w:rsidRPr="006163DA">
              <w:rPr>
                <w:rFonts w:ascii="Arial" w:hAnsi="Arial"/>
                <w:b/>
                <w:bCs/>
                <w:color w:val="FFFFFF" w:themeColor="background1"/>
              </w:rPr>
              <w:t>2021</w:t>
            </w:r>
          </w:p>
        </w:tc>
        <w:tc>
          <w:tcPr>
            <w:tcW w:w="1503" w:type="dxa"/>
            <w:shd w:val="clear" w:color="auto" w:fill="156082" w:themeFill="accent1"/>
          </w:tcPr>
          <w:p w14:paraId="073F6F73" w14:textId="1BFDA101" w:rsidR="00755780" w:rsidRPr="006163DA" w:rsidRDefault="00755780" w:rsidP="00755780">
            <w:pPr>
              <w:spacing w:line="276" w:lineRule="auto"/>
              <w:jc w:val="center"/>
              <w:rPr>
                <w:rFonts w:ascii="Arial" w:hAnsi="Arial"/>
                <w:b/>
                <w:bCs/>
                <w:color w:val="FFFFFF" w:themeColor="background1"/>
              </w:rPr>
            </w:pPr>
            <w:r w:rsidRPr="006163DA">
              <w:rPr>
                <w:rFonts w:ascii="Arial" w:hAnsi="Arial"/>
                <w:b/>
                <w:bCs/>
                <w:color w:val="FFFFFF" w:themeColor="background1"/>
              </w:rPr>
              <w:t>2022</w:t>
            </w:r>
          </w:p>
        </w:tc>
        <w:tc>
          <w:tcPr>
            <w:tcW w:w="1503" w:type="dxa"/>
            <w:shd w:val="clear" w:color="auto" w:fill="156082" w:themeFill="accent1"/>
          </w:tcPr>
          <w:p w14:paraId="27A355AA" w14:textId="26A67EB0" w:rsidR="00755780" w:rsidRPr="006163DA" w:rsidRDefault="00755780" w:rsidP="00755780">
            <w:pPr>
              <w:spacing w:line="276" w:lineRule="auto"/>
              <w:jc w:val="center"/>
              <w:rPr>
                <w:rFonts w:ascii="Arial" w:hAnsi="Arial"/>
                <w:b/>
                <w:bCs/>
                <w:color w:val="FFFFFF" w:themeColor="background1"/>
              </w:rPr>
            </w:pPr>
            <w:r w:rsidRPr="006163DA">
              <w:rPr>
                <w:rFonts w:ascii="Arial" w:hAnsi="Arial"/>
                <w:b/>
                <w:bCs/>
                <w:color w:val="FFFFFF" w:themeColor="background1"/>
              </w:rPr>
              <w:t>2023</w:t>
            </w:r>
          </w:p>
        </w:tc>
        <w:tc>
          <w:tcPr>
            <w:tcW w:w="1503" w:type="dxa"/>
            <w:shd w:val="clear" w:color="auto" w:fill="156082" w:themeFill="accent1"/>
          </w:tcPr>
          <w:p w14:paraId="401A1EC9" w14:textId="6375EE52" w:rsidR="00755780" w:rsidRPr="006163DA" w:rsidRDefault="00755780" w:rsidP="00755780">
            <w:pPr>
              <w:spacing w:line="276" w:lineRule="auto"/>
              <w:jc w:val="center"/>
              <w:rPr>
                <w:rFonts w:ascii="Arial" w:hAnsi="Arial"/>
                <w:b/>
                <w:bCs/>
                <w:color w:val="FFFFFF" w:themeColor="background1"/>
              </w:rPr>
            </w:pPr>
            <w:r w:rsidRPr="006163DA">
              <w:rPr>
                <w:rFonts w:ascii="Arial" w:hAnsi="Arial"/>
                <w:b/>
                <w:bCs/>
                <w:color w:val="FFFFFF" w:themeColor="background1"/>
              </w:rPr>
              <w:t>2024</w:t>
            </w:r>
          </w:p>
        </w:tc>
        <w:tc>
          <w:tcPr>
            <w:tcW w:w="1504" w:type="dxa"/>
            <w:shd w:val="clear" w:color="auto" w:fill="156082" w:themeFill="accent1"/>
          </w:tcPr>
          <w:p w14:paraId="451BCCEA" w14:textId="36DA8220" w:rsidR="00755780" w:rsidRPr="006163DA" w:rsidRDefault="00755780" w:rsidP="00755780">
            <w:pPr>
              <w:spacing w:line="276" w:lineRule="auto"/>
              <w:jc w:val="center"/>
              <w:rPr>
                <w:rFonts w:ascii="Arial" w:hAnsi="Arial"/>
                <w:b/>
                <w:bCs/>
                <w:color w:val="FFFFFF" w:themeColor="background1"/>
              </w:rPr>
            </w:pPr>
            <w:r w:rsidRPr="006163DA">
              <w:rPr>
                <w:rFonts w:ascii="Arial" w:hAnsi="Arial"/>
                <w:b/>
                <w:bCs/>
                <w:color w:val="FFFFFF" w:themeColor="background1"/>
              </w:rPr>
              <w:t>2025</w:t>
            </w:r>
          </w:p>
        </w:tc>
      </w:tr>
      <w:tr w:rsidR="00755780" w:rsidRPr="005F644C" w14:paraId="56A6B9BE" w14:textId="77777777" w:rsidTr="00755780">
        <w:tc>
          <w:tcPr>
            <w:tcW w:w="1503" w:type="dxa"/>
          </w:tcPr>
          <w:p w14:paraId="138172DD" w14:textId="0DA1A96C" w:rsidR="00755780" w:rsidRPr="006163DA" w:rsidRDefault="00755780" w:rsidP="008E51B2">
            <w:pPr>
              <w:spacing w:line="276" w:lineRule="auto"/>
              <w:jc w:val="center"/>
              <w:rPr>
                <w:rFonts w:ascii="Arial" w:hAnsi="Arial"/>
              </w:rPr>
            </w:pPr>
            <w:r w:rsidRPr="006163DA">
              <w:rPr>
                <w:rFonts w:ascii="Arial" w:hAnsi="Arial"/>
              </w:rPr>
              <w:t xml:space="preserve">Payable Turnover </w:t>
            </w:r>
            <w:r w:rsidR="00E362F4" w:rsidRPr="006163DA">
              <w:rPr>
                <w:rFonts w:ascii="Arial" w:hAnsi="Arial"/>
              </w:rPr>
              <w:t>Ratio (Times)</w:t>
            </w:r>
          </w:p>
        </w:tc>
        <w:tc>
          <w:tcPr>
            <w:tcW w:w="1503" w:type="dxa"/>
          </w:tcPr>
          <w:p w14:paraId="68203863" w14:textId="7B664BB6" w:rsidR="00755780" w:rsidRPr="006163DA" w:rsidRDefault="00E362F4" w:rsidP="00755780">
            <w:pPr>
              <w:spacing w:line="276" w:lineRule="auto"/>
              <w:jc w:val="center"/>
              <w:rPr>
                <w:rFonts w:ascii="Arial" w:hAnsi="Arial"/>
              </w:rPr>
            </w:pPr>
            <w:r w:rsidRPr="006163DA">
              <w:rPr>
                <w:rFonts w:ascii="Arial" w:hAnsi="Arial"/>
              </w:rPr>
              <w:t>17.38 Times</w:t>
            </w:r>
          </w:p>
        </w:tc>
        <w:tc>
          <w:tcPr>
            <w:tcW w:w="1503" w:type="dxa"/>
          </w:tcPr>
          <w:p w14:paraId="37201F55" w14:textId="0DB29EDC" w:rsidR="00755780" w:rsidRPr="006163DA" w:rsidRDefault="00E362F4" w:rsidP="00755780">
            <w:pPr>
              <w:spacing w:line="276" w:lineRule="auto"/>
              <w:jc w:val="center"/>
              <w:rPr>
                <w:rFonts w:ascii="Arial" w:hAnsi="Arial"/>
              </w:rPr>
            </w:pPr>
            <w:r w:rsidRPr="006163DA">
              <w:rPr>
                <w:rFonts w:ascii="Arial" w:hAnsi="Arial"/>
              </w:rPr>
              <w:t>15.86 Times</w:t>
            </w:r>
          </w:p>
        </w:tc>
        <w:tc>
          <w:tcPr>
            <w:tcW w:w="1503" w:type="dxa"/>
          </w:tcPr>
          <w:p w14:paraId="665ED2E6" w14:textId="3ACFE0CD" w:rsidR="00755780" w:rsidRPr="006163DA" w:rsidRDefault="00E362F4" w:rsidP="00755780">
            <w:pPr>
              <w:spacing w:line="276" w:lineRule="auto"/>
              <w:jc w:val="center"/>
              <w:rPr>
                <w:rFonts w:ascii="Arial" w:hAnsi="Arial"/>
              </w:rPr>
            </w:pPr>
            <w:r w:rsidRPr="006163DA">
              <w:rPr>
                <w:rFonts w:ascii="Arial" w:hAnsi="Arial"/>
              </w:rPr>
              <w:t>14.60 Times</w:t>
            </w:r>
          </w:p>
        </w:tc>
        <w:tc>
          <w:tcPr>
            <w:tcW w:w="1503" w:type="dxa"/>
          </w:tcPr>
          <w:p w14:paraId="5ECDA548" w14:textId="6220CC4C" w:rsidR="00755780" w:rsidRPr="006163DA" w:rsidRDefault="00E362F4" w:rsidP="00755780">
            <w:pPr>
              <w:spacing w:line="276" w:lineRule="auto"/>
              <w:jc w:val="center"/>
              <w:rPr>
                <w:rFonts w:ascii="Arial" w:hAnsi="Arial"/>
              </w:rPr>
            </w:pPr>
            <w:r w:rsidRPr="006163DA">
              <w:rPr>
                <w:rFonts w:ascii="Arial" w:hAnsi="Arial"/>
              </w:rPr>
              <w:t>18.26 Times</w:t>
            </w:r>
          </w:p>
        </w:tc>
        <w:tc>
          <w:tcPr>
            <w:tcW w:w="1504" w:type="dxa"/>
          </w:tcPr>
          <w:p w14:paraId="124AB24C" w14:textId="3CE0B5AD" w:rsidR="00755780" w:rsidRPr="006163DA" w:rsidRDefault="00E362F4" w:rsidP="00755780">
            <w:pPr>
              <w:spacing w:line="276" w:lineRule="auto"/>
              <w:jc w:val="center"/>
              <w:rPr>
                <w:rFonts w:ascii="Arial" w:hAnsi="Arial"/>
              </w:rPr>
            </w:pPr>
            <w:r w:rsidRPr="006163DA">
              <w:rPr>
                <w:rFonts w:ascii="Arial" w:hAnsi="Arial"/>
              </w:rPr>
              <w:t>16.59 Times</w:t>
            </w:r>
          </w:p>
        </w:tc>
      </w:tr>
    </w:tbl>
    <w:p w14:paraId="00A1ADF7" w14:textId="3D326662" w:rsidR="00352EEE" w:rsidRDefault="0013730B" w:rsidP="0013730B">
      <w:pPr>
        <w:spacing w:line="276" w:lineRule="auto"/>
        <w:jc w:val="center"/>
        <w:rPr>
          <w:rFonts w:ascii="Cambria Math" w:hAnsi="Cambria Math"/>
          <w:b/>
          <w:bCs/>
        </w:rPr>
      </w:pPr>
      <w:r>
        <w:rPr>
          <w:noProof/>
          <w14:ligatures w14:val="standardContextual"/>
        </w:rPr>
        <w:drawing>
          <wp:inline distT="0" distB="0" distL="0" distR="0" wp14:anchorId="518E87DB" wp14:editId="44229EF4">
            <wp:extent cx="5752465" cy="3397170"/>
            <wp:effectExtent l="0" t="0" r="635" b="13335"/>
            <wp:docPr id="1058205203" name="Chart 1">
              <a:extLst xmlns:a="http://schemas.openxmlformats.org/drawingml/2006/main">
                <a:ext uri="{FF2B5EF4-FFF2-40B4-BE49-F238E27FC236}">
                  <a16:creationId xmlns:a16="http://schemas.microsoft.com/office/drawing/2014/main" id="{ED9A53A5-2B25-615C-692C-653AFF7E588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4A16CE60" w14:textId="0F3A572A" w:rsidR="000376EC" w:rsidRPr="00716B98" w:rsidRDefault="000376EC" w:rsidP="000376EC">
      <w:pPr>
        <w:pStyle w:val="Caption"/>
        <w:jc w:val="center"/>
        <w:rPr>
          <w:rFonts w:ascii="Arial" w:hAnsi="Arial"/>
          <w:sz w:val="24"/>
          <w:szCs w:val="24"/>
        </w:rPr>
      </w:pPr>
      <w:bookmarkStart w:id="104" w:name="_Toc235308696"/>
      <w:r w:rsidRPr="00716B98">
        <w:rPr>
          <w:sz w:val="24"/>
          <w:szCs w:val="24"/>
        </w:rPr>
        <w:t xml:space="preserve">Figure </w:t>
      </w:r>
      <w:r w:rsidR="00D94E28" w:rsidRPr="00716B98">
        <w:rPr>
          <w:sz w:val="24"/>
          <w:szCs w:val="24"/>
        </w:rPr>
        <w:fldChar w:fldCharType="begin"/>
      </w:r>
      <w:r w:rsidR="00D94E28" w:rsidRPr="00716B98">
        <w:rPr>
          <w:sz w:val="24"/>
          <w:szCs w:val="24"/>
        </w:rPr>
        <w:instrText xml:space="preserve"> SEQ Figure \* ARABIC </w:instrText>
      </w:r>
      <w:r w:rsidR="00D94E28" w:rsidRPr="00716B98">
        <w:rPr>
          <w:sz w:val="24"/>
          <w:szCs w:val="24"/>
        </w:rPr>
        <w:fldChar w:fldCharType="separate"/>
      </w:r>
      <w:r w:rsidR="00C15A61">
        <w:rPr>
          <w:noProof/>
          <w:sz w:val="24"/>
          <w:szCs w:val="24"/>
        </w:rPr>
        <w:t>12</w:t>
      </w:r>
      <w:r w:rsidR="00D94E28" w:rsidRPr="00716B98">
        <w:rPr>
          <w:noProof/>
          <w:sz w:val="24"/>
          <w:szCs w:val="24"/>
        </w:rPr>
        <w:fldChar w:fldCharType="end"/>
      </w:r>
      <w:r w:rsidRPr="00716B98">
        <w:rPr>
          <w:sz w:val="24"/>
          <w:szCs w:val="24"/>
        </w:rPr>
        <w:t>.1: Payable Turnover Ratio (Graph)</w:t>
      </w:r>
      <w:bookmarkEnd w:id="104"/>
    </w:p>
    <w:p w14:paraId="67D6190A" w14:textId="7A5D014C" w:rsidR="006937B5" w:rsidRPr="005F644C" w:rsidRDefault="00D0773D" w:rsidP="00D0773D">
      <w:pPr>
        <w:rPr>
          <w:rFonts w:ascii="Arial" w:hAnsi="Arial"/>
        </w:rPr>
      </w:pPr>
      <w:r w:rsidRPr="00D0773D">
        <w:rPr>
          <w:rFonts w:ascii="Arial" w:hAnsi="Arial"/>
        </w:rPr>
        <w:t xml:space="preserve">The Tokyo Consulting Firm (TCF) Payable Turnover Ratio shows the number of days it takes for a company to pay its short-term liabilities, such as accrued expenses and dues. It started at 17.38x in 2021, slipped a little to 15.86x in 2022 and fell a little further to 14.60x in 2023, meaning TCF was taking a little longer to clear its payables in this stretch. Then in 2024 it jumped back up to 18.26 times, </w:t>
      </w:r>
      <w:proofErr w:type="spellStart"/>
      <w:r w:rsidR="00C272E3" w:rsidRPr="00D0773D">
        <w:rPr>
          <w:rFonts w:ascii="Arial" w:hAnsi="Arial"/>
        </w:rPr>
        <w:t>it’s</w:t>
      </w:r>
      <w:proofErr w:type="spellEnd"/>
      <w:r w:rsidRPr="00D0773D">
        <w:rPr>
          <w:rFonts w:ascii="Arial" w:hAnsi="Arial"/>
        </w:rPr>
        <w:t xml:space="preserve"> highest in the five years before settling </w:t>
      </w:r>
      <w:r w:rsidR="00CA52E8" w:rsidRPr="00D0773D">
        <w:rPr>
          <w:rFonts w:ascii="Arial" w:hAnsi="Arial"/>
        </w:rPr>
        <w:t>at</w:t>
      </w:r>
      <w:r w:rsidRPr="00D0773D">
        <w:rPr>
          <w:rFonts w:ascii="Arial" w:hAnsi="Arial"/>
        </w:rPr>
        <w:t xml:space="preserve"> 16.59 in 2025.</w:t>
      </w:r>
      <w:r w:rsidR="00CA52E8">
        <w:rPr>
          <w:rFonts w:ascii="Arial" w:hAnsi="Arial"/>
        </w:rPr>
        <w:t xml:space="preserve"> </w:t>
      </w:r>
      <w:r w:rsidRPr="00D0773D">
        <w:rPr>
          <w:rFonts w:ascii="Arial" w:hAnsi="Arial"/>
        </w:rPr>
        <w:t>‘Tokyo Consulting Firm’ manages to clear its short-</w:t>
      </w:r>
      <w:r w:rsidRPr="00D0773D">
        <w:rPr>
          <w:rFonts w:ascii="Arial" w:hAnsi="Arial"/>
        </w:rPr>
        <w:lastRenderedPageBreak/>
        <w:t>term obligations quickly overall, say 15 to 18 times a year. This works out to clearing dues roughly every 20 - 25 days on average. This is a sign of a company that handles its short-term obligations without letting them accumulate.</w:t>
      </w:r>
    </w:p>
    <w:p w14:paraId="20103332" w14:textId="3FE1D674" w:rsidR="00C604F6" w:rsidRPr="0018264E" w:rsidRDefault="001444C8" w:rsidP="00640C28">
      <w:pPr>
        <w:pStyle w:val="Heading3"/>
        <w:rPr>
          <w:rFonts w:ascii="Arial" w:hAnsi="Arial" w:cs="Arial"/>
          <w:sz w:val="24"/>
          <w:szCs w:val="24"/>
        </w:rPr>
      </w:pPr>
      <w:bookmarkStart w:id="105" w:name="_Toc235801964"/>
      <w:r>
        <w:rPr>
          <w:rFonts w:ascii="Arial" w:hAnsi="Arial" w:cs="Arial"/>
          <w:sz w:val="24"/>
          <w:szCs w:val="24"/>
        </w:rPr>
        <w:t>4</w:t>
      </w:r>
      <w:r w:rsidR="00C604F6" w:rsidRPr="0018264E">
        <w:rPr>
          <w:rFonts w:ascii="Arial" w:hAnsi="Arial" w:cs="Arial"/>
          <w:sz w:val="24"/>
          <w:szCs w:val="24"/>
        </w:rPr>
        <w:t>.</w:t>
      </w:r>
      <w:r w:rsidR="00640C28" w:rsidRPr="0018264E">
        <w:rPr>
          <w:rFonts w:ascii="Arial" w:hAnsi="Arial" w:cs="Arial"/>
          <w:sz w:val="24"/>
          <w:szCs w:val="24"/>
        </w:rPr>
        <w:t>12.</w:t>
      </w:r>
      <w:r w:rsidR="00C604F6" w:rsidRPr="0018264E">
        <w:rPr>
          <w:rFonts w:ascii="Arial" w:hAnsi="Arial" w:cs="Arial"/>
          <w:sz w:val="24"/>
          <w:szCs w:val="24"/>
        </w:rPr>
        <w:t>6 Working Capital Turnover ratio</w:t>
      </w:r>
      <w:bookmarkEnd w:id="105"/>
      <w:r w:rsidR="00C604F6" w:rsidRPr="0018264E">
        <w:rPr>
          <w:rFonts w:ascii="Arial" w:hAnsi="Arial" w:cs="Arial"/>
          <w:sz w:val="24"/>
          <w:szCs w:val="24"/>
        </w:rPr>
        <w:t xml:space="preserve"> </w:t>
      </w:r>
    </w:p>
    <w:p w14:paraId="0A8C4D58" w14:textId="1BF765D5" w:rsidR="00B26431" w:rsidRDefault="00390642" w:rsidP="00B26431">
      <w:pPr>
        <w:rPr>
          <w:rFonts w:ascii="Arial" w:hAnsi="Arial"/>
        </w:rPr>
      </w:pPr>
      <w:r w:rsidRPr="005F644C">
        <w:rPr>
          <w:rFonts w:ascii="Arial" w:hAnsi="Arial"/>
        </w:rPr>
        <w:t>The</w:t>
      </w:r>
      <w:r w:rsidR="00E906A1" w:rsidRPr="00E906A1">
        <w:rPr>
          <w:rFonts w:ascii="Arial" w:hAnsi="Arial"/>
        </w:rPr>
        <w:t xml:space="preserve"> Working Capital Turnover Ratio measures how effectively a company uses its networking capital to generate sales. It shows how many times the working capital of the company is turned into revenues in a financial year. A higher ratio indicates better working capital management. A lower ratio could mean that the company is not efficiently deploying its short-term assets to generate sales.</w:t>
      </w:r>
    </w:p>
    <w:p w14:paraId="40CF8ACD" w14:textId="74B2B30E" w:rsidR="007302CC" w:rsidRDefault="00390642" w:rsidP="00A962FA">
      <w:pPr>
        <w:spacing w:line="276" w:lineRule="auto"/>
        <w:jc w:val="center"/>
        <w:rPr>
          <w:rFonts w:ascii="Cambria Math" w:hAnsi="Cambria Math"/>
          <w:b/>
          <w:bCs/>
        </w:rPr>
      </w:pPr>
      <w:r w:rsidRPr="0018264E">
        <w:rPr>
          <w:rFonts w:ascii="Cambria Math" w:hAnsi="Cambria Math"/>
          <w:b/>
          <w:bCs/>
        </w:rPr>
        <w:t>Working Capital Turnover Ratio = Net Sales/Average Net Working Capital</w:t>
      </w:r>
      <w:r w:rsidR="00A962FA">
        <w:rPr>
          <w:rFonts w:ascii="Cambria Math" w:hAnsi="Cambria Math"/>
          <w:b/>
          <w:bCs/>
        </w:rPr>
        <w:t xml:space="preserve"> (14)</w:t>
      </w:r>
    </w:p>
    <w:p w14:paraId="0995FAC6" w14:textId="77777777" w:rsidR="00B26431" w:rsidRPr="00A962FA" w:rsidRDefault="00B26431" w:rsidP="00A962FA">
      <w:pPr>
        <w:spacing w:line="276" w:lineRule="auto"/>
        <w:jc w:val="center"/>
        <w:rPr>
          <w:rFonts w:ascii="Cambria Math" w:hAnsi="Cambria Math"/>
          <w:b/>
          <w:bCs/>
        </w:rPr>
      </w:pPr>
    </w:p>
    <w:p w14:paraId="76395A52" w14:textId="7C02D96B" w:rsidR="00390642" w:rsidRPr="00EA01A4" w:rsidRDefault="00EA01A4" w:rsidP="00EA01A4">
      <w:pPr>
        <w:pStyle w:val="Caption"/>
        <w:jc w:val="center"/>
        <w:rPr>
          <w:sz w:val="24"/>
          <w:szCs w:val="24"/>
        </w:rPr>
      </w:pPr>
      <w:bookmarkStart w:id="106" w:name="_Toc235308712"/>
      <w:bookmarkStart w:id="107" w:name="_Toc235803963"/>
      <w:bookmarkStart w:id="108" w:name="_Toc235804216"/>
      <w:r w:rsidRPr="00EA01A4">
        <w:rPr>
          <w:sz w:val="24"/>
          <w:szCs w:val="24"/>
        </w:rPr>
        <w:t xml:space="preserve">Table </w:t>
      </w:r>
      <w:r w:rsidRPr="00EA01A4">
        <w:rPr>
          <w:sz w:val="24"/>
          <w:szCs w:val="24"/>
        </w:rPr>
        <w:fldChar w:fldCharType="begin"/>
      </w:r>
      <w:r w:rsidRPr="00EA01A4">
        <w:rPr>
          <w:sz w:val="24"/>
          <w:szCs w:val="24"/>
        </w:rPr>
        <w:instrText xml:space="preserve"> SEQ Table \* ARABIC </w:instrText>
      </w:r>
      <w:r w:rsidRPr="00EA01A4">
        <w:rPr>
          <w:sz w:val="24"/>
          <w:szCs w:val="24"/>
        </w:rPr>
        <w:fldChar w:fldCharType="separate"/>
      </w:r>
      <w:r w:rsidR="003A3DA9">
        <w:rPr>
          <w:noProof/>
          <w:sz w:val="24"/>
          <w:szCs w:val="24"/>
        </w:rPr>
        <w:t>13</w:t>
      </w:r>
      <w:r w:rsidRPr="00EA01A4">
        <w:rPr>
          <w:noProof/>
          <w:sz w:val="24"/>
          <w:szCs w:val="24"/>
        </w:rPr>
        <w:fldChar w:fldCharType="end"/>
      </w:r>
      <w:r w:rsidRPr="00EA01A4">
        <w:rPr>
          <w:sz w:val="24"/>
          <w:szCs w:val="24"/>
        </w:rPr>
        <w:t>.1: Working Capital Turnover Ratio</w:t>
      </w:r>
      <w:bookmarkEnd w:id="106"/>
      <w:bookmarkEnd w:id="107"/>
      <w:bookmarkEnd w:id="108"/>
    </w:p>
    <w:tbl>
      <w:tblPr>
        <w:tblStyle w:val="TableGrid"/>
        <w:tblW w:w="0" w:type="auto"/>
        <w:tblLook w:val="04A0" w:firstRow="1" w:lastRow="0" w:firstColumn="1" w:lastColumn="0" w:noHBand="0" w:noVBand="1"/>
      </w:tblPr>
      <w:tblGrid>
        <w:gridCol w:w="1503"/>
        <w:gridCol w:w="1503"/>
        <w:gridCol w:w="1503"/>
        <w:gridCol w:w="1503"/>
        <w:gridCol w:w="1503"/>
        <w:gridCol w:w="1504"/>
      </w:tblGrid>
      <w:tr w:rsidR="00390642" w:rsidRPr="005F644C" w14:paraId="7C22B12C" w14:textId="77777777" w:rsidTr="00390642">
        <w:tc>
          <w:tcPr>
            <w:tcW w:w="1503" w:type="dxa"/>
            <w:shd w:val="clear" w:color="auto" w:fill="156082" w:themeFill="accent1"/>
          </w:tcPr>
          <w:p w14:paraId="55629D9F" w14:textId="084058DC" w:rsidR="00390642" w:rsidRPr="006163DA" w:rsidRDefault="00390642" w:rsidP="00390642">
            <w:pPr>
              <w:spacing w:line="276" w:lineRule="auto"/>
              <w:jc w:val="center"/>
              <w:rPr>
                <w:rFonts w:ascii="Arial" w:hAnsi="Arial"/>
                <w:b/>
                <w:bCs/>
                <w:color w:val="FFFFFF" w:themeColor="background1"/>
              </w:rPr>
            </w:pPr>
            <w:r w:rsidRPr="006163DA">
              <w:rPr>
                <w:rFonts w:ascii="Arial" w:hAnsi="Arial"/>
                <w:b/>
                <w:bCs/>
                <w:color w:val="FFFFFF" w:themeColor="background1"/>
              </w:rPr>
              <w:t>Year</w:t>
            </w:r>
          </w:p>
        </w:tc>
        <w:tc>
          <w:tcPr>
            <w:tcW w:w="1503" w:type="dxa"/>
            <w:shd w:val="clear" w:color="auto" w:fill="156082" w:themeFill="accent1"/>
          </w:tcPr>
          <w:p w14:paraId="4345AD4F" w14:textId="1D582B28" w:rsidR="00390642" w:rsidRPr="006163DA" w:rsidRDefault="00390642" w:rsidP="00390642">
            <w:pPr>
              <w:spacing w:line="276" w:lineRule="auto"/>
              <w:jc w:val="center"/>
              <w:rPr>
                <w:rFonts w:ascii="Arial" w:hAnsi="Arial"/>
                <w:b/>
                <w:bCs/>
                <w:color w:val="FFFFFF" w:themeColor="background1"/>
              </w:rPr>
            </w:pPr>
            <w:r w:rsidRPr="006163DA">
              <w:rPr>
                <w:rFonts w:ascii="Arial" w:hAnsi="Arial"/>
                <w:b/>
                <w:bCs/>
                <w:color w:val="FFFFFF" w:themeColor="background1"/>
              </w:rPr>
              <w:t>2021</w:t>
            </w:r>
          </w:p>
        </w:tc>
        <w:tc>
          <w:tcPr>
            <w:tcW w:w="1503" w:type="dxa"/>
            <w:shd w:val="clear" w:color="auto" w:fill="156082" w:themeFill="accent1"/>
          </w:tcPr>
          <w:p w14:paraId="631693A7" w14:textId="1106F777" w:rsidR="00390642" w:rsidRPr="006163DA" w:rsidRDefault="00390642" w:rsidP="00390642">
            <w:pPr>
              <w:spacing w:line="276" w:lineRule="auto"/>
              <w:jc w:val="center"/>
              <w:rPr>
                <w:rFonts w:ascii="Arial" w:hAnsi="Arial"/>
                <w:b/>
                <w:bCs/>
                <w:color w:val="FFFFFF" w:themeColor="background1"/>
              </w:rPr>
            </w:pPr>
            <w:r w:rsidRPr="006163DA">
              <w:rPr>
                <w:rFonts w:ascii="Arial" w:hAnsi="Arial"/>
                <w:b/>
                <w:bCs/>
                <w:color w:val="FFFFFF" w:themeColor="background1"/>
              </w:rPr>
              <w:t>2022</w:t>
            </w:r>
          </w:p>
        </w:tc>
        <w:tc>
          <w:tcPr>
            <w:tcW w:w="1503" w:type="dxa"/>
            <w:shd w:val="clear" w:color="auto" w:fill="156082" w:themeFill="accent1"/>
          </w:tcPr>
          <w:p w14:paraId="742B5358" w14:textId="2A97F962" w:rsidR="00390642" w:rsidRPr="006163DA" w:rsidRDefault="00390642" w:rsidP="00390642">
            <w:pPr>
              <w:spacing w:line="276" w:lineRule="auto"/>
              <w:jc w:val="center"/>
              <w:rPr>
                <w:rFonts w:ascii="Arial" w:hAnsi="Arial"/>
                <w:b/>
                <w:bCs/>
                <w:color w:val="FFFFFF" w:themeColor="background1"/>
              </w:rPr>
            </w:pPr>
            <w:r w:rsidRPr="006163DA">
              <w:rPr>
                <w:rFonts w:ascii="Arial" w:hAnsi="Arial"/>
                <w:b/>
                <w:bCs/>
                <w:color w:val="FFFFFF" w:themeColor="background1"/>
              </w:rPr>
              <w:t>2023</w:t>
            </w:r>
          </w:p>
        </w:tc>
        <w:tc>
          <w:tcPr>
            <w:tcW w:w="1503" w:type="dxa"/>
            <w:shd w:val="clear" w:color="auto" w:fill="156082" w:themeFill="accent1"/>
          </w:tcPr>
          <w:p w14:paraId="3D294377" w14:textId="7CE56518" w:rsidR="00390642" w:rsidRPr="006163DA" w:rsidRDefault="00390642" w:rsidP="00390642">
            <w:pPr>
              <w:spacing w:line="276" w:lineRule="auto"/>
              <w:jc w:val="center"/>
              <w:rPr>
                <w:rFonts w:ascii="Arial" w:hAnsi="Arial"/>
                <w:b/>
                <w:bCs/>
                <w:color w:val="FFFFFF" w:themeColor="background1"/>
              </w:rPr>
            </w:pPr>
            <w:r w:rsidRPr="006163DA">
              <w:rPr>
                <w:rFonts w:ascii="Arial" w:hAnsi="Arial"/>
                <w:b/>
                <w:bCs/>
                <w:color w:val="FFFFFF" w:themeColor="background1"/>
              </w:rPr>
              <w:t>2024</w:t>
            </w:r>
          </w:p>
        </w:tc>
        <w:tc>
          <w:tcPr>
            <w:tcW w:w="1504" w:type="dxa"/>
            <w:shd w:val="clear" w:color="auto" w:fill="156082" w:themeFill="accent1"/>
          </w:tcPr>
          <w:p w14:paraId="730E06AB" w14:textId="0133A7F6" w:rsidR="00390642" w:rsidRPr="006163DA" w:rsidRDefault="00390642" w:rsidP="00390642">
            <w:pPr>
              <w:spacing w:line="276" w:lineRule="auto"/>
              <w:jc w:val="center"/>
              <w:rPr>
                <w:rFonts w:ascii="Arial" w:hAnsi="Arial"/>
                <w:b/>
                <w:bCs/>
                <w:color w:val="FFFFFF" w:themeColor="background1"/>
              </w:rPr>
            </w:pPr>
            <w:r w:rsidRPr="006163DA">
              <w:rPr>
                <w:rFonts w:ascii="Arial" w:hAnsi="Arial"/>
                <w:b/>
                <w:bCs/>
                <w:color w:val="FFFFFF" w:themeColor="background1"/>
              </w:rPr>
              <w:t>2025</w:t>
            </w:r>
          </w:p>
        </w:tc>
      </w:tr>
      <w:tr w:rsidR="00390642" w:rsidRPr="005F644C" w14:paraId="714D57BF" w14:textId="77777777" w:rsidTr="00390642">
        <w:tc>
          <w:tcPr>
            <w:tcW w:w="1503" w:type="dxa"/>
          </w:tcPr>
          <w:p w14:paraId="59F3EA48" w14:textId="6A10C3C0" w:rsidR="00390642" w:rsidRPr="006163DA" w:rsidRDefault="00390642" w:rsidP="00390642">
            <w:pPr>
              <w:spacing w:line="276" w:lineRule="auto"/>
              <w:jc w:val="center"/>
              <w:rPr>
                <w:rFonts w:ascii="Arial" w:hAnsi="Arial"/>
              </w:rPr>
            </w:pPr>
            <w:r w:rsidRPr="006163DA">
              <w:rPr>
                <w:rFonts w:ascii="Arial" w:hAnsi="Arial"/>
              </w:rPr>
              <w:t xml:space="preserve">WC Turnover </w:t>
            </w:r>
            <w:r w:rsidR="00E362F4" w:rsidRPr="006163DA">
              <w:rPr>
                <w:rFonts w:ascii="Arial" w:hAnsi="Arial"/>
              </w:rPr>
              <w:t>Ratio (Times)</w:t>
            </w:r>
          </w:p>
        </w:tc>
        <w:tc>
          <w:tcPr>
            <w:tcW w:w="1503" w:type="dxa"/>
          </w:tcPr>
          <w:p w14:paraId="7D6FAB63" w14:textId="451E23DE" w:rsidR="00390642" w:rsidRPr="006163DA" w:rsidRDefault="006937B5" w:rsidP="00390642">
            <w:pPr>
              <w:spacing w:line="276" w:lineRule="auto"/>
              <w:jc w:val="center"/>
              <w:rPr>
                <w:rFonts w:ascii="Arial" w:hAnsi="Arial"/>
              </w:rPr>
            </w:pPr>
            <w:r w:rsidRPr="006163DA">
              <w:rPr>
                <w:rFonts w:ascii="Arial" w:hAnsi="Arial"/>
              </w:rPr>
              <w:t xml:space="preserve">3.04 </w:t>
            </w:r>
            <w:r w:rsidR="00396D84" w:rsidRPr="006163DA">
              <w:rPr>
                <w:rFonts w:ascii="Arial" w:hAnsi="Arial"/>
              </w:rPr>
              <w:t>Times</w:t>
            </w:r>
          </w:p>
        </w:tc>
        <w:tc>
          <w:tcPr>
            <w:tcW w:w="1503" w:type="dxa"/>
          </w:tcPr>
          <w:p w14:paraId="400EEFFF" w14:textId="5E419EF5" w:rsidR="00390642" w:rsidRPr="006163DA" w:rsidRDefault="006937B5" w:rsidP="00390642">
            <w:pPr>
              <w:spacing w:line="276" w:lineRule="auto"/>
              <w:jc w:val="center"/>
              <w:rPr>
                <w:rFonts w:ascii="Arial" w:hAnsi="Arial"/>
              </w:rPr>
            </w:pPr>
            <w:r w:rsidRPr="006163DA">
              <w:rPr>
                <w:rFonts w:ascii="Arial" w:hAnsi="Arial"/>
              </w:rPr>
              <w:t xml:space="preserve">4.97 </w:t>
            </w:r>
            <w:r w:rsidR="00396D84" w:rsidRPr="006163DA">
              <w:rPr>
                <w:rFonts w:ascii="Arial" w:hAnsi="Arial"/>
              </w:rPr>
              <w:t>Times</w:t>
            </w:r>
          </w:p>
        </w:tc>
        <w:tc>
          <w:tcPr>
            <w:tcW w:w="1503" w:type="dxa"/>
          </w:tcPr>
          <w:p w14:paraId="1819ED5E" w14:textId="45F919CF" w:rsidR="00390642" w:rsidRPr="006163DA" w:rsidRDefault="006937B5" w:rsidP="00390642">
            <w:pPr>
              <w:spacing w:line="276" w:lineRule="auto"/>
              <w:jc w:val="center"/>
              <w:rPr>
                <w:rFonts w:ascii="Arial" w:hAnsi="Arial"/>
              </w:rPr>
            </w:pPr>
            <w:r w:rsidRPr="006163DA">
              <w:rPr>
                <w:rFonts w:ascii="Arial" w:hAnsi="Arial"/>
              </w:rPr>
              <w:t>6.02</w:t>
            </w:r>
            <w:r w:rsidR="00396D84" w:rsidRPr="006163DA">
              <w:rPr>
                <w:rFonts w:ascii="Arial" w:hAnsi="Arial"/>
              </w:rPr>
              <w:t xml:space="preserve"> Times</w:t>
            </w:r>
          </w:p>
        </w:tc>
        <w:tc>
          <w:tcPr>
            <w:tcW w:w="1503" w:type="dxa"/>
          </w:tcPr>
          <w:p w14:paraId="35B3FFEC" w14:textId="2561B812" w:rsidR="00390642" w:rsidRPr="006163DA" w:rsidRDefault="006937B5" w:rsidP="00390642">
            <w:pPr>
              <w:spacing w:line="276" w:lineRule="auto"/>
              <w:jc w:val="center"/>
              <w:rPr>
                <w:rFonts w:ascii="Arial" w:hAnsi="Arial"/>
              </w:rPr>
            </w:pPr>
            <w:r w:rsidRPr="006163DA">
              <w:rPr>
                <w:rFonts w:ascii="Arial" w:hAnsi="Arial"/>
              </w:rPr>
              <w:t>2.69</w:t>
            </w:r>
            <w:r w:rsidR="00396D84" w:rsidRPr="006163DA">
              <w:rPr>
                <w:rFonts w:ascii="Arial" w:hAnsi="Arial"/>
              </w:rPr>
              <w:t xml:space="preserve"> Times</w:t>
            </w:r>
          </w:p>
        </w:tc>
        <w:tc>
          <w:tcPr>
            <w:tcW w:w="1504" w:type="dxa"/>
          </w:tcPr>
          <w:p w14:paraId="556DD33B" w14:textId="28648193" w:rsidR="00390642" w:rsidRPr="006163DA" w:rsidRDefault="006937B5" w:rsidP="00390642">
            <w:pPr>
              <w:spacing w:line="276" w:lineRule="auto"/>
              <w:jc w:val="center"/>
              <w:rPr>
                <w:rFonts w:ascii="Arial" w:hAnsi="Arial"/>
              </w:rPr>
            </w:pPr>
            <w:r w:rsidRPr="006163DA">
              <w:rPr>
                <w:rFonts w:ascii="Arial" w:hAnsi="Arial"/>
              </w:rPr>
              <w:t>3.61</w:t>
            </w:r>
            <w:r w:rsidR="00396D84" w:rsidRPr="006163DA">
              <w:rPr>
                <w:rFonts w:ascii="Arial" w:hAnsi="Arial"/>
              </w:rPr>
              <w:t xml:space="preserve"> Times</w:t>
            </w:r>
          </w:p>
        </w:tc>
      </w:tr>
    </w:tbl>
    <w:p w14:paraId="2DC3558C" w14:textId="14720E30" w:rsidR="0013730B" w:rsidRDefault="0013730B" w:rsidP="0013730B">
      <w:pPr>
        <w:spacing w:line="276" w:lineRule="auto"/>
        <w:jc w:val="center"/>
      </w:pPr>
      <w:r>
        <w:rPr>
          <w:noProof/>
          <w14:ligatures w14:val="standardContextual"/>
        </w:rPr>
        <w:drawing>
          <wp:inline distT="0" distB="0" distL="0" distR="0" wp14:anchorId="7696F7EA" wp14:editId="20036E7A">
            <wp:extent cx="5798820" cy="2830010"/>
            <wp:effectExtent l="0" t="0" r="11430" b="8890"/>
            <wp:docPr id="1030161372" name="Chart 1">
              <a:extLst xmlns:a="http://schemas.openxmlformats.org/drawingml/2006/main">
                <a:ext uri="{FF2B5EF4-FFF2-40B4-BE49-F238E27FC236}">
                  <a16:creationId xmlns:a16="http://schemas.microsoft.com/office/drawing/2014/main" id="{110CC02F-1997-C144-8ECC-DAF93CCB230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1B82F2CA" w14:textId="087390EC" w:rsidR="0013730B" w:rsidRPr="00716B98" w:rsidRDefault="000376EC" w:rsidP="000376EC">
      <w:pPr>
        <w:pStyle w:val="Caption"/>
        <w:jc w:val="center"/>
        <w:rPr>
          <w:sz w:val="24"/>
          <w:szCs w:val="24"/>
        </w:rPr>
      </w:pPr>
      <w:bookmarkStart w:id="109" w:name="_Toc235308697"/>
      <w:r w:rsidRPr="00716B98">
        <w:rPr>
          <w:sz w:val="24"/>
          <w:szCs w:val="24"/>
        </w:rPr>
        <w:t xml:space="preserve">Figure </w:t>
      </w:r>
      <w:r w:rsidR="00D94E28" w:rsidRPr="00716B98">
        <w:rPr>
          <w:sz w:val="24"/>
          <w:szCs w:val="24"/>
        </w:rPr>
        <w:fldChar w:fldCharType="begin"/>
      </w:r>
      <w:r w:rsidR="00D94E28" w:rsidRPr="00716B98">
        <w:rPr>
          <w:sz w:val="24"/>
          <w:szCs w:val="24"/>
        </w:rPr>
        <w:instrText xml:space="preserve"> SEQ Figure \* ARABIC </w:instrText>
      </w:r>
      <w:r w:rsidR="00D94E28" w:rsidRPr="00716B98">
        <w:rPr>
          <w:sz w:val="24"/>
          <w:szCs w:val="24"/>
        </w:rPr>
        <w:fldChar w:fldCharType="separate"/>
      </w:r>
      <w:r w:rsidR="00C15A61">
        <w:rPr>
          <w:noProof/>
          <w:sz w:val="24"/>
          <w:szCs w:val="24"/>
        </w:rPr>
        <w:t>13</w:t>
      </w:r>
      <w:r w:rsidR="00D94E28" w:rsidRPr="00716B98">
        <w:rPr>
          <w:noProof/>
          <w:sz w:val="24"/>
          <w:szCs w:val="24"/>
        </w:rPr>
        <w:fldChar w:fldCharType="end"/>
      </w:r>
      <w:r w:rsidRPr="00716B98">
        <w:rPr>
          <w:sz w:val="24"/>
          <w:szCs w:val="24"/>
        </w:rPr>
        <w:t>.1: Working Capital Turnover Ratio (Graph)</w:t>
      </w:r>
      <w:bookmarkEnd w:id="109"/>
    </w:p>
    <w:p w14:paraId="395B6AFE" w14:textId="169F6EDF" w:rsidR="00E906A1" w:rsidRPr="00E906A1" w:rsidRDefault="00B576A4" w:rsidP="00E906A1">
      <w:pPr>
        <w:rPr>
          <w:rFonts w:ascii="Arial" w:hAnsi="Arial"/>
        </w:rPr>
      </w:pPr>
      <w:r w:rsidRPr="005F644C">
        <w:rPr>
          <w:rFonts w:ascii="Arial" w:hAnsi="Arial"/>
        </w:rPr>
        <w:t>TCF's</w:t>
      </w:r>
      <w:r w:rsidR="00E906A1" w:rsidRPr="00E906A1">
        <w:rPr>
          <w:rFonts w:ascii="Arial" w:hAnsi="Arial"/>
        </w:rPr>
        <w:t xml:space="preserve"> Working Capital Turnover Ratio measures how efficiently the firm uses its working capital to generate revenues. It was 3.04 times in 2021, going up steadily to 4.97 in 2022 and hitting 6.02 times in 2023. Meaning TCF was squeezing out the most revenue per Taka of working capital during this period, a truly efficient phase. However, it dropped to 2.69 times in 2024, the lowest in five years, mainly due to a </w:t>
      </w:r>
      <w:r w:rsidR="00E906A1" w:rsidRPr="00E906A1">
        <w:rPr>
          <w:rFonts w:ascii="Arial" w:hAnsi="Arial"/>
        </w:rPr>
        <w:lastRenderedPageBreak/>
        <w:t>spike in working capital (due to significant increases in cash and FDR balances) that was not backed by revenue growth. It rose marginally to 3.61 times in 2025.</w:t>
      </w:r>
    </w:p>
    <w:p w14:paraId="356A2D9A" w14:textId="03245976" w:rsidR="006937B5" w:rsidRPr="005F644C" w:rsidRDefault="00E906A1" w:rsidP="00E906A1">
      <w:pPr>
        <w:rPr>
          <w:rFonts w:ascii="Arial" w:hAnsi="Arial"/>
        </w:rPr>
      </w:pPr>
      <w:r w:rsidRPr="00E906A1">
        <w:rPr>
          <w:rFonts w:ascii="Arial" w:hAnsi="Arial"/>
        </w:rPr>
        <w:t>Overall TCF worked its working capital most efficiently in 2023 but has since become a little less efficient with idle funds building up faster than revenue growth.</w:t>
      </w:r>
    </w:p>
    <w:p w14:paraId="4B0B29D7" w14:textId="3715B7AC" w:rsidR="00B576A4" w:rsidRPr="005F644C" w:rsidRDefault="00E906A1" w:rsidP="00E906A1">
      <w:pPr>
        <w:rPr>
          <w:rFonts w:ascii="Arial" w:hAnsi="Arial"/>
        </w:rPr>
      </w:pPr>
      <w:r w:rsidRPr="00E906A1">
        <w:rPr>
          <w:rFonts w:ascii="Arial" w:hAnsi="Arial"/>
        </w:rPr>
        <w:t>For the company, it is significant because it has the opportunity to deploy that extra working capital to generate better returns through business expansion, addition of new service lines offering or investing in other businesses or assets rather than just having it sit idle at the firm.</w:t>
      </w:r>
    </w:p>
    <w:p w14:paraId="762639B0" w14:textId="7DD1D447" w:rsidR="00C604F6" w:rsidRPr="00F3742D" w:rsidRDefault="001444C8" w:rsidP="005F644C">
      <w:pPr>
        <w:pStyle w:val="Heading3"/>
        <w:rPr>
          <w:rFonts w:ascii="Arial" w:hAnsi="Arial" w:cs="Arial"/>
          <w:sz w:val="24"/>
          <w:szCs w:val="24"/>
        </w:rPr>
      </w:pPr>
      <w:bookmarkStart w:id="110" w:name="_Toc235801965"/>
      <w:r w:rsidRPr="00F3742D">
        <w:rPr>
          <w:rFonts w:ascii="Arial" w:hAnsi="Arial" w:cs="Arial"/>
          <w:sz w:val="24"/>
          <w:szCs w:val="24"/>
        </w:rPr>
        <w:t>4</w:t>
      </w:r>
      <w:r w:rsidR="00C604F6" w:rsidRPr="00F3742D">
        <w:rPr>
          <w:rFonts w:ascii="Arial" w:hAnsi="Arial" w:cs="Arial"/>
          <w:sz w:val="24"/>
          <w:szCs w:val="24"/>
        </w:rPr>
        <w:t>.</w:t>
      </w:r>
      <w:r w:rsidR="00640C28" w:rsidRPr="00F3742D">
        <w:rPr>
          <w:rFonts w:ascii="Arial" w:hAnsi="Arial" w:cs="Arial"/>
          <w:sz w:val="24"/>
          <w:szCs w:val="24"/>
        </w:rPr>
        <w:t>12.</w:t>
      </w:r>
      <w:r w:rsidR="00C604F6" w:rsidRPr="00F3742D">
        <w:rPr>
          <w:rFonts w:ascii="Arial" w:hAnsi="Arial" w:cs="Arial"/>
          <w:sz w:val="24"/>
          <w:szCs w:val="24"/>
        </w:rPr>
        <w:t xml:space="preserve">7 Net Working Capital </w:t>
      </w:r>
      <w:r w:rsidR="00755780" w:rsidRPr="00F3742D">
        <w:rPr>
          <w:rFonts w:ascii="Arial" w:hAnsi="Arial" w:cs="Arial"/>
          <w:sz w:val="24"/>
          <w:szCs w:val="24"/>
        </w:rPr>
        <w:t>Analysis</w:t>
      </w:r>
      <w:bookmarkEnd w:id="110"/>
    </w:p>
    <w:p w14:paraId="719B441D" w14:textId="77777777" w:rsidR="007D7B8B" w:rsidRPr="005F644C" w:rsidRDefault="007D7B8B" w:rsidP="00F312CD">
      <w:pPr>
        <w:rPr>
          <w:rFonts w:ascii="Arial" w:hAnsi="Arial"/>
        </w:rPr>
      </w:pPr>
      <w:r w:rsidRPr="005F644C">
        <w:rPr>
          <w:rFonts w:ascii="Arial" w:hAnsi="Arial"/>
        </w:rPr>
        <w:t>Net Working Capital is the difference between a company’s current assets (such as cash, inventory, and accounts receivable) and its current liabilities (such as short-term loans and bills payable). It shows how many short-term financial resources a business has available to run its daily operations after paying its short-term obligations.</w:t>
      </w:r>
    </w:p>
    <w:p w14:paraId="16F5FCB3" w14:textId="77777777" w:rsidR="00802570" w:rsidRDefault="007D7B8B" w:rsidP="00A962FA">
      <w:pPr>
        <w:spacing w:after="80"/>
        <w:rPr>
          <w:rFonts w:ascii="Arial" w:hAnsi="Arial"/>
          <w:szCs w:val="24"/>
        </w:rPr>
      </w:pPr>
      <w:r w:rsidRPr="005F644C">
        <w:rPr>
          <w:rFonts w:ascii="Arial" w:hAnsi="Arial"/>
          <w:szCs w:val="24"/>
        </w:rPr>
        <w:t>Net Working Capital is the most direct measure of a firm's short-term financial health. A positive NWC means the firm can meet its short-term obligations from its current assets.</w:t>
      </w:r>
      <w:r w:rsidR="00F312CD">
        <w:rPr>
          <w:rFonts w:ascii="Arial" w:hAnsi="Arial"/>
          <w:szCs w:val="24"/>
        </w:rPr>
        <w:t xml:space="preserve">                 </w:t>
      </w:r>
    </w:p>
    <w:p w14:paraId="7441088D" w14:textId="75EC0E01" w:rsidR="00930BBD" w:rsidRDefault="007D7B8B" w:rsidP="00802570">
      <w:pPr>
        <w:spacing w:after="80"/>
        <w:jc w:val="center"/>
        <w:rPr>
          <w:rFonts w:ascii="Cambria Math" w:hAnsi="Cambria Math"/>
          <w:b/>
          <w:bCs/>
          <w:szCs w:val="24"/>
        </w:rPr>
      </w:pPr>
      <w:r w:rsidRPr="00F312CD">
        <w:rPr>
          <w:rFonts w:ascii="Cambria Math" w:hAnsi="Cambria Math"/>
          <w:b/>
          <w:bCs/>
          <w:szCs w:val="24"/>
        </w:rPr>
        <w:t>NWC = Total Current Assets − Total Current Liabilities</w:t>
      </w:r>
      <w:r w:rsidR="00A962FA">
        <w:rPr>
          <w:rFonts w:ascii="Cambria Math" w:hAnsi="Cambria Math"/>
          <w:b/>
          <w:bCs/>
          <w:szCs w:val="24"/>
        </w:rPr>
        <w:t xml:space="preserve"> (15)</w:t>
      </w:r>
    </w:p>
    <w:p w14:paraId="6078828D" w14:textId="6E849CC8" w:rsidR="00EA01A4" w:rsidRPr="00EA01A4" w:rsidRDefault="00EA01A4" w:rsidP="00EA01A4">
      <w:pPr>
        <w:pStyle w:val="Caption"/>
        <w:jc w:val="center"/>
        <w:rPr>
          <w:rFonts w:ascii="Cambria Math" w:hAnsi="Cambria Math" w:cs="Times New Roman"/>
          <w:b/>
          <w:bCs/>
          <w:sz w:val="24"/>
          <w:szCs w:val="24"/>
        </w:rPr>
      </w:pPr>
      <w:bookmarkStart w:id="111" w:name="_Toc235308713"/>
      <w:bookmarkStart w:id="112" w:name="_Toc235803964"/>
      <w:bookmarkStart w:id="113" w:name="_Toc235804217"/>
      <w:r w:rsidRPr="00EA01A4">
        <w:rPr>
          <w:sz w:val="24"/>
          <w:szCs w:val="24"/>
        </w:rPr>
        <w:t xml:space="preserve">Table </w:t>
      </w:r>
      <w:r w:rsidRPr="00EA01A4">
        <w:rPr>
          <w:sz w:val="24"/>
          <w:szCs w:val="24"/>
        </w:rPr>
        <w:fldChar w:fldCharType="begin"/>
      </w:r>
      <w:r w:rsidRPr="00EA01A4">
        <w:rPr>
          <w:sz w:val="24"/>
          <w:szCs w:val="24"/>
        </w:rPr>
        <w:instrText xml:space="preserve"> SEQ Table \* ARABIC </w:instrText>
      </w:r>
      <w:r w:rsidRPr="00EA01A4">
        <w:rPr>
          <w:sz w:val="24"/>
          <w:szCs w:val="24"/>
        </w:rPr>
        <w:fldChar w:fldCharType="separate"/>
      </w:r>
      <w:r w:rsidR="003A3DA9">
        <w:rPr>
          <w:noProof/>
          <w:sz w:val="24"/>
          <w:szCs w:val="24"/>
        </w:rPr>
        <w:t>14</w:t>
      </w:r>
      <w:r w:rsidRPr="00EA01A4">
        <w:rPr>
          <w:noProof/>
          <w:sz w:val="24"/>
          <w:szCs w:val="24"/>
        </w:rPr>
        <w:fldChar w:fldCharType="end"/>
      </w:r>
      <w:r w:rsidRPr="00EA01A4">
        <w:rPr>
          <w:sz w:val="24"/>
          <w:szCs w:val="24"/>
        </w:rPr>
        <w:t>.1: Net Working Capital</w:t>
      </w:r>
      <w:bookmarkEnd w:id="111"/>
      <w:bookmarkEnd w:id="112"/>
      <w:bookmarkEnd w:id="113"/>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60"/>
        <w:gridCol w:w="1560"/>
        <w:gridCol w:w="1560"/>
        <w:gridCol w:w="1560"/>
        <w:gridCol w:w="1560"/>
        <w:gridCol w:w="1560"/>
      </w:tblGrid>
      <w:tr w:rsidR="00CD0CA3" w:rsidRPr="003B1165" w14:paraId="7E410F91" w14:textId="77777777" w:rsidTr="00B26431">
        <w:tc>
          <w:tcPr>
            <w:tcW w:w="1560" w:type="dxa"/>
            <w:shd w:val="clear" w:color="auto" w:fill="156082" w:themeFill="accent1"/>
            <w:tcMar>
              <w:top w:w="100" w:type="dxa"/>
              <w:left w:w="120" w:type="dxa"/>
              <w:bottom w:w="100" w:type="dxa"/>
              <w:right w:w="120" w:type="dxa"/>
            </w:tcMar>
            <w:vAlign w:val="center"/>
          </w:tcPr>
          <w:p w14:paraId="5AA2AF3B" w14:textId="77777777" w:rsidR="00CD0CA3" w:rsidRPr="006163DA" w:rsidRDefault="00CD0CA3" w:rsidP="00C01D27">
            <w:pPr>
              <w:spacing w:line="276" w:lineRule="auto"/>
              <w:jc w:val="center"/>
              <w:rPr>
                <w:rFonts w:ascii="Arial" w:hAnsi="Arial"/>
                <w:szCs w:val="24"/>
              </w:rPr>
            </w:pPr>
            <w:r w:rsidRPr="006163DA">
              <w:rPr>
                <w:rFonts w:ascii="Arial" w:hAnsi="Arial"/>
                <w:b/>
                <w:bCs/>
                <w:color w:val="FFFFFF"/>
                <w:szCs w:val="24"/>
              </w:rPr>
              <w:t>Year</w:t>
            </w:r>
          </w:p>
        </w:tc>
        <w:tc>
          <w:tcPr>
            <w:tcW w:w="1560" w:type="dxa"/>
            <w:shd w:val="clear" w:color="auto" w:fill="156082" w:themeFill="accent1"/>
            <w:tcMar>
              <w:top w:w="100" w:type="dxa"/>
              <w:left w:w="120" w:type="dxa"/>
              <w:bottom w:w="100" w:type="dxa"/>
              <w:right w:w="120" w:type="dxa"/>
            </w:tcMar>
            <w:vAlign w:val="center"/>
          </w:tcPr>
          <w:p w14:paraId="2E294E50" w14:textId="4748FB4D" w:rsidR="00CD0CA3" w:rsidRPr="006163DA" w:rsidRDefault="00CD0CA3" w:rsidP="00C01D27">
            <w:pPr>
              <w:spacing w:line="276" w:lineRule="auto"/>
              <w:jc w:val="center"/>
              <w:rPr>
                <w:rFonts w:ascii="Arial" w:hAnsi="Arial"/>
                <w:b/>
                <w:bCs/>
                <w:color w:val="FFFFFF" w:themeColor="background1"/>
                <w:szCs w:val="24"/>
              </w:rPr>
            </w:pPr>
            <w:r w:rsidRPr="006163DA">
              <w:rPr>
                <w:rFonts w:ascii="Arial" w:hAnsi="Arial"/>
                <w:b/>
                <w:bCs/>
                <w:color w:val="FFFFFF" w:themeColor="background1"/>
                <w:szCs w:val="24"/>
              </w:rPr>
              <w:t>2021</w:t>
            </w:r>
          </w:p>
        </w:tc>
        <w:tc>
          <w:tcPr>
            <w:tcW w:w="1560" w:type="dxa"/>
            <w:shd w:val="clear" w:color="auto" w:fill="156082" w:themeFill="accent1"/>
            <w:tcMar>
              <w:top w:w="100" w:type="dxa"/>
              <w:left w:w="120" w:type="dxa"/>
              <w:bottom w:w="100" w:type="dxa"/>
              <w:right w:w="120" w:type="dxa"/>
            </w:tcMar>
            <w:vAlign w:val="center"/>
          </w:tcPr>
          <w:p w14:paraId="01AE31C7" w14:textId="14F06F42" w:rsidR="00CD0CA3" w:rsidRPr="006163DA" w:rsidRDefault="00CD0CA3" w:rsidP="00C01D27">
            <w:pPr>
              <w:spacing w:line="276" w:lineRule="auto"/>
              <w:jc w:val="center"/>
              <w:rPr>
                <w:rFonts w:ascii="Arial" w:hAnsi="Arial"/>
                <w:b/>
                <w:bCs/>
                <w:color w:val="FFFFFF" w:themeColor="background1"/>
                <w:szCs w:val="24"/>
              </w:rPr>
            </w:pPr>
            <w:r w:rsidRPr="006163DA">
              <w:rPr>
                <w:rFonts w:ascii="Arial" w:hAnsi="Arial"/>
                <w:b/>
                <w:bCs/>
                <w:color w:val="FFFFFF" w:themeColor="background1"/>
                <w:szCs w:val="24"/>
              </w:rPr>
              <w:t>2022</w:t>
            </w:r>
          </w:p>
        </w:tc>
        <w:tc>
          <w:tcPr>
            <w:tcW w:w="1560" w:type="dxa"/>
            <w:shd w:val="clear" w:color="auto" w:fill="156082" w:themeFill="accent1"/>
            <w:tcMar>
              <w:top w:w="100" w:type="dxa"/>
              <w:left w:w="120" w:type="dxa"/>
              <w:bottom w:w="100" w:type="dxa"/>
              <w:right w:w="120" w:type="dxa"/>
            </w:tcMar>
            <w:vAlign w:val="center"/>
          </w:tcPr>
          <w:p w14:paraId="12B84330" w14:textId="3523793D" w:rsidR="00CD0CA3" w:rsidRPr="006163DA" w:rsidRDefault="00CD0CA3" w:rsidP="00C01D27">
            <w:pPr>
              <w:spacing w:line="276" w:lineRule="auto"/>
              <w:jc w:val="center"/>
              <w:rPr>
                <w:rFonts w:ascii="Arial" w:hAnsi="Arial"/>
                <w:b/>
                <w:bCs/>
                <w:szCs w:val="24"/>
              </w:rPr>
            </w:pPr>
            <w:r w:rsidRPr="006163DA">
              <w:rPr>
                <w:rFonts w:ascii="Arial" w:hAnsi="Arial"/>
                <w:b/>
                <w:bCs/>
                <w:color w:val="FFFFFF"/>
                <w:szCs w:val="24"/>
              </w:rPr>
              <w:t>2023</w:t>
            </w:r>
          </w:p>
        </w:tc>
        <w:tc>
          <w:tcPr>
            <w:tcW w:w="1560" w:type="dxa"/>
            <w:shd w:val="clear" w:color="auto" w:fill="156082" w:themeFill="accent1"/>
            <w:tcMar>
              <w:top w:w="100" w:type="dxa"/>
              <w:left w:w="120" w:type="dxa"/>
              <w:bottom w:w="100" w:type="dxa"/>
              <w:right w:w="120" w:type="dxa"/>
            </w:tcMar>
            <w:vAlign w:val="center"/>
          </w:tcPr>
          <w:p w14:paraId="41F63C24" w14:textId="058F4A9C" w:rsidR="00CD0CA3" w:rsidRPr="006163DA" w:rsidRDefault="00CD0CA3" w:rsidP="00C01D27">
            <w:pPr>
              <w:spacing w:line="276" w:lineRule="auto"/>
              <w:jc w:val="center"/>
              <w:rPr>
                <w:rFonts w:ascii="Arial" w:hAnsi="Arial"/>
                <w:b/>
                <w:bCs/>
                <w:color w:val="FFFFFF" w:themeColor="background1"/>
                <w:szCs w:val="24"/>
              </w:rPr>
            </w:pPr>
            <w:r w:rsidRPr="006163DA">
              <w:rPr>
                <w:rFonts w:ascii="Arial" w:hAnsi="Arial"/>
                <w:b/>
                <w:bCs/>
                <w:color w:val="FFFFFF" w:themeColor="background1"/>
                <w:szCs w:val="24"/>
              </w:rPr>
              <w:t>2024</w:t>
            </w:r>
          </w:p>
        </w:tc>
        <w:tc>
          <w:tcPr>
            <w:tcW w:w="1560" w:type="dxa"/>
            <w:shd w:val="clear" w:color="auto" w:fill="156082" w:themeFill="accent1"/>
            <w:tcMar>
              <w:top w:w="100" w:type="dxa"/>
              <w:left w:w="120" w:type="dxa"/>
              <w:bottom w:w="100" w:type="dxa"/>
              <w:right w:w="120" w:type="dxa"/>
            </w:tcMar>
            <w:vAlign w:val="center"/>
          </w:tcPr>
          <w:p w14:paraId="1E6E084C" w14:textId="45FD41C8" w:rsidR="00CD0CA3" w:rsidRPr="006163DA" w:rsidRDefault="00CD0CA3" w:rsidP="00C01D27">
            <w:pPr>
              <w:spacing w:line="276" w:lineRule="auto"/>
              <w:jc w:val="center"/>
              <w:rPr>
                <w:rFonts w:ascii="Arial" w:hAnsi="Arial"/>
                <w:b/>
                <w:bCs/>
                <w:color w:val="FFFFFF" w:themeColor="background1"/>
                <w:szCs w:val="24"/>
              </w:rPr>
            </w:pPr>
            <w:r w:rsidRPr="006163DA">
              <w:rPr>
                <w:rFonts w:ascii="Arial" w:hAnsi="Arial"/>
                <w:b/>
                <w:bCs/>
                <w:color w:val="FFFFFF" w:themeColor="background1"/>
                <w:szCs w:val="24"/>
              </w:rPr>
              <w:t>2025</w:t>
            </w:r>
          </w:p>
        </w:tc>
      </w:tr>
      <w:tr w:rsidR="00CD0CA3" w:rsidRPr="003B1165" w14:paraId="6DDAA582" w14:textId="77777777" w:rsidTr="00B26431">
        <w:tc>
          <w:tcPr>
            <w:tcW w:w="1560" w:type="dxa"/>
            <w:shd w:val="clear" w:color="auto" w:fill="FFFFFF" w:themeFill="background1"/>
            <w:tcMar>
              <w:top w:w="80" w:type="dxa"/>
              <w:left w:w="120" w:type="dxa"/>
              <w:bottom w:w="80" w:type="dxa"/>
              <w:right w:w="120" w:type="dxa"/>
            </w:tcMar>
            <w:vAlign w:val="center"/>
          </w:tcPr>
          <w:p w14:paraId="20FF2437" w14:textId="19628082" w:rsidR="00CD0CA3" w:rsidRPr="006163DA" w:rsidRDefault="00CD0CA3" w:rsidP="00CD0CA3">
            <w:pPr>
              <w:spacing w:line="276" w:lineRule="auto"/>
              <w:jc w:val="center"/>
              <w:rPr>
                <w:rFonts w:ascii="Arial" w:hAnsi="Arial"/>
                <w:szCs w:val="24"/>
              </w:rPr>
            </w:pPr>
            <w:r w:rsidRPr="006163DA">
              <w:rPr>
                <w:rFonts w:ascii="Arial" w:hAnsi="Arial"/>
                <w:szCs w:val="24"/>
              </w:rPr>
              <w:t>C. Assets (BDT</w:t>
            </w:r>
            <w:r w:rsidR="00380AB1" w:rsidRPr="006163DA">
              <w:rPr>
                <w:rFonts w:ascii="Arial" w:hAnsi="Arial"/>
                <w:szCs w:val="24"/>
              </w:rPr>
              <w:t xml:space="preserve"> Cr.</w:t>
            </w:r>
            <w:r w:rsidRPr="006163DA">
              <w:rPr>
                <w:rFonts w:ascii="Arial" w:hAnsi="Arial"/>
                <w:szCs w:val="24"/>
              </w:rPr>
              <w:t>)</w:t>
            </w:r>
          </w:p>
        </w:tc>
        <w:tc>
          <w:tcPr>
            <w:tcW w:w="1560" w:type="dxa"/>
            <w:shd w:val="clear" w:color="auto" w:fill="FFFFFF" w:themeFill="background1"/>
            <w:tcMar>
              <w:top w:w="80" w:type="dxa"/>
              <w:left w:w="120" w:type="dxa"/>
              <w:bottom w:w="80" w:type="dxa"/>
              <w:right w:w="120" w:type="dxa"/>
            </w:tcMar>
            <w:vAlign w:val="center"/>
          </w:tcPr>
          <w:p w14:paraId="771D133D" w14:textId="25568E7F" w:rsidR="00CD0CA3" w:rsidRPr="006163DA" w:rsidRDefault="005F6831" w:rsidP="00C01D27">
            <w:pPr>
              <w:spacing w:line="276" w:lineRule="auto"/>
              <w:jc w:val="center"/>
              <w:rPr>
                <w:rFonts w:ascii="Arial" w:hAnsi="Arial"/>
                <w:szCs w:val="24"/>
              </w:rPr>
            </w:pPr>
            <w:r w:rsidRPr="006163DA">
              <w:rPr>
                <w:rFonts w:ascii="Arial" w:hAnsi="Arial"/>
                <w:szCs w:val="24"/>
              </w:rPr>
              <w:t xml:space="preserve">2.86 </w:t>
            </w:r>
          </w:p>
        </w:tc>
        <w:tc>
          <w:tcPr>
            <w:tcW w:w="1560" w:type="dxa"/>
            <w:shd w:val="clear" w:color="auto" w:fill="FFFFFF" w:themeFill="background1"/>
            <w:tcMar>
              <w:top w:w="80" w:type="dxa"/>
              <w:left w:w="120" w:type="dxa"/>
              <w:bottom w:w="80" w:type="dxa"/>
              <w:right w:w="120" w:type="dxa"/>
            </w:tcMar>
            <w:vAlign w:val="center"/>
          </w:tcPr>
          <w:p w14:paraId="31781362" w14:textId="56A0CB56" w:rsidR="00CD0CA3" w:rsidRPr="006163DA" w:rsidRDefault="005F6831" w:rsidP="00C01D27">
            <w:pPr>
              <w:spacing w:line="276" w:lineRule="auto"/>
              <w:jc w:val="center"/>
              <w:rPr>
                <w:rFonts w:ascii="Arial" w:hAnsi="Arial"/>
                <w:szCs w:val="24"/>
              </w:rPr>
            </w:pPr>
            <w:r w:rsidRPr="006163DA">
              <w:rPr>
                <w:rFonts w:ascii="Arial" w:hAnsi="Arial"/>
                <w:szCs w:val="24"/>
              </w:rPr>
              <w:t xml:space="preserve">2.91 </w:t>
            </w:r>
          </w:p>
        </w:tc>
        <w:tc>
          <w:tcPr>
            <w:tcW w:w="1560" w:type="dxa"/>
            <w:shd w:val="clear" w:color="auto" w:fill="FFFFFF" w:themeFill="background1"/>
            <w:tcMar>
              <w:top w:w="80" w:type="dxa"/>
              <w:left w:w="120" w:type="dxa"/>
              <w:bottom w:w="80" w:type="dxa"/>
              <w:right w:w="120" w:type="dxa"/>
            </w:tcMar>
            <w:vAlign w:val="center"/>
          </w:tcPr>
          <w:p w14:paraId="668C52C4" w14:textId="6AAD788B" w:rsidR="00CD0CA3" w:rsidRPr="006163DA" w:rsidRDefault="005F6831" w:rsidP="00C01D27">
            <w:pPr>
              <w:spacing w:line="276" w:lineRule="auto"/>
              <w:jc w:val="center"/>
              <w:rPr>
                <w:rFonts w:ascii="Arial" w:hAnsi="Arial"/>
                <w:szCs w:val="24"/>
              </w:rPr>
            </w:pPr>
            <w:r w:rsidRPr="006163DA">
              <w:rPr>
                <w:rFonts w:ascii="Arial" w:hAnsi="Arial"/>
                <w:szCs w:val="24"/>
              </w:rPr>
              <w:t xml:space="preserve">3.61 </w:t>
            </w:r>
          </w:p>
        </w:tc>
        <w:tc>
          <w:tcPr>
            <w:tcW w:w="1560" w:type="dxa"/>
            <w:shd w:val="clear" w:color="auto" w:fill="FFFFFF" w:themeFill="background1"/>
            <w:tcMar>
              <w:top w:w="80" w:type="dxa"/>
              <w:left w:w="120" w:type="dxa"/>
              <w:bottom w:w="80" w:type="dxa"/>
              <w:right w:w="120" w:type="dxa"/>
            </w:tcMar>
            <w:vAlign w:val="center"/>
          </w:tcPr>
          <w:p w14:paraId="305023F0" w14:textId="73DF70F8" w:rsidR="00CD0CA3" w:rsidRPr="006163DA" w:rsidRDefault="005F6831" w:rsidP="00C01D27">
            <w:pPr>
              <w:spacing w:line="276" w:lineRule="auto"/>
              <w:jc w:val="center"/>
              <w:rPr>
                <w:rFonts w:ascii="Arial" w:hAnsi="Arial"/>
                <w:szCs w:val="24"/>
              </w:rPr>
            </w:pPr>
            <w:r w:rsidRPr="006163DA">
              <w:rPr>
                <w:rFonts w:ascii="Arial" w:hAnsi="Arial"/>
                <w:szCs w:val="24"/>
              </w:rPr>
              <w:t xml:space="preserve">4.72 </w:t>
            </w:r>
          </w:p>
        </w:tc>
        <w:tc>
          <w:tcPr>
            <w:tcW w:w="1560" w:type="dxa"/>
            <w:shd w:val="clear" w:color="auto" w:fill="FFFFFF" w:themeFill="background1"/>
            <w:tcMar>
              <w:top w:w="80" w:type="dxa"/>
              <w:left w:w="120" w:type="dxa"/>
              <w:bottom w:w="80" w:type="dxa"/>
              <w:right w:w="120" w:type="dxa"/>
            </w:tcMar>
            <w:vAlign w:val="center"/>
          </w:tcPr>
          <w:p w14:paraId="0D7F75E6" w14:textId="4002CA3F" w:rsidR="00CD0CA3" w:rsidRPr="006163DA" w:rsidRDefault="005F6831" w:rsidP="00C01D27">
            <w:pPr>
              <w:spacing w:line="276" w:lineRule="auto"/>
              <w:jc w:val="center"/>
              <w:rPr>
                <w:rFonts w:ascii="Arial" w:hAnsi="Arial"/>
                <w:szCs w:val="24"/>
              </w:rPr>
            </w:pPr>
            <w:r w:rsidRPr="006163DA">
              <w:rPr>
                <w:rFonts w:ascii="Arial" w:hAnsi="Arial"/>
                <w:szCs w:val="24"/>
              </w:rPr>
              <w:t xml:space="preserve">3.78 </w:t>
            </w:r>
          </w:p>
        </w:tc>
      </w:tr>
      <w:tr w:rsidR="00CD0CA3" w:rsidRPr="003B1165" w14:paraId="70AA1806" w14:textId="77777777" w:rsidTr="00B26431">
        <w:tc>
          <w:tcPr>
            <w:tcW w:w="1560" w:type="dxa"/>
            <w:shd w:val="clear" w:color="auto" w:fill="FFFFFF" w:themeFill="background1"/>
            <w:tcMar>
              <w:top w:w="80" w:type="dxa"/>
              <w:left w:w="120" w:type="dxa"/>
              <w:bottom w:w="80" w:type="dxa"/>
              <w:right w:w="120" w:type="dxa"/>
            </w:tcMar>
            <w:vAlign w:val="center"/>
          </w:tcPr>
          <w:p w14:paraId="780C6BD4" w14:textId="70F0CE5E" w:rsidR="00CD0CA3" w:rsidRPr="006163DA" w:rsidRDefault="00CD0CA3" w:rsidP="00C01D27">
            <w:pPr>
              <w:spacing w:line="276" w:lineRule="auto"/>
              <w:jc w:val="center"/>
              <w:rPr>
                <w:rFonts w:ascii="Arial" w:hAnsi="Arial"/>
                <w:szCs w:val="24"/>
              </w:rPr>
            </w:pPr>
            <w:r w:rsidRPr="006163DA">
              <w:rPr>
                <w:rFonts w:ascii="Arial" w:hAnsi="Arial"/>
                <w:szCs w:val="24"/>
              </w:rPr>
              <w:t>C. Liability (BDT</w:t>
            </w:r>
            <w:r w:rsidR="00380AB1" w:rsidRPr="006163DA">
              <w:rPr>
                <w:rFonts w:ascii="Arial" w:hAnsi="Arial"/>
                <w:szCs w:val="24"/>
              </w:rPr>
              <w:t xml:space="preserve"> Cr.</w:t>
            </w:r>
            <w:r w:rsidRPr="006163DA">
              <w:rPr>
                <w:rFonts w:ascii="Arial" w:hAnsi="Arial"/>
                <w:szCs w:val="24"/>
              </w:rPr>
              <w:t>)</w:t>
            </w:r>
          </w:p>
        </w:tc>
        <w:tc>
          <w:tcPr>
            <w:tcW w:w="1560" w:type="dxa"/>
            <w:shd w:val="clear" w:color="auto" w:fill="FFFFFF" w:themeFill="background1"/>
            <w:tcMar>
              <w:top w:w="80" w:type="dxa"/>
              <w:left w:w="120" w:type="dxa"/>
              <w:bottom w:w="80" w:type="dxa"/>
              <w:right w:w="120" w:type="dxa"/>
            </w:tcMar>
            <w:vAlign w:val="center"/>
          </w:tcPr>
          <w:p w14:paraId="0F918ABF" w14:textId="59E76FC7" w:rsidR="00CD0CA3" w:rsidRPr="006163DA" w:rsidRDefault="005F6831" w:rsidP="00C01D27">
            <w:pPr>
              <w:spacing w:line="276" w:lineRule="auto"/>
              <w:jc w:val="center"/>
              <w:rPr>
                <w:rFonts w:ascii="Arial" w:hAnsi="Arial"/>
                <w:szCs w:val="24"/>
              </w:rPr>
            </w:pPr>
            <w:r w:rsidRPr="006163DA">
              <w:rPr>
                <w:rFonts w:ascii="Arial" w:hAnsi="Arial"/>
                <w:szCs w:val="24"/>
              </w:rPr>
              <w:t xml:space="preserve">1.49 </w:t>
            </w:r>
          </w:p>
        </w:tc>
        <w:tc>
          <w:tcPr>
            <w:tcW w:w="1560" w:type="dxa"/>
            <w:shd w:val="clear" w:color="auto" w:fill="FFFFFF" w:themeFill="background1"/>
            <w:tcMar>
              <w:top w:w="80" w:type="dxa"/>
              <w:left w:w="120" w:type="dxa"/>
              <w:bottom w:w="80" w:type="dxa"/>
              <w:right w:w="120" w:type="dxa"/>
            </w:tcMar>
            <w:vAlign w:val="center"/>
          </w:tcPr>
          <w:p w14:paraId="5D84760F" w14:textId="77BADF16" w:rsidR="00CD0CA3" w:rsidRPr="006163DA" w:rsidRDefault="005F6831" w:rsidP="00C01D27">
            <w:pPr>
              <w:spacing w:line="276" w:lineRule="auto"/>
              <w:jc w:val="center"/>
              <w:rPr>
                <w:rFonts w:ascii="Arial" w:hAnsi="Arial"/>
                <w:szCs w:val="24"/>
              </w:rPr>
            </w:pPr>
            <w:r w:rsidRPr="006163DA">
              <w:rPr>
                <w:rFonts w:ascii="Arial" w:hAnsi="Arial"/>
                <w:szCs w:val="24"/>
              </w:rPr>
              <w:t xml:space="preserve">1.97 </w:t>
            </w:r>
          </w:p>
        </w:tc>
        <w:tc>
          <w:tcPr>
            <w:tcW w:w="1560" w:type="dxa"/>
            <w:shd w:val="clear" w:color="auto" w:fill="FFFFFF" w:themeFill="background1"/>
            <w:tcMar>
              <w:top w:w="80" w:type="dxa"/>
              <w:left w:w="120" w:type="dxa"/>
              <w:bottom w:w="80" w:type="dxa"/>
              <w:right w:w="120" w:type="dxa"/>
            </w:tcMar>
            <w:vAlign w:val="center"/>
          </w:tcPr>
          <w:p w14:paraId="3DB211E3" w14:textId="55E055C7" w:rsidR="00CD0CA3" w:rsidRPr="006163DA" w:rsidRDefault="005F6831" w:rsidP="00C01D27">
            <w:pPr>
              <w:spacing w:line="276" w:lineRule="auto"/>
              <w:jc w:val="center"/>
              <w:rPr>
                <w:rFonts w:ascii="Arial" w:hAnsi="Arial"/>
                <w:szCs w:val="24"/>
              </w:rPr>
            </w:pPr>
            <w:r w:rsidRPr="006163DA">
              <w:rPr>
                <w:rFonts w:ascii="Arial" w:hAnsi="Arial"/>
                <w:szCs w:val="24"/>
              </w:rPr>
              <w:t xml:space="preserve">2.71 </w:t>
            </w:r>
          </w:p>
        </w:tc>
        <w:tc>
          <w:tcPr>
            <w:tcW w:w="1560" w:type="dxa"/>
            <w:shd w:val="clear" w:color="auto" w:fill="FFFFFF" w:themeFill="background1"/>
            <w:tcMar>
              <w:top w:w="80" w:type="dxa"/>
              <w:left w:w="120" w:type="dxa"/>
              <w:bottom w:w="80" w:type="dxa"/>
              <w:right w:w="120" w:type="dxa"/>
            </w:tcMar>
            <w:vAlign w:val="center"/>
          </w:tcPr>
          <w:p w14:paraId="736515A4" w14:textId="6A373AC5" w:rsidR="00CD0CA3" w:rsidRPr="006163DA" w:rsidRDefault="005F6831" w:rsidP="00C01D27">
            <w:pPr>
              <w:spacing w:line="276" w:lineRule="auto"/>
              <w:jc w:val="center"/>
              <w:rPr>
                <w:rFonts w:ascii="Arial" w:hAnsi="Arial"/>
                <w:szCs w:val="24"/>
              </w:rPr>
            </w:pPr>
            <w:r w:rsidRPr="006163DA">
              <w:rPr>
                <w:rFonts w:ascii="Arial" w:hAnsi="Arial"/>
                <w:szCs w:val="24"/>
              </w:rPr>
              <w:t xml:space="preserve">2.63 </w:t>
            </w:r>
          </w:p>
        </w:tc>
        <w:tc>
          <w:tcPr>
            <w:tcW w:w="1560" w:type="dxa"/>
            <w:shd w:val="clear" w:color="auto" w:fill="FFFFFF" w:themeFill="background1"/>
            <w:tcMar>
              <w:top w:w="80" w:type="dxa"/>
              <w:left w:w="120" w:type="dxa"/>
              <w:bottom w:w="80" w:type="dxa"/>
              <w:right w:w="120" w:type="dxa"/>
            </w:tcMar>
            <w:vAlign w:val="center"/>
          </w:tcPr>
          <w:p w14:paraId="07FC2F2A" w14:textId="46FADF7A" w:rsidR="00CD0CA3" w:rsidRPr="006163DA" w:rsidRDefault="005F6831" w:rsidP="00C01D27">
            <w:pPr>
              <w:spacing w:line="276" w:lineRule="auto"/>
              <w:jc w:val="center"/>
              <w:rPr>
                <w:rFonts w:ascii="Arial" w:hAnsi="Arial"/>
                <w:szCs w:val="24"/>
              </w:rPr>
            </w:pPr>
            <w:r w:rsidRPr="006163DA">
              <w:rPr>
                <w:rFonts w:ascii="Arial" w:hAnsi="Arial"/>
                <w:szCs w:val="24"/>
              </w:rPr>
              <w:t xml:space="preserve">2.17 </w:t>
            </w:r>
          </w:p>
        </w:tc>
      </w:tr>
      <w:tr w:rsidR="00CD0CA3" w:rsidRPr="003B1165" w14:paraId="45E68996" w14:textId="77777777" w:rsidTr="00B26431">
        <w:tc>
          <w:tcPr>
            <w:tcW w:w="1560" w:type="dxa"/>
            <w:shd w:val="clear" w:color="auto" w:fill="FFFFFF" w:themeFill="background1"/>
            <w:tcMar>
              <w:top w:w="80" w:type="dxa"/>
              <w:left w:w="120" w:type="dxa"/>
              <w:bottom w:w="80" w:type="dxa"/>
              <w:right w:w="120" w:type="dxa"/>
            </w:tcMar>
            <w:vAlign w:val="center"/>
          </w:tcPr>
          <w:p w14:paraId="4868A01B" w14:textId="73F0E434" w:rsidR="00CD0CA3" w:rsidRPr="006163DA" w:rsidRDefault="00CD0CA3" w:rsidP="00C01D27">
            <w:pPr>
              <w:spacing w:line="276" w:lineRule="auto"/>
              <w:jc w:val="center"/>
              <w:rPr>
                <w:rFonts w:ascii="Arial" w:hAnsi="Arial"/>
                <w:szCs w:val="24"/>
              </w:rPr>
            </w:pPr>
            <w:r w:rsidRPr="006163DA">
              <w:rPr>
                <w:rFonts w:ascii="Arial" w:hAnsi="Arial"/>
                <w:szCs w:val="24"/>
              </w:rPr>
              <w:t>NWC (BDT</w:t>
            </w:r>
            <w:r w:rsidR="00380AB1" w:rsidRPr="006163DA">
              <w:rPr>
                <w:rFonts w:ascii="Arial" w:hAnsi="Arial"/>
                <w:szCs w:val="24"/>
              </w:rPr>
              <w:t xml:space="preserve"> Cr.</w:t>
            </w:r>
            <w:r w:rsidRPr="006163DA">
              <w:rPr>
                <w:rFonts w:ascii="Arial" w:hAnsi="Arial"/>
                <w:szCs w:val="24"/>
              </w:rPr>
              <w:t>)</w:t>
            </w:r>
          </w:p>
        </w:tc>
        <w:tc>
          <w:tcPr>
            <w:tcW w:w="1560" w:type="dxa"/>
            <w:shd w:val="clear" w:color="auto" w:fill="FFFFFF" w:themeFill="background1"/>
            <w:tcMar>
              <w:top w:w="80" w:type="dxa"/>
              <w:left w:w="120" w:type="dxa"/>
              <w:bottom w:w="80" w:type="dxa"/>
              <w:right w:w="120" w:type="dxa"/>
            </w:tcMar>
            <w:vAlign w:val="center"/>
          </w:tcPr>
          <w:p w14:paraId="70D30472" w14:textId="14E02039" w:rsidR="00CD0CA3" w:rsidRPr="006163DA" w:rsidRDefault="005F6831" w:rsidP="00C01D27">
            <w:pPr>
              <w:spacing w:line="276" w:lineRule="auto"/>
              <w:jc w:val="center"/>
              <w:rPr>
                <w:rFonts w:ascii="Arial" w:hAnsi="Arial"/>
                <w:szCs w:val="24"/>
              </w:rPr>
            </w:pPr>
            <w:r w:rsidRPr="006163DA">
              <w:rPr>
                <w:rFonts w:ascii="Arial" w:hAnsi="Arial"/>
                <w:szCs w:val="24"/>
              </w:rPr>
              <w:t xml:space="preserve">1.38 </w:t>
            </w:r>
          </w:p>
        </w:tc>
        <w:tc>
          <w:tcPr>
            <w:tcW w:w="1560" w:type="dxa"/>
            <w:shd w:val="clear" w:color="auto" w:fill="FFFFFF" w:themeFill="background1"/>
            <w:tcMar>
              <w:top w:w="80" w:type="dxa"/>
              <w:left w:w="120" w:type="dxa"/>
              <w:bottom w:w="80" w:type="dxa"/>
              <w:right w:w="120" w:type="dxa"/>
            </w:tcMar>
            <w:vAlign w:val="center"/>
          </w:tcPr>
          <w:p w14:paraId="6A5E850B" w14:textId="3425889A" w:rsidR="00CD0CA3" w:rsidRPr="006163DA" w:rsidRDefault="005F6831" w:rsidP="00C01D27">
            <w:pPr>
              <w:spacing w:line="276" w:lineRule="auto"/>
              <w:jc w:val="center"/>
              <w:rPr>
                <w:rFonts w:ascii="Arial" w:hAnsi="Arial"/>
                <w:szCs w:val="24"/>
              </w:rPr>
            </w:pPr>
            <w:r w:rsidRPr="006163DA">
              <w:rPr>
                <w:rFonts w:ascii="Arial" w:hAnsi="Arial"/>
                <w:szCs w:val="24"/>
              </w:rPr>
              <w:t xml:space="preserve">0.93 </w:t>
            </w:r>
          </w:p>
        </w:tc>
        <w:tc>
          <w:tcPr>
            <w:tcW w:w="1560" w:type="dxa"/>
            <w:shd w:val="clear" w:color="auto" w:fill="FFFFFF" w:themeFill="background1"/>
            <w:tcMar>
              <w:top w:w="80" w:type="dxa"/>
              <w:left w:w="120" w:type="dxa"/>
              <w:bottom w:w="80" w:type="dxa"/>
              <w:right w:w="120" w:type="dxa"/>
            </w:tcMar>
            <w:vAlign w:val="center"/>
          </w:tcPr>
          <w:p w14:paraId="4722EC1C" w14:textId="48DB220C" w:rsidR="00CD0CA3" w:rsidRPr="006163DA" w:rsidRDefault="005F6831" w:rsidP="00C01D27">
            <w:pPr>
              <w:spacing w:line="276" w:lineRule="auto"/>
              <w:jc w:val="center"/>
              <w:rPr>
                <w:rFonts w:ascii="Arial" w:hAnsi="Arial"/>
                <w:szCs w:val="24"/>
              </w:rPr>
            </w:pPr>
            <w:r w:rsidRPr="006163DA">
              <w:rPr>
                <w:rFonts w:ascii="Arial" w:hAnsi="Arial"/>
                <w:szCs w:val="24"/>
              </w:rPr>
              <w:t xml:space="preserve">0.90 </w:t>
            </w:r>
          </w:p>
        </w:tc>
        <w:tc>
          <w:tcPr>
            <w:tcW w:w="1560" w:type="dxa"/>
            <w:shd w:val="clear" w:color="auto" w:fill="FFFFFF" w:themeFill="background1"/>
            <w:tcMar>
              <w:top w:w="80" w:type="dxa"/>
              <w:left w:w="120" w:type="dxa"/>
              <w:bottom w:w="80" w:type="dxa"/>
              <w:right w:w="120" w:type="dxa"/>
            </w:tcMar>
            <w:vAlign w:val="center"/>
          </w:tcPr>
          <w:p w14:paraId="21C8C457" w14:textId="3A86525E" w:rsidR="00CD0CA3" w:rsidRPr="006163DA" w:rsidRDefault="005F6831" w:rsidP="00C01D27">
            <w:pPr>
              <w:spacing w:line="276" w:lineRule="auto"/>
              <w:jc w:val="center"/>
              <w:rPr>
                <w:rFonts w:ascii="Arial" w:hAnsi="Arial"/>
                <w:szCs w:val="24"/>
              </w:rPr>
            </w:pPr>
            <w:r w:rsidRPr="006163DA">
              <w:rPr>
                <w:rFonts w:ascii="Arial" w:hAnsi="Arial"/>
                <w:szCs w:val="24"/>
              </w:rPr>
              <w:t xml:space="preserve">2.09 </w:t>
            </w:r>
          </w:p>
        </w:tc>
        <w:tc>
          <w:tcPr>
            <w:tcW w:w="1560" w:type="dxa"/>
            <w:shd w:val="clear" w:color="auto" w:fill="FFFFFF" w:themeFill="background1"/>
            <w:tcMar>
              <w:top w:w="80" w:type="dxa"/>
              <w:left w:w="120" w:type="dxa"/>
              <w:bottom w:w="80" w:type="dxa"/>
              <w:right w:w="120" w:type="dxa"/>
            </w:tcMar>
            <w:vAlign w:val="center"/>
          </w:tcPr>
          <w:p w14:paraId="2E21131A" w14:textId="67D0BEA4" w:rsidR="00CD0CA3" w:rsidRPr="006163DA" w:rsidRDefault="005F6831" w:rsidP="00C01D27">
            <w:pPr>
              <w:spacing w:line="276" w:lineRule="auto"/>
              <w:jc w:val="center"/>
              <w:rPr>
                <w:rFonts w:ascii="Arial" w:hAnsi="Arial"/>
                <w:szCs w:val="24"/>
              </w:rPr>
            </w:pPr>
            <w:r w:rsidRPr="006163DA">
              <w:rPr>
                <w:rFonts w:ascii="Arial" w:hAnsi="Arial"/>
                <w:szCs w:val="24"/>
              </w:rPr>
              <w:t xml:space="preserve">1.61 </w:t>
            </w:r>
          </w:p>
        </w:tc>
      </w:tr>
    </w:tbl>
    <w:p w14:paraId="770F8411" w14:textId="0881E4DD" w:rsidR="007D7B8B" w:rsidRPr="0015313B" w:rsidRDefault="007742AF" w:rsidP="007742AF">
      <w:pPr>
        <w:spacing w:after="80" w:line="276" w:lineRule="auto"/>
        <w:jc w:val="center"/>
        <w:rPr>
          <w:rFonts w:cs="Times New Roman"/>
          <w:szCs w:val="24"/>
        </w:rPr>
      </w:pPr>
      <w:r>
        <w:rPr>
          <w:noProof/>
          <w14:ligatures w14:val="standardContextual"/>
        </w:rPr>
        <w:lastRenderedPageBreak/>
        <w:drawing>
          <wp:inline distT="0" distB="0" distL="0" distR="0" wp14:anchorId="7A359F50" wp14:editId="7BFE2D6C">
            <wp:extent cx="5983605" cy="3084653"/>
            <wp:effectExtent l="0" t="0" r="17145" b="1905"/>
            <wp:docPr id="893541685" name="Chart 1">
              <a:extLst xmlns:a="http://schemas.openxmlformats.org/drawingml/2006/main">
                <a:ext uri="{FF2B5EF4-FFF2-40B4-BE49-F238E27FC236}">
                  <a16:creationId xmlns:a16="http://schemas.microsoft.com/office/drawing/2014/main" id="{646973FB-DE77-3A28-F1E8-4752C40B6ED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09D61800" w14:textId="09C5FA24" w:rsidR="00F607FE" w:rsidRPr="00716B98" w:rsidRDefault="00F607FE" w:rsidP="00F607FE">
      <w:pPr>
        <w:pStyle w:val="Caption"/>
        <w:jc w:val="center"/>
        <w:rPr>
          <w:rFonts w:ascii="Arial" w:hAnsi="Arial"/>
          <w:sz w:val="24"/>
          <w:szCs w:val="24"/>
        </w:rPr>
      </w:pPr>
      <w:bookmarkStart w:id="114" w:name="_Toc235308698"/>
      <w:r w:rsidRPr="00716B98">
        <w:rPr>
          <w:sz w:val="24"/>
          <w:szCs w:val="24"/>
        </w:rPr>
        <w:t xml:space="preserve">Figure </w:t>
      </w:r>
      <w:r w:rsidR="00D94E28" w:rsidRPr="00716B98">
        <w:rPr>
          <w:sz w:val="24"/>
          <w:szCs w:val="24"/>
        </w:rPr>
        <w:fldChar w:fldCharType="begin"/>
      </w:r>
      <w:r w:rsidR="00D94E28" w:rsidRPr="00716B98">
        <w:rPr>
          <w:sz w:val="24"/>
          <w:szCs w:val="24"/>
        </w:rPr>
        <w:instrText xml:space="preserve"> SEQ Figure \* ARABIC </w:instrText>
      </w:r>
      <w:r w:rsidR="00D94E28" w:rsidRPr="00716B98">
        <w:rPr>
          <w:sz w:val="24"/>
          <w:szCs w:val="24"/>
        </w:rPr>
        <w:fldChar w:fldCharType="separate"/>
      </w:r>
      <w:r w:rsidR="00C15A61">
        <w:rPr>
          <w:noProof/>
          <w:sz w:val="24"/>
          <w:szCs w:val="24"/>
        </w:rPr>
        <w:t>14</w:t>
      </w:r>
      <w:r w:rsidR="00D94E28" w:rsidRPr="00716B98">
        <w:rPr>
          <w:noProof/>
          <w:sz w:val="24"/>
          <w:szCs w:val="24"/>
        </w:rPr>
        <w:fldChar w:fldCharType="end"/>
      </w:r>
      <w:r w:rsidRPr="00716B98">
        <w:rPr>
          <w:sz w:val="24"/>
          <w:szCs w:val="24"/>
        </w:rPr>
        <w:t>.1: Net Working Capital (Graph)</w:t>
      </w:r>
      <w:bookmarkEnd w:id="114"/>
    </w:p>
    <w:p w14:paraId="320773AE" w14:textId="09F49B1E" w:rsidR="0030794C" w:rsidRPr="005F644C" w:rsidRDefault="008E58E3" w:rsidP="005F644C">
      <w:pPr>
        <w:spacing w:after="80"/>
        <w:rPr>
          <w:rFonts w:ascii="Arial" w:hAnsi="Arial"/>
          <w:szCs w:val="24"/>
        </w:rPr>
      </w:pPr>
      <w:r w:rsidRPr="005F644C">
        <w:rPr>
          <w:rFonts w:ascii="Arial" w:hAnsi="Arial"/>
          <w:szCs w:val="24"/>
        </w:rPr>
        <w:t xml:space="preserve">Think </w:t>
      </w:r>
      <w:r w:rsidR="00E906A1" w:rsidRPr="00E906A1">
        <w:rPr>
          <w:rFonts w:ascii="Arial" w:hAnsi="Arial"/>
          <w:szCs w:val="24"/>
        </w:rPr>
        <w:t>of networking capital as the financial cushion of Tokyo Consulting Firm, the buffer left after short-term bills are paid. That cushion was healthy at 1.38 crore in 2021. But in 2022 and 2023, current liabilities grew faster than current assets, squeezing the cushion down to around `0.90-0.93 crore, which means TCF was relying more on short-term obligations compared to what it had on hand. 2024 was the turnaround: assets shot up sharply to 4.72 crore while liabilities remained flat, taking NWC to its highest point, 2.09 crore. It's like suddenly you have a much thicker safety net. Assets cooled off a bit and 2025 dropped to 1.61 crore. Still, that’s a comfy, above average buffer TCF isn’t spread thin, just finding a steadier rhythm.</w:t>
      </w:r>
    </w:p>
    <w:p w14:paraId="526CF4E8" w14:textId="77777777" w:rsidR="00CA52E8" w:rsidRDefault="00CA52E8" w:rsidP="00640C28">
      <w:pPr>
        <w:pStyle w:val="Heading1"/>
        <w:rPr>
          <w:rFonts w:ascii="Arial" w:hAnsi="Arial" w:cs="Arial"/>
          <w:sz w:val="32"/>
          <w:szCs w:val="32"/>
        </w:rPr>
      </w:pPr>
    </w:p>
    <w:p w14:paraId="43BA6BD1" w14:textId="77777777" w:rsidR="00CA52E8" w:rsidRDefault="00CA52E8" w:rsidP="00640C28">
      <w:pPr>
        <w:pStyle w:val="Heading1"/>
        <w:rPr>
          <w:rFonts w:ascii="Arial" w:hAnsi="Arial" w:cs="Arial"/>
          <w:sz w:val="32"/>
          <w:szCs w:val="32"/>
        </w:rPr>
      </w:pPr>
    </w:p>
    <w:p w14:paraId="2CDDA867" w14:textId="77777777" w:rsidR="00CA52E8" w:rsidRDefault="00CA52E8" w:rsidP="00640C28">
      <w:pPr>
        <w:pStyle w:val="Heading1"/>
        <w:rPr>
          <w:rFonts w:ascii="Arial" w:hAnsi="Arial" w:cs="Arial"/>
          <w:sz w:val="32"/>
          <w:szCs w:val="32"/>
        </w:rPr>
      </w:pPr>
    </w:p>
    <w:p w14:paraId="4E7B5676" w14:textId="77777777" w:rsidR="00CA52E8" w:rsidRPr="00CA52E8" w:rsidRDefault="00CA52E8" w:rsidP="00CA52E8"/>
    <w:p w14:paraId="20174845" w14:textId="47A18725" w:rsidR="0030794C" w:rsidRPr="0049423B" w:rsidRDefault="0030794C" w:rsidP="00640C28">
      <w:pPr>
        <w:pStyle w:val="Heading1"/>
        <w:rPr>
          <w:rFonts w:ascii="Arial" w:hAnsi="Arial" w:cs="Arial"/>
          <w:sz w:val="32"/>
          <w:szCs w:val="32"/>
        </w:rPr>
      </w:pPr>
      <w:bookmarkStart w:id="115" w:name="_Toc235801966"/>
      <w:r w:rsidRPr="0049423B">
        <w:rPr>
          <w:rFonts w:ascii="Arial" w:hAnsi="Arial" w:cs="Arial"/>
          <w:sz w:val="32"/>
          <w:szCs w:val="32"/>
        </w:rPr>
        <w:lastRenderedPageBreak/>
        <w:t>C</w:t>
      </w:r>
      <w:r w:rsidR="005F644C">
        <w:rPr>
          <w:rFonts w:ascii="Arial" w:hAnsi="Arial" w:cs="Arial"/>
          <w:sz w:val="32"/>
          <w:szCs w:val="32"/>
        </w:rPr>
        <w:t xml:space="preserve">HAPTER </w:t>
      </w:r>
      <w:r w:rsidR="001444C8">
        <w:rPr>
          <w:rFonts w:ascii="Arial" w:hAnsi="Arial" w:cs="Arial"/>
          <w:sz w:val="32"/>
          <w:szCs w:val="32"/>
        </w:rPr>
        <w:t>5</w:t>
      </w:r>
      <w:r w:rsidR="005F644C">
        <w:rPr>
          <w:rFonts w:ascii="Arial" w:hAnsi="Arial" w:cs="Arial"/>
          <w:sz w:val="32"/>
          <w:szCs w:val="32"/>
        </w:rPr>
        <w:t>: CONCLUSIONS &amp; KEY FACTS</w:t>
      </w:r>
      <w:bookmarkEnd w:id="115"/>
    </w:p>
    <w:p w14:paraId="383C45F3" w14:textId="06C238EA" w:rsidR="0030794C" w:rsidRPr="0018264E" w:rsidRDefault="001444C8" w:rsidP="00D32E8E">
      <w:pPr>
        <w:pStyle w:val="Heading2"/>
        <w:rPr>
          <w:rFonts w:ascii="Arial" w:hAnsi="Arial" w:cs="Arial"/>
          <w:color w:val="156082" w:themeColor="accent1"/>
          <w:sz w:val="28"/>
          <w:szCs w:val="28"/>
        </w:rPr>
      </w:pPr>
      <w:bookmarkStart w:id="116" w:name="_Toc235801967"/>
      <w:r>
        <w:rPr>
          <w:rFonts w:ascii="Arial" w:hAnsi="Arial" w:cs="Arial"/>
          <w:color w:val="156082" w:themeColor="accent1"/>
          <w:sz w:val="28"/>
          <w:szCs w:val="28"/>
        </w:rPr>
        <w:t>5</w:t>
      </w:r>
      <w:r w:rsidR="0030794C" w:rsidRPr="0018264E">
        <w:rPr>
          <w:rFonts w:ascii="Arial" w:hAnsi="Arial" w:cs="Arial"/>
          <w:color w:val="156082" w:themeColor="accent1"/>
          <w:sz w:val="28"/>
          <w:szCs w:val="28"/>
        </w:rPr>
        <w:t xml:space="preserve">.1 Key </w:t>
      </w:r>
      <w:r w:rsidR="005F644C" w:rsidRPr="0018264E">
        <w:rPr>
          <w:rFonts w:ascii="Arial" w:hAnsi="Arial" w:cs="Arial"/>
          <w:color w:val="156082" w:themeColor="accent1"/>
          <w:sz w:val="28"/>
          <w:szCs w:val="28"/>
        </w:rPr>
        <w:t>Understanding</w:t>
      </w:r>
      <w:bookmarkEnd w:id="116"/>
    </w:p>
    <w:p w14:paraId="7B544EAB" w14:textId="06BD6343" w:rsidR="0030794C" w:rsidRPr="0049423B" w:rsidRDefault="005D6061" w:rsidP="0049423B">
      <w:pPr>
        <w:rPr>
          <w:rFonts w:ascii="Arial" w:hAnsi="Arial"/>
          <w:b/>
          <w:bCs/>
          <w:color w:val="000000" w:themeColor="text1"/>
        </w:rPr>
      </w:pPr>
      <w:r w:rsidRPr="0049423B">
        <w:rPr>
          <w:rFonts w:ascii="Arial" w:hAnsi="Arial"/>
          <w:b/>
          <w:bCs/>
          <w:color w:val="000000" w:themeColor="text1"/>
        </w:rPr>
        <w:t>1.</w:t>
      </w:r>
      <w:r w:rsidR="0030794C" w:rsidRPr="0049423B">
        <w:rPr>
          <w:rFonts w:ascii="Arial" w:hAnsi="Arial"/>
          <w:b/>
          <w:bCs/>
          <w:color w:val="000000" w:themeColor="text1"/>
        </w:rPr>
        <w:t xml:space="preserve"> </w:t>
      </w:r>
      <w:r w:rsidR="0030794C" w:rsidRPr="00CA52E8">
        <w:rPr>
          <w:rFonts w:ascii="Arial" w:hAnsi="Arial"/>
          <w:b/>
          <w:bCs/>
          <w:color w:val="000000" w:themeColor="text1"/>
        </w:rPr>
        <w:t>Revenue &amp;</w:t>
      </w:r>
      <w:r w:rsidR="0030794C" w:rsidRPr="0049423B">
        <w:rPr>
          <w:rFonts w:ascii="Arial" w:hAnsi="Arial"/>
          <w:b/>
          <w:bCs/>
          <w:color w:val="000000" w:themeColor="text1"/>
        </w:rPr>
        <w:t xml:space="preserve"> Profitability</w:t>
      </w:r>
    </w:p>
    <w:p w14:paraId="6C5AFCB1" w14:textId="2ABCEFB6" w:rsidR="0030794C" w:rsidRPr="0049423B" w:rsidRDefault="00147FB5" w:rsidP="0049423B">
      <w:pPr>
        <w:pStyle w:val="ListParagraph"/>
        <w:numPr>
          <w:ilvl w:val="0"/>
          <w:numId w:val="10"/>
        </w:numPr>
        <w:spacing w:after="60"/>
        <w:rPr>
          <w:rFonts w:ascii="Arial" w:hAnsi="Arial"/>
          <w:szCs w:val="24"/>
        </w:rPr>
      </w:pPr>
      <w:r>
        <w:rPr>
          <w:rFonts w:ascii="Arial" w:hAnsi="Arial"/>
          <w:szCs w:val="24"/>
        </w:rPr>
        <w:t>TCF Bangladesh</w:t>
      </w:r>
      <w:r>
        <w:t xml:space="preserve"> </w:t>
      </w:r>
      <w:r w:rsidRPr="00147FB5">
        <w:rPr>
          <w:rFonts w:ascii="Arial" w:hAnsi="Arial"/>
          <w:szCs w:val="24"/>
        </w:rPr>
        <w:t>revenue saw a steady increase from BDT 4.18 Crore (FY2021) to BDT 5.82 Crore (FY2025), marking a 39.3% growth over five years.</w:t>
      </w:r>
    </w:p>
    <w:p w14:paraId="799CF4D4" w14:textId="65AE1E0C" w:rsidR="0030794C" w:rsidRPr="0049423B" w:rsidRDefault="00DA2353" w:rsidP="0049423B">
      <w:pPr>
        <w:pStyle w:val="ListParagraph"/>
        <w:numPr>
          <w:ilvl w:val="0"/>
          <w:numId w:val="10"/>
        </w:numPr>
        <w:spacing w:after="60"/>
        <w:rPr>
          <w:rFonts w:ascii="Arial" w:hAnsi="Arial"/>
          <w:szCs w:val="24"/>
        </w:rPr>
      </w:pPr>
      <w:r w:rsidRPr="00DA2353">
        <w:rPr>
          <w:rFonts w:ascii="Arial" w:hAnsi="Arial"/>
          <w:szCs w:val="24"/>
        </w:rPr>
        <w:t>Net profit after tax was at the highest level in FY2025 at BDT 2.00 Crore, a strong recovery from the dip in FY2022 (BDT 1.24 Crore).</w:t>
      </w:r>
    </w:p>
    <w:p w14:paraId="156963D3" w14:textId="106D48C8" w:rsidR="0030794C" w:rsidRDefault="00DA2353" w:rsidP="0049423B">
      <w:pPr>
        <w:pStyle w:val="ListParagraph"/>
        <w:numPr>
          <w:ilvl w:val="0"/>
          <w:numId w:val="10"/>
        </w:numPr>
        <w:spacing w:after="60"/>
        <w:rPr>
          <w:rFonts w:ascii="Arial" w:hAnsi="Arial"/>
          <w:szCs w:val="24"/>
        </w:rPr>
      </w:pPr>
      <w:r w:rsidRPr="00DA2353">
        <w:rPr>
          <w:rFonts w:ascii="Arial" w:hAnsi="Arial"/>
          <w:szCs w:val="24"/>
        </w:rPr>
        <w:t>Net profit margin improved to 34.4% in FY2025, the highest since FY2021, driven by controlled salary costs and higher FDR interest income.</w:t>
      </w:r>
    </w:p>
    <w:p w14:paraId="2332408B" w14:textId="58BD9634" w:rsidR="00DA2353" w:rsidRPr="0049423B" w:rsidRDefault="00DA2353" w:rsidP="0049423B">
      <w:pPr>
        <w:pStyle w:val="ListParagraph"/>
        <w:numPr>
          <w:ilvl w:val="0"/>
          <w:numId w:val="10"/>
        </w:numPr>
        <w:spacing w:after="60"/>
        <w:rPr>
          <w:rFonts w:ascii="Arial" w:hAnsi="Arial"/>
          <w:szCs w:val="24"/>
        </w:rPr>
      </w:pPr>
      <w:r>
        <w:rPr>
          <w:rFonts w:ascii="Arial" w:hAnsi="Arial"/>
          <w:szCs w:val="24"/>
        </w:rPr>
        <w:t>G</w:t>
      </w:r>
      <w:r w:rsidRPr="00DA2353">
        <w:rPr>
          <w:rFonts w:ascii="Arial" w:hAnsi="Arial"/>
          <w:szCs w:val="24"/>
        </w:rPr>
        <w:t>ross profit margins stayed very high (&gt;91%) in all years, reflecting the asset light, low direct cost nature of professional consulting.</w:t>
      </w:r>
    </w:p>
    <w:p w14:paraId="0D439997" w14:textId="4D8E38DB" w:rsidR="0030794C" w:rsidRPr="0049423B" w:rsidRDefault="005D6061" w:rsidP="0049423B">
      <w:pPr>
        <w:rPr>
          <w:rFonts w:ascii="Arial" w:hAnsi="Arial"/>
          <w:b/>
          <w:bCs/>
          <w:color w:val="000000" w:themeColor="text1"/>
        </w:rPr>
      </w:pPr>
      <w:r w:rsidRPr="0049423B">
        <w:rPr>
          <w:rFonts w:ascii="Arial" w:hAnsi="Arial"/>
          <w:b/>
          <w:bCs/>
          <w:color w:val="000000" w:themeColor="text1"/>
        </w:rPr>
        <w:t>2</w:t>
      </w:r>
      <w:r w:rsidR="0030794C" w:rsidRPr="0049423B">
        <w:rPr>
          <w:rFonts w:ascii="Arial" w:hAnsi="Arial"/>
          <w:b/>
          <w:bCs/>
          <w:color w:val="000000" w:themeColor="text1"/>
        </w:rPr>
        <w:t xml:space="preserve">. </w:t>
      </w:r>
      <w:r w:rsidR="0030794C" w:rsidRPr="00CA52E8">
        <w:rPr>
          <w:rFonts w:ascii="Arial" w:hAnsi="Arial"/>
          <w:b/>
          <w:bCs/>
          <w:color w:val="000000" w:themeColor="text1"/>
        </w:rPr>
        <w:t>Working Capital</w:t>
      </w:r>
      <w:r w:rsidR="0030794C" w:rsidRPr="0049423B">
        <w:rPr>
          <w:rFonts w:ascii="Arial" w:hAnsi="Arial"/>
          <w:b/>
          <w:bCs/>
          <w:color w:val="000000" w:themeColor="text1"/>
        </w:rPr>
        <w:t xml:space="preserve"> Position</w:t>
      </w:r>
    </w:p>
    <w:p w14:paraId="7567E4FC" w14:textId="6300482A" w:rsidR="0030794C" w:rsidRPr="0049423B" w:rsidRDefault="00147FB5" w:rsidP="0049423B">
      <w:pPr>
        <w:pStyle w:val="ListParagraph"/>
        <w:numPr>
          <w:ilvl w:val="0"/>
          <w:numId w:val="11"/>
        </w:numPr>
        <w:spacing w:after="60"/>
        <w:rPr>
          <w:rFonts w:ascii="Arial" w:hAnsi="Arial"/>
          <w:szCs w:val="24"/>
        </w:rPr>
      </w:pPr>
      <w:r w:rsidRPr="00147FB5">
        <w:rPr>
          <w:rFonts w:ascii="Arial" w:hAnsi="Arial"/>
          <w:szCs w:val="24"/>
        </w:rPr>
        <w:t>Net Working Capital was positive in all the five years ranging from BDT 9.38 Lac (FY2022) to BDT 2.09 Crore (FY2024), showing a consistently solvent short term financial position.</w:t>
      </w:r>
    </w:p>
    <w:p w14:paraId="2DC87B0E" w14:textId="3062BA2D" w:rsidR="0030794C" w:rsidRPr="0049423B" w:rsidRDefault="00147FB5" w:rsidP="0049423B">
      <w:pPr>
        <w:pStyle w:val="ListParagraph"/>
        <w:numPr>
          <w:ilvl w:val="0"/>
          <w:numId w:val="11"/>
        </w:numPr>
        <w:spacing w:after="60"/>
        <w:rPr>
          <w:rFonts w:ascii="Arial" w:hAnsi="Arial"/>
          <w:szCs w:val="24"/>
        </w:rPr>
      </w:pPr>
      <w:r w:rsidRPr="00147FB5">
        <w:rPr>
          <w:rFonts w:ascii="Arial" w:hAnsi="Arial"/>
          <w:szCs w:val="24"/>
        </w:rPr>
        <w:t>For five years the average current ratio was around 1.59, which is acceptable for a service firm.</w:t>
      </w:r>
    </w:p>
    <w:p w14:paraId="7F2583F3" w14:textId="2A116531" w:rsidR="0030794C" w:rsidRPr="0049423B" w:rsidRDefault="00147FB5" w:rsidP="0049423B">
      <w:pPr>
        <w:pStyle w:val="ListParagraph"/>
        <w:numPr>
          <w:ilvl w:val="0"/>
          <w:numId w:val="11"/>
        </w:numPr>
        <w:spacing w:after="60"/>
        <w:rPr>
          <w:rFonts w:ascii="Arial" w:hAnsi="Arial"/>
          <w:szCs w:val="24"/>
        </w:rPr>
      </w:pPr>
      <w:r w:rsidRPr="00147FB5">
        <w:rPr>
          <w:rFonts w:ascii="Arial" w:hAnsi="Arial"/>
          <w:szCs w:val="24"/>
        </w:rPr>
        <w:t>The quick ratio has been below 1.0 since FY2022 because of large and growing provisions for taxation which are not immediately payable.</w:t>
      </w:r>
    </w:p>
    <w:p w14:paraId="5D440680" w14:textId="0309D99E" w:rsidR="0030794C" w:rsidRPr="0049423B" w:rsidRDefault="00147FB5" w:rsidP="0049423B">
      <w:pPr>
        <w:pStyle w:val="ListParagraph"/>
        <w:numPr>
          <w:ilvl w:val="0"/>
          <w:numId w:val="11"/>
        </w:numPr>
        <w:spacing w:after="60"/>
        <w:rPr>
          <w:rFonts w:ascii="Arial" w:hAnsi="Arial"/>
          <w:szCs w:val="24"/>
        </w:rPr>
      </w:pPr>
      <w:r w:rsidRPr="00147FB5">
        <w:rPr>
          <w:rFonts w:ascii="Arial" w:hAnsi="Arial"/>
          <w:szCs w:val="24"/>
        </w:rPr>
        <w:t>Cash and cash equivalents have shown a significant variation from a high of BDT 1.70 Crore (FY2021) to a low of BDT 0.78 Crore (FY2022) reflecting deliberate FDR investment decisions.</w:t>
      </w:r>
    </w:p>
    <w:p w14:paraId="15BA34D8" w14:textId="6C9BC2CC" w:rsidR="0030794C" w:rsidRPr="0049423B" w:rsidRDefault="005D6061" w:rsidP="0049423B">
      <w:pPr>
        <w:rPr>
          <w:rFonts w:ascii="Arial" w:hAnsi="Arial"/>
          <w:b/>
          <w:bCs/>
          <w:color w:val="000000" w:themeColor="text1"/>
        </w:rPr>
      </w:pPr>
      <w:r w:rsidRPr="0049423B">
        <w:rPr>
          <w:rFonts w:ascii="Arial" w:hAnsi="Arial"/>
          <w:b/>
          <w:bCs/>
          <w:color w:val="000000" w:themeColor="text1"/>
        </w:rPr>
        <w:t>3</w:t>
      </w:r>
      <w:r w:rsidR="0030794C" w:rsidRPr="0049423B">
        <w:rPr>
          <w:rFonts w:ascii="Arial" w:hAnsi="Arial"/>
          <w:b/>
          <w:bCs/>
          <w:color w:val="000000" w:themeColor="text1"/>
        </w:rPr>
        <w:t xml:space="preserve">. </w:t>
      </w:r>
      <w:r w:rsidR="0030794C" w:rsidRPr="00CA52E8">
        <w:rPr>
          <w:rFonts w:ascii="Arial" w:hAnsi="Arial"/>
          <w:b/>
          <w:bCs/>
          <w:color w:val="000000" w:themeColor="text1"/>
        </w:rPr>
        <w:t>Receivables &amp; Collection</w:t>
      </w:r>
      <w:r w:rsidR="0030794C" w:rsidRPr="0049423B">
        <w:rPr>
          <w:rFonts w:ascii="Arial" w:hAnsi="Arial"/>
          <w:b/>
          <w:bCs/>
          <w:color w:val="000000" w:themeColor="text1"/>
        </w:rPr>
        <w:t xml:space="preserve"> Efficiency</w:t>
      </w:r>
    </w:p>
    <w:p w14:paraId="2389FBDE" w14:textId="5AD3E529" w:rsidR="0030794C" w:rsidRPr="0049423B" w:rsidRDefault="00C34980" w:rsidP="0049423B">
      <w:pPr>
        <w:pStyle w:val="ListParagraph"/>
        <w:numPr>
          <w:ilvl w:val="0"/>
          <w:numId w:val="12"/>
        </w:numPr>
        <w:spacing w:after="60"/>
        <w:rPr>
          <w:rFonts w:ascii="Arial" w:hAnsi="Arial"/>
          <w:szCs w:val="24"/>
        </w:rPr>
      </w:pPr>
      <w:r w:rsidRPr="00C34980">
        <w:rPr>
          <w:rFonts w:ascii="Arial" w:hAnsi="Arial"/>
          <w:szCs w:val="24"/>
        </w:rPr>
        <w:t>Average days to collect receivables were 33.2 days (FY2021) and 61.1 days (FY2022). The large increase in FY2022 is due to the rapid growth in the number of clients, with many new accounts taking time to settle.</w:t>
      </w:r>
    </w:p>
    <w:p w14:paraId="7F902C5E" w14:textId="4979941C" w:rsidR="0030794C" w:rsidRPr="0049423B" w:rsidRDefault="00C34980" w:rsidP="0049423B">
      <w:pPr>
        <w:pStyle w:val="ListParagraph"/>
        <w:numPr>
          <w:ilvl w:val="0"/>
          <w:numId w:val="12"/>
        </w:numPr>
        <w:spacing w:after="60"/>
        <w:rPr>
          <w:rFonts w:ascii="Arial" w:hAnsi="Arial"/>
          <w:szCs w:val="24"/>
        </w:rPr>
      </w:pPr>
      <w:r w:rsidRPr="00C34980">
        <w:rPr>
          <w:rFonts w:ascii="Arial" w:hAnsi="Arial"/>
          <w:szCs w:val="24"/>
        </w:rPr>
        <w:t>Receivable days were acceptable at 45.0 days by FY2025 but indicated an opportunity to tighten collection processes.</w:t>
      </w:r>
    </w:p>
    <w:p w14:paraId="5902FF3E" w14:textId="3A44664D" w:rsidR="0030794C" w:rsidRDefault="00C34980" w:rsidP="0049423B">
      <w:pPr>
        <w:pStyle w:val="ListParagraph"/>
        <w:numPr>
          <w:ilvl w:val="0"/>
          <w:numId w:val="12"/>
        </w:numPr>
        <w:spacing w:after="60"/>
        <w:rPr>
          <w:rFonts w:ascii="Arial" w:hAnsi="Arial"/>
          <w:szCs w:val="24"/>
        </w:rPr>
      </w:pPr>
      <w:r w:rsidRPr="00C34980">
        <w:rPr>
          <w:rFonts w:ascii="Arial" w:hAnsi="Arial"/>
          <w:szCs w:val="24"/>
        </w:rPr>
        <w:t>The company’s clients are mostly Japanese firms, which may have different invoice processing times, resulting in relatively long collection periods.</w:t>
      </w:r>
    </w:p>
    <w:p w14:paraId="6C7C760F" w14:textId="77777777" w:rsidR="00C34980" w:rsidRPr="0049423B" w:rsidRDefault="00C34980" w:rsidP="00C34980">
      <w:pPr>
        <w:pStyle w:val="ListParagraph"/>
        <w:spacing w:after="60"/>
        <w:rPr>
          <w:rFonts w:ascii="Arial" w:hAnsi="Arial"/>
          <w:szCs w:val="24"/>
        </w:rPr>
      </w:pPr>
    </w:p>
    <w:p w14:paraId="6306D958" w14:textId="6F55A1E6" w:rsidR="0030794C" w:rsidRPr="0049423B" w:rsidRDefault="005D6061" w:rsidP="0049423B">
      <w:pPr>
        <w:rPr>
          <w:rFonts w:ascii="Arial" w:hAnsi="Arial"/>
          <w:b/>
          <w:bCs/>
          <w:color w:val="000000" w:themeColor="text1"/>
        </w:rPr>
      </w:pPr>
      <w:r w:rsidRPr="0049423B">
        <w:rPr>
          <w:rFonts w:ascii="Arial" w:hAnsi="Arial"/>
          <w:b/>
          <w:bCs/>
          <w:color w:val="000000" w:themeColor="text1"/>
        </w:rPr>
        <w:lastRenderedPageBreak/>
        <w:t>4</w:t>
      </w:r>
      <w:r w:rsidR="0030794C" w:rsidRPr="0049423B">
        <w:rPr>
          <w:rFonts w:ascii="Arial" w:hAnsi="Arial"/>
          <w:b/>
          <w:bCs/>
          <w:color w:val="000000" w:themeColor="text1"/>
        </w:rPr>
        <w:t xml:space="preserve">. </w:t>
      </w:r>
      <w:r w:rsidR="0030794C" w:rsidRPr="00CA52E8">
        <w:rPr>
          <w:rFonts w:ascii="Arial" w:hAnsi="Arial"/>
          <w:b/>
          <w:bCs/>
          <w:color w:val="000000" w:themeColor="text1"/>
        </w:rPr>
        <w:t>Cash Conversion</w:t>
      </w:r>
      <w:r w:rsidR="0030794C" w:rsidRPr="0049423B">
        <w:rPr>
          <w:rFonts w:ascii="Arial" w:hAnsi="Arial"/>
          <w:b/>
          <w:bCs/>
          <w:color w:val="000000" w:themeColor="text1"/>
        </w:rPr>
        <w:t xml:space="preserve"> Cycle</w:t>
      </w:r>
    </w:p>
    <w:p w14:paraId="18CCED6C" w14:textId="1475B4DE" w:rsidR="0030794C" w:rsidRPr="0049423B" w:rsidRDefault="00C34980" w:rsidP="0049423B">
      <w:pPr>
        <w:pStyle w:val="ListParagraph"/>
        <w:numPr>
          <w:ilvl w:val="0"/>
          <w:numId w:val="13"/>
        </w:numPr>
        <w:spacing w:after="60"/>
        <w:rPr>
          <w:rFonts w:ascii="Arial" w:hAnsi="Arial"/>
          <w:szCs w:val="24"/>
        </w:rPr>
      </w:pPr>
      <w:r w:rsidRPr="00C34980">
        <w:rPr>
          <w:rFonts w:ascii="Arial" w:hAnsi="Arial"/>
          <w:szCs w:val="24"/>
        </w:rPr>
        <w:t>TCF was favorably positioned to receive client advances before incurring full-service costs, as evidenced by the negative CCC in FY2021, FY2022 and FY2023.</w:t>
      </w:r>
    </w:p>
    <w:p w14:paraId="08BD03A8" w14:textId="3B25D614" w:rsidR="0030794C" w:rsidRPr="0049423B" w:rsidRDefault="00C34980" w:rsidP="0049423B">
      <w:pPr>
        <w:pStyle w:val="ListParagraph"/>
        <w:numPr>
          <w:ilvl w:val="0"/>
          <w:numId w:val="13"/>
        </w:numPr>
        <w:spacing w:after="60"/>
        <w:rPr>
          <w:rFonts w:ascii="Arial" w:hAnsi="Arial"/>
          <w:szCs w:val="24"/>
        </w:rPr>
      </w:pPr>
      <w:r w:rsidRPr="00C34980">
        <w:rPr>
          <w:rFonts w:ascii="Arial" w:hAnsi="Arial"/>
          <w:szCs w:val="24"/>
        </w:rPr>
        <w:t>CCC turned positive in FY2024 (+18.5 days) and FY2025 (+21.8 days)</w:t>
      </w:r>
      <w:r>
        <w:rPr>
          <w:rFonts w:ascii="Arial" w:hAnsi="Arial"/>
          <w:szCs w:val="24"/>
        </w:rPr>
        <w:t>-</w:t>
      </w:r>
      <w:r w:rsidRPr="00C34980">
        <w:rPr>
          <w:rFonts w:ascii="Arial" w:hAnsi="Arial"/>
          <w:szCs w:val="24"/>
        </w:rPr>
        <w:t>a reversal where the firm must fund operations before it gets paid by clients.</w:t>
      </w:r>
    </w:p>
    <w:p w14:paraId="4B9DCADE" w14:textId="42D95023" w:rsidR="00A860B6" w:rsidRPr="0049423B" w:rsidRDefault="00C34980" w:rsidP="0049423B">
      <w:pPr>
        <w:pStyle w:val="ListParagraph"/>
        <w:numPr>
          <w:ilvl w:val="0"/>
          <w:numId w:val="13"/>
        </w:numPr>
        <w:spacing w:after="60"/>
        <w:rPr>
          <w:rFonts w:ascii="Arial" w:hAnsi="Arial"/>
          <w:szCs w:val="24"/>
        </w:rPr>
      </w:pPr>
      <w:r w:rsidRPr="00C34980">
        <w:rPr>
          <w:rFonts w:ascii="Arial" w:hAnsi="Arial"/>
          <w:szCs w:val="24"/>
        </w:rPr>
        <w:t>This change requires management attention to ensure timely billing and collection.</w:t>
      </w:r>
    </w:p>
    <w:p w14:paraId="18760785" w14:textId="496A9F31" w:rsidR="0030794C" w:rsidRPr="0049423B" w:rsidRDefault="005D6061" w:rsidP="0049423B">
      <w:pPr>
        <w:rPr>
          <w:rFonts w:ascii="Arial" w:hAnsi="Arial"/>
          <w:b/>
          <w:bCs/>
          <w:color w:val="000000" w:themeColor="text1"/>
        </w:rPr>
      </w:pPr>
      <w:r w:rsidRPr="0049423B">
        <w:rPr>
          <w:rFonts w:ascii="Arial" w:hAnsi="Arial"/>
          <w:b/>
          <w:bCs/>
          <w:color w:val="000000" w:themeColor="text1"/>
        </w:rPr>
        <w:t>5</w:t>
      </w:r>
      <w:r w:rsidR="0030794C" w:rsidRPr="0049423B">
        <w:rPr>
          <w:rFonts w:ascii="Arial" w:hAnsi="Arial"/>
          <w:b/>
          <w:bCs/>
          <w:color w:val="000000" w:themeColor="text1"/>
        </w:rPr>
        <w:t xml:space="preserve">. FDR </w:t>
      </w:r>
      <w:r w:rsidR="0030794C" w:rsidRPr="00CA52E8">
        <w:rPr>
          <w:rFonts w:ascii="Arial" w:hAnsi="Arial"/>
          <w:b/>
          <w:bCs/>
          <w:color w:val="000000" w:themeColor="text1"/>
        </w:rPr>
        <w:t>Strategy &amp; Non-Operating</w:t>
      </w:r>
      <w:r w:rsidR="0030794C" w:rsidRPr="0049423B">
        <w:rPr>
          <w:rFonts w:ascii="Arial" w:hAnsi="Arial"/>
          <w:b/>
          <w:bCs/>
          <w:color w:val="000000" w:themeColor="text1"/>
        </w:rPr>
        <w:t xml:space="preserve"> Income</w:t>
      </w:r>
    </w:p>
    <w:p w14:paraId="631AA75E" w14:textId="5B2E30FD" w:rsidR="0030794C" w:rsidRPr="000209EC" w:rsidRDefault="000209EC" w:rsidP="000209EC">
      <w:pPr>
        <w:pStyle w:val="ListParagraph"/>
        <w:numPr>
          <w:ilvl w:val="0"/>
          <w:numId w:val="14"/>
        </w:numPr>
        <w:spacing w:after="60"/>
        <w:rPr>
          <w:rFonts w:ascii="Arial" w:hAnsi="Arial"/>
          <w:szCs w:val="24"/>
        </w:rPr>
      </w:pPr>
      <w:r w:rsidRPr="000209EC">
        <w:rPr>
          <w:rFonts w:ascii="Arial" w:hAnsi="Arial"/>
          <w:szCs w:val="24"/>
        </w:rPr>
        <w:t>During Fiscal Year (FY) 2021 amounting to BDT 3.33 crore to fiscal year 2025 amounting to BDT 9.79 crore growth, the major portion investment (71.7% in FY 2025) FDR. The amount in 2021 witnessed rise in value.</w:t>
      </w:r>
    </w:p>
    <w:p w14:paraId="1093AAF4" w14:textId="77777777" w:rsidR="0030794C" w:rsidRPr="0049423B" w:rsidRDefault="0030794C" w:rsidP="0049423B">
      <w:pPr>
        <w:pStyle w:val="ListParagraph"/>
        <w:numPr>
          <w:ilvl w:val="0"/>
          <w:numId w:val="14"/>
        </w:numPr>
        <w:spacing w:after="60"/>
        <w:rPr>
          <w:rFonts w:ascii="Arial" w:hAnsi="Arial"/>
          <w:szCs w:val="24"/>
        </w:rPr>
      </w:pPr>
      <w:r w:rsidRPr="0049423B">
        <w:rPr>
          <w:rFonts w:ascii="Arial" w:hAnsi="Arial"/>
          <w:szCs w:val="24"/>
        </w:rPr>
        <w:t>While this is a smart treasury management strategy, it also means that a significant portion of assets are in non-current, illiquid form, keeping operational cash lean.</w:t>
      </w:r>
    </w:p>
    <w:p w14:paraId="0C12090B" w14:textId="45D09C4B" w:rsidR="0030794C" w:rsidRPr="0049423B" w:rsidRDefault="005D6061" w:rsidP="0049423B">
      <w:pPr>
        <w:rPr>
          <w:rFonts w:ascii="Arial" w:hAnsi="Arial"/>
          <w:b/>
          <w:bCs/>
          <w:color w:val="000000" w:themeColor="text1"/>
        </w:rPr>
      </w:pPr>
      <w:r w:rsidRPr="0049423B">
        <w:rPr>
          <w:rFonts w:ascii="Arial" w:hAnsi="Arial"/>
          <w:b/>
          <w:bCs/>
          <w:color w:val="000000" w:themeColor="text1"/>
        </w:rPr>
        <w:t>6</w:t>
      </w:r>
      <w:r w:rsidR="0030794C" w:rsidRPr="0049423B">
        <w:rPr>
          <w:rFonts w:ascii="Arial" w:hAnsi="Arial"/>
          <w:b/>
          <w:bCs/>
          <w:color w:val="000000" w:themeColor="text1"/>
        </w:rPr>
        <w:t>. Provisions &amp; Tax Management</w:t>
      </w:r>
    </w:p>
    <w:p w14:paraId="2AF19987" w14:textId="789E8D79" w:rsidR="0030794C" w:rsidRPr="0049423B" w:rsidRDefault="00945104" w:rsidP="0049423B">
      <w:pPr>
        <w:pStyle w:val="ListParagraph"/>
        <w:numPr>
          <w:ilvl w:val="0"/>
          <w:numId w:val="15"/>
        </w:numPr>
        <w:spacing w:after="60"/>
        <w:rPr>
          <w:rFonts w:ascii="Arial" w:hAnsi="Arial"/>
          <w:szCs w:val="24"/>
        </w:rPr>
      </w:pPr>
      <w:r w:rsidRPr="0049423B">
        <w:rPr>
          <w:rFonts w:ascii="Arial" w:hAnsi="Arial"/>
          <w:szCs w:val="24"/>
        </w:rPr>
        <w:t>Provision for taxation sharply rose from BDT 64.2 Lac (FY2021) to BDT 1.37 Crore (FY2025), following the rise of profits and tax responsibilities of the firm.</w:t>
      </w:r>
    </w:p>
    <w:p w14:paraId="54AA3C71" w14:textId="27243B97" w:rsidR="00A962C6" w:rsidRPr="0049423B" w:rsidRDefault="00945104" w:rsidP="0049423B">
      <w:pPr>
        <w:pStyle w:val="ListParagraph"/>
        <w:numPr>
          <w:ilvl w:val="0"/>
          <w:numId w:val="15"/>
        </w:numPr>
        <w:spacing w:after="60"/>
        <w:rPr>
          <w:rFonts w:ascii="Arial" w:hAnsi="Arial"/>
        </w:rPr>
      </w:pPr>
      <w:r w:rsidRPr="0049423B">
        <w:rPr>
          <w:rFonts w:ascii="Arial" w:hAnsi="Arial"/>
          <w:szCs w:val="24"/>
        </w:rPr>
        <w:t>As a conservative strategy has been employed to maintain appropriate tax provisioning, the possibility of future surprise tax implications has diminished.</w:t>
      </w:r>
    </w:p>
    <w:p w14:paraId="63E5A4B7" w14:textId="77777777" w:rsidR="00C67CE3" w:rsidRDefault="00C67CE3" w:rsidP="00E13EDB">
      <w:pPr>
        <w:spacing w:line="276" w:lineRule="auto"/>
      </w:pPr>
    </w:p>
    <w:p w14:paraId="4E1AACED" w14:textId="77777777" w:rsidR="00C67CE3" w:rsidRDefault="00C67CE3" w:rsidP="00E13EDB">
      <w:pPr>
        <w:spacing w:line="276" w:lineRule="auto"/>
      </w:pPr>
    </w:p>
    <w:p w14:paraId="03B6C442" w14:textId="77777777" w:rsidR="00C67CE3" w:rsidRDefault="00C67CE3" w:rsidP="00E13EDB">
      <w:pPr>
        <w:spacing w:line="276" w:lineRule="auto"/>
      </w:pPr>
    </w:p>
    <w:p w14:paraId="6053056F" w14:textId="77777777" w:rsidR="00C67CE3" w:rsidRDefault="00C67CE3" w:rsidP="00E13EDB">
      <w:pPr>
        <w:spacing w:line="276" w:lineRule="auto"/>
      </w:pPr>
    </w:p>
    <w:p w14:paraId="7EB1B7AA" w14:textId="77777777" w:rsidR="00C67CE3" w:rsidRDefault="00C67CE3" w:rsidP="00E13EDB">
      <w:pPr>
        <w:spacing w:line="276" w:lineRule="auto"/>
      </w:pPr>
    </w:p>
    <w:p w14:paraId="63EADCF1" w14:textId="77777777" w:rsidR="00C67CE3" w:rsidRDefault="00C67CE3" w:rsidP="00E13EDB">
      <w:pPr>
        <w:spacing w:line="276" w:lineRule="auto"/>
      </w:pPr>
    </w:p>
    <w:p w14:paraId="3E4DE5E3" w14:textId="77777777" w:rsidR="00C67CE3" w:rsidRDefault="00C67CE3" w:rsidP="00E13EDB">
      <w:pPr>
        <w:spacing w:line="276" w:lineRule="auto"/>
      </w:pPr>
    </w:p>
    <w:p w14:paraId="3A805BA9" w14:textId="77777777" w:rsidR="00C67CE3" w:rsidRDefault="00C67CE3" w:rsidP="00E13EDB">
      <w:pPr>
        <w:spacing w:line="276" w:lineRule="auto"/>
      </w:pPr>
    </w:p>
    <w:p w14:paraId="095C94DA" w14:textId="77777777" w:rsidR="00C67CE3" w:rsidRDefault="00C67CE3" w:rsidP="00E13EDB">
      <w:pPr>
        <w:spacing w:line="276" w:lineRule="auto"/>
        <w:sectPr w:rsidR="00C67CE3" w:rsidSect="000B5556">
          <w:pgSz w:w="11909" w:h="16834" w:code="9"/>
          <w:pgMar w:top="1440" w:right="1440" w:bottom="1440" w:left="1440" w:header="720" w:footer="720" w:gutter="0"/>
          <w:cols w:space="720"/>
          <w:docGrid w:linePitch="360"/>
        </w:sectPr>
      </w:pPr>
    </w:p>
    <w:p w14:paraId="1AA90219" w14:textId="0BCC59B5" w:rsidR="0030794C" w:rsidRPr="0018264E" w:rsidRDefault="001444C8" w:rsidP="00C67CE3">
      <w:pPr>
        <w:pStyle w:val="Heading2"/>
        <w:rPr>
          <w:rFonts w:ascii="Arial" w:hAnsi="Arial" w:cs="Arial"/>
          <w:sz w:val="28"/>
          <w:szCs w:val="28"/>
        </w:rPr>
      </w:pPr>
      <w:bookmarkStart w:id="117" w:name="_Toc235801968"/>
      <w:r>
        <w:rPr>
          <w:rFonts w:ascii="Arial" w:hAnsi="Arial" w:cs="Arial"/>
          <w:sz w:val="28"/>
          <w:szCs w:val="28"/>
        </w:rPr>
        <w:lastRenderedPageBreak/>
        <w:t>5</w:t>
      </w:r>
      <w:r w:rsidR="0030794C" w:rsidRPr="0018264E">
        <w:rPr>
          <w:rFonts w:ascii="Arial" w:hAnsi="Arial" w:cs="Arial"/>
          <w:sz w:val="28"/>
          <w:szCs w:val="28"/>
        </w:rPr>
        <w:t>.2 Recommendations</w:t>
      </w:r>
      <w:bookmarkEnd w:id="117"/>
    </w:p>
    <w:p w14:paraId="3D6423CC" w14:textId="45BE1815" w:rsidR="00C67CE3" w:rsidRPr="0049423B" w:rsidRDefault="0030794C" w:rsidP="0049423B">
      <w:pPr>
        <w:rPr>
          <w:rFonts w:ascii="Arial" w:hAnsi="Arial"/>
          <w:b/>
          <w:bCs/>
          <w:color w:val="156082" w:themeColor="accent1"/>
        </w:rPr>
      </w:pPr>
      <w:r w:rsidRPr="0049423B">
        <w:rPr>
          <w:rFonts w:ascii="Arial" w:hAnsi="Arial"/>
          <w:b/>
          <w:bCs/>
          <w:color w:val="156082" w:themeColor="accent1"/>
        </w:rPr>
        <w:t>1. Accelerate Receivable Collection</w:t>
      </w:r>
      <w:r w:rsidR="00A962C6" w:rsidRPr="0049423B">
        <w:rPr>
          <w:rFonts w:ascii="Arial" w:hAnsi="Arial"/>
          <w:b/>
          <w:bCs/>
          <w:color w:val="156082" w:themeColor="accent1"/>
        </w:rPr>
        <w:t xml:space="preserve"> </w:t>
      </w:r>
    </w:p>
    <w:p w14:paraId="24082020" w14:textId="75D56C25" w:rsidR="008215E2" w:rsidRPr="0049423B" w:rsidRDefault="008215E2" w:rsidP="0049423B">
      <w:pPr>
        <w:spacing w:after="240"/>
        <w:rPr>
          <w:rFonts w:ascii="Arial" w:hAnsi="Arial"/>
        </w:rPr>
      </w:pPr>
      <w:r w:rsidRPr="0049423B">
        <w:rPr>
          <w:rFonts w:ascii="Arial" w:hAnsi="Arial"/>
        </w:rPr>
        <w:t>In recent fiscal years, the receivable collection period has been gradually increasing, from the 45-day mark up to as high as 61 days. This is a matter which requires attention as it has a direct effect on the liquidity position and working capital efficiency of the firm. In this regard, TCF Bangladesh should be more disciplined and structured in the invoicing process rather than month end billing; that is, change the process of issuing an invoice when the services are delivered to the client. This change would reduce the time which elapsed between value delivery and cash realization and thus speed up the receipt of value delivery receipts.</w:t>
      </w:r>
    </w:p>
    <w:p w14:paraId="3C93F6C3" w14:textId="2CC98733" w:rsidR="000209EC" w:rsidRPr="000209EC" w:rsidRDefault="008215E2" w:rsidP="000209EC">
      <w:pPr>
        <w:spacing w:after="240"/>
        <w:rPr>
          <w:rFonts w:ascii="Arial" w:hAnsi="Arial"/>
        </w:rPr>
      </w:pPr>
      <w:r w:rsidRPr="0049423B">
        <w:rPr>
          <w:rFonts w:ascii="Arial" w:hAnsi="Arial"/>
        </w:rPr>
        <w:t xml:space="preserve">The firm could, meanwhile, implement a “graduation” system for communications with clients, including polite but stern reminders to pay bills that still haven't been paid after 30 days. </w:t>
      </w:r>
      <w:r w:rsidR="000209EC" w:rsidRPr="000209EC">
        <w:rPr>
          <w:rFonts w:ascii="Arial" w:hAnsi="Arial"/>
        </w:rPr>
        <w:t>If done well, with care, this would probably help to build up payment discipline, without harming the quality of the relationship when it comes to clients.</w:t>
      </w:r>
    </w:p>
    <w:p w14:paraId="33B147DE" w14:textId="2AF29D0C" w:rsidR="0030794C" w:rsidRPr="0049423B" w:rsidRDefault="000209EC" w:rsidP="000209EC">
      <w:pPr>
        <w:spacing w:after="240"/>
        <w:rPr>
          <w:rFonts w:ascii="Arial" w:hAnsi="Arial"/>
        </w:rPr>
      </w:pPr>
      <w:r w:rsidRPr="000209EC">
        <w:rPr>
          <w:rFonts w:ascii="Arial" w:hAnsi="Arial"/>
        </w:rPr>
        <w:t>If the average collection time can be brought down from around 45 days to 30 days, it can free up BDT 24 Lac of working capital per annum based on current revenue situation that can be utilized for operational reinvestment,</w:t>
      </w:r>
      <w:r>
        <w:rPr>
          <w:rFonts w:ascii="Arial" w:hAnsi="Arial"/>
        </w:rPr>
        <w:t xml:space="preserve"> </w:t>
      </w:r>
      <w:r w:rsidRPr="000209EC">
        <w:rPr>
          <w:rFonts w:ascii="Arial" w:hAnsi="Arial"/>
        </w:rPr>
        <w:t>debt servicing or strategic investments.</w:t>
      </w:r>
    </w:p>
    <w:p w14:paraId="43DD66C3" w14:textId="77777777" w:rsidR="00C67CE3" w:rsidRPr="0049423B" w:rsidRDefault="0030794C" w:rsidP="0049423B">
      <w:pPr>
        <w:rPr>
          <w:rFonts w:ascii="Arial" w:hAnsi="Arial"/>
          <w:b/>
          <w:bCs/>
          <w:color w:val="156082" w:themeColor="accent1"/>
        </w:rPr>
      </w:pPr>
      <w:r w:rsidRPr="0049423B">
        <w:rPr>
          <w:rFonts w:ascii="Arial" w:hAnsi="Arial"/>
          <w:b/>
          <w:bCs/>
          <w:color w:val="156082" w:themeColor="accent1"/>
        </w:rPr>
        <w:t>2. Maintain a Minimum Operating Cash Reserve</w:t>
      </w:r>
    </w:p>
    <w:p w14:paraId="467C5167" w14:textId="0828FC27" w:rsidR="003B6385" w:rsidRPr="0049423B" w:rsidRDefault="008143FC" w:rsidP="0049423B">
      <w:pPr>
        <w:spacing w:after="240"/>
        <w:rPr>
          <w:rFonts w:ascii="Arial" w:hAnsi="Arial"/>
        </w:rPr>
      </w:pPr>
      <w:r w:rsidRPr="008143FC">
        <w:rPr>
          <w:rFonts w:ascii="Arial" w:hAnsi="Arial"/>
        </w:rPr>
        <w:t>The company’s cash ratio has been relatively low for the last few fiscal years, in the range 0.31 – 0.55. That means that the company’s liquidity was limited in relation to its current liabilities. This doesn’t mean the company is in trouble, but it does mean there’s an opportunity for a more conscious and thoughtful approach to cash management.” It would be helpful if the policy of minimum cash reserve was formalized</w:t>
      </w:r>
      <w:r>
        <w:rPr>
          <w:rFonts w:ascii="Arial" w:hAnsi="Arial"/>
        </w:rPr>
        <w:t xml:space="preserve"> </w:t>
      </w:r>
      <w:r w:rsidRPr="008143FC">
        <w:rPr>
          <w:rFonts w:ascii="Arial" w:hAnsi="Arial"/>
        </w:rPr>
        <w:t>at TCF Bangladesh, for instance always have a minimum reserve of bank account of BDT 50-80 Lac. This policy would provide protection against unforeseen operating costs or short-term liabilities and would improve the overall liquidity position.</w:t>
      </w:r>
    </w:p>
    <w:p w14:paraId="7878D661" w14:textId="420FD7F7" w:rsidR="0030794C" w:rsidRPr="0049423B" w:rsidRDefault="008143FC" w:rsidP="0049423B">
      <w:pPr>
        <w:spacing w:after="240"/>
        <w:rPr>
          <w:rFonts w:ascii="Arial" w:hAnsi="Arial"/>
        </w:rPr>
      </w:pPr>
      <w:r w:rsidRPr="008143FC">
        <w:rPr>
          <w:rFonts w:ascii="Arial" w:hAnsi="Arial"/>
        </w:rPr>
        <w:t xml:space="preserve">Every business organization must invest a portion of their funds in deposits. Liquidity typically refers to an asset that cannot easily be converted into cash. Surplus funds with an organization should be employed, instead of lying idle and made available </w:t>
      </w:r>
      <w:r w:rsidRPr="008143FC">
        <w:rPr>
          <w:rFonts w:ascii="Arial" w:hAnsi="Arial"/>
        </w:rPr>
        <w:lastRenderedPageBreak/>
        <w:t>through assets. Maintain an adequate balance of cash with company to meet its obligations, either in cash office or bank. Once the limit is reached, the extra amount can.</w:t>
      </w:r>
    </w:p>
    <w:p w14:paraId="1B7657F1" w14:textId="77777777" w:rsidR="00C67CE3" w:rsidRPr="0049423B" w:rsidRDefault="0030794C" w:rsidP="0049423B">
      <w:pPr>
        <w:rPr>
          <w:rFonts w:ascii="Arial" w:hAnsi="Arial"/>
          <w:b/>
          <w:bCs/>
          <w:color w:val="156082" w:themeColor="accent1"/>
        </w:rPr>
      </w:pPr>
      <w:r w:rsidRPr="0049423B">
        <w:rPr>
          <w:rFonts w:ascii="Arial" w:hAnsi="Arial"/>
          <w:b/>
          <w:bCs/>
          <w:color w:val="156082" w:themeColor="accent1"/>
        </w:rPr>
        <w:t>3. Monitor Salary Cost Growth</w:t>
      </w:r>
      <w:r w:rsidR="00A962C6" w:rsidRPr="0049423B">
        <w:rPr>
          <w:rFonts w:ascii="Arial" w:hAnsi="Arial"/>
          <w:b/>
          <w:bCs/>
          <w:color w:val="156082" w:themeColor="accent1"/>
        </w:rPr>
        <w:t xml:space="preserve"> </w:t>
      </w:r>
    </w:p>
    <w:p w14:paraId="1E33CF13" w14:textId="12C3848D" w:rsidR="003B6385" w:rsidRPr="0049423B" w:rsidRDefault="008143FC" w:rsidP="0049423B">
      <w:pPr>
        <w:spacing w:after="240"/>
        <w:rPr>
          <w:rFonts w:ascii="Arial" w:hAnsi="Arial"/>
        </w:rPr>
      </w:pPr>
      <w:r w:rsidRPr="008143FC">
        <w:rPr>
          <w:rFonts w:ascii="Arial" w:hAnsi="Arial"/>
        </w:rPr>
        <w:t xml:space="preserve">Salary and allowances are the highest operating expenditure of the firm which increased by 80% from BDT 1.10 Crore in FY2021 to BDT 1.98 Crore in FY2025. </w:t>
      </w:r>
      <w:r w:rsidR="003B6385" w:rsidRPr="0049423B">
        <w:rPr>
          <w:rFonts w:ascii="Arial" w:hAnsi="Arial"/>
        </w:rPr>
        <w:t>This trend is, for the most part, an inevitable and logical result of organizational expansion; larger staff are needed to accept new commitments and maintain service quality. But it is essential that this increase in payroll be accompanied, if not exceeded, by an increase in the revenues of the company, so that the profitability of the company is gradually being reduced due to the increase in the payroll.</w:t>
      </w:r>
    </w:p>
    <w:p w14:paraId="15830B6C" w14:textId="449BDB1A" w:rsidR="0030794C" w:rsidRPr="00C67CE3" w:rsidRDefault="003B6385" w:rsidP="0049423B">
      <w:pPr>
        <w:spacing w:after="240"/>
      </w:pPr>
      <w:r w:rsidRPr="0049423B">
        <w:rPr>
          <w:rFonts w:ascii="Arial" w:hAnsi="Arial"/>
        </w:rPr>
        <w:t>To this end, TCF Bangladesh should be able to set and track a target level for its revenue-to-payroll ratio; a target of 3.0x or more should be maintained consistently. While monitoring this in real time, management can determine if hiring is in line with the firm's revenue generation capabilities and early detect if payroll expenditures are growing at a faster rate than business</w:t>
      </w:r>
      <w:r>
        <w:t>.</w:t>
      </w:r>
    </w:p>
    <w:p w14:paraId="47FCA339" w14:textId="77777777" w:rsidR="00C67CE3" w:rsidRPr="0049423B" w:rsidRDefault="0030794C" w:rsidP="0049423B">
      <w:pPr>
        <w:rPr>
          <w:rFonts w:ascii="Arial" w:hAnsi="Arial"/>
          <w:b/>
          <w:bCs/>
          <w:color w:val="156082" w:themeColor="accent1"/>
        </w:rPr>
      </w:pPr>
      <w:r w:rsidRPr="0049423B">
        <w:rPr>
          <w:rFonts w:ascii="Arial" w:hAnsi="Arial"/>
          <w:b/>
          <w:bCs/>
          <w:color w:val="156082" w:themeColor="accent1"/>
        </w:rPr>
        <w:t>4. Diversify FDR Portfolio for Better Returns</w:t>
      </w:r>
    </w:p>
    <w:p w14:paraId="1D807727" w14:textId="2148A789" w:rsidR="003B6385" w:rsidRPr="0049423B" w:rsidRDefault="0030794C" w:rsidP="0049423B">
      <w:pPr>
        <w:spacing w:after="240"/>
        <w:rPr>
          <w:rFonts w:ascii="Arial" w:hAnsi="Arial"/>
        </w:rPr>
      </w:pPr>
      <w:r w:rsidRPr="0049423B">
        <w:rPr>
          <w:rFonts w:ascii="Arial" w:hAnsi="Arial"/>
        </w:rPr>
        <w:t>TCF</w:t>
      </w:r>
      <w:r w:rsidR="003B6385" w:rsidRPr="0049423B">
        <w:rPr>
          <w:rFonts w:ascii="Arial" w:hAnsi="Arial"/>
        </w:rPr>
        <w:t xml:space="preserve"> Bangladesh holds its Fixed Deposit Receipt (FDR) portfolio in various financial institutions, such as United Commercial Bank Limited (UCBL), BRAC Bank, Ceylon Bank and Prime Bank. The practice of having deposits in multiple banks is a prudent and sound diversification strategy, which helps to reduce the concentration risk and avoids the risk of the firm's funds being over-exposed to the position of a single bank.</w:t>
      </w:r>
    </w:p>
    <w:p w14:paraId="50590FD6" w14:textId="46F845C0" w:rsidR="0030794C" w:rsidRPr="0049423B" w:rsidRDefault="003B6385" w:rsidP="0049423B">
      <w:pPr>
        <w:spacing w:after="240"/>
        <w:rPr>
          <w:rFonts w:ascii="Arial" w:hAnsi="Arial"/>
        </w:rPr>
      </w:pPr>
      <w:r w:rsidRPr="0049423B">
        <w:rPr>
          <w:rFonts w:ascii="Arial" w:hAnsi="Arial"/>
        </w:rPr>
        <w:t>Because of this, the firm should start to implement a maturity-laddering approach, such as offering 1 year, 6 months and 3 months term FDRs. This approach would have two major benefits: one, that a small amount of money deposited in the firm matures at regular intervals, so that the firm can draw on its funds without breaking a deposit prematurely; and two, that the firm can secure relatively higher interest rates, which are often available from longer-term investments, without being locked into an unnecessarily long investment period.</w:t>
      </w:r>
    </w:p>
    <w:p w14:paraId="0CEFD119" w14:textId="77777777" w:rsidR="0049423B" w:rsidRDefault="0049423B" w:rsidP="0049423B">
      <w:pPr>
        <w:rPr>
          <w:rFonts w:ascii="Arial" w:hAnsi="Arial"/>
          <w:b/>
          <w:bCs/>
          <w:color w:val="156082" w:themeColor="accent1"/>
        </w:rPr>
      </w:pPr>
    </w:p>
    <w:p w14:paraId="042FD32E" w14:textId="77777777" w:rsidR="0049423B" w:rsidRDefault="0049423B" w:rsidP="0049423B">
      <w:pPr>
        <w:rPr>
          <w:rFonts w:ascii="Arial" w:hAnsi="Arial"/>
          <w:b/>
          <w:bCs/>
          <w:color w:val="156082" w:themeColor="accent1"/>
        </w:rPr>
      </w:pPr>
    </w:p>
    <w:p w14:paraId="42F6D81D" w14:textId="673555F7" w:rsidR="00C67CE3" w:rsidRPr="0049423B" w:rsidRDefault="0030794C" w:rsidP="0049423B">
      <w:pPr>
        <w:rPr>
          <w:rFonts w:ascii="Arial" w:hAnsi="Arial"/>
          <w:b/>
          <w:bCs/>
          <w:color w:val="156082" w:themeColor="accent1"/>
        </w:rPr>
      </w:pPr>
      <w:r w:rsidRPr="0049423B">
        <w:rPr>
          <w:rFonts w:ascii="Arial" w:hAnsi="Arial"/>
          <w:b/>
          <w:bCs/>
          <w:color w:val="156082" w:themeColor="accent1"/>
        </w:rPr>
        <w:t>5. Streamline Advance Against Fees Management</w:t>
      </w:r>
      <w:r w:rsidR="00A962C6" w:rsidRPr="0049423B">
        <w:rPr>
          <w:rFonts w:ascii="Arial" w:hAnsi="Arial"/>
          <w:b/>
          <w:bCs/>
          <w:color w:val="156082" w:themeColor="accent1"/>
        </w:rPr>
        <w:t xml:space="preserve"> </w:t>
      </w:r>
    </w:p>
    <w:p w14:paraId="7C0DE529" w14:textId="0C813224" w:rsidR="00151F8C" w:rsidRPr="0049423B" w:rsidRDefault="00151F8C" w:rsidP="0049423B">
      <w:pPr>
        <w:spacing w:after="240"/>
        <w:rPr>
          <w:rFonts w:ascii="Arial" w:hAnsi="Arial"/>
        </w:rPr>
      </w:pPr>
      <w:r w:rsidRPr="0049423B">
        <w:rPr>
          <w:rFonts w:ascii="Arial" w:hAnsi="Arial"/>
        </w:rPr>
        <w:t>The amount received as advance against fees representing prepayment of future service has varied significantly during the study period ranging from the lowest of BDT 4.45 Lac to the highest of BDT 2.82 Crore. A positive advantage from a cash flow point of view is that often large advance balances are advantageous because they give the firm immediate cash flow and lessen the need to use receivables financing. These advances, however, are also a contractual obligation to provide services that will bring these amounts into positive cash flow until they are provided, these amounts are a liability.</w:t>
      </w:r>
    </w:p>
    <w:p w14:paraId="2CA6C82E" w14:textId="3C1D58F2" w:rsidR="0030794C" w:rsidRPr="0049423B" w:rsidRDefault="00151F8C" w:rsidP="0049423B">
      <w:pPr>
        <w:spacing w:after="240"/>
        <w:rPr>
          <w:rFonts w:ascii="Arial" w:hAnsi="Arial"/>
        </w:rPr>
      </w:pPr>
      <w:r w:rsidRPr="0049423B">
        <w:rPr>
          <w:rFonts w:ascii="Arial" w:hAnsi="Arial"/>
        </w:rPr>
        <w:t>As a result, TCF Bangladesh should adopt a systematic advance monitoring and control mechanism to facilitate timely and well-timed service delivery process as per the amount of advance received. This would not only ensure a seamless flow and on-time delivery of revenues but also protect client relationships by reducing the potential for conflicts over expectations or delays. A periodic review mechanism to reconcile work advances against completed work can also help management to stay on top of this obligation.</w:t>
      </w:r>
    </w:p>
    <w:p w14:paraId="2F9BE9AC" w14:textId="34573223" w:rsidR="00C67CE3" w:rsidRPr="0049423B" w:rsidRDefault="0030794C" w:rsidP="0049423B">
      <w:pPr>
        <w:rPr>
          <w:rFonts w:ascii="Arial" w:hAnsi="Arial"/>
          <w:b/>
          <w:bCs/>
          <w:color w:val="156082" w:themeColor="accent1"/>
        </w:rPr>
      </w:pPr>
      <w:r w:rsidRPr="0049423B">
        <w:rPr>
          <w:rFonts w:ascii="Arial" w:hAnsi="Arial"/>
          <w:b/>
          <w:bCs/>
          <w:color w:val="156082" w:themeColor="accent1"/>
        </w:rPr>
        <w:t>6. Strengthen Tax Planning</w:t>
      </w:r>
    </w:p>
    <w:p w14:paraId="11CE59C9" w14:textId="2066B4B2" w:rsidR="00151F8C" w:rsidRPr="0049423B" w:rsidRDefault="00151F8C" w:rsidP="0049423B">
      <w:pPr>
        <w:rPr>
          <w:rFonts w:ascii="Arial" w:hAnsi="Arial"/>
          <w:color w:val="000000" w:themeColor="text1"/>
        </w:rPr>
      </w:pPr>
      <w:r w:rsidRPr="0049423B">
        <w:rPr>
          <w:rFonts w:ascii="Arial" w:hAnsi="Arial"/>
          <w:color w:val="000000" w:themeColor="text1"/>
        </w:rPr>
        <w:t xml:space="preserve">The tax provision is a material current liability in the balance sheet which is BDT 1.37 Crore in FY2025. TCF Bangladesh being in the tax advisory industry has a built-in edge in being able to apply its technical skills to improve its own tax situation. Following a strict approach to statutory compliance, the organization can make meaningful reductions to its year-end tax provision liability and remain fully compliant with the regulations, with statutory filing of returns and the assessment and use of all allowable deductions and allowances, and sensible handling of advance tax payments during the year. </w:t>
      </w:r>
    </w:p>
    <w:p w14:paraId="40D2AEBD" w14:textId="77777777" w:rsidR="00FD4A4D" w:rsidRDefault="00FD4A4D" w:rsidP="00E13EDB">
      <w:pPr>
        <w:spacing w:after="80" w:line="276" w:lineRule="auto"/>
        <w:rPr>
          <w:rFonts w:cs="Times New Roman"/>
          <w:szCs w:val="24"/>
        </w:rPr>
        <w:sectPr w:rsidR="00FD4A4D" w:rsidSect="000B5556">
          <w:pgSz w:w="11909" w:h="16834" w:code="9"/>
          <w:pgMar w:top="1440" w:right="1440" w:bottom="1440" w:left="1440" w:header="720" w:footer="720" w:gutter="0"/>
          <w:cols w:space="720"/>
          <w:docGrid w:linePitch="360"/>
        </w:sectPr>
      </w:pPr>
    </w:p>
    <w:p w14:paraId="71DD918A" w14:textId="1473EF63" w:rsidR="0030794C" w:rsidRPr="0018264E" w:rsidRDefault="00690C11" w:rsidP="0018264E">
      <w:pPr>
        <w:pStyle w:val="Heading2"/>
        <w:rPr>
          <w:rFonts w:ascii="Arial" w:hAnsi="Arial" w:cs="Arial"/>
          <w:sz w:val="28"/>
          <w:szCs w:val="28"/>
        </w:rPr>
      </w:pPr>
      <w:bookmarkStart w:id="118" w:name="_Toc235801969"/>
      <w:r>
        <w:rPr>
          <w:rFonts w:ascii="Arial" w:hAnsi="Arial" w:cs="Arial"/>
          <w:sz w:val="28"/>
          <w:szCs w:val="28"/>
        </w:rPr>
        <w:lastRenderedPageBreak/>
        <w:t>5</w:t>
      </w:r>
      <w:r w:rsidR="0049423B" w:rsidRPr="0018264E">
        <w:rPr>
          <w:rFonts w:ascii="Arial" w:hAnsi="Arial" w:cs="Arial"/>
          <w:sz w:val="28"/>
          <w:szCs w:val="28"/>
        </w:rPr>
        <w:t xml:space="preserve">.3 </w:t>
      </w:r>
      <w:r w:rsidR="00A962C6" w:rsidRPr="0018264E">
        <w:rPr>
          <w:rFonts w:ascii="Arial" w:hAnsi="Arial" w:cs="Arial"/>
          <w:sz w:val="28"/>
          <w:szCs w:val="28"/>
        </w:rPr>
        <w:t>Conclusion</w:t>
      </w:r>
      <w:bookmarkEnd w:id="118"/>
    </w:p>
    <w:p w14:paraId="12FB1EA1" w14:textId="77777777" w:rsidR="00151F8C" w:rsidRPr="0049423B" w:rsidRDefault="00151F8C" w:rsidP="0049423B">
      <w:pPr>
        <w:spacing w:after="80"/>
        <w:rPr>
          <w:rFonts w:ascii="Arial" w:hAnsi="Arial"/>
          <w:color w:val="000000" w:themeColor="text1"/>
          <w:szCs w:val="24"/>
        </w:rPr>
      </w:pPr>
      <w:r w:rsidRPr="0049423B">
        <w:rPr>
          <w:rFonts w:ascii="Arial" w:hAnsi="Arial"/>
          <w:color w:val="000000" w:themeColor="text1"/>
          <w:szCs w:val="24"/>
        </w:rPr>
        <w:t>The aim of this report was to make a complete study of Working Capital Management Practices of the Tokyo Consulting Firm Limited, Bangladesh for past five years (FY2021 to FY2025). The analysis encompassed the following ratios: Net working capital, Liquidity ratios, Receivable and Payable management, Cash conversion cycle, Profitability ratios and Cash flow patterns.</w:t>
      </w:r>
    </w:p>
    <w:p w14:paraId="1B1F3784" w14:textId="58EE0970" w:rsidR="00151F8C" w:rsidRPr="0049423B" w:rsidRDefault="00151F8C" w:rsidP="0049423B">
      <w:pPr>
        <w:spacing w:after="80"/>
        <w:rPr>
          <w:rFonts w:ascii="Arial" w:hAnsi="Arial"/>
          <w:color w:val="000000" w:themeColor="text1"/>
          <w:szCs w:val="24"/>
        </w:rPr>
      </w:pPr>
      <w:r w:rsidRPr="0049423B">
        <w:rPr>
          <w:rFonts w:ascii="Arial" w:hAnsi="Arial"/>
          <w:color w:val="000000" w:themeColor="text1"/>
          <w:szCs w:val="24"/>
        </w:rPr>
        <w:t>The analysis shows that TCF Bangladesh is a well-balanced and profitable consulting company that can sustain its financial health. It has a distinct financial feature; the aggressive FDR investment of surplus cash earned from operations has resulted in a dual income model, with non-operating (treasury) income gradually replacing the core business income from consulting. By FY2025, profit generated from FDR interest income alone was over 28% of the total profit, valued at BDT 56.8 Lac.</w:t>
      </w:r>
    </w:p>
    <w:p w14:paraId="58C3BA71" w14:textId="77777777" w:rsidR="00151F8C" w:rsidRPr="0049423B" w:rsidRDefault="00151F8C" w:rsidP="0049423B">
      <w:pPr>
        <w:spacing w:after="80"/>
        <w:rPr>
          <w:rFonts w:ascii="Arial" w:hAnsi="Arial"/>
          <w:color w:val="000000" w:themeColor="text1"/>
          <w:szCs w:val="24"/>
        </w:rPr>
      </w:pPr>
      <w:r w:rsidRPr="0049423B">
        <w:rPr>
          <w:rFonts w:ascii="Arial" w:hAnsi="Arial"/>
          <w:color w:val="000000" w:themeColor="text1"/>
          <w:szCs w:val="24"/>
        </w:rPr>
        <w:t>The company has sufficient liquidity to meet the operating needs, but the recent trend of the quick ratio and cash ratio indicates that the operating cash cushion has been reduced over the past few years. In an industry that is reasonably managed, there is scope to improve the efficiency of collections, especially as the client base expands and collection periods extend.</w:t>
      </w:r>
    </w:p>
    <w:p w14:paraId="017DCB3F" w14:textId="67D45678" w:rsidR="00A962C6" w:rsidRPr="0049423B" w:rsidRDefault="00151F8C" w:rsidP="0049423B">
      <w:pPr>
        <w:spacing w:after="80"/>
        <w:rPr>
          <w:rFonts w:ascii="Arial" w:hAnsi="Arial"/>
          <w:color w:val="000000" w:themeColor="text1"/>
          <w:szCs w:val="24"/>
        </w:rPr>
      </w:pPr>
      <w:r w:rsidRPr="0049423B">
        <w:rPr>
          <w:rFonts w:ascii="Arial" w:hAnsi="Arial"/>
          <w:color w:val="000000" w:themeColor="text1"/>
          <w:szCs w:val="24"/>
        </w:rPr>
        <w:t>Overall, TCF Bangladesh's approach to working capital management is a clear and deliberate effort in the financial philosophy of having a lean working capital, investing the excess cash in safe and income generating instruments and steadily expanding client base. This attitude has been effective for the company as the total equity increased from BDT 5.07 Crore to BDT 11.50 Crore within five years, which is a 127% increase in shareholder value.</w:t>
      </w:r>
    </w:p>
    <w:p w14:paraId="30AA2022" w14:textId="00CA79AA" w:rsidR="0030794C" w:rsidRPr="0049423B" w:rsidRDefault="00151F8C" w:rsidP="0049423B">
      <w:pPr>
        <w:spacing w:after="80"/>
        <w:rPr>
          <w:rFonts w:ascii="Arial" w:hAnsi="Arial"/>
          <w:color w:val="000000" w:themeColor="text1"/>
          <w:szCs w:val="24"/>
        </w:rPr>
      </w:pPr>
      <w:r w:rsidRPr="0049423B">
        <w:rPr>
          <w:rFonts w:ascii="Arial" w:hAnsi="Arial"/>
          <w:color w:val="000000" w:themeColor="text1"/>
          <w:szCs w:val="24"/>
        </w:rPr>
        <w:t>Finally, TCF Bangladesh's management of working capital seems satisfactory for a consulting organization of this size and profile, with potential areas for further financial strengthening in the coming year(s) involving effective strategies targeting improvement in collection of receivable, cash balance policies and expansion of FDR investment portfolios.</w:t>
      </w:r>
    </w:p>
    <w:p w14:paraId="1811E17F" w14:textId="77777777" w:rsidR="0030794C" w:rsidRDefault="0030794C" w:rsidP="00E13EDB">
      <w:pPr>
        <w:spacing w:after="80" w:line="276" w:lineRule="auto"/>
        <w:rPr>
          <w:rFonts w:cs="Times New Roman"/>
          <w:szCs w:val="24"/>
        </w:rPr>
      </w:pPr>
    </w:p>
    <w:p w14:paraId="233AD4B8" w14:textId="77777777" w:rsidR="0030794C" w:rsidRDefault="0030794C" w:rsidP="00E13EDB">
      <w:pPr>
        <w:spacing w:after="80" w:line="276" w:lineRule="auto"/>
        <w:rPr>
          <w:rFonts w:cs="Times New Roman"/>
          <w:szCs w:val="24"/>
        </w:rPr>
      </w:pPr>
    </w:p>
    <w:p w14:paraId="38A793E2" w14:textId="77777777" w:rsidR="0030794C" w:rsidRDefault="0030794C" w:rsidP="00E13EDB">
      <w:pPr>
        <w:spacing w:after="80" w:line="276" w:lineRule="auto"/>
        <w:rPr>
          <w:rFonts w:cs="Times New Roman"/>
          <w:szCs w:val="24"/>
        </w:rPr>
      </w:pPr>
    </w:p>
    <w:p w14:paraId="1381CF0D" w14:textId="77777777" w:rsidR="00FD4A4D" w:rsidRDefault="00FD4A4D" w:rsidP="00E13EDB">
      <w:pPr>
        <w:spacing w:after="80" w:line="276" w:lineRule="auto"/>
        <w:rPr>
          <w:rFonts w:cs="Times New Roman"/>
          <w:szCs w:val="24"/>
        </w:rPr>
        <w:sectPr w:rsidR="00FD4A4D" w:rsidSect="000B5556">
          <w:pgSz w:w="11909" w:h="16834" w:code="9"/>
          <w:pgMar w:top="1440" w:right="1440" w:bottom="1440" w:left="1440" w:header="720" w:footer="720" w:gutter="0"/>
          <w:cols w:space="720"/>
          <w:docGrid w:linePitch="360"/>
        </w:sectPr>
      </w:pPr>
    </w:p>
    <w:p w14:paraId="105FA389" w14:textId="0C192F50" w:rsidR="0030794C" w:rsidRPr="0049423B" w:rsidRDefault="0030794C" w:rsidP="00FD4A4D">
      <w:pPr>
        <w:pStyle w:val="Heading1"/>
        <w:rPr>
          <w:rFonts w:ascii="Arial" w:hAnsi="Arial" w:cs="Arial"/>
          <w:sz w:val="32"/>
          <w:szCs w:val="32"/>
        </w:rPr>
      </w:pPr>
      <w:bookmarkStart w:id="119" w:name="_Toc235801970"/>
      <w:r w:rsidRPr="0049423B">
        <w:rPr>
          <w:rFonts w:ascii="Arial" w:hAnsi="Arial" w:cs="Arial"/>
          <w:sz w:val="32"/>
          <w:szCs w:val="32"/>
        </w:rPr>
        <w:lastRenderedPageBreak/>
        <w:t>R</w:t>
      </w:r>
      <w:r w:rsidR="0049423B">
        <w:rPr>
          <w:rFonts w:ascii="Arial" w:hAnsi="Arial" w:cs="Arial"/>
          <w:sz w:val="32"/>
          <w:szCs w:val="32"/>
        </w:rPr>
        <w:t>EFERENCES</w:t>
      </w:r>
      <w:bookmarkEnd w:id="119"/>
    </w:p>
    <w:p w14:paraId="40117445" w14:textId="77777777" w:rsidR="0030794C" w:rsidRPr="0049423B" w:rsidRDefault="0030794C" w:rsidP="0049423B">
      <w:pPr>
        <w:pStyle w:val="ListParagraph"/>
        <w:numPr>
          <w:ilvl w:val="0"/>
          <w:numId w:val="1"/>
        </w:numPr>
        <w:spacing w:after="60"/>
        <w:contextualSpacing w:val="0"/>
        <w:rPr>
          <w:rFonts w:ascii="Arial" w:hAnsi="Arial"/>
          <w:szCs w:val="24"/>
        </w:rPr>
      </w:pPr>
      <w:r w:rsidRPr="0049423B">
        <w:rPr>
          <w:rFonts w:ascii="Arial" w:hAnsi="Arial"/>
          <w:szCs w:val="24"/>
        </w:rPr>
        <w:t>Deloof, M. (2003). Does working capital management affect profitability of Belgian firms? Journal of Business Finance &amp; Accounting, 30(3-4), 573-588.</w:t>
      </w:r>
    </w:p>
    <w:p w14:paraId="78A64910" w14:textId="77777777" w:rsidR="0030794C" w:rsidRPr="0049423B" w:rsidRDefault="0030794C" w:rsidP="0049423B">
      <w:pPr>
        <w:pStyle w:val="ListParagraph"/>
        <w:numPr>
          <w:ilvl w:val="0"/>
          <w:numId w:val="1"/>
        </w:numPr>
        <w:spacing w:after="60"/>
        <w:contextualSpacing w:val="0"/>
        <w:rPr>
          <w:rFonts w:ascii="Arial" w:hAnsi="Arial"/>
          <w:szCs w:val="24"/>
        </w:rPr>
      </w:pPr>
      <w:r w:rsidRPr="0049423B">
        <w:rPr>
          <w:rFonts w:ascii="Arial" w:hAnsi="Arial"/>
          <w:szCs w:val="24"/>
        </w:rPr>
        <w:t>Filbeck, G., &amp; Krueger, T. M. (2005). An analysis of working capital management results across industries. American Journal of Business, 20(2), 11-20.</w:t>
      </w:r>
    </w:p>
    <w:p w14:paraId="1E4DEE64" w14:textId="77777777" w:rsidR="0030794C" w:rsidRPr="0049423B" w:rsidRDefault="0030794C" w:rsidP="0049423B">
      <w:pPr>
        <w:pStyle w:val="ListParagraph"/>
        <w:numPr>
          <w:ilvl w:val="0"/>
          <w:numId w:val="1"/>
        </w:numPr>
        <w:spacing w:after="60"/>
        <w:contextualSpacing w:val="0"/>
        <w:rPr>
          <w:rFonts w:ascii="Arial" w:hAnsi="Arial"/>
          <w:szCs w:val="24"/>
        </w:rPr>
      </w:pPr>
      <w:proofErr w:type="spellStart"/>
      <w:r w:rsidRPr="0049423B">
        <w:rPr>
          <w:rFonts w:ascii="Arial" w:hAnsi="Arial"/>
          <w:szCs w:val="24"/>
        </w:rPr>
        <w:t>Padachi</w:t>
      </w:r>
      <w:proofErr w:type="spellEnd"/>
      <w:r w:rsidRPr="0049423B">
        <w:rPr>
          <w:rFonts w:ascii="Arial" w:hAnsi="Arial"/>
          <w:szCs w:val="24"/>
        </w:rPr>
        <w:t>, K. (2006). Trends in working capital management and their impact on firms' performance: An analysis of Mauritian small manufacturing firms. International Review of Business Research Papers, 2(2), 45-58.</w:t>
      </w:r>
    </w:p>
    <w:p w14:paraId="2EBF244F" w14:textId="77777777" w:rsidR="0030794C" w:rsidRPr="0049423B" w:rsidRDefault="0030794C" w:rsidP="0049423B">
      <w:pPr>
        <w:pStyle w:val="ListParagraph"/>
        <w:numPr>
          <w:ilvl w:val="0"/>
          <w:numId w:val="1"/>
        </w:numPr>
        <w:spacing w:after="60"/>
        <w:contextualSpacing w:val="0"/>
        <w:rPr>
          <w:rFonts w:ascii="Arial" w:hAnsi="Arial"/>
          <w:szCs w:val="24"/>
        </w:rPr>
      </w:pPr>
      <w:r w:rsidRPr="0049423B">
        <w:rPr>
          <w:rFonts w:ascii="Arial" w:hAnsi="Arial"/>
          <w:szCs w:val="24"/>
          <w:lang w:val="de-DE"/>
        </w:rPr>
        <w:t xml:space="preserve">Shin, H. H., &amp; Soenen, L. (1998). </w:t>
      </w:r>
      <w:r w:rsidRPr="0049423B">
        <w:rPr>
          <w:rFonts w:ascii="Arial" w:hAnsi="Arial"/>
          <w:szCs w:val="24"/>
        </w:rPr>
        <w:t>Efficiency of working capital management and corporate profitability. Financial Practice and Education, 8(2), 37-45.</w:t>
      </w:r>
    </w:p>
    <w:p w14:paraId="75E0A417" w14:textId="77777777" w:rsidR="0030794C" w:rsidRPr="0049423B" w:rsidRDefault="0030794C" w:rsidP="0049423B">
      <w:pPr>
        <w:pStyle w:val="ListParagraph"/>
        <w:numPr>
          <w:ilvl w:val="0"/>
          <w:numId w:val="1"/>
        </w:numPr>
        <w:spacing w:after="60"/>
        <w:contextualSpacing w:val="0"/>
        <w:rPr>
          <w:rFonts w:ascii="Arial" w:hAnsi="Arial"/>
          <w:szCs w:val="24"/>
        </w:rPr>
      </w:pPr>
      <w:r w:rsidRPr="0049423B">
        <w:rPr>
          <w:rFonts w:ascii="Arial" w:hAnsi="Arial"/>
          <w:szCs w:val="24"/>
        </w:rPr>
        <w:t>Brigham, E. F., &amp; Houston, J. F. (2021). Fundamentals of Financial Management (16th ed.). Cengage Learning.</w:t>
      </w:r>
    </w:p>
    <w:p w14:paraId="46040BCD" w14:textId="77777777" w:rsidR="0030794C" w:rsidRPr="0049423B" w:rsidRDefault="0030794C" w:rsidP="0049423B">
      <w:pPr>
        <w:pStyle w:val="ListParagraph"/>
        <w:numPr>
          <w:ilvl w:val="0"/>
          <w:numId w:val="1"/>
        </w:numPr>
        <w:spacing w:after="60"/>
        <w:contextualSpacing w:val="0"/>
        <w:rPr>
          <w:rFonts w:ascii="Arial" w:hAnsi="Arial"/>
          <w:szCs w:val="24"/>
        </w:rPr>
      </w:pPr>
      <w:r w:rsidRPr="0049423B">
        <w:rPr>
          <w:rFonts w:ascii="Arial" w:hAnsi="Arial"/>
          <w:szCs w:val="24"/>
          <w:lang w:val="de-DE"/>
        </w:rPr>
        <w:t xml:space="preserve">Van Horne, J. C., &amp; Wachowicz, J. M. (2008). </w:t>
      </w:r>
      <w:r w:rsidRPr="0049423B">
        <w:rPr>
          <w:rFonts w:ascii="Arial" w:hAnsi="Arial"/>
          <w:szCs w:val="24"/>
        </w:rPr>
        <w:t>Fundamentals of Financial Management (13th ed.). Prentice Hall.</w:t>
      </w:r>
    </w:p>
    <w:p w14:paraId="2445A4A5" w14:textId="77777777" w:rsidR="0030794C" w:rsidRPr="0049423B" w:rsidRDefault="0030794C" w:rsidP="0049423B">
      <w:pPr>
        <w:pStyle w:val="ListParagraph"/>
        <w:numPr>
          <w:ilvl w:val="0"/>
          <w:numId w:val="1"/>
        </w:numPr>
        <w:spacing w:after="60"/>
        <w:contextualSpacing w:val="0"/>
        <w:rPr>
          <w:rFonts w:ascii="Arial" w:hAnsi="Arial"/>
          <w:szCs w:val="24"/>
        </w:rPr>
      </w:pPr>
      <w:r w:rsidRPr="0049423B">
        <w:rPr>
          <w:rFonts w:ascii="Arial" w:hAnsi="Arial"/>
          <w:szCs w:val="24"/>
        </w:rPr>
        <w:t>Tokyo Consulting Firm Limited, Bangladesh. (2021). Annual Financial Statements for the year ended June 30, 2021. Dhaka: Shafiq Basak &amp; Co.</w:t>
      </w:r>
    </w:p>
    <w:p w14:paraId="1ECA1A5F" w14:textId="77777777" w:rsidR="0030794C" w:rsidRPr="0049423B" w:rsidRDefault="0030794C" w:rsidP="0049423B">
      <w:pPr>
        <w:pStyle w:val="ListParagraph"/>
        <w:numPr>
          <w:ilvl w:val="0"/>
          <w:numId w:val="1"/>
        </w:numPr>
        <w:spacing w:after="60"/>
        <w:contextualSpacing w:val="0"/>
        <w:rPr>
          <w:rFonts w:ascii="Arial" w:hAnsi="Arial"/>
          <w:szCs w:val="24"/>
        </w:rPr>
      </w:pPr>
      <w:r w:rsidRPr="0049423B">
        <w:rPr>
          <w:rFonts w:ascii="Arial" w:hAnsi="Arial"/>
          <w:szCs w:val="24"/>
        </w:rPr>
        <w:t>Tokyo Consulting Firm Limited, Bangladesh. (2022). Annual Financial Statements for the year ended June 30, 2022. Dhaka: Shafiq Basak &amp; Co.</w:t>
      </w:r>
    </w:p>
    <w:p w14:paraId="4A626C7A" w14:textId="77777777" w:rsidR="0030794C" w:rsidRPr="0049423B" w:rsidRDefault="0030794C" w:rsidP="0049423B">
      <w:pPr>
        <w:pStyle w:val="ListParagraph"/>
        <w:numPr>
          <w:ilvl w:val="0"/>
          <w:numId w:val="1"/>
        </w:numPr>
        <w:spacing w:after="60"/>
        <w:contextualSpacing w:val="0"/>
        <w:rPr>
          <w:rFonts w:ascii="Arial" w:hAnsi="Arial"/>
          <w:szCs w:val="24"/>
        </w:rPr>
      </w:pPr>
      <w:r w:rsidRPr="0049423B">
        <w:rPr>
          <w:rFonts w:ascii="Arial" w:hAnsi="Arial"/>
          <w:szCs w:val="24"/>
        </w:rPr>
        <w:t>Tokyo Consulting Firm Limited, Bangladesh. (2023). Annual Financial Statements for the year ended June 30, 2023. Dhaka: Shafiq Basak &amp; Co.</w:t>
      </w:r>
    </w:p>
    <w:p w14:paraId="3CE8667A" w14:textId="77777777" w:rsidR="0030794C" w:rsidRPr="0049423B" w:rsidRDefault="0030794C" w:rsidP="0049423B">
      <w:pPr>
        <w:pStyle w:val="ListParagraph"/>
        <w:numPr>
          <w:ilvl w:val="0"/>
          <w:numId w:val="1"/>
        </w:numPr>
        <w:spacing w:after="60"/>
        <w:contextualSpacing w:val="0"/>
        <w:rPr>
          <w:rFonts w:ascii="Arial" w:hAnsi="Arial"/>
          <w:szCs w:val="24"/>
        </w:rPr>
      </w:pPr>
      <w:r w:rsidRPr="0049423B">
        <w:rPr>
          <w:rFonts w:ascii="Arial" w:hAnsi="Arial"/>
          <w:szCs w:val="24"/>
        </w:rPr>
        <w:t>Tokyo Consulting Firm Limited, Bangladesh. (2024). Annual Financial Statements for the year ended June 30, 2024. Dhaka: Shafiq Basak &amp; Co.</w:t>
      </w:r>
    </w:p>
    <w:p w14:paraId="3AB02E36" w14:textId="77777777" w:rsidR="0030794C" w:rsidRPr="0049423B" w:rsidRDefault="0030794C" w:rsidP="0049423B">
      <w:pPr>
        <w:pStyle w:val="ListParagraph"/>
        <w:numPr>
          <w:ilvl w:val="0"/>
          <w:numId w:val="1"/>
        </w:numPr>
        <w:spacing w:after="60"/>
        <w:contextualSpacing w:val="0"/>
        <w:rPr>
          <w:rFonts w:ascii="Arial" w:hAnsi="Arial"/>
          <w:szCs w:val="24"/>
        </w:rPr>
      </w:pPr>
      <w:r w:rsidRPr="0049423B">
        <w:rPr>
          <w:rFonts w:ascii="Arial" w:hAnsi="Arial"/>
          <w:szCs w:val="24"/>
        </w:rPr>
        <w:t>Tokyo Consulting Firm Limited, Bangladesh. (2025). Annual Financial Statements for the year ended June 30, 2025. Dhaka: Shafiq Basak &amp; Co.</w:t>
      </w:r>
    </w:p>
    <w:p w14:paraId="13E9A9EF" w14:textId="77777777" w:rsidR="0030794C" w:rsidRPr="0049423B" w:rsidRDefault="0030794C" w:rsidP="0049423B">
      <w:pPr>
        <w:pStyle w:val="ListParagraph"/>
        <w:numPr>
          <w:ilvl w:val="0"/>
          <w:numId w:val="1"/>
        </w:numPr>
        <w:spacing w:after="60"/>
        <w:contextualSpacing w:val="0"/>
        <w:rPr>
          <w:rFonts w:ascii="Arial" w:hAnsi="Arial"/>
          <w:szCs w:val="24"/>
        </w:rPr>
      </w:pPr>
      <w:r w:rsidRPr="0049423B">
        <w:rPr>
          <w:rFonts w:ascii="Arial" w:hAnsi="Arial"/>
          <w:szCs w:val="24"/>
        </w:rPr>
        <w:t>National Board of Revenue (NBR), Bangladesh. (2023). Income Tax Act 2023. Dhaka: Government of Bangladesh.</w:t>
      </w:r>
    </w:p>
    <w:p w14:paraId="69490F20" w14:textId="0698C857" w:rsidR="0030794C" w:rsidRPr="0049423B" w:rsidRDefault="0030794C" w:rsidP="0049423B">
      <w:pPr>
        <w:pStyle w:val="ListParagraph"/>
        <w:numPr>
          <w:ilvl w:val="0"/>
          <w:numId w:val="1"/>
        </w:numPr>
        <w:spacing w:after="60"/>
        <w:contextualSpacing w:val="0"/>
        <w:rPr>
          <w:rFonts w:ascii="Arial" w:hAnsi="Arial"/>
          <w:szCs w:val="24"/>
        </w:rPr>
      </w:pPr>
      <w:r w:rsidRPr="0049423B">
        <w:rPr>
          <w:rFonts w:ascii="Arial" w:hAnsi="Arial"/>
          <w:szCs w:val="24"/>
        </w:rPr>
        <w:t>National Board of Revenue (NBR), Bangladesh. (2012). VAT and Supplementary Duty Act 2012. Dhaka: Government of Bangladesh.</w:t>
      </w:r>
    </w:p>
    <w:p w14:paraId="32D63F94" w14:textId="77777777" w:rsidR="0030794C" w:rsidRPr="0015313B" w:rsidRDefault="0030794C" w:rsidP="00E13EDB">
      <w:pPr>
        <w:spacing w:line="276" w:lineRule="auto"/>
        <w:rPr>
          <w:rFonts w:cs="Times New Roman"/>
        </w:rPr>
      </w:pPr>
      <w:r w:rsidRPr="0015313B">
        <w:rPr>
          <w:rFonts w:cs="Times New Roman"/>
        </w:rPr>
        <w:br w:type="page"/>
      </w:r>
    </w:p>
    <w:p w14:paraId="1CF42532" w14:textId="4736BBE6" w:rsidR="0030794C" w:rsidRPr="0018264E" w:rsidRDefault="0030794C" w:rsidP="00FD4A4D">
      <w:pPr>
        <w:pStyle w:val="Heading1"/>
        <w:rPr>
          <w:rFonts w:ascii="Arial" w:hAnsi="Arial" w:cs="Arial"/>
          <w:sz w:val="32"/>
          <w:szCs w:val="32"/>
        </w:rPr>
      </w:pPr>
      <w:bookmarkStart w:id="120" w:name="_Toc235801971"/>
      <w:r w:rsidRPr="0018264E">
        <w:rPr>
          <w:rFonts w:ascii="Arial" w:hAnsi="Arial" w:cs="Arial"/>
          <w:sz w:val="32"/>
          <w:szCs w:val="32"/>
        </w:rPr>
        <w:lastRenderedPageBreak/>
        <w:t>A</w:t>
      </w:r>
      <w:r w:rsidR="0049423B" w:rsidRPr="0018264E">
        <w:rPr>
          <w:rFonts w:ascii="Arial" w:hAnsi="Arial" w:cs="Arial"/>
          <w:sz w:val="32"/>
          <w:szCs w:val="32"/>
        </w:rPr>
        <w:t>PPENDIX</w:t>
      </w:r>
      <w:bookmarkEnd w:id="120"/>
    </w:p>
    <w:p w14:paraId="5D43AFE7" w14:textId="77777777" w:rsidR="0030794C" w:rsidRDefault="0030794C" w:rsidP="00E13EDB">
      <w:pPr>
        <w:pStyle w:val="Heading2"/>
        <w:spacing w:before="0" w:line="276" w:lineRule="auto"/>
        <w:rPr>
          <w:rFonts w:ascii="Arial" w:hAnsi="Arial" w:cs="Arial"/>
          <w:bCs/>
          <w:sz w:val="28"/>
          <w:szCs w:val="28"/>
        </w:rPr>
      </w:pPr>
      <w:bookmarkStart w:id="121" w:name="_Toc235801972"/>
      <w:r w:rsidRPr="0018264E">
        <w:rPr>
          <w:rFonts w:ascii="Arial" w:hAnsi="Arial" w:cs="Arial"/>
          <w:bCs/>
          <w:sz w:val="28"/>
          <w:szCs w:val="28"/>
        </w:rPr>
        <w:t>Appendix A: Comprehensive Ratio Summary Table</w:t>
      </w:r>
      <w:bookmarkEnd w:id="121"/>
    </w:p>
    <w:p w14:paraId="5020EE76" w14:textId="554A9A9B" w:rsidR="00F147E8" w:rsidRPr="00F147E8" w:rsidRDefault="00F147E8" w:rsidP="00F147E8">
      <w:pPr>
        <w:pStyle w:val="Caption"/>
        <w:jc w:val="center"/>
        <w:rPr>
          <w:sz w:val="24"/>
          <w:szCs w:val="24"/>
        </w:rPr>
      </w:pPr>
      <w:bookmarkStart w:id="122" w:name="_Toc235803965"/>
      <w:bookmarkStart w:id="123" w:name="_Toc235804218"/>
      <w:r w:rsidRPr="00F147E8">
        <w:rPr>
          <w:sz w:val="24"/>
          <w:szCs w:val="24"/>
        </w:rPr>
        <w:t xml:space="preserve">Table </w:t>
      </w:r>
      <w:r w:rsidRPr="00F147E8">
        <w:rPr>
          <w:sz w:val="24"/>
          <w:szCs w:val="24"/>
        </w:rPr>
        <w:fldChar w:fldCharType="begin"/>
      </w:r>
      <w:r w:rsidRPr="00F147E8">
        <w:rPr>
          <w:sz w:val="24"/>
          <w:szCs w:val="24"/>
        </w:rPr>
        <w:instrText xml:space="preserve"> SEQ Table \* ARABIC </w:instrText>
      </w:r>
      <w:r w:rsidRPr="00F147E8">
        <w:rPr>
          <w:sz w:val="24"/>
          <w:szCs w:val="24"/>
        </w:rPr>
        <w:fldChar w:fldCharType="separate"/>
      </w:r>
      <w:r w:rsidR="003A3DA9">
        <w:rPr>
          <w:noProof/>
          <w:sz w:val="24"/>
          <w:szCs w:val="24"/>
        </w:rPr>
        <w:t>15</w:t>
      </w:r>
      <w:r w:rsidRPr="00F147E8">
        <w:rPr>
          <w:sz w:val="24"/>
          <w:szCs w:val="24"/>
        </w:rPr>
        <w:fldChar w:fldCharType="end"/>
      </w:r>
      <w:r w:rsidRPr="00F147E8">
        <w:rPr>
          <w:sz w:val="24"/>
          <w:szCs w:val="24"/>
        </w:rPr>
        <w:t>.1: Comprehensive Ratio Summary Table</w:t>
      </w:r>
      <w:bookmarkEnd w:id="122"/>
      <w:bookmarkEnd w:id="123"/>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60"/>
        <w:gridCol w:w="1560"/>
        <w:gridCol w:w="1560"/>
        <w:gridCol w:w="1560"/>
        <w:gridCol w:w="1560"/>
        <w:gridCol w:w="1560"/>
      </w:tblGrid>
      <w:tr w:rsidR="00735DB8" w14:paraId="529215C2" w14:textId="77777777" w:rsidTr="00906B09">
        <w:tc>
          <w:tcPr>
            <w:tcW w:w="1560" w:type="dxa"/>
            <w:shd w:val="clear" w:color="auto" w:fill="156082" w:themeFill="accent1"/>
            <w:tcMar>
              <w:top w:w="100" w:type="dxa"/>
              <w:left w:w="120" w:type="dxa"/>
              <w:bottom w:w="100" w:type="dxa"/>
              <w:right w:w="120" w:type="dxa"/>
            </w:tcMar>
            <w:vAlign w:val="center"/>
          </w:tcPr>
          <w:p w14:paraId="08C0085D" w14:textId="77777777" w:rsidR="0030794C" w:rsidRPr="00884492" w:rsidRDefault="0030794C" w:rsidP="00E13EDB">
            <w:pPr>
              <w:spacing w:line="276" w:lineRule="auto"/>
              <w:jc w:val="center"/>
              <w:rPr>
                <w:rFonts w:ascii="Arial" w:hAnsi="Arial"/>
                <w:szCs w:val="24"/>
              </w:rPr>
            </w:pPr>
            <w:r w:rsidRPr="00884492">
              <w:rPr>
                <w:rFonts w:ascii="Arial" w:hAnsi="Arial"/>
                <w:b/>
                <w:bCs/>
                <w:color w:val="FFFFFF"/>
                <w:szCs w:val="24"/>
              </w:rPr>
              <w:t>Ratio</w:t>
            </w:r>
          </w:p>
        </w:tc>
        <w:tc>
          <w:tcPr>
            <w:tcW w:w="1560" w:type="dxa"/>
            <w:shd w:val="clear" w:color="auto" w:fill="156082" w:themeFill="accent1"/>
            <w:tcMar>
              <w:top w:w="100" w:type="dxa"/>
              <w:left w:w="120" w:type="dxa"/>
              <w:bottom w:w="100" w:type="dxa"/>
              <w:right w:w="120" w:type="dxa"/>
            </w:tcMar>
            <w:vAlign w:val="center"/>
          </w:tcPr>
          <w:p w14:paraId="4A0D8A49" w14:textId="4F8FBF6B" w:rsidR="0030794C" w:rsidRPr="00884492" w:rsidRDefault="0030794C" w:rsidP="00E13EDB">
            <w:pPr>
              <w:spacing w:line="276" w:lineRule="auto"/>
              <w:jc w:val="center"/>
              <w:rPr>
                <w:rFonts w:ascii="Arial" w:hAnsi="Arial"/>
                <w:szCs w:val="24"/>
              </w:rPr>
            </w:pPr>
            <w:r w:rsidRPr="00884492">
              <w:rPr>
                <w:rFonts w:ascii="Arial" w:hAnsi="Arial"/>
                <w:b/>
                <w:bCs/>
                <w:color w:val="FFFFFF"/>
                <w:szCs w:val="24"/>
              </w:rPr>
              <w:t xml:space="preserve"> 2021</w:t>
            </w:r>
          </w:p>
        </w:tc>
        <w:tc>
          <w:tcPr>
            <w:tcW w:w="1560" w:type="dxa"/>
            <w:shd w:val="clear" w:color="auto" w:fill="156082" w:themeFill="accent1"/>
            <w:tcMar>
              <w:top w:w="100" w:type="dxa"/>
              <w:left w:w="120" w:type="dxa"/>
              <w:bottom w:w="100" w:type="dxa"/>
              <w:right w:w="120" w:type="dxa"/>
            </w:tcMar>
            <w:vAlign w:val="center"/>
          </w:tcPr>
          <w:p w14:paraId="047EFCB2" w14:textId="3BCB1FD4" w:rsidR="0030794C" w:rsidRPr="00884492" w:rsidRDefault="0030794C" w:rsidP="00E13EDB">
            <w:pPr>
              <w:spacing w:line="276" w:lineRule="auto"/>
              <w:jc w:val="center"/>
              <w:rPr>
                <w:rFonts w:ascii="Arial" w:hAnsi="Arial"/>
                <w:szCs w:val="24"/>
              </w:rPr>
            </w:pPr>
            <w:r w:rsidRPr="00884492">
              <w:rPr>
                <w:rFonts w:ascii="Arial" w:hAnsi="Arial"/>
                <w:b/>
                <w:bCs/>
                <w:color w:val="FFFFFF"/>
                <w:szCs w:val="24"/>
              </w:rPr>
              <w:t>2022</w:t>
            </w:r>
          </w:p>
        </w:tc>
        <w:tc>
          <w:tcPr>
            <w:tcW w:w="1560" w:type="dxa"/>
            <w:shd w:val="clear" w:color="auto" w:fill="156082" w:themeFill="accent1"/>
            <w:tcMar>
              <w:top w:w="100" w:type="dxa"/>
              <w:left w:w="120" w:type="dxa"/>
              <w:bottom w:w="100" w:type="dxa"/>
              <w:right w:w="120" w:type="dxa"/>
            </w:tcMar>
            <w:vAlign w:val="center"/>
          </w:tcPr>
          <w:p w14:paraId="16B0FAE7" w14:textId="2834612B" w:rsidR="0030794C" w:rsidRPr="00884492" w:rsidRDefault="0030794C" w:rsidP="00E13EDB">
            <w:pPr>
              <w:spacing w:line="276" w:lineRule="auto"/>
              <w:jc w:val="center"/>
              <w:rPr>
                <w:rFonts w:ascii="Arial" w:hAnsi="Arial"/>
                <w:szCs w:val="24"/>
              </w:rPr>
            </w:pPr>
            <w:r w:rsidRPr="00884492">
              <w:rPr>
                <w:rFonts w:ascii="Arial" w:hAnsi="Arial"/>
                <w:b/>
                <w:bCs/>
                <w:color w:val="FFFFFF"/>
                <w:szCs w:val="24"/>
              </w:rPr>
              <w:t>2023</w:t>
            </w:r>
          </w:p>
        </w:tc>
        <w:tc>
          <w:tcPr>
            <w:tcW w:w="1560" w:type="dxa"/>
            <w:shd w:val="clear" w:color="auto" w:fill="156082" w:themeFill="accent1"/>
            <w:tcMar>
              <w:top w:w="100" w:type="dxa"/>
              <w:left w:w="120" w:type="dxa"/>
              <w:bottom w:w="100" w:type="dxa"/>
              <w:right w:w="120" w:type="dxa"/>
            </w:tcMar>
            <w:vAlign w:val="center"/>
          </w:tcPr>
          <w:p w14:paraId="1E963946" w14:textId="080D73B5" w:rsidR="0030794C" w:rsidRPr="00884492" w:rsidRDefault="0030794C" w:rsidP="00E13EDB">
            <w:pPr>
              <w:spacing w:line="276" w:lineRule="auto"/>
              <w:jc w:val="center"/>
              <w:rPr>
                <w:rFonts w:ascii="Arial" w:hAnsi="Arial"/>
                <w:szCs w:val="24"/>
              </w:rPr>
            </w:pPr>
            <w:r w:rsidRPr="00884492">
              <w:rPr>
                <w:rFonts w:ascii="Arial" w:hAnsi="Arial"/>
                <w:b/>
                <w:bCs/>
                <w:color w:val="FFFFFF"/>
                <w:szCs w:val="24"/>
              </w:rPr>
              <w:t>2024</w:t>
            </w:r>
          </w:p>
        </w:tc>
        <w:tc>
          <w:tcPr>
            <w:tcW w:w="1560" w:type="dxa"/>
            <w:shd w:val="clear" w:color="auto" w:fill="156082" w:themeFill="accent1"/>
            <w:tcMar>
              <w:top w:w="100" w:type="dxa"/>
              <w:left w:w="120" w:type="dxa"/>
              <w:bottom w:w="100" w:type="dxa"/>
              <w:right w:w="120" w:type="dxa"/>
            </w:tcMar>
            <w:vAlign w:val="center"/>
          </w:tcPr>
          <w:p w14:paraId="0420059B" w14:textId="42898B85" w:rsidR="0030794C" w:rsidRPr="00884492" w:rsidRDefault="0030794C" w:rsidP="00E13EDB">
            <w:pPr>
              <w:spacing w:line="276" w:lineRule="auto"/>
              <w:jc w:val="center"/>
              <w:rPr>
                <w:rFonts w:ascii="Arial" w:hAnsi="Arial"/>
                <w:szCs w:val="24"/>
              </w:rPr>
            </w:pPr>
            <w:r w:rsidRPr="00884492">
              <w:rPr>
                <w:rFonts w:ascii="Arial" w:hAnsi="Arial"/>
                <w:b/>
                <w:bCs/>
                <w:color w:val="FFFFFF"/>
                <w:szCs w:val="24"/>
              </w:rPr>
              <w:t>2025</w:t>
            </w:r>
          </w:p>
        </w:tc>
      </w:tr>
      <w:tr w:rsidR="00735DB8" w14:paraId="0D105CC5" w14:textId="77777777" w:rsidTr="00F96872">
        <w:tc>
          <w:tcPr>
            <w:tcW w:w="1560" w:type="dxa"/>
            <w:shd w:val="clear" w:color="auto" w:fill="FFFFFF"/>
            <w:tcMar>
              <w:top w:w="80" w:type="dxa"/>
              <w:left w:w="120" w:type="dxa"/>
              <w:bottom w:w="80" w:type="dxa"/>
              <w:right w:w="120" w:type="dxa"/>
            </w:tcMar>
          </w:tcPr>
          <w:p w14:paraId="660D4FC7" w14:textId="77777777" w:rsidR="0030794C" w:rsidRPr="008E51B2" w:rsidRDefault="0030794C" w:rsidP="00D96581">
            <w:pPr>
              <w:spacing w:line="276" w:lineRule="auto"/>
              <w:jc w:val="left"/>
              <w:rPr>
                <w:rFonts w:ascii="Arial" w:hAnsi="Arial"/>
                <w:szCs w:val="24"/>
              </w:rPr>
            </w:pPr>
            <w:r w:rsidRPr="008E51B2">
              <w:rPr>
                <w:rFonts w:ascii="Arial" w:hAnsi="Arial"/>
                <w:szCs w:val="24"/>
              </w:rPr>
              <w:t>Current Ratio</w:t>
            </w:r>
          </w:p>
        </w:tc>
        <w:tc>
          <w:tcPr>
            <w:tcW w:w="1560" w:type="dxa"/>
            <w:shd w:val="clear" w:color="auto" w:fill="FFFFFF"/>
            <w:tcMar>
              <w:top w:w="80" w:type="dxa"/>
              <w:left w:w="120" w:type="dxa"/>
              <w:bottom w:w="80" w:type="dxa"/>
              <w:right w:w="120" w:type="dxa"/>
            </w:tcMar>
            <w:vAlign w:val="center"/>
          </w:tcPr>
          <w:p w14:paraId="27BA7EE7" w14:textId="77777777" w:rsidR="0030794C" w:rsidRPr="00884492" w:rsidRDefault="0030794C" w:rsidP="00E13EDB">
            <w:pPr>
              <w:spacing w:line="276" w:lineRule="auto"/>
              <w:jc w:val="center"/>
              <w:rPr>
                <w:rFonts w:ascii="Arial" w:hAnsi="Arial"/>
                <w:szCs w:val="24"/>
              </w:rPr>
            </w:pPr>
            <w:r w:rsidRPr="00884492">
              <w:rPr>
                <w:rFonts w:ascii="Arial" w:hAnsi="Arial"/>
                <w:szCs w:val="24"/>
              </w:rPr>
              <w:t>1.92</w:t>
            </w:r>
          </w:p>
        </w:tc>
        <w:tc>
          <w:tcPr>
            <w:tcW w:w="1560" w:type="dxa"/>
            <w:shd w:val="clear" w:color="auto" w:fill="FFFFFF" w:themeFill="background1"/>
            <w:tcMar>
              <w:top w:w="80" w:type="dxa"/>
              <w:left w:w="120" w:type="dxa"/>
              <w:bottom w:w="80" w:type="dxa"/>
              <w:right w:w="120" w:type="dxa"/>
            </w:tcMar>
            <w:vAlign w:val="center"/>
          </w:tcPr>
          <w:p w14:paraId="38A33631" w14:textId="77777777" w:rsidR="0030794C" w:rsidRPr="00884492" w:rsidRDefault="0030794C" w:rsidP="00E13EDB">
            <w:pPr>
              <w:spacing w:line="276" w:lineRule="auto"/>
              <w:jc w:val="center"/>
              <w:rPr>
                <w:rFonts w:ascii="Arial" w:hAnsi="Arial"/>
                <w:szCs w:val="24"/>
              </w:rPr>
            </w:pPr>
            <w:r w:rsidRPr="00884492">
              <w:rPr>
                <w:rFonts w:ascii="Arial" w:hAnsi="Arial"/>
                <w:szCs w:val="24"/>
              </w:rPr>
              <w:t>1.48</w:t>
            </w:r>
          </w:p>
        </w:tc>
        <w:tc>
          <w:tcPr>
            <w:tcW w:w="1560" w:type="dxa"/>
            <w:shd w:val="clear" w:color="auto" w:fill="FFFFFF"/>
            <w:tcMar>
              <w:top w:w="80" w:type="dxa"/>
              <w:left w:w="120" w:type="dxa"/>
              <w:bottom w:w="80" w:type="dxa"/>
              <w:right w:w="120" w:type="dxa"/>
            </w:tcMar>
            <w:vAlign w:val="center"/>
          </w:tcPr>
          <w:p w14:paraId="6862BA35" w14:textId="77777777" w:rsidR="0030794C" w:rsidRPr="00884492" w:rsidRDefault="0030794C" w:rsidP="00E13EDB">
            <w:pPr>
              <w:spacing w:line="276" w:lineRule="auto"/>
              <w:jc w:val="center"/>
              <w:rPr>
                <w:rFonts w:ascii="Arial" w:hAnsi="Arial"/>
                <w:szCs w:val="24"/>
              </w:rPr>
            </w:pPr>
            <w:r w:rsidRPr="00884492">
              <w:rPr>
                <w:rFonts w:ascii="Arial" w:hAnsi="Arial"/>
                <w:szCs w:val="24"/>
              </w:rPr>
              <w:t>1.33</w:t>
            </w:r>
          </w:p>
        </w:tc>
        <w:tc>
          <w:tcPr>
            <w:tcW w:w="1560" w:type="dxa"/>
            <w:shd w:val="clear" w:color="auto" w:fill="FFFFFF" w:themeFill="background1"/>
            <w:tcMar>
              <w:top w:w="80" w:type="dxa"/>
              <w:left w:w="120" w:type="dxa"/>
              <w:bottom w:w="80" w:type="dxa"/>
              <w:right w:w="120" w:type="dxa"/>
            </w:tcMar>
            <w:vAlign w:val="center"/>
          </w:tcPr>
          <w:p w14:paraId="2E8E7D3D" w14:textId="77777777" w:rsidR="0030794C" w:rsidRPr="00884492" w:rsidRDefault="0030794C" w:rsidP="00E13EDB">
            <w:pPr>
              <w:spacing w:line="276" w:lineRule="auto"/>
              <w:jc w:val="center"/>
              <w:rPr>
                <w:rFonts w:ascii="Arial" w:hAnsi="Arial"/>
                <w:szCs w:val="24"/>
              </w:rPr>
            </w:pPr>
            <w:r w:rsidRPr="00884492">
              <w:rPr>
                <w:rFonts w:ascii="Arial" w:hAnsi="Arial"/>
                <w:szCs w:val="24"/>
              </w:rPr>
              <w:t>1.80</w:t>
            </w:r>
          </w:p>
        </w:tc>
        <w:tc>
          <w:tcPr>
            <w:tcW w:w="1560" w:type="dxa"/>
            <w:shd w:val="clear" w:color="auto" w:fill="FFFFFF"/>
            <w:tcMar>
              <w:top w:w="80" w:type="dxa"/>
              <w:left w:w="120" w:type="dxa"/>
              <w:bottom w:w="80" w:type="dxa"/>
              <w:right w:w="120" w:type="dxa"/>
            </w:tcMar>
            <w:vAlign w:val="center"/>
          </w:tcPr>
          <w:p w14:paraId="2B675BE9" w14:textId="77777777" w:rsidR="0030794C" w:rsidRPr="00884492" w:rsidRDefault="0030794C" w:rsidP="00E13EDB">
            <w:pPr>
              <w:spacing w:line="276" w:lineRule="auto"/>
              <w:jc w:val="center"/>
              <w:rPr>
                <w:rFonts w:ascii="Arial" w:hAnsi="Arial"/>
                <w:szCs w:val="24"/>
              </w:rPr>
            </w:pPr>
            <w:r w:rsidRPr="00884492">
              <w:rPr>
                <w:rFonts w:ascii="Arial" w:hAnsi="Arial"/>
                <w:szCs w:val="24"/>
              </w:rPr>
              <w:t>1.75</w:t>
            </w:r>
          </w:p>
        </w:tc>
      </w:tr>
      <w:tr w:rsidR="00735DB8" w14:paraId="3B09415A" w14:textId="77777777" w:rsidTr="00F96872">
        <w:tc>
          <w:tcPr>
            <w:tcW w:w="1560" w:type="dxa"/>
            <w:shd w:val="clear" w:color="auto" w:fill="FFFFFF" w:themeFill="background1"/>
            <w:tcMar>
              <w:top w:w="80" w:type="dxa"/>
              <w:left w:w="120" w:type="dxa"/>
              <w:bottom w:w="80" w:type="dxa"/>
              <w:right w:w="120" w:type="dxa"/>
            </w:tcMar>
          </w:tcPr>
          <w:p w14:paraId="595A340E" w14:textId="77777777" w:rsidR="0030794C" w:rsidRPr="008E51B2" w:rsidRDefault="0030794C" w:rsidP="00D96581">
            <w:pPr>
              <w:spacing w:line="276" w:lineRule="auto"/>
              <w:jc w:val="left"/>
              <w:rPr>
                <w:rFonts w:ascii="Arial" w:hAnsi="Arial"/>
                <w:szCs w:val="24"/>
              </w:rPr>
            </w:pPr>
            <w:r w:rsidRPr="008E51B2">
              <w:rPr>
                <w:rFonts w:ascii="Arial" w:hAnsi="Arial"/>
                <w:szCs w:val="24"/>
              </w:rPr>
              <w:t>Quick Ratio</w:t>
            </w:r>
          </w:p>
        </w:tc>
        <w:tc>
          <w:tcPr>
            <w:tcW w:w="1560" w:type="dxa"/>
            <w:shd w:val="clear" w:color="auto" w:fill="FFFFFF" w:themeFill="background1"/>
            <w:tcMar>
              <w:top w:w="80" w:type="dxa"/>
              <w:left w:w="120" w:type="dxa"/>
              <w:bottom w:w="80" w:type="dxa"/>
              <w:right w:w="120" w:type="dxa"/>
            </w:tcMar>
            <w:vAlign w:val="center"/>
          </w:tcPr>
          <w:p w14:paraId="748BE096" w14:textId="77777777" w:rsidR="0030794C" w:rsidRPr="00884492" w:rsidRDefault="0030794C" w:rsidP="00E13EDB">
            <w:pPr>
              <w:spacing w:line="276" w:lineRule="auto"/>
              <w:jc w:val="center"/>
              <w:rPr>
                <w:rFonts w:ascii="Arial" w:hAnsi="Arial"/>
                <w:szCs w:val="24"/>
              </w:rPr>
            </w:pPr>
            <w:r w:rsidRPr="00884492">
              <w:rPr>
                <w:rFonts w:ascii="Arial" w:hAnsi="Arial"/>
                <w:szCs w:val="24"/>
              </w:rPr>
              <w:t>1.40</w:t>
            </w:r>
          </w:p>
        </w:tc>
        <w:tc>
          <w:tcPr>
            <w:tcW w:w="1560" w:type="dxa"/>
            <w:shd w:val="clear" w:color="auto" w:fill="FFFFFF" w:themeFill="background1"/>
            <w:tcMar>
              <w:top w:w="80" w:type="dxa"/>
              <w:left w:w="120" w:type="dxa"/>
              <w:bottom w:w="80" w:type="dxa"/>
              <w:right w:w="120" w:type="dxa"/>
            </w:tcMar>
            <w:vAlign w:val="center"/>
          </w:tcPr>
          <w:p w14:paraId="3533E316" w14:textId="77777777" w:rsidR="0030794C" w:rsidRPr="00884492" w:rsidRDefault="0030794C" w:rsidP="00E13EDB">
            <w:pPr>
              <w:spacing w:line="276" w:lineRule="auto"/>
              <w:jc w:val="center"/>
              <w:rPr>
                <w:rFonts w:ascii="Arial" w:hAnsi="Arial"/>
                <w:szCs w:val="24"/>
              </w:rPr>
            </w:pPr>
            <w:r w:rsidRPr="00884492">
              <w:rPr>
                <w:rFonts w:ascii="Arial" w:hAnsi="Arial"/>
                <w:szCs w:val="24"/>
              </w:rPr>
              <w:t>0.80</w:t>
            </w:r>
          </w:p>
        </w:tc>
        <w:tc>
          <w:tcPr>
            <w:tcW w:w="1560" w:type="dxa"/>
            <w:shd w:val="clear" w:color="auto" w:fill="FFFFFF" w:themeFill="background1"/>
            <w:tcMar>
              <w:top w:w="80" w:type="dxa"/>
              <w:left w:w="120" w:type="dxa"/>
              <w:bottom w:w="80" w:type="dxa"/>
              <w:right w:w="120" w:type="dxa"/>
            </w:tcMar>
            <w:vAlign w:val="center"/>
          </w:tcPr>
          <w:p w14:paraId="229BA1EE" w14:textId="77777777" w:rsidR="0030794C" w:rsidRPr="00884492" w:rsidRDefault="0030794C" w:rsidP="00E13EDB">
            <w:pPr>
              <w:spacing w:line="276" w:lineRule="auto"/>
              <w:jc w:val="center"/>
              <w:rPr>
                <w:rFonts w:ascii="Arial" w:hAnsi="Arial"/>
                <w:szCs w:val="24"/>
              </w:rPr>
            </w:pPr>
            <w:r w:rsidRPr="00884492">
              <w:rPr>
                <w:rFonts w:ascii="Arial" w:hAnsi="Arial"/>
                <w:szCs w:val="24"/>
              </w:rPr>
              <w:t>0.57</w:t>
            </w:r>
          </w:p>
        </w:tc>
        <w:tc>
          <w:tcPr>
            <w:tcW w:w="1560" w:type="dxa"/>
            <w:shd w:val="clear" w:color="auto" w:fill="FFFFFF" w:themeFill="background1"/>
            <w:tcMar>
              <w:top w:w="80" w:type="dxa"/>
              <w:left w:w="120" w:type="dxa"/>
              <w:bottom w:w="80" w:type="dxa"/>
              <w:right w:w="120" w:type="dxa"/>
            </w:tcMar>
            <w:vAlign w:val="center"/>
          </w:tcPr>
          <w:p w14:paraId="479FE042" w14:textId="77777777" w:rsidR="0030794C" w:rsidRPr="00884492" w:rsidRDefault="0030794C" w:rsidP="00E13EDB">
            <w:pPr>
              <w:spacing w:line="276" w:lineRule="auto"/>
              <w:jc w:val="center"/>
              <w:rPr>
                <w:rFonts w:ascii="Arial" w:hAnsi="Arial"/>
                <w:szCs w:val="24"/>
              </w:rPr>
            </w:pPr>
            <w:r w:rsidRPr="00884492">
              <w:rPr>
                <w:rFonts w:ascii="Arial" w:hAnsi="Arial"/>
                <w:szCs w:val="24"/>
              </w:rPr>
              <w:t>0.79</w:t>
            </w:r>
          </w:p>
        </w:tc>
        <w:tc>
          <w:tcPr>
            <w:tcW w:w="1560" w:type="dxa"/>
            <w:shd w:val="clear" w:color="auto" w:fill="FFFFFF" w:themeFill="background1"/>
            <w:tcMar>
              <w:top w:w="80" w:type="dxa"/>
              <w:left w:w="120" w:type="dxa"/>
              <w:bottom w:w="80" w:type="dxa"/>
              <w:right w:w="120" w:type="dxa"/>
            </w:tcMar>
            <w:vAlign w:val="center"/>
          </w:tcPr>
          <w:p w14:paraId="5B6B11AD" w14:textId="77777777" w:rsidR="0030794C" w:rsidRPr="00884492" w:rsidRDefault="0030794C" w:rsidP="00E13EDB">
            <w:pPr>
              <w:spacing w:line="276" w:lineRule="auto"/>
              <w:jc w:val="center"/>
              <w:rPr>
                <w:rFonts w:ascii="Arial" w:hAnsi="Arial"/>
                <w:szCs w:val="24"/>
              </w:rPr>
            </w:pPr>
            <w:r w:rsidRPr="00884492">
              <w:rPr>
                <w:rFonts w:ascii="Arial" w:hAnsi="Arial"/>
                <w:szCs w:val="24"/>
              </w:rPr>
              <w:t>0.68</w:t>
            </w:r>
          </w:p>
        </w:tc>
      </w:tr>
      <w:tr w:rsidR="00735DB8" w14:paraId="0CA04A76" w14:textId="77777777" w:rsidTr="00F96872">
        <w:tc>
          <w:tcPr>
            <w:tcW w:w="1560" w:type="dxa"/>
            <w:shd w:val="clear" w:color="auto" w:fill="FFFFFF"/>
            <w:tcMar>
              <w:top w:w="80" w:type="dxa"/>
              <w:left w:w="120" w:type="dxa"/>
              <w:bottom w:w="80" w:type="dxa"/>
              <w:right w:w="120" w:type="dxa"/>
            </w:tcMar>
          </w:tcPr>
          <w:p w14:paraId="3D5240AF" w14:textId="77777777" w:rsidR="0030794C" w:rsidRPr="008E51B2" w:rsidRDefault="0030794C" w:rsidP="00D96581">
            <w:pPr>
              <w:spacing w:line="276" w:lineRule="auto"/>
              <w:jc w:val="left"/>
              <w:rPr>
                <w:rFonts w:ascii="Arial" w:hAnsi="Arial"/>
                <w:szCs w:val="24"/>
              </w:rPr>
            </w:pPr>
            <w:r w:rsidRPr="008E51B2">
              <w:rPr>
                <w:rFonts w:ascii="Arial" w:hAnsi="Arial"/>
                <w:szCs w:val="24"/>
              </w:rPr>
              <w:t>Cash Ratio</w:t>
            </w:r>
          </w:p>
        </w:tc>
        <w:tc>
          <w:tcPr>
            <w:tcW w:w="1560" w:type="dxa"/>
            <w:shd w:val="clear" w:color="auto" w:fill="FFFFFF"/>
            <w:tcMar>
              <w:top w:w="80" w:type="dxa"/>
              <w:left w:w="120" w:type="dxa"/>
              <w:bottom w:w="80" w:type="dxa"/>
              <w:right w:w="120" w:type="dxa"/>
            </w:tcMar>
            <w:vAlign w:val="center"/>
          </w:tcPr>
          <w:p w14:paraId="178857D6" w14:textId="77777777" w:rsidR="0030794C" w:rsidRPr="00884492" w:rsidRDefault="0030794C" w:rsidP="00E13EDB">
            <w:pPr>
              <w:spacing w:line="276" w:lineRule="auto"/>
              <w:jc w:val="center"/>
              <w:rPr>
                <w:rFonts w:ascii="Arial" w:hAnsi="Arial"/>
                <w:szCs w:val="24"/>
              </w:rPr>
            </w:pPr>
            <w:r w:rsidRPr="00884492">
              <w:rPr>
                <w:rFonts w:ascii="Arial" w:hAnsi="Arial"/>
                <w:szCs w:val="24"/>
              </w:rPr>
              <w:t>1.14</w:t>
            </w:r>
          </w:p>
        </w:tc>
        <w:tc>
          <w:tcPr>
            <w:tcW w:w="1560" w:type="dxa"/>
            <w:shd w:val="clear" w:color="auto" w:fill="FFFFFF" w:themeFill="background1"/>
            <w:tcMar>
              <w:top w:w="80" w:type="dxa"/>
              <w:left w:w="120" w:type="dxa"/>
              <w:bottom w:w="80" w:type="dxa"/>
              <w:right w:w="120" w:type="dxa"/>
            </w:tcMar>
            <w:vAlign w:val="center"/>
          </w:tcPr>
          <w:p w14:paraId="649E738C" w14:textId="77777777" w:rsidR="0030794C" w:rsidRPr="00884492" w:rsidRDefault="0030794C" w:rsidP="00E13EDB">
            <w:pPr>
              <w:spacing w:line="276" w:lineRule="auto"/>
              <w:jc w:val="center"/>
              <w:rPr>
                <w:rFonts w:ascii="Arial" w:hAnsi="Arial"/>
                <w:szCs w:val="24"/>
              </w:rPr>
            </w:pPr>
            <w:r w:rsidRPr="00884492">
              <w:rPr>
                <w:rFonts w:ascii="Arial" w:hAnsi="Arial"/>
                <w:szCs w:val="24"/>
              </w:rPr>
              <w:t>0.40</w:t>
            </w:r>
          </w:p>
        </w:tc>
        <w:tc>
          <w:tcPr>
            <w:tcW w:w="1560" w:type="dxa"/>
            <w:shd w:val="clear" w:color="auto" w:fill="FFFFFF"/>
            <w:tcMar>
              <w:top w:w="80" w:type="dxa"/>
              <w:left w:w="120" w:type="dxa"/>
              <w:bottom w:w="80" w:type="dxa"/>
              <w:right w:w="120" w:type="dxa"/>
            </w:tcMar>
            <w:vAlign w:val="center"/>
          </w:tcPr>
          <w:p w14:paraId="2DC3B4A7" w14:textId="77777777" w:rsidR="0030794C" w:rsidRPr="00884492" w:rsidRDefault="0030794C" w:rsidP="00E13EDB">
            <w:pPr>
              <w:spacing w:line="276" w:lineRule="auto"/>
              <w:jc w:val="center"/>
              <w:rPr>
                <w:rFonts w:ascii="Arial" w:hAnsi="Arial"/>
                <w:szCs w:val="24"/>
              </w:rPr>
            </w:pPr>
            <w:r w:rsidRPr="00884492">
              <w:rPr>
                <w:rFonts w:ascii="Arial" w:hAnsi="Arial"/>
                <w:szCs w:val="24"/>
              </w:rPr>
              <w:t>0.31</w:t>
            </w:r>
          </w:p>
        </w:tc>
        <w:tc>
          <w:tcPr>
            <w:tcW w:w="1560" w:type="dxa"/>
            <w:shd w:val="clear" w:color="auto" w:fill="FFFFFF" w:themeFill="background1"/>
            <w:tcMar>
              <w:top w:w="80" w:type="dxa"/>
              <w:left w:w="120" w:type="dxa"/>
              <w:bottom w:w="80" w:type="dxa"/>
              <w:right w:w="120" w:type="dxa"/>
            </w:tcMar>
            <w:vAlign w:val="center"/>
          </w:tcPr>
          <w:p w14:paraId="47F628A2" w14:textId="77777777" w:rsidR="0030794C" w:rsidRPr="00884492" w:rsidRDefault="0030794C" w:rsidP="00E13EDB">
            <w:pPr>
              <w:spacing w:line="276" w:lineRule="auto"/>
              <w:jc w:val="center"/>
              <w:rPr>
                <w:rFonts w:ascii="Arial" w:hAnsi="Arial"/>
                <w:szCs w:val="24"/>
              </w:rPr>
            </w:pPr>
            <w:r w:rsidRPr="00884492">
              <w:rPr>
                <w:rFonts w:ascii="Arial" w:hAnsi="Arial"/>
                <w:szCs w:val="24"/>
              </w:rPr>
              <w:t>0.55</w:t>
            </w:r>
          </w:p>
        </w:tc>
        <w:tc>
          <w:tcPr>
            <w:tcW w:w="1560" w:type="dxa"/>
            <w:shd w:val="clear" w:color="auto" w:fill="FFFFFF"/>
            <w:tcMar>
              <w:top w:w="80" w:type="dxa"/>
              <w:left w:w="120" w:type="dxa"/>
              <w:bottom w:w="80" w:type="dxa"/>
              <w:right w:w="120" w:type="dxa"/>
            </w:tcMar>
            <w:vAlign w:val="center"/>
          </w:tcPr>
          <w:p w14:paraId="4981B102" w14:textId="77777777" w:rsidR="0030794C" w:rsidRPr="00884492" w:rsidRDefault="0030794C" w:rsidP="00E13EDB">
            <w:pPr>
              <w:spacing w:line="276" w:lineRule="auto"/>
              <w:jc w:val="center"/>
              <w:rPr>
                <w:rFonts w:ascii="Arial" w:hAnsi="Arial"/>
                <w:szCs w:val="24"/>
              </w:rPr>
            </w:pPr>
            <w:r w:rsidRPr="00884492">
              <w:rPr>
                <w:rFonts w:ascii="Arial" w:hAnsi="Arial"/>
                <w:szCs w:val="24"/>
              </w:rPr>
              <w:t>0.35</w:t>
            </w:r>
          </w:p>
        </w:tc>
      </w:tr>
      <w:tr w:rsidR="00735DB8" w14:paraId="6C9947BE" w14:textId="77777777" w:rsidTr="00F96872">
        <w:tc>
          <w:tcPr>
            <w:tcW w:w="1560" w:type="dxa"/>
            <w:shd w:val="clear" w:color="auto" w:fill="FFFFFF" w:themeFill="background1"/>
            <w:tcMar>
              <w:top w:w="80" w:type="dxa"/>
              <w:left w:w="120" w:type="dxa"/>
              <w:bottom w:w="80" w:type="dxa"/>
              <w:right w:w="120" w:type="dxa"/>
            </w:tcMar>
          </w:tcPr>
          <w:p w14:paraId="67C396B5" w14:textId="00685F8F" w:rsidR="0030794C" w:rsidRPr="008E51B2" w:rsidRDefault="0030794C" w:rsidP="00D96581">
            <w:pPr>
              <w:spacing w:line="276" w:lineRule="auto"/>
              <w:jc w:val="left"/>
              <w:rPr>
                <w:rFonts w:ascii="Arial" w:hAnsi="Arial"/>
                <w:szCs w:val="24"/>
              </w:rPr>
            </w:pPr>
            <w:r w:rsidRPr="008E51B2">
              <w:rPr>
                <w:rFonts w:ascii="Arial" w:hAnsi="Arial"/>
                <w:szCs w:val="24"/>
              </w:rPr>
              <w:t xml:space="preserve">Receivable </w:t>
            </w:r>
            <w:r w:rsidR="00160255" w:rsidRPr="008E51B2">
              <w:rPr>
                <w:rFonts w:ascii="Arial" w:hAnsi="Arial"/>
                <w:szCs w:val="24"/>
              </w:rPr>
              <w:t>Days</w:t>
            </w:r>
            <w:r w:rsidR="008E51B2">
              <w:rPr>
                <w:rFonts w:ascii="Arial" w:hAnsi="Arial"/>
                <w:szCs w:val="24"/>
              </w:rPr>
              <w:t xml:space="preserve"> </w:t>
            </w:r>
            <w:r w:rsidR="00160255" w:rsidRPr="008E51B2">
              <w:rPr>
                <w:rFonts w:ascii="Arial" w:hAnsi="Arial"/>
                <w:szCs w:val="24"/>
              </w:rPr>
              <w:t>(Days)</w:t>
            </w:r>
          </w:p>
        </w:tc>
        <w:tc>
          <w:tcPr>
            <w:tcW w:w="1560" w:type="dxa"/>
            <w:shd w:val="clear" w:color="auto" w:fill="FFFFFF" w:themeFill="background1"/>
            <w:tcMar>
              <w:top w:w="80" w:type="dxa"/>
              <w:left w:w="120" w:type="dxa"/>
              <w:bottom w:w="80" w:type="dxa"/>
              <w:right w:w="120" w:type="dxa"/>
            </w:tcMar>
            <w:vAlign w:val="center"/>
          </w:tcPr>
          <w:p w14:paraId="55799590" w14:textId="23CB9C3C" w:rsidR="0030794C" w:rsidRPr="00884492" w:rsidRDefault="0030794C" w:rsidP="00E13EDB">
            <w:pPr>
              <w:spacing w:line="276" w:lineRule="auto"/>
              <w:jc w:val="center"/>
              <w:rPr>
                <w:rFonts w:ascii="Arial" w:hAnsi="Arial"/>
                <w:szCs w:val="24"/>
              </w:rPr>
            </w:pPr>
            <w:r w:rsidRPr="00884492">
              <w:rPr>
                <w:rFonts w:ascii="Arial" w:hAnsi="Arial"/>
                <w:szCs w:val="24"/>
              </w:rPr>
              <w:t>33</w:t>
            </w:r>
            <w:r w:rsidR="00E453FB" w:rsidRPr="00884492">
              <w:rPr>
                <w:rFonts w:ascii="Arial" w:hAnsi="Arial"/>
                <w:szCs w:val="24"/>
              </w:rPr>
              <w:t xml:space="preserve"> Days</w:t>
            </w:r>
          </w:p>
        </w:tc>
        <w:tc>
          <w:tcPr>
            <w:tcW w:w="1560" w:type="dxa"/>
            <w:shd w:val="clear" w:color="auto" w:fill="FFFFFF" w:themeFill="background1"/>
            <w:tcMar>
              <w:top w:w="80" w:type="dxa"/>
              <w:left w:w="120" w:type="dxa"/>
              <w:bottom w:w="80" w:type="dxa"/>
              <w:right w:w="120" w:type="dxa"/>
            </w:tcMar>
            <w:vAlign w:val="center"/>
          </w:tcPr>
          <w:p w14:paraId="346BA029" w14:textId="23FF16FB" w:rsidR="0030794C" w:rsidRPr="00884492" w:rsidRDefault="001E5897" w:rsidP="00E13EDB">
            <w:pPr>
              <w:spacing w:line="276" w:lineRule="auto"/>
              <w:jc w:val="center"/>
              <w:rPr>
                <w:rFonts w:ascii="Arial" w:hAnsi="Arial"/>
                <w:szCs w:val="24"/>
              </w:rPr>
            </w:pPr>
            <w:r w:rsidRPr="00884492">
              <w:rPr>
                <w:rFonts w:ascii="Arial" w:hAnsi="Arial"/>
                <w:szCs w:val="24"/>
              </w:rPr>
              <w:t>46 Days</w:t>
            </w:r>
          </w:p>
        </w:tc>
        <w:tc>
          <w:tcPr>
            <w:tcW w:w="1560" w:type="dxa"/>
            <w:shd w:val="clear" w:color="auto" w:fill="FFFFFF" w:themeFill="background1"/>
            <w:tcMar>
              <w:top w:w="80" w:type="dxa"/>
              <w:left w:w="120" w:type="dxa"/>
              <w:bottom w:w="80" w:type="dxa"/>
              <w:right w:w="120" w:type="dxa"/>
            </w:tcMar>
            <w:vAlign w:val="center"/>
          </w:tcPr>
          <w:p w14:paraId="1FEC1F7C" w14:textId="66384953" w:rsidR="0030794C" w:rsidRPr="00884492" w:rsidRDefault="001E5897" w:rsidP="00E13EDB">
            <w:pPr>
              <w:spacing w:line="276" w:lineRule="auto"/>
              <w:jc w:val="center"/>
              <w:rPr>
                <w:rFonts w:ascii="Arial" w:hAnsi="Arial"/>
                <w:szCs w:val="24"/>
              </w:rPr>
            </w:pPr>
            <w:r w:rsidRPr="00884492">
              <w:rPr>
                <w:rFonts w:ascii="Arial" w:hAnsi="Arial"/>
                <w:szCs w:val="24"/>
              </w:rPr>
              <w:t>41 Days</w:t>
            </w:r>
          </w:p>
        </w:tc>
        <w:tc>
          <w:tcPr>
            <w:tcW w:w="1560" w:type="dxa"/>
            <w:shd w:val="clear" w:color="auto" w:fill="FFFFFF" w:themeFill="background1"/>
            <w:tcMar>
              <w:top w:w="80" w:type="dxa"/>
              <w:left w:w="120" w:type="dxa"/>
              <w:bottom w:w="80" w:type="dxa"/>
              <w:right w:w="120" w:type="dxa"/>
            </w:tcMar>
            <w:vAlign w:val="center"/>
          </w:tcPr>
          <w:p w14:paraId="4080A2AD" w14:textId="1ED22193" w:rsidR="0030794C" w:rsidRPr="00884492" w:rsidRDefault="001E5897" w:rsidP="00E13EDB">
            <w:pPr>
              <w:spacing w:line="276" w:lineRule="auto"/>
              <w:jc w:val="center"/>
              <w:rPr>
                <w:rFonts w:ascii="Arial" w:hAnsi="Arial"/>
                <w:szCs w:val="24"/>
              </w:rPr>
            </w:pPr>
            <w:r w:rsidRPr="00884492">
              <w:rPr>
                <w:rFonts w:ascii="Arial" w:hAnsi="Arial"/>
                <w:szCs w:val="24"/>
              </w:rPr>
              <w:t>39 Days</w:t>
            </w:r>
          </w:p>
        </w:tc>
        <w:tc>
          <w:tcPr>
            <w:tcW w:w="1560" w:type="dxa"/>
            <w:shd w:val="clear" w:color="auto" w:fill="FFFFFF" w:themeFill="background1"/>
            <w:tcMar>
              <w:top w:w="80" w:type="dxa"/>
              <w:left w:w="120" w:type="dxa"/>
              <w:bottom w:w="80" w:type="dxa"/>
              <w:right w:w="120" w:type="dxa"/>
            </w:tcMar>
            <w:vAlign w:val="center"/>
          </w:tcPr>
          <w:p w14:paraId="21ED9D64" w14:textId="62C3CF06" w:rsidR="0030794C" w:rsidRPr="00884492" w:rsidRDefault="001E5897" w:rsidP="00E13EDB">
            <w:pPr>
              <w:spacing w:line="276" w:lineRule="auto"/>
              <w:jc w:val="center"/>
              <w:rPr>
                <w:rFonts w:ascii="Arial" w:hAnsi="Arial"/>
                <w:szCs w:val="24"/>
              </w:rPr>
            </w:pPr>
            <w:r w:rsidRPr="00884492">
              <w:rPr>
                <w:rFonts w:ascii="Arial" w:hAnsi="Arial"/>
                <w:szCs w:val="24"/>
              </w:rPr>
              <w:t>43 Days</w:t>
            </w:r>
          </w:p>
        </w:tc>
      </w:tr>
      <w:tr w:rsidR="00735DB8" w14:paraId="080E34C0" w14:textId="77777777" w:rsidTr="00F96872">
        <w:tc>
          <w:tcPr>
            <w:tcW w:w="1560" w:type="dxa"/>
            <w:shd w:val="clear" w:color="auto" w:fill="FFFFFF"/>
            <w:tcMar>
              <w:top w:w="80" w:type="dxa"/>
              <w:left w:w="120" w:type="dxa"/>
              <w:bottom w:w="80" w:type="dxa"/>
              <w:right w:w="120" w:type="dxa"/>
            </w:tcMar>
          </w:tcPr>
          <w:p w14:paraId="483F73DF" w14:textId="66F20AB1" w:rsidR="0030794C" w:rsidRPr="008E51B2" w:rsidRDefault="0030794C" w:rsidP="00D96581">
            <w:pPr>
              <w:spacing w:line="276" w:lineRule="auto"/>
              <w:jc w:val="left"/>
              <w:rPr>
                <w:rFonts w:ascii="Arial" w:hAnsi="Arial"/>
                <w:szCs w:val="24"/>
                <w:highlight w:val="yellow"/>
              </w:rPr>
            </w:pPr>
            <w:r w:rsidRPr="008E51B2">
              <w:rPr>
                <w:rFonts w:ascii="Arial" w:hAnsi="Arial"/>
                <w:szCs w:val="24"/>
              </w:rPr>
              <w:t xml:space="preserve">Payable </w:t>
            </w:r>
            <w:r w:rsidR="00160255" w:rsidRPr="008E51B2">
              <w:rPr>
                <w:rFonts w:ascii="Arial" w:hAnsi="Arial"/>
                <w:szCs w:val="24"/>
              </w:rPr>
              <w:t>Days (Days)</w:t>
            </w:r>
          </w:p>
        </w:tc>
        <w:tc>
          <w:tcPr>
            <w:tcW w:w="1560" w:type="dxa"/>
            <w:shd w:val="clear" w:color="auto" w:fill="FFFFFF"/>
            <w:tcMar>
              <w:top w:w="80" w:type="dxa"/>
              <w:left w:w="120" w:type="dxa"/>
              <w:bottom w:w="80" w:type="dxa"/>
              <w:right w:w="120" w:type="dxa"/>
            </w:tcMar>
            <w:vAlign w:val="center"/>
          </w:tcPr>
          <w:p w14:paraId="454D161E" w14:textId="247B0070" w:rsidR="0030794C" w:rsidRPr="00884492" w:rsidRDefault="001E5897" w:rsidP="00E13EDB">
            <w:pPr>
              <w:spacing w:line="276" w:lineRule="auto"/>
              <w:jc w:val="center"/>
              <w:rPr>
                <w:rFonts w:ascii="Arial" w:hAnsi="Arial"/>
                <w:szCs w:val="24"/>
              </w:rPr>
            </w:pPr>
            <w:r w:rsidRPr="00884492">
              <w:rPr>
                <w:rFonts w:ascii="Arial" w:hAnsi="Arial"/>
                <w:szCs w:val="24"/>
              </w:rPr>
              <w:t>21 Days</w:t>
            </w:r>
          </w:p>
        </w:tc>
        <w:tc>
          <w:tcPr>
            <w:tcW w:w="1560" w:type="dxa"/>
            <w:shd w:val="clear" w:color="auto" w:fill="FFFFFF" w:themeFill="background1"/>
            <w:tcMar>
              <w:top w:w="80" w:type="dxa"/>
              <w:left w:w="120" w:type="dxa"/>
              <w:bottom w:w="80" w:type="dxa"/>
              <w:right w:w="120" w:type="dxa"/>
            </w:tcMar>
            <w:vAlign w:val="center"/>
          </w:tcPr>
          <w:p w14:paraId="39564A26" w14:textId="2B647048" w:rsidR="0030794C" w:rsidRPr="00884492" w:rsidRDefault="001E5897" w:rsidP="00E13EDB">
            <w:pPr>
              <w:spacing w:line="276" w:lineRule="auto"/>
              <w:jc w:val="center"/>
              <w:rPr>
                <w:rFonts w:ascii="Arial" w:hAnsi="Arial"/>
                <w:szCs w:val="24"/>
              </w:rPr>
            </w:pPr>
            <w:r w:rsidRPr="00884492">
              <w:rPr>
                <w:rFonts w:ascii="Arial" w:hAnsi="Arial"/>
                <w:szCs w:val="24"/>
              </w:rPr>
              <w:t>23 Days</w:t>
            </w:r>
          </w:p>
        </w:tc>
        <w:tc>
          <w:tcPr>
            <w:tcW w:w="1560" w:type="dxa"/>
            <w:shd w:val="clear" w:color="auto" w:fill="FFFFFF"/>
            <w:tcMar>
              <w:top w:w="80" w:type="dxa"/>
              <w:left w:w="120" w:type="dxa"/>
              <w:bottom w:w="80" w:type="dxa"/>
              <w:right w:w="120" w:type="dxa"/>
            </w:tcMar>
            <w:vAlign w:val="center"/>
          </w:tcPr>
          <w:p w14:paraId="3E67780F" w14:textId="0AA2254C" w:rsidR="0030794C" w:rsidRPr="00884492" w:rsidRDefault="001E5897" w:rsidP="00E13EDB">
            <w:pPr>
              <w:spacing w:line="276" w:lineRule="auto"/>
              <w:jc w:val="center"/>
              <w:rPr>
                <w:rFonts w:ascii="Arial" w:hAnsi="Arial"/>
                <w:szCs w:val="24"/>
              </w:rPr>
            </w:pPr>
            <w:r w:rsidRPr="00884492">
              <w:rPr>
                <w:rFonts w:ascii="Arial" w:hAnsi="Arial"/>
                <w:szCs w:val="24"/>
              </w:rPr>
              <w:t>25 Days</w:t>
            </w:r>
          </w:p>
        </w:tc>
        <w:tc>
          <w:tcPr>
            <w:tcW w:w="1560" w:type="dxa"/>
            <w:shd w:val="clear" w:color="auto" w:fill="FFFFFF" w:themeFill="background1"/>
            <w:tcMar>
              <w:top w:w="80" w:type="dxa"/>
              <w:left w:w="120" w:type="dxa"/>
              <w:bottom w:w="80" w:type="dxa"/>
              <w:right w:w="120" w:type="dxa"/>
            </w:tcMar>
            <w:vAlign w:val="center"/>
          </w:tcPr>
          <w:p w14:paraId="2275B2A4" w14:textId="29F7C5E9" w:rsidR="0030794C" w:rsidRPr="00884492" w:rsidRDefault="001E5897" w:rsidP="00E13EDB">
            <w:pPr>
              <w:spacing w:line="276" w:lineRule="auto"/>
              <w:jc w:val="center"/>
              <w:rPr>
                <w:rFonts w:ascii="Arial" w:hAnsi="Arial"/>
                <w:szCs w:val="24"/>
              </w:rPr>
            </w:pPr>
            <w:r w:rsidRPr="00884492">
              <w:rPr>
                <w:rFonts w:ascii="Arial" w:hAnsi="Arial"/>
                <w:szCs w:val="24"/>
              </w:rPr>
              <w:t>20 Days</w:t>
            </w:r>
          </w:p>
        </w:tc>
        <w:tc>
          <w:tcPr>
            <w:tcW w:w="1560" w:type="dxa"/>
            <w:shd w:val="clear" w:color="auto" w:fill="FFFFFF"/>
            <w:tcMar>
              <w:top w:w="80" w:type="dxa"/>
              <w:left w:w="120" w:type="dxa"/>
              <w:bottom w:w="80" w:type="dxa"/>
              <w:right w:w="120" w:type="dxa"/>
            </w:tcMar>
            <w:vAlign w:val="center"/>
          </w:tcPr>
          <w:p w14:paraId="1852F33B" w14:textId="67B914B0" w:rsidR="0030794C" w:rsidRPr="00884492" w:rsidRDefault="001E5897" w:rsidP="00E13EDB">
            <w:pPr>
              <w:spacing w:line="276" w:lineRule="auto"/>
              <w:jc w:val="center"/>
              <w:rPr>
                <w:rFonts w:ascii="Arial" w:hAnsi="Arial"/>
                <w:szCs w:val="24"/>
              </w:rPr>
            </w:pPr>
            <w:r w:rsidRPr="00884492">
              <w:rPr>
                <w:rFonts w:ascii="Arial" w:hAnsi="Arial"/>
                <w:szCs w:val="24"/>
              </w:rPr>
              <w:t>22 Days</w:t>
            </w:r>
          </w:p>
        </w:tc>
      </w:tr>
      <w:tr w:rsidR="00735DB8" w14:paraId="3F3F4DDE" w14:textId="77777777" w:rsidTr="00F96872">
        <w:tc>
          <w:tcPr>
            <w:tcW w:w="1560" w:type="dxa"/>
            <w:shd w:val="clear" w:color="auto" w:fill="FFFFFF" w:themeFill="background1"/>
            <w:tcMar>
              <w:top w:w="80" w:type="dxa"/>
              <w:left w:w="120" w:type="dxa"/>
              <w:bottom w:w="80" w:type="dxa"/>
              <w:right w:w="120" w:type="dxa"/>
            </w:tcMar>
          </w:tcPr>
          <w:p w14:paraId="485725B2" w14:textId="77777777" w:rsidR="0030794C" w:rsidRPr="008E51B2" w:rsidRDefault="0030794C" w:rsidP="00D96581">
            <w:pPr>
              <w:spacing w:line="276" w:lineRule="auto"/>
              <w:jc w:val="left"/>
              <w:rPr>
                <w:rFonts w:ascii="Arial" w:hAnsi="Arial"/>
                <w:szCs w:val="24"/>
              </w:rPr>
            </w:pPr>
            <w:r w:rsidRPr="008E51B2">
              <w:rPr>
                <w:rFonts w:ascii="Arial" w:hAnsi="Arial"/>
                <w:szCs w:val="24"/>
              </w:rPr>
              <w:t>CCC (Days)</w:t>
            </w:r>
          </w:p>
        </w:tc>
        <w:tc>
          <w:tcPr>
            <w:tcW w:w="1560" w:type="dxa"/>
            <w:shd w:val="clear" w:color="auto" w:fill="FFFFFF" w:themeFill="background1"/>
            <w:tcMar>
              <w:top w:w="80" w:type="dxa"/>
              <w:left w:w="120" w:type="dxa"/>
              <w:bottom w:w="80" w:type="dxa"/>
              <w:right w:w="120" w:type="dxa"/>
            </w:tcMar>
            <w:vAlign w:val="center"/>
          </w:tcPr>
          <w:p w14:paraId="524DF6C1" w14:textId="2D342E56" w:rsidR="0030794C" w:rsidRPr="00884492" w:rsidRDefault="001E5897" w:rsidP="00E13EDB">
            <w:pPr>
              <w:spacing w:line="276" w:lineRule="auto"/>
              <w:jc w:val="center"/>
              <w:rPr>
                <w:rFonts w:ascii="Arial" w:hAnsi="Arial"/>
                <w:szCs w:val="24"/>
              </w:rPr>
            </w:pPr>
            <w:r w:rsidRPr="00884492">
              <w:rPr>
                <w:rFonts w:ascii="Arial" w:hAnsi="Arial"/>
                <w:szCs w:val="24"/>
              </w:rPr>
              <w:t>12 Days</w:t>
            </w:r>
          </w:p>
        </w:tc>
        <w:tc>
          <w:tcPr>
            <w:tcW w:w="1560" w:type="dxa"/>
            <w:shd w:val="clear" w:color="auto" w:fill="FFFFFF" w:themeFill="background1"/>
            <w:tcMar>
              <w:top w:w="80" w:type="dxa"/>
              <w:left w:w="120" w:type="dxa"/>
              <w:bottom w:w="80" w:type="dxa"/>
              <w:right w:w="120" w:type="dxa"/>
            </w:tcMar>
            <w:vAlign w:val="center"/>
          </w:tcPr>
          <w:p w14:paraId="140022D5" w14:textId="578E89E2" w:rsidR="0030794C" w:rsidRPr="00884492" w:rsidRDefault="001E5897" w:rsidP="00E13EDB">
            <w:pPr>
              <w:spacing w:line="276" w:lineRule="auto"/>
              <w:jc w:val="center"/>
              <w:rPr>
                <w:rFonts w:ascii="Arial" w:hAnsi="Arial"/>
                <w:szCs w:val="24"/>
              </w:rPr>
            </w:pPr>
            <w:r w:rsidRPr="00884492">
              <w:rPr>
                <w:rFonts w:ascii="Arial" w:hAnsi="Arial"/>
                <w:szCs w:val="24"/>
              </w:rPr>
              <w:t>23 Days</w:t>
            </w:r>
          </w:p>
        </w:tc>
        <w:tc>
          <w:tcPr>
            <w:tcW w:w="1560" w:type="dxa"/>
            <w:shd w:val="clear" w:color="auto" w:fill="FFFFFF" w:themeFill="background1"/>
            <w:tcMar>
              <w:top w:w="80" w:type="dxa"/>
              <w:left w:w="120" w:type="dxa"/>
              <w:bottom w:w="80" w:type="dxa"/>
              <w:right w:w="120" w:type="dxa"/>
            </w:tcMar>
            <w:vAlign w:val="center"/>
          </w:tcPr>
          <w:p w14:paraId="6444FB40" w14:textId="4CFEF75F" w:rsidR="0030794C" w:rsidRPr="00884492" w:rsidRDefault="001E5897" w:rsidP="00E13EDB">
            <w:pPr>
              <w:spacing w:line="276" w:lineRule="auto"/>
              <w:jc w:val="center"/>
              <w:rPr>
                <w:rFonts w:ascii="Arial" w:hAnsi="Arial"/>
                <w:szCs w:val="24"/>
              </w:rPr>
            </w:pPr>
            <w:r w:rsidRPr="00884492">
              <w:rPr>
                <w:rFonts w:ascii="Arial" w:hAnsi="Arial"/>
                <w:szCs w:val="24"/>
              </w:rPr>
              <w:t>16 Days</w:t>
            </w:r>
          </w:p>
        </w:tc>
        <w:tc>
          <w:tcPr>
            <w:tcW w:w="1560" w:type="dxa"/>
            <w:shd w:val="clear" w:color="auto" w:fill="FFFFFF" w:themeFill="background1"/>
            <w:tcMar>
              <w:top w:w="80" w:type="dxa"/>
              <w:left w:w="120" w:type="dxa"/>
              <w:bottom w:w="80" w:type="dxa"/>
              <w:right w:w="120" w:type="dxa"/>
            </w:tcMar>
            <w:vAlign w:val="center"/>
          </w:tcPr>
          <w:p w14:paraId="4567B718" w14:textId="08C6F024" w:rsidR="0030794C" w:rsidRPr="00884492" w:rsidRDefault="001E5897" w:rsidP="00E13EDB">
            <w:pPr>
              <w:spacing w:line="276" w:lineRule="auto"/>
              <w:jc w:val="center"/>
              <w:rPr>
                <w:rFonts w:ascii="Arial" w:hAnsi="Arial"/>
                <w:szCs w:val="24"/>
              </w:rPr>
            </w:pPr>
            <w:r w:rsidRPr="00884492">
              <w:rPr>
                <w:rFonts w:ascii="Arial" w:hAnsi="Arial"/>
                <w:szCs w:val="24"/>
              </w:rPr>
              <w:t>19 Days</w:t>
            </w:r>
          </w:p>
        </w:tc>
        <w:tc>
          <w:tcPr>
            <w:tcW w:w="1560" w:type="dxa"/>
            <w:shd w:val="clear" w:color="auto" w:fill="FFFFFF" w:themeFill="background1"/>
            <w:tcMar>
              <w:top w:w="80" w:type="dxa"/>
              <w:left w:w="120" w:type="dxa"/>
              <w:bottom w:w="80" w:type="dxa"/>
              <w:right w:w="120" w:type="dxa"/>
            </w:tcMar>
            <w:vAlign w:val="center"/>
          </w:tcPr>
          <w:p w14:paraId="36E7DC53" w14:textId="03952F3E" w:rsidR="0030794C" w:rsidRPr="00884492" w:rsidRDefault="001E5897" w:rsidP="00E13EDB">
            <w:pPr>
              <w:spacing w:line="276" w:lineRule="auto"/>
              <w:jc w:val="center"/>
              <w:rPr>
                <w:rFonts w:ascii="Arial" w:hAnsi="Arial"/>
                <w:szCs w:val="24"/>
              </w:rPr>
            </w:pPr>
            <w:r w:rsidRPr="00884492">
              <w:rPr>
                <w:rFonts w:ascii="Arial" w:hAnsi="Arial"/>
                <w:szCs w:val="24"/>
              </w:rPr>
              <w:t>21 Days</w:t>
            </w:r>
          </w:p>
        </w:tc>
      </w:tr>
      <w:tr w:rsidR="00735DB8" w14:paraId="2BE0BC93" w14:textId="77777777" w:rsidTr="00F96872">
        <w:tc>
          <w:tcPr>
            <w:tcW w:w="1560" w:type="dxa"/>
            <w:shd w:val="clear" w:color="auto" w:fill="FFFFFF"/>
            <w:tcMar>
              <w:top w:w="80" w:type="dxa"/>
              <w:left w:w="120" w:type="dxa"/>
              <w:bottom w:w="80" w:type="dxa"/>
              <w:right w:w="120" w:type="dxa"/>
            </w:tcMar>
          </w:tcPr>
          <w:p w14:paraId="21BE824D" w14:textId="77777777" w:rsidR="0030794C" w:rsidRPr="008E51B2" w:rsidRDefault="0030794C" w:rsidP="00D96581">
            <w:pPr>
              <w:spacing w:line="276" w:lineRule="auto"/>
              <w:jc w:val="left"/>
              <w:rPr>
                <w:rFonts w:ascii="Arial" w:hAnsi="Arial"/>
                <w:szCs w:val="24"/>
              </w:rPr>
            </w:pPr>
            <w:r w:rsidRPr="008E51B2">
              <w:rPr>
                <w:rFonts w:ascii="Arial" w:hAnsi="Arial"/>
                <w:szCs w:val="24"/>
              </w:rPr>
              <w:t>NWC (BDT)</w:t>
            </w:r>
          </w:p>
        </w:tc>
        <w:tc>
          <w:tcPr>
            <w:tcW w:w="1560" w:type="dxa"/>
            <w:shd w:val="clear" w:color="auto" w:fill="FFFFFF"/>
            <w:tcMar>
              <w:top w:w="80" w:type="dxa"/>
              <w:left w:w="120" w:type="dxa"/>
              <w:bottom w:w="80" w:type="dxa"/>
              <w:right w:w="120" w:type="dxa"/>
            </w:tcMar>
            <w:vAlign w:val="center"/>
          </w:tcPr>
          <w:p w14:paraId="249988D5" w14:textId="77777777" w:rsidR="0030794C" w:rsidRPr="00884492" w:rsidRDefault="0030794C" w:rsidP="00E13EDB">
            <w:pPr>
              <w:spacing w:line="276" w:lineRule="auto"/>
              <w:jc w:val="center"/>
              <w:rPr>
                <w:rFonts w:ascii="Arial" w:hAnsi="Arial"/>
                <w:szCs w:val="24"/>
              </w:rPr>
            </w:pPr>
            <w:r w:rsidRPr="00884492">
              <w:rPr>
                <w:rFonts w:ascii="Arial" w:hAnsi="Arial"/>
                <w:szCs w:val="24"/>
              </w:rPr>
              <w:t>1.38 Cr</w:t>
            </w:r>
          </w:p>
        </w:tc>
        <w:tc>
          <w:tcPr>
            <w:tcW w:w="1560" w:type="dxa"/>
            <w:shd w:val="clear" w:color="auto" w:fill="FFFFFF" w:themeFill="background1"/>
            <w:tcMar>
              <w:top w:w="80" w:type="dxa"/>
              <w:left w:w="120" w:type="dxa"/>
              <w:bottom w:w="80" w:type="dxa"/>
              <w:right w:w="120" w:type="dxa"/>
            </w:tcMar>
            <w:vAlign w:val="center"/>
          </w:tcPr>
          <w:p w14:paraId="31232A72" w14:textId="31268067" w:rsidR="0030794C" w:rsidRPr="00884492" w:rsidRDefault="00160255" w:rsidP="00E13EDB">
            <w:pPr>
              <w:spacing w:line="276" w:lineRule="auto"/>
              <w:jc w:val="center"/>
              <w:rPr>
                <w:rFonts w:ascii="Arial" w:hAnsi="Arial"/>
                <w:szCs w:val="24"/>
              </w:rPr>
            </w:pPr>
            <w:r w:rsidRPr="00884492">
              <w:rPr>
                <w:rFonts w:ascii="Arial" w:hAnsi="Arial"/>
                <w:szCs w:val="24"/>
              </w:rPr>
              <w:t>0.</w:t>
            </w:r>
            <w:r w:rsidR="0030794C" w:rsidRPr="00884492">
              <w:rPr>
                <w:rFonts w:ascii="Arial" w:hAnsi="Arial"/>
                <w:szCs w:val="24"/>
              </w:rPr>
              <w:t>9</w:t>
            </w:r>
            <w:r w:rsidRPr="00884492">
              <w:rPr>
                <w:rFonts w:ascii="Arial" w:hAnsi="Arial"/>
                <w:szCs w:val="24"/>
              </w:rPr>
              <w:t>4</w:t>
            </w:r>
            <w:r w:rsidR="0030794C" w:rsidRPr="00884492">
              <w:rPr>
                <w:rFonts w:ascii="Arial" w:hAnsi="Arial"/>
                <w:szCs w:val="24"/>
              </w:rPr>
              <w:t xml:space="preserve"> </w:t>
            </w:r>
            <w:r w:rsidRPr="00884492">
              <w:rPr>
                <w:rFonts w:ascii="Arial" w:hAnsi="Arial"/>
                <w:szCs w:val="24"/>
              </w:rPr>
              <w:t>Cr</w:t>
            </w:r>
          </w:p>
        </w:tc>
        <w:tc>
          <w:tcPr>
            <w:tcW w:w="1560" w:type="dxa"/>
            <w:shd w:val="clear" w:color="auto" w:fill="FFFFFF"/>
            <w:tcMar>
              <w:top w:w="80" w:type="dxa"/>
              <w:left w:w="120" w:type="dxa"/>
              <w:bottom w:w="80" w:type="dxa"/>
              <w:right w:w="120" w:type="dxa"/>
            </w:tcMar>
            <w:vAlign w:val="center"/>
          </w:tcPr>
          <w:p w14:paraId="2D2033CD" w14:textId="6BBE1A8D" w:rsidR="0030794C" w:rsidRPr="00884492" w:rsidRDefault="00160255" w:rsidP="00E13EDB">
            <w:pPr>
              <w:spacing w:line="276" w:lineRule="auto"/>
              <w:jc w:val="center"/>
              <w:rPr>
                <w:rFonts w:ascii="Arial" w:hAnsi="Arial"/>
                <w:szCs w:val="24"/>
              </w:rPr>
            </w:pPr>
            <w:r w:rsidRPr="00884492">
              <w:rPr>
                <w:rFonts w:ascii="Arial" w:hAnsi="Arial"/>
                <w:szCs w:val="24"/>
              </w:rPr>
              <w:t>0.</w:t>
            </w:r>
            <w:r w:rsidR="0030794C" w:rsidRPr="00884492">
              <w:rPr>
                <w:rFonts w:ascii="Arial" w:hAnsi="Arial"/>
                <w:szCs w:val="24"/>
              </w:rPr>
              <w:t xml:space="preserve">90 </w:t>
            </w:r>
            <w:r w:rsidRPr="00884492">
              <w:rPr>
                <w:rFonts w:ascii="Arial" w:hAnsi="Arial"/>
                <w:szCs w:val="24"/>
              </w:rPr>
              <w:t>Cr</w:t>
            </w:r>
          </w:p>
        </w:tc>
        <w:tc>
          <w:tcPr>
            <w:tcW w:w="1560" w:type="dxa"/>
            <w:shd w:val="clear" w:color="auto" w:fill="FFFFFF" w:themeFill="background1"/>
            <w:tcMar>
              <w:top w:w="80" w:type="dxa"/>
              <w:left w:w="120" w:type="dxa"/>
              <w:bottom w:w="80" w:type="dxa"/>
              <w:right w:w="120" w:type="dxa"/>
            </w:tcMar>
            <w:vAlign w:val="center"/>
          </w:tcPr>
          <w:p w14:paraId="477017E3" w14:textId="77777777" w:rsidR="0030794C" w:rsidRPr="00884492" w:rsidRDefault="0030794C" w:rsidP="00E13EDB">
            <w:pPr>
              <w:spacing w:line="276" w:lineRule="auto"/>
              <w:jc w:val="center"/>
              <w:rPr>
                <w:rFonts w:ascii="Arial" w:hAnsi="Arial"/>
                <w:szCs w:val="24"/>
              </w:rPr>
            </w:pPr>
            <w:r w:rsidRPr="00884492">
              <w:rPr>
                <w:rFonts w:ascii="Arial" w:hAnsi="Arial"/>
                <w:szCs w:val="24"/>
              </w:rPr>
              <w:t>2.09 Cr</w:t>
            </w:r>
          </w:p>
        </w:tc>
        <w:tc>
          <w:tcPr>
            <w:tcW w:w="1560" w:type="dxa"/>
            <w:shd w:val="clear" w:color="auto" w:fill="FFFFFF"/>
            <w:tcMar>
              <w:top w:w="80" w:type="dxa"/>
              <w:left w:w="120" w:type="dxa"/>
              <w:bottom w:w="80" w:type="dxa"/>
              <w:right w:w="120" w:type="dxa"/>
            </w:tcMar>
            <w:vAlign w:val="center"/>
          </w:tcPr>
          <w:p w14:paraId="32514631" w14:textId="77777777" w:rsidR="0030794C" w:rsidRPr="00884492" w:rsidRDefault="0030794C" w:rsidP="00E13EDB">
            <w:pPr>
              <w:spacing w:line="276" w:lineRule="auto"/>
              <w:jc w:val="center"/>
              <w:rPr>
                <w:rFonts w:ascii="Arial" w:hAnsi="Arial"/>
                <w:szCs w:val="24"/>
              </w:rPr>
            </w:pPr>
            <w:r w:rsidRPr="00884492">
              <w:rPr>
                <w:rFonts w:ascii="Arial" w:hAnsi="Arial"/>
                <w:szCs w:val="24"/>
              </w:rPr>
              <w:t>1.61 Cr</w:t>
            </w:r>
          </w:p>
        </w:tc>
      </w:tr>
      <w:tr w:rsidR="00735DB8" w14:paraId="43201AF5" w14:textId="77777777" w:rsidTr="00F96872">
        <w:tc>
          <w:tcPr>
            <w:tcW w:w="1560" w:type="dxa"/>
            <w:shd w:val="clear" w:color="auto" w:fill="FFFFFF" w:themeFill="background1"/>
            <w:tcMar>
              <w:top w:w="80" w:type="dxa"/>
              <w:left w:w="120" w:type="dxa"/>
              <w:bottom w:w="80" w:type="dxa"/>
              <w:right w:w="120" w:type="dxa"/>
            </w:tcMar>
          </w:tcPr>
          <w:p w14:paraId="2D6A4650" w14:textId="77777777" w:rsidR="0030794C" w:rsidRPr="008E51B2" w:rsidRDefault="0030794C" w:rsidP="00D96581">
            <w:pPr>
              <w:spacing w:line="276" w:lineRule="auto"/>
              <w:jc w:val="left"/>
              <w:rPr>
                <w:rFonts w:ascii="Arial" w:hAnsi="Arial"/>
                <w:szCs w:val="24"/>
              </w:rPr>
            </w:pPr>
            <w:r w:rsidRPr="008E51B2">
              <w:rPr>
                <w:rFonts w:ascii="Arial" w:hAnsi="Arial"/>
                <w:szCs w:val="24"/>
              </w:rPr>
              <w:t>GPM (%)</w:t>
            </w:r>
          </w:p>
        </w:tc>
        <w:tc>
          <w:tcPr>
            <w:tcW w:w="1560" w:type="dxa"/>
            <w:shd w:val="clear" w:color="auto" w:fill="FFFFFF" w:themeFill="background1"/>
            <w:tcMar>
              <w:top w:w="80" w:type="dxa"/>
              <w:left w:w="120" w:type="dxa"/>
              <w:bottom w:w="80" w:type="dxa"/>
              <w:right w:w="120" w:type="dxa"/>
            </w:tcMar>
            <w:vAlign w:val="center"/>
          </w:tcPr>
          <w:p w14:paraId="61182D13" w14:textId="77777777" w:rsidR="0030794C" w:rsidRPr="00884492" w:rsidRDefault="0030794C" w:rsidP="00E13EDB">
            <w:pPr>
              <w:spacing w:line="276" w:lineRule="auto"/>
              <w:jc w:val="center"/>
              <w:rPr>
                <w:rFonts w:ascii="Arial" w:hAnsi="Arial"/>
                <w:szCs w:val="24"/>
              </w:rPr>
            </w:pPr>
            <w:r w:rsidRPr="00884492">
              <w:rPr>
                <w:rFonts w:ascii="Arial" w:hAnsi="Arial"/>
                <w:szCs w:val="24"/>
              </w:rPr>
              <w:t>92.33%</w:t>
            </w:r>
          </w:p>
        </w:tc>
        <w:tc>
          <w:tcPr>
            <w:tcW w:w="1560" w:type="dxa"/>
            <w:shd w:val="clear" w:color="auto" w:fill="FFFFFF" w:themeFill="background1"/>
            <w:tcMar>
              <w:top w:w="80" w:type="dxa"/>
              <w:left w:w="120" w:type="dxa"/>
              <w:bottom w:w="80" w:type="dxa"/>
              <w:right w:w="120" w:type="dxa"/>
            </w:tcMar>
            <w:vAlign w:val="center"/>
          </w:tcPr>
          <w:p w14:paraId="77860CB6" w14:textId="77777777" w:rsidR="0030794C" w:rsidRPr="00884492" w:rsidRDefault="0030794C" w:rsidP="00E13EDB">
            <w:pPr>
              <w:spacing w:line="276" w:lineRule="auto"/>
              <w:jc w:val="center"/>
              <w:rPr>
                <w:rFonts w:ascii="Arial" w:hAnsi="Arial"/>
                <w:szCs w:val="24"/>
              </w:rPr>
            </w:pPr>
            <w:r w:rsidRPr="00884492">
              <w:rPr>
                <w:rFonts w:ascii="Arial" w:hAnsi="Arial"/>
                <w:szCs w:val="24"/>
              </w:rPr>
              <w:t>91.97%</w:t>
            </w:r>
          </w:p>
        </w:tc>
        <w:tc>
          <w:tcPr>
            <w:tcW w:w="1560" w:type="dxa"/>
            <w:shd w:val="clear" w:color="auto" w:fill="FFFFFF" w:themeFill="background1"/>
            <w:tcMar>
              <w:top w:w="80" w:type="dxa"/>
              <w:left w:w="120" w:type="dxa"/>
              <w:bottom w:w="80" w:type="dxa"/>
              <w:right w:w="120" w:type="dxa"/>
            </w:tcMar>
            <w:vAlign w:val="center"/>
          </w:tcPr>
          <w:p w14:paraId="6CA2A803" w14:textId="77777777" w:rsidR="0030794C" w:rsidRPr="00884492" w:rsidRDefault="0030794C" w:rsidP="00E13EDB">
            <w:pPr>
              <w:spacing w:line="276" w:lineRule="auto"/>
              <w:jc w:val="center"/>
              <w:rPr>
                <w:rFonts w:ascii="Arial" w:hAnsi="Arial"/>
                <w:szCs w:val="24"/>
              </w:rPr>
            </w:pPr>
            <w:r w:rsidRPr="00884492">
              <w:rPr>
                <w:rFonts w:ascii="Arial" w:hAnsi="Arial"/>
                <w:szCs w:val="24"/>
              </w:rPr>
              <w:t>91.62%</w:t>
            </w:r>
          </w:p>
        </w:tc>
        <w:tc>
          <w:tcPr>
            <w:tcW w:w="1560" w:type="dxa"/>
            <w:shd w:val="clear" w:color="auto" w:fill="FFFFFF" w:themeFill="background1"/>
            <w:tcMar>
              <w:top w:w="80" w:type="dxa"/>
              <w:left w:w="120" w:type="dxa"/>
              <w:bottom w:w="80" w:type="dxa"/>
              <w:right w:w="120" w:type="dxa"/>
            </w:tcMar>
            <w:vAlign w:val="center"/>
          </w:tcPr>
          <w:p w14:paraId="37146BB5" w14:textId="77777777" w:rsidR="0030794C" w:rsidRPr="00884492" w:rsidRDefault="0030794C" w:rsidP="00E13EDB">
            <w:pPr>
              <w:spacing w:line="276" w:lineRule="auto"/>
              <w:jc w:val="center"/>
              <w:rPr>
                <w:rFonts w:ascii="Arial" w:hAnsi="Arial"/>
                <w:szCs w:val="24"/>
              </w:rPr>
            </w:pPr>
            <w:r w:rsidRPr="00884492">
              <w:rPr>
                <w:rFonts w:ascii="Arial" w:hAnsi="Arial"/>
                <w:szCs w:val="24"/>
              </w:rPr>
              <w:t>91.54%</w:t>
            </w:r>
          </w:p>
        </w:tc>
        <w:tc>
          <w:tcPr>
            <w:tcW w:w="1560" w:type="dxa"/>
            <w:shd w:val="clear" w:color="auto" w:fill="FFFFFF" w:themeFill="background1"/>
            <w:tcMar>
              <w:top w:w="80" w:type="dxa"/>
              <w:left w:w="120" w:type="dxa"/>
              <w:bottom w:w="80" w:type="dxa"/>
              <w:right w:w="120" w:type="dxa"/>
            </w:tcMar>
            <w:vAlign w:val="center"/>
          </w:tcPr>
          <w:p w14:paraId="2574D8E5" w14:textId="77777777" w:rsidR="0030794C" w:rsidRPr="00884492" w:rsidRDefault="0030794C" w:rsidP="00E13EDB">
            <w:pPr>
              <w:spacing w:line="276" w:lineRule="auto"/>
              <w:jc w:val="center"/>
              <w:rPr>
                <w:rFonts w:ascii="Arial" w:hAnsi="Arial"/>
                <w:szCs w:val="24"/>
              </w:rPr>
            </w:pPr>
            <w:r w:rsidRPr="00884492">
              <w:rPr>
                <w:rFonts w:ascii="Arial" w:hAnsi="Arial"/>
                <w:szCs w:val="24"/>
              </w:rPr>
              <w:t>91.74%</w:t>
            </w:r>
          </w:p>
        </w:tc>
      </w:tr>
      <w:tr w:rsidR="00735DB8" w14:paraId="2700129B" w14:textId="77777777" w:rsidTr="00F96872">
        <w:tc>
          <w:tcPr>
            <w:tcW w:w="1560" w:type="dxa"/>
            <w:shd w:val="clear" w:color="auto" w:fill="FFFFFF"/>
            <w:tcMar>
              <w:top w:w="80" w:type="dxa"/>
              <w:left w:w="120" w:type="dxa"/>
              <w:bottom w:w="80" w:type="dxa"/>
              <w:right w:w="120" w:type="dxa"/>
            </w:tcMar>
          </w:tcPr>
          <w:p w14:paraId="4CFC7BC8" w14:textId="77777777" w:rsidR="0030794C" w:rsidRPr="008E51B2" w:rsidRDefault="0030794C" w:rsidP="00D96581">
            <w:pPr>
              <w:spacing w:line="276" w:lineRule="auto"/>
              <w:jc w:val="left"/>
              <w:rPr>
                <w:rFonts w:ascii="Arial" w:hAnsi="Arial"/>
                <w:szCs w:val="24"/>
              </w:rPr>
            </w:pPr>
            <w:r w:rsidRPr="008E51B2">
              <w:rPr>
                <w:rFonts w:ascii="Arial" w:hAnsi="Arial"/>
                <w:szCs w:val="24"/>
              </w:rPr>
              <w:t>NPM (%)</w:t>
            </w:r>
          </w:p>
        </w:tc>
        <w:tc>
          <w:tcPr>
            <w:tcW w:w="1560" w:type="dxa"/>
            <w:shd w:val="clear" w:color="auto" w:fill="FFFFFF"/>
            <w:tcMar>
              <w:top w:w="80" w:type="dxa"/>
              <w:left w:w="120" w:type="dxa"/>
              <w:bottom w:w="80" w:type="dxa"/>
              <w:right w:w="120" w:type="dxa"/>
            </w:tcMar>
            <w:vAlign w:val="center"/>
          </w:tcPr>
          <w:p w14:paraId="0D257762" w14:textId="77777777" w:rsidR="0030794C" w:rsidRPr="00884492" w:rsidRDefault="0030794C" w:rsidP="00E13EDB">
            <w:pPr>
              <w:spacing w:line="276" w:lineRule="auto"/>
              <w:jc w:val="center"/>
              <w:rPr>
                <w:rFonts w:ascii="Arial" w:hAnsi="Arial"/>
                <w:szCs w:val="24"/>
              </w:rPr>
            </w:pPr>
            <w:r w:rsidRPr="00884492">
              <w:rPr>
                <w:rFonts w:ascii="Arial" w:hAnsi="Arial"/>
                <w:szCs w:val="24"/>
              </w:rPr>
              <w:t>35.84%</w:t>
            </w:r>
          </w:p>
        </w:tc>
        <w:tc>
          <w:tcPr>
            <w:tcW w:w="1560" w:type="dxa"/>
            <w:shd w:val="clear" w:color="auto" w:fill="FFFFFF" w:themeFill="background1"/>
            <w:tcMar>
              <w:top w:w="80" w:type="dxa"/>
              <w:left w:w="120" w:type="dxa"/>
              <w:bottom w:w="80" w:type="dxa"/>
              <w:right w:w="120" w:type="dxa"/>
            </w:tcMar>
            <w:vAlign w:val="center"/>
          </w:tcPr>
          <w:p w14:paraId="7161A844" w14:textId="77777777" w:rsidR="0030794C" w:rsidRPr="00884492" w:rsidRDefault="0030794C" w:rsidP="00E13EDB">
            <w:pPr>
              <w:spacing w:line="276" w:lineRule="auto"/>
              <w:jc w:val="center"/>
              <w:rPr>
                <w:rFonts w:ascii="Arial" w:hAnsi="Arial"/>
                <w:szCs w:val="24"/>
              </w:rPr>
            </w:pPr>
            <w:r w:rsidRPr="00884492">
              <w:rPr>
                <w:rFonts w:ascii="Arial" w:hAnsi="Arial"/>
                <w:szCs w:val="24"/>
              </w:rPr>
              <w:t>26.66%</w:t>
            </w:r>
          </w:p>
        </w:tc>
        <w:tc>
          <w:tcPr>
            <w:tcW w:w="1560" w:type="dxa"/>
            <w:shd w:val="clear" w:color="auto" w:fill="FFFFFF"/>
            <w:tcMar>
              <w:top w:w="80" w:type="dxa"/>
              <w:left w:w="120" w:type="dxa"/>
              <w:bottom w:w="80" w:type="dxa"/>
              <w:right w:w="120" w:type="dxa"/>
            </w:tcMar>
            <w:vAlign w:val="center"/>
          </w:tcPr>
          <w:p w14:paraId="4A812559" w14:textId="77777777" w:rsidR="0030794C" w:rsidRPr="00884492" w:rsidRDefault="0030794C" w:rsidP="00E13EDB">
            <w:pPr>
              <w:spacing w:line="276" w:lineRule="auto"/>
              <w:jc w:val="center"/>
              <w:rPr>
                <w:rFonts w:ascii="Arial" w:hAnsi="Arial"/>
                <w:szCs w:val="24"/>
              </w:rPr>
            </w:pPr>
            <w:r w:rsidRPr="00884492">
              <w:rPr>
                <w:rFonts w:ascii="Arial" w:hAnsi="Arial"/>
                <w:szCs w:val="24"/>
              </w:rPr>
              <w:t>25.28%</w:t>
            </w:r>
          </w:p>
        </w:tc>
        <w:tc>
          <w:tcPr>
            <w:tcW w:w="1560" w:type="dxa"/>
            <w:shd w:val="clear" w:color="auto" w:fill="FFFFFF" w:themeFill="background1"/>
            <w:tcMar>
              <w:top w:w="80" w:type="dxa"/>
              <w:left w:w="120" w:type="dxa"/>
              <w:bottom w:w="80" w:type="dxa"/>
              <w:right w:w="120" w:type="dxa"/>
            </w:tcMar>
            <w:vAlign w:val="center"/>
          </w:tcPr>
          <w:p w14:paraId="5782AFDB" w14:textId="77777777" w:rsidR="0030794C" w:rsidRPr="00884492" w:rsidRDefault="0030794C" w:rsidP="00E13EDB">
            <w:pPr>
              <w:spacing w:line="276" w:lineRule="auto"/>
              <w:jc w:val="center"/>
              <w:rPr>
                <w:rFonts w:ascii="Arial" w:hAnsi="Arial"/>
                <w:szCs w:val="24"/>
              </w:rPr>
            </w:pPr>
            <w:r w:rsidRPr="00884492">
              <w:rPr>
                <w:rFonts w:ascii="Arial" w:hAnsi="Arial"/>
                <w:szCs w:val="24"/>
              </w:rPr>
              <w:t>25.93%</w:t>
            </w:r>
          </w:p>
        </w:tc>
        <w:tc>
          <w:tcPr>
            <w:tcW w:w="1560" w:type="dxa"/>
            <w:shd w:val="clear" w:color="auto" w:fill="FFFFFF"/>
            <w:tcMar>
              <w:top w:w="80" w:type="dxa"/>
              <w:left w:w="120" w:type="dxa"/>
              <w:bottom w:w="80" w:type="dxa"/>
              <w:right w:w="120" w:type="dxa"/>
            </w:tcMar>
            <w:vAlign w:val="center"/>
          </w:tcPr>
          <w:p w14:paraId="4BA14D4F" w14:textId="77777777" w:rsidR="0030794C" w:rsidRPr="00884492" w:rsidRDefault="0030794C" w:rsidP="00E13EDB">
            <w:pPr>
              <w:spacing w:line="276" w:lineRule="auto"/>
              <w:jc w:val="center"/>
              <w:rPr>
                <w:rFonts w:ascii="Arial" w:hAnsi="Arial"/>
                <w:szCs w:val="24"/>
              </w:rPr>
            </w:pPr>
            <w:r w:rsidRPr="00884492">
              <w:rPr>
                <w:rFonts w:ascii="Arial" w:hAnsi="Arial"/>
                <w:szCs w:val="24"/>
              </w:rPr>
              <w:t>34.41%</w:t>
            </w:r>
          </w:p>
        </w:tc>
      </w:tr>
      <w:tr w:rsidR="00735DB8" w14:paraId="69420EB8" w14:textId="77777777" w:rsidTr="00F96872">
        <w:tc>
          <w:tcPr>
            <w:tcW w:w="1560" w:type="dxa"/>
            <w:shd w:val="clear" w:color="auto" w:fill="FFFFFF" w:themeFill="background1"/>
            <w:tcMar>
              <w:top w:w="80" w:type="dxa"/>
              <w:left w:w="120" w:type="dxa"/>
              <w:bottom w:w="80" w:type="dxa"/>
              <w:right w:w="120" w:type="dxa"/>
            </w:tcMar>
          </w:tcPr>
          <w:p w14:paraId="07562935" w14:textId="77777777" w:rsidR="0030794C" w:rsidRPr="008E51B2" w:rsidRDefault="0030794C" w:rsidP="00D96581">
            <w:pPr>
              <w:spacing w:line="276" w:lineRule="auto"/>
              <w:jc w:val="left"/>
              <w:rPr>
                <w:rFonts w:ascii="Arial" w:hAnsi="Arial"/>
                <w:szCs w:val="24"/>
              </w:rPr>
            </w:pPr>
            <w:r w:rsidRPr="008E51B2">
              <w:rPr>
                <w:rFonts w:ascii="Arial" w:hAnsi="Arial"/>
                <w:szCs w:val="24"/>
              </w:rPr>
              <w:t>ROE (%)</w:t>
            </w:r>
          </w:p>
        </w:tc>
        <w:tc>
          <w:tcPr>
            <w:tcW w:w="1560" w:type="dxa"/>
            <w:shd w:val="clear" w:color="auto" w:fill="FFFFFF" w:themeFill="background1"/>
            <w:tcMar>
              <w:top w:w="80" w:type="dxa"/>
              <w:left w:w="120" w:type="dxa"/>
              <w:bottom w:w="80" w:type="dxa"/>
              <w:right w:w="120" w:type="dxa"/>
            </w:tcMar>
            <w:vAlign w:val="center"/>
          </w:tcPr>
          <w:p w14:paraId="0F777BF2" w14:textId="77777777" w:rsidR="0030794C" w:rsidRPr="00884492" w:rsidRDefault="0030794C" w:rsidP="00E13EDB">
            <w:pPr>
              <w:spacing w:line="276" w:lineRule="auto"/>
              <w:jc w:val="center"/>
              <w:rPr>
                <w:rFonts w:ascii="Arial" w:hAnsi="Arial"/>
                <w:szCs w:val="24"/>
              </w:rPr>
            </w:pPr>
            <w:r w:rsidRPr="00884492">
              <w:rPr>
                <w:rFonts w:ascii="Arial" w:hAnsi="Arial"/>
                <w:szCs w:val="24"/>
              </w:rPr>
              <w:t>29.54%</w:t>
            </w:r>
          </w:p>
        </w:tc>
        <w:tc>
          <w:tcPr>
            <w:tcW w:w="1560" w:type="dxa"/>
            <w:shd w:val="clear" w:color="auto" w:fill="FFFFFF" w:themeFill="background1"/>
            <w:tcMar>
              <w:top w:w="80" w:type="dxa"/>
              <w:left w:w="120" w:type="dxa"/>
              <w:bottom w:w="80" w:type="dxa"/>
              <w:right w:w="120" w:type="dxa"/>
            </w:tcMar>
            <w:vAlign w:val="center"/>
          </w:tcPr>
          <w:p w14:paraId="75DAB466" w14:textId="77777777" w:rsidR="0030794C" w:rsidRPr="00884492" w:rsidRDefault="0030794C" w:rsidP="00E13EDB">
            <w:pPr>
              <w:spacing w:line="276" w:lineRule="auto"/>
              <w:jc w:val="center"/>
              <w:rPr>
                <w:rFonts w:ascii="Arial" w:hAnsi="Arial"/>
                <w:szCs w:val="24"/>
              </w:rPr>
            </w:pPr>
            <w:r w:rsidRPr="00884492">
              <w:rPr>
                <w:rFonts w:ascii="Arial" w:hAnsi="Arial"/>
                <w:szCs w:val="24"/>
              </w:rPr>
              <w:t>19.54%</w:t>
            </w:r>
          </w:p>
        </w:tc>
        <w:tc>
          <w:tcPr>
            <w:tcW w:w="1560" w:type="dxa"/>
            <w:shd w:val="clear" w:color="auto" w:fill="FFFFFF" w:themeFill="background1"/>
            <w:tcMar>
              <w:top w:w="80" w:type="dxa"/>
              <w:left w:w="120" w:type="dxa"/>
              <w:bottom w:w="80" w:type="dxa"/>
              <w:right w:w="120" w:type="dxa"/>
            </w:tcMar>
            <w:vAlign w:val="center"/>
          </w:tcPr>
          <w:p w14:paraId="6247A3D0" w14:textId="77777777" w:rsidR="0030794C" w:rsidRPr="00884492" w:rsidRDefault="0030794C" w:rsidP="00E13EDB">
            <w:pPr>
              <w:spacing w:line="276" w:lineRule="auto"/>
              <w:jc w:val="center"/>
              <w:rPr>
                <w:rFonts w:ascii="Arial" w:hAnsi="Arial"/>
                <w:szCs w:val="24"/>
              </w:rPr>
            </w:pPr>
            <w:r w:rsidRPr="00884492">
              <w:rPr>
                <w:rFonts w:ascii="Arial" w:hAnsi="Arial"/>
                <w:szCs w:val="24"/>
              </w:rPr>
              <w:t>17.03%</w:t>
            </w:r>
          </w:p>
        </w:tc>
        <w:tc>
          <w:tcPr>
            <w:tcW w:w="1560" w:type="dxa"/>
            <w:shd w:val="clear" w:color="auto" w:fill="FFFFFF" w:themeFill="background1"/>
            <w:tcMar>
              <w:top w:w="80" w:type="dxa"/>
              <w:left w:w="120" w:type="dxa"/>
              <w:bottom w:w="80" w:type="dxa"/>
              <w:right w:w="120" w:type="dxa"/>
            </w:tcMar>
            <w:vAlign w:val="center"/>
          </w:tcPr>
          <w:p w14:paraId="71645F04" w14:textId="77777777" w:rsidR="0030794C" w:rsidRPr="00884492" w:rsidRDefault="0030794C" w:rsidP="00E13EDB">
            <w:pPr>
              <w:spacing w:line="276" w:lineRule="auto"/>
              <w:jc w:val="center"/>
              <w:rPr>
                <w:rFonts w:ascii="Arial" w:hAnsi="Arial"/>
                <w:szCs w:val="24"/>
              </w:rPr>
            </w:pPr>
            <w:r w:rsidRPr="00884492">
              <w:rPr>
                <w:rFonts w:ascii="Arial" w:hAnsi="Arial"/>
                <w:szCs w:val="24"/>
              </w:rPr>
              <w:t>15.36%</w:t>
            </w:r>
          </w:p>
        </w:tc>
        <w:tc>
          <w:tcPr>
            <w:tcW w:w="1560" w:type="dxa"/>
            <w:shd w:val="clear" w:color="auto" w:fill="FFFFFF" w:themeFill="background1"/>
            <w:tcMar>
              <w:top w:w="80" w:type="dxa"/>
              <w:left w:w="120" w:type="dxa"/>
              <w:bottom w:w="80" w:type="dxa"/>
              <w:right w:w="120" w:type="dxa"/>
            </w:tcMar>
            <w:vAlign w:val="center"/>
          </w:tcPr>
          <w:p w14:paraId="329E1158" w14:textId="77777777" w:rsidR="0030794C" w:rsidRPr="00884492" w:rsidRDefault="0030794C" w:rsidP="00E13EDB">
            <w:pPr>
              <w:spacing w:line="276" w:lineRule="auto"/>
              <w:jc w:val="center"/>
              <w:rPr>
                <w:rFonts w:ascii="Arial" w:hAnsi="Arial"/>
                <w:szCs w:val="24"/>
              </w:rPr>
            </w:pPr>
            <w:r w:rsidRPr="00884492">
              <w:rPr>
                <w:rFonts w:ascii="Arial" w:hAnsi="Arial"/>
                <w:szCs w:val="24"/>
              </w:rPr>
              <w:t>17.43%</w:t>
            </w:r>
          </w:p>
        </w:tc>
      </w:tr>
      <w:tr w:rsidR="00735DB8" w14:paraId="5963C7F2" w14:textId="77777777" w:rsidTr="00F96872">
        <w:tc>
          <w:tcPr>
            <w:tcW w:w="1560" w:type="dxa"/>
            <w:shd w:val="clear" w:color="auto" w:fill="FFFFFF"/>
            <w:tcMar>
              <w:top w:w="80" w:type="dxa"/>
              <w:left w:w="120" w:type="dxa"/>
              <w:bottom w:w="80" w:type="dxa"/>
              <w:right w:w="120" w:type="dxa"/>
            </w:tcMar>
          </w:tcPr>
          <w:p w14:paraId="6CF09F4A" w14:textId="77777777" w:rsidR="0030794C" w:rsidRPr="008E51B2" w:rsidRDefault="0030794C" w:rsidP="00D96581">
            <w:pPr>
              <w:spacing w:line="276" w:lineRule="auto"/>
              <w:jc w:val="left"/>
              <w:rPr>
                <w:rFonts w:ascii="Arial" w:hAnsi="Arial"/>
                <w:szCs w:val="24"/>
              </w:rPr>
            </w:pPr>
            <w:r w:rsidRPr="008E51B2">
              <w:rPr>
                <w:rFonts w:ascii="Arial" w:hAnsi="Arial"/>
                <w:szCs w:val="24"/>
              </w:rPr>
              <w:t>ROA (%)</w:t>
            </w:r>
          </w:p>
        </w:tc>
        <w:tc>
          <w:tcPr>
            <w:tcW w:w="1560" w:type="dxa"/>
            <w:shd w:val="clear" w:color="auto" w:fill="FFFFFF"/>
            <w:tcMar>
              <w:top w:w="80" w:type="dxa"/>
              <w:left w:w="120" w:type="dxa"/>
              <w:bottom w:w="80" w:type="dxa"/>
              <w:right w:w="120" w:type="dxa"/>
            </w:tcMar>
            <w:vAlign w:val="center"/>
          </w:tcPr>
          <w:p w14:paraId="661BBC69" w14:textId="77777777" w:rsidR="0030794C" w:rsidRPr="00884492" w:rsidRDefault="0030794C" w:rsidP="00E13EDB">
            <w:pPr>
              <w:spacing w:line="276" w:lineRule="auto"/>
              <w:jc w:val="center"/>
              <w:rPr>
                <w:rFonts w:ascii="Arial" w:hAnsi="Arial"/>
                <w:szCs w:val="24"/>
              </w:rPr>
            </w:pPr>
            <w:r w:rsidRPr="00884492">
              <w:rPr>
                <w:rFonts w:ascii="Arial" w:hAnsi="Arial"/>
                <w:szCs w:val="24"/>
              </w:rPr>
              <w:t>22.84%</w:t>
            </w:r>
          </w:p>
        </w:tc>
        <w:tc>
          <w:tcPr>
            <w:tcW w:w="1560" w:type="dxa"/>
            <w:shd w:val="clear" w:color="auto" w:fill="FFFFFF" w:themeFill="background1"/>
            <w:tcMar>
              <w:top w:w="80" w:type="dxa"/>
              <w:left w:w="120" w:type="dxa"/>
              <w:bottom w:w="80" w:type="dxa"/>
              <w:right w:w="120" w:type="dxa"/>
            </w:tcMar>
            <w:vAlign w:val="center"/>
          </w:tcPr>
          <w:p w14:paraId="511802F4" w14:textId="77777777" w:rsidR="0030794C" w:rsidRPr="00884492" w:rsidRDefault="0030794C" w:rsidP="00E13EDB">
            <w:pPr>
              <w:spacing w:line="276" w:lineRule="auto"/>
              <w:jc w:val="center"/>
              <w:rPr>
                <w:rFonts w:ascii="Arial" w:hAnsi="Arial"/>
                <w:szCs w:val="24"/>
              </w:rPr>
            </w:pPr>
            <w:r w:rsidRPr="00884492">
              <w:rPr>
                <w:rFonts w:ascii="Arial" w:hAnsi="Arial"/>
                <w:szCs w:val="24"/>
              </w:rPr>
              <w:t>14.92%</w:t>
            </w:r>
          </w:p>
        </w:tc>
        <w:tc>
          <w:tcPr>
            <w:tcW w:w="1560" w:type="dxa"/>
            <w:shd w:val="clear" w:color="auto" w:fill="FFFFFF"/>
            <w:tcMar>
              <w:top w:w="80" w:type="dxa"/>
              <w:left w:w="120" w:type="dxa"/>
              <w:bottom w:w="80" w:type="dxa"/>
              <w:right w:w="120" w:type="dxa"/>
            </w:tcMar>
            <w:vAlign w:val="center"/>
          </w:tcPr>
          <w:p w14:paraId="21361951" w14:textId="77777777" w:rsidR="0030794C" w:rsidRPr="00884492" w:rsidRDefault="0030794C" w:rsidP="00E13EDB">
            <w:pPr>
              <w:spacing w:line="276" w:lineRule="auto"/>
              <w:jc w:val="center"/>
              <w:rPr>
                <w:rFonts w:ascii="Arial" w:hAnsi="Arial"/>
                <w:szCs w:val="24"/>
              </w:rPr>
            </w:pPr>
            <w:r w:rsidRPr="00884492">
              <w:rPr>
                <w:rFonts w:ascii="Arial" w:hAnsi="Arial"/>
                <w:szCs w:val="24"/>
              </w:rPr>
              <w:t>12.74%</w:t>
            </w:r>
          </w:p>
        </w:tc>
        <w:tc>
          <w:tcPr>
            <w:tcW w:w="1560" w:type="dxa"/>
            <w:shd w:val="clear" w:color="auto" w:fill="FFFFFF" w:themeFill="background1"/>
            <w:tcMar>
              <w:top w:w="80" w:type="dxa"/>
              <w:left w:w="120" w:type="dxa"/>
              <w:bottom w:w="80" w:type="dxa"/>
              <w:right w:w="120" w:type="dxa"/>
            </w:tcMar>
            <w:vAlign w:val="center"/>
          </w:tcPr>
          <w:p w14:paraId="337607A0" w14:textId="77777777" w:rsidR="0030794C" w:rsidRPr="00884492" w:rsidRDefault="0030794C" w:rsidP="00E13EDB">
            <w:pPr>
              <w:spacing w:line="276" w:lineRule="auto"/>
              <w:jc w:val="center"/>
              <w:rPr>
                <w:rFonts w:ascii="Arial" w:hAnsi="Arial"/>
                <w:szCs w:val="24"/>
              </w:rPr>
            </w:pPr>
            <w:r w:rsidRPr="00884492">
              <w:rPr>
                <w:rFonts w:ascii="Arial" w:hAnsi="Arial"/>
                <w:szCs w:val="24"/>
              </w:rPr>
              <w:t>12.04%</w:t>
            </w:r>
          </w:p>
        </w:tc>
        <w:tc>
          <w:tcPr>
            <w:tcW w:w="1560" w:type="dxa"/>
            <w:shd w:val="clear" w:color="auto" w:fill="FFFFFF"/>
            <w:tcMar>
              <w:top w:w="80" w:type="dxa"/>
              <w:left w:w="120" w:type="dxa"/>
              <w:bottom w:w="80" w:type="dxa"/>
              <w:right w:w="120" w:type="dxa"/>
            </w:tcMar>
            <w:vAlign w:val="center"/>
          </w:tcPr>
          <w:p w14:paraId="520F5EBD" w14:textId="77777777" w:rsidR="0030794C" w:rsidRPr="00884492" w:rsidRDefault="0030794C" w:rsidP="00E13EDB">
            <w:pPr>
              <w:spacing w:line="276" w:lineRule="auto"/>
              <w:jc w:val="center"/>
              <w:rPr>
                <w:rFonts w:ascii="Arial" w:hAnsi="Arial"/>
                <w:szCs w:val="24"/>
              </w:rPr>
            </w:pPr>
            <w:r w:rsidRPr="00884492">
              <w:rPr>
                <w:rFonts w:ascii="Arial" w:hAnsi="Arial"/>
                <w:szCs w:val="24"/>
              </w:rPr>
              <w:t>14.67%</w:t>
            </w:r>
          </w:p>
        </w:tc>
      </w:tr>
      <w:tr w:rsidR="00735DB8" w14:paraId="18F90122" w14:textId="77777777" w:rsidTr="00F96872">
        <w:tc>
          <w:tcPr>
            <w:tcW w:w="1560" w:type="dxa"/>
            <w:shd w:val="clear" w:color="auto" w:fill="FFFFFF" w:themeFill="background1"/>
            <w:tcMar>
              <w:top w:w="80" w:type="dxa"/>
              <w:left w:w="120" w:type="dxa"/>
              <w:bottom w:w="80" w:type="dxa"/>
              <w:right w:w="120" w:type="dxa"/>
            </w:tcMar>
          </w:tcPr>
          <w:p w14:paraId="7F783A22" w14:textId="3B1E3FB4" w:rsidR="0030794C" w:rsidRPr="008E51B2" w:rsidRDefault="0030794C" w:rsidP="00D96581">
            <w:pPr>
              <w:spacing w:line="276" w:lineRule="auto"/>
              <w:jc w:val="left"/>
              <w:rPr>
                <w:rFonts w:ascii="Arial" w:hAnsi="Arial"/>
                <w:szCs w:val="24"/>
              </w:rPr>
            </w:pPr>
            <w:r w:rsidRPr="008E51B2">
              <w:rPr>
                <w:rFonts w:ascii="Arial" w:hAnsi="Arial"/>
                <w:szCs w:val="24"/>
              </w:rPr>
              <w:t>FDR / Total Assets</w:t>
            </w:r>
            <w:r w:rsidR="00160255" w:rsidRPr="008E51B2">
              <w:rPr>
                <w:rFonts w:ascii="Arial" w:hAnsi="Arial"/>
                <w:szCs w:val="24"/>
              </w:rPr>
              <w:t xml:space="preserve"> (%)</w:t>
            </w:r>
          </w:p>
        </w:tc>
        <w:tc>
          <w:tcPr>
            <w:tcW w:w="1560" w:type="dxa"/>
            <w:shd w:val="clear" w:color="auto" w:fill="FFFFFF" w:themeFill="background1"/>
            <w:tcMar>
              <w:top w:w="80" w:type="dxa"/>
              <w:left w:w="120" w:type="dxa"/>
              <w:bottom w:w="80" w:type="dxa"/>
              <w:right w:w="120" w:type="dxa"/>
            </w:tcMar>
            <w:vAlign w:val="center"/>
          </w:tcPr>
          <w:p w14:paraId="425B1DD1" w14:textId="77777777" w:rsidR="0030794C" w:rsidRPr="00884492" w:rsidRDefault="0030794C" w:rsidP="00E13EDB">
            <w:pPr>
              <w:spacing w:line="276" w:lineRule="auto"/>
              <w:jc w:val="center"/>
              <w:rPr>
                <w:rFonts w:ascii="Arial" w:hAnsi="Arial"/>
                <w:szCs w:val="24"/>
              </w:rPr>
            </w:pPr>
            <w:r w:rsidRPr="00884492">
              <w:rPr>
                <w:rFonts w:ascii="Arial" w:hAnsi="Arial"/>
                <w:szCs w:val="24"/>
              </w:rPr>
              <w:t>50.7%</w:t>
            </w:r>
          </w:p>
        </w:tc>
        <w:tc>
          <w:tcPr>
            <w:tcW w:w="1560" w:type="dxa"/>
            <w:shd w:val="clear" w:color="auto" w:fill="FFFFFF" w:themeFill="background1"/>
            <w:tcMar>
              <w:top w:w="80" w:type="dxa"/>
              <w:left w:w="120" w:type="dxa"/>
              <w:bottom w:w="80" w:type="dxa"/>
              <w:right w:w="120" w:type="dxa"/>
            </w:tcMar>
            <w:vAlign w:val="center"/>
          </w:tcPr>
          <w:p w14:paraId="3C93B152" w14:textId="77777777" w:rsidR="0030794C" w:rsidRPr="00884492" w:rsidRDefault="0030794C" w:rsidP="00E13EDB">
            <w:pPr>
              <w:spacing w:line="276" w:lineRule="auto"/>
              <w:jc w:val="center"/>
              <w:rPr>
                <w:rFonts w:ascii="Arial" w:hAnsi="Arial"/>
                <w:szCs w:val="24"/>
              </w:rPr>
            </w:pPr>
            <w:r w:rsidRPr="00884492">
              <w:rPr>
                <w:rFonts w:ascii="Arial" w:hAnsi="Arial"/>
                <w:szCs w:val="24"/>
              </w:rPr>
              <w:t>63.9%</w:t>
            </w:r>
          </w:p>
        </w:tc>
        <w:tc>
          <w:tcPr>
            <w:tcW w:w="1560" w:type="dxa"/>
            <w:shd w:val="clear" w:color="auto" w:fill="FFFFFF" w:themeFill="background1"/>
            <w:tcMar>
              <w:top w:w="80" w:type="dxa"/>
              <w:left w:w="120" w:type="dxa"/>
              <w:bottom w:w="80" w:type="dxa"/>
              <w:right w:w="120" w:type="dxa"/>
            </w:tcMar>
            <w:vAlign w:val="center"/>
          </w:tcPr>
          <w:p w14:paraId="09065AD4" w14:textId="77777777" w:rsidR="0030794C" w:rsidRPr="00884492" w:rsidRDefault="0030794C" w:rsidP="00E13EDB">
            <w:pPr>
              <w:spacing w:line="276" w:lineRule="auto"/>
              <w:jc w:val="center"/>
              <w:rPr>
                <w:rFonts w:ascii="Arial" w:hAnsi="Arial"/>
                <w:szCs w:val="24"/>
              </w:rPr>
            </w:pPr>
            <w:r w:rsidRPr="00884492">
              <w:rPr>
                <w:rFonts w:ascii="Arial" w:hAnsi="Arial"/>
                <w:szCs w:val="24"/>
              </w:rPr>
              <w:t>65.2%</w:t>
            </w:r>
          </w:p>
        </w:tc>
        <w:tc>
          <w:tcPr>
            <w:tcW w:w="1560" w:type="dxa"/>
            <w:shd w:val="clear" w:color="auto" w:fill="FFFFFF" w:themeFill="background1"/>
            <w:tcMar>
              <w:top w:w="80" w:type="dxa"/>
              <w:left w:w="120" w:type="dxa"/>
              <w:bottom w:w="80" w:type="dxa"/>
              <w:right w:w="120" w:type="dxa"/>
            </w:tcMar>
            <w:vAlign w:val="center"/>
          </w:tcPr>
          <w:p w14:paraId="53D727CB" w14:textId="77777777" w:rsidR="0030794C" w:rsidRPr="00884492" w:rsidRDefault="0030794C" w:rsidP="00E13EDB">
            <w:pPr>
              <w:spacing w:line="276" w:lineRule="auto"/>
              <w:jc w:val="center"/>
              <w:rPr>
                <w:rFonts w:ascii="Arial" w:hAnsi="Arial"/>
                <w:szCs w:val="24"/>
              </w:rPr>
            </w:pPr>
            <w:r w:rsidRPr="00884492">
              <w:rPr>
                <w:rFonts w:ascii="Arial" w:hAnsi="Arial"/>
                <w:szCs w:val="24"/>
              </w:rPr>
              <w:t>60.2%</w:t>
            </w:r>
          </w:p>
        </w:tc>
        <w:tc>
          <w:tcPr>
            <w:tcW w:w="1560" w:type="dxa"/>
            <w:shd w:val="clear" w:color="auto" w:fill="FFFFFF" w:themeFill="background1"/>
            <w:tcMar>
              <w:top w:w="80" w:type="dxa"/>
              <w:left w:w="120" w:type="dxa"/>
              <w:bottom w:w="80" w:type="dxa"/>
              <w:right w:w="120" w:type="dxa"/>
            </w:tcMar>
            <w:vAlign w:val="center"/>
          </w:tcPr>
          <w:p w14:paraId="001E7A1B" w14:textId="77777777" w:rsidR="0030794C" w:rsidRPr="00884492" w:rsidRDefault="0030794C" w:rsidP="00E13EDB">
            <w:pPr>
              <w:spacing w:line="276" w:lineRule="auto"/>
              <w:jc w:val="center"/>
              <w:rPr>
                <w:rFonts w:ascii="Arial" w:hAnsi="Arial"/>
                <w:szCs w:val="24"/>
              </w:rPr>
            </w:pPr>
            <w:r w:rsidRPr="00884492">
              <w:rPr>
                <w:rFonts w:ascii="Arial" w:hAnsi="Arial"/>
                <w:szCs w:val="24"/>
              </w:rPr>
              <w:t>71.7%</w:t>
            </w:r>
          </w:p>
        </w:tc>
      </w:tr>
      <w:tr w:rsidR="00735DB8" w14:paraId="45B656AB" w14:textId="77777777" w:rsidTr="00F96872">
        <w:tc>
          <w:tcPr>
            <w:tcW w:w="1560" w:type="dxa"/>
            <w:shd w:val="clear" w:color="auto" w:fill="FFFFFF"/>
            <w:tcMar>
              <w:top w:w="80" w:type="dxa"/>
              <w:left w:w="120" w:type="dxa"/>
              <w:bottom w:w="80" w:type="dxa"/>
              <w:right w:w="120" w:type="dxa"/>
            </w:tcMar>
          </w:tcPr>
          <w:p w14:paraId="09B238C4" w14:textId="04263297" w:rsidR="0030794C" w:rsidRPr="008E51B2" w:rsidRDefault="0030794C" w:rsidP="00D96581">
            <w:pPr>
              <w:spacing w:line="276" w:lineRule="auto"/>
              <w:jc w:val="left"/>
              <w:rPr>
                <w:rFonts w:ascii="Arial" w:hAnsi="Arial"/>
                <w:szCs w:val="24"/>
              </w:rPr>
            </w:pPr>
            <w:r w:rsidRPr="008E51B2">
              <w:rPr>
                <w:rFonts w:ascii="Arial" w:hAnsi="Arial"/>
                <w:szCs w:val="24"/>
              </w:rPr>
              <w:t xml:space="preserve">NWC / Total </w:t>
            </w:r>
            <w:r w:rsidR="00160255" w:rsidRPr="008E51B2">
              <w:rPr>
                <w:rFonts w:ascii="Arial" w:hAnsi="Arial"/>
                <w:szCs w:val="24"/>
              </w:rPr>
              <w:t>Assets (%)</w:t>
            </w:r>
          </w:p>
        </w:tc>
        <w:tc>
          <w:tcPr>
            <w:tcW w:w="1560" w:type="dxa"/>
            <w:shd w:val="clear" w:color="auto" w:fill="FFFFFF"/>
            <w:tcMar>
              <w:top w:w="80" w:type="dxa"/>
              <w:left w:w="120" w:type="dxa"/>
              <w:bottom w:w="80" w:type="dxa"/>
              <w:right w:w="120" w:type="dxa"/>
            </w:tcMar>
            <w:vAlign w:val="center"/>
          </w:tcPr>
          <w:p w14:paraId="153876AC" w14:textId="77777777" w:rsidR="0030794C" w:rsidRPr="00884492" w:rsidRDefault="0030794C" w:rsidP="00E13EDB">
            <w:pPr>
              <w:spacing w:line="276" w:lineRule="auto"/>
              <w:jc w:val="center"/>
              <w:rPr>
                <w:rFonts w:ascii="Arial" w:hAnsi="Arial"/>
                <w:szCs w:val="24"/>
              </w:rPr>
            </w:pPr>
            <w:r w:rsidRPr="00884492">
              <w:rPr>
                <w:rFonts w:ascii="Arial" w:hAnsi="Arial"/>
                <w:szCs w:val="24"/>
              </w:rPr>
              <w:t>20.97%</w:t>
            </w:r>
          </w:p>
        </w:tc>
        <w:tc>
          <w:tcPr>
            <w:tcW w:w="1560" w:type="dxa"/>
            <w:shd w:val="clear" w:color="auto" w:fill="FFFFFF" w:themeFill="background1"/>
            <w:tcMar>
              <w:top w:w="80" w:type="dxa"/>
              <w:left w:w="120" w:type="dxa"/>
              <w:bottom w:w="80" w:type="dxa"/>
              <w:right w:w="120" w:type="dxa"/>
            </w:tcMar>
            <w:vAlign w:val="center"/>
          </w:tcPr>
          <w:p w14:paraId="322D5231" w14:textId="77777777" w:rsidR="0030794C" w:rsidRPr="00884492" w:rsidRDefault="0030794C" w:rsidP="00E13EDB">
            <w:pPr>
              <w:spacing w:line="276" w:lineRule="auto"/>
              <w:jc w:val="center"/>
              <w:rPr>
                <w:rFonts w:ascii="Arial" w:hAnsi="Arial"/>
                <w:szCs w:val="24"/>
              </w:rPr>
            </w:pPr>
            <w:r w:rsidRPr="00884492">
              <w:rPr>
                <w:rFonts w:ascii="Arial" w:hAnsi="Arial"/>
                <w:szCs w:val="24"/>
              </w:rPr>
              <w:t>11.26%</w:t>
            </w:r>
          </w:p>
        </w:tc>
        <w:tc>
          <w:tcPr>
            <w:tcW w:w="1560" w:type="dxa"/>
            <w:shd w:val="clear" w:color="auto" w:fill="FFFFFF" w:themeFill="background1"/>
            <w:tcMar>
              <w:top w:w="80" w:type="dxa"/>
              <w:left w:w="120" w:type="dxa"/>
              <w:bottom w:w="80" w:type="dxa"/>
              <w:right w:w="120" w:type="dxa"/>
            </w:tcMar>
            <w:vAlign w:val="center"/>
          </w:tcPr>
          <w:p w14:paraId="0FB6F400" w14:textId="77777777" w:rsidR="0030794C" w:rsidRPr="00884492" w:rsidRDefault="0030794C" w:rsidP="00E13EDB">
            <w:pPr>
              <w:spacing w:line="276" w:lineRule="auto"/>
              <w:jc w:val="center"/>
              <w:rPr>
                <w:rFonts w:ascii="Arial" w:hAnsi="Arial"/>
                <w:szCs w:val="24"/>
              </w:rPr>
            </w:pPr>
            <w:r w:rsidRPr="00884492">
              <w:rPr>
                <w:rFonts w:ascii="Arial" w:hAnsi="Arial"/>
                <w:szCs w:val="24"/>
              </w:rPr>
              <w:t>8.38%</w:t>
            </w:r>
          </w:p>
        </w:tc>
        <w:tc>
          <w:tcPr>
            <w:tcW w:w="1560" w:type="dxa"/>
            <w:shd w:val="clear" w:color="auto" w:fill="FFFFFF" w:themeFill="background1"/>
            <w:tcMar>
              <w:top w:w="80" w:type="dxa"/>
              <w:left w:w="120" w:type="dxa"/>
              <w:bottom w:w="80" w:type="dxa"/>
              <w:right w:w="120" w:type="dxa"/>
            </w:tcMar>
            <w:vAlign w:val="center"/>
          </w:tcPr>
          <w:p w14:paraId="78BB6170" w14:textId="77777777" w:rsidR="0030794C" w:rsidRPr="00884492" w:rsidRDefault="0030794C" w:rsidP="00E13EDB">
            <w:pPr>
              <w:spacing w:line="276" w:lineRule="auto"/>
              <w:jc w:val="center"/>
              <w:rPr>
                <w:rFonts w:ascii="Arial" w:hAnsi="Arial"/>
                <w:szCs w:val="24"/>
              </w:rPr>
            </w:pPr>
            <w:r w:rsidRPr="00884492">
              <w:rPr>
                <w:rFonts w:ascii="Arial" w:hAnsi="Arial"/>
                <w:szCs w:val="24"/>
              </w:rPr>
              <w:t>17.28%</w:t>
            </w:r>
          </w:p>
        </w:tc>
        <w:tc>
          <w:tcPr>
            <w:tcW w:w="1560" w:type="dxa"/>
            <w:shd w:val="clear" w:color="auto" w:fill="FFFFFF"/>
            <w:tcMar>
              <w:top w:w="80" w:type="dxa"/>
              <w:left w:w="120" w:type="dxa"/>
              <w:bottom w:w="80" w:type="dxa"/>
              <w:right w:w="120" w:type="dxa"/>
            </w:tcMar>
            <w:vAlign w:val="center"/>
          </w:tcPr>
          <w:p w14:paraId="479603CB" w14:textId="77777777" w:rsidR="0030794C" w:rsidRPr="00884492" w:rsidRDefault="0030794C" w:rsidP="00E13EDB">
            <w:pPr>
              <w:spacing w:line="276" w:lineRule="auto"/>
              <w:jc w:val="center"/>
              <w:rPr>
                <w:rFonts w:ascii="Arial" w:hAnsi="Arial"/>
                <w:szCs w:val="24"/>
              </w:rPr>
            </w:pPr>
            <w:r w:rsidRPr="00884492">
              <w:rPr>
                <w:rFonts w:ascii="Arial" w:hAnsi="Arial"/>
                <w:szCs w:val="24"/>
              </w:rPr>
              <w:t>11.81%</w:t>
            </w:r>
          </w:p>
        </w:tc>
      </w:tr>
    </w:tbl>
    <w:p w14:paraId="1631D25B" w14:textId="2B98C078" w:rsidR="0030794C" w:rsidRPr="00802570" w:rsidRDefault="0030794C" w:rsidP="00EB7D4F">
      <w:pPr>
        <w:pStyle w:val="Caption"/>
        <w:jc w:val="center"/>
        <w:rPr>
          <w:rFonts w:ascii="Arial" w:hAnsi="Arial"/>
          <w:i w:val="0"/>
          <w:iCs w:val="0"/>
          <w:sz w:val="24"/>
          <w:szCs w:val="24"/>
        </w:rPr>
      </w:pPr>
    </w:p>
    <w:p w14:paraId="78A48F27" w14:textId="77777777" w:rsidR="0030794C" w:rsidRDefault="0030794C" w:rsidP="00E13EDB">
      <w:pPr>
        <w:spacing w:after="80" w:line="276" w:lineRule="auto"/>
        <w:rPr>
          <w:rFonts w:cs="Times New Roman"/>
          <w:szCs w:val="24"/>
        </w:rPr>
      </w:pPr>
    </w:p>
    <w:p w14:paraId="222FEB44" w14:textId="77777777" w:rsidR="0030794C" w:rsidRDefault="0030794C" w:rsidP="00E13EDB">
      <w:pPr>
        <w:spacing w:after="80" w:line="276" w:lineRule="auto"/>
        <w:rPr>
          <w:rFonts w:cs="Times New Roman"/>
          <w:szCs w:val="24"/>
        </w:rPr>
      </w:pPr>
    </w:p>
    <w:p w14:paraId="65E2274D" w14:textId="77777777" w:rsidR="0030794C" w:rsidRDefault="0030794C" w:rsidP="00E13EDB">
      <w:pPr>
        <w:spacing w:after="80" w:line="276" w:lineRule="auto"/>
        <w:rPr>
          <w:rFonts w:cs="Times New Roman"/>
          <w:szCs w:val="24"/>
        </w:rPr>
      </w:pPr>
    </w:p>
    <w:p w14:paraId="257C3508" w14:textId="77777777" w:rsidR="0030794C" w:rsidRDefault="0030794C" w:rsidP="00E13EDB">
      <w:pPr>
        <w:spacing w:after="80" w:line="276" w:lineRule="auto"/>
        <w:rPr>
          <w:rFonts w:cs="Times New Roman"/>
          <w:szCs w:val="24"/>
        </w:rPr>
      </w:pPr>
    </w:p>
    <w:p w14:paraId="475D0045" w14:textId="77777777" w:rsidR="00FD4A4D" w:rsidRDefault="00FD4A4D" w:rsidP="00E13EDB">
      <w:pPr>
        <w:spacing w:after="80" w:line="276" w:lineRule="auto"/>
        <w:rPr>
          <w:rFonts w:cs="Times New Roman"/>
          <w:szCs w:val="24"/>
        </w:rPr>
        <w:sectPr w:rsidR="00FD4A4D" w:rsidSect="000B5556">
          <w:pgSz w:w="11909" w:h="16834" w:code="9"/>
          <w:pgMar w:top="1440" w:right="1440" w:bottom="1440" w:left="1440" w:header="720" w:footer="720" w:gutter="0"/>
          <w:cols w:space="720"/>
          <w:docGrid w:linePitch="360"/>
        </w:sectPr>
      </w:pPr>
    </w:p>
    <w:p w14:paraId="5C6394EE" w14:textId="4F3CA2F1" w:rsidR="0030794C" w:rsidRDefault="0030794C" w:rsidP="00FD4A4D">
      <w:pPr>
        <w:pStyle w:val="Heading2"/>
        <w:rPr>
          <w:rFonts w:ascii="Arial" w:hAnsi="Arial" w:cs="Arial"/>
          <w:sz w:val="28"/>
          <w:szCs w:val="28"/>
        </w:rPr>
      </w:pPr>
      <w:bookmarkStart w:id="124" w:name="_Toc235801973"/>
      <w:r w:rsidRPr="0018264E">
        <w:rPr>
          <w:rFonts w:ascii="Arial" w:hAnsi="Arial" w:cs="Arial"/>
          <w:sz w:val="28"/>
          <w:szCs w:val="28"/>
        </w:rPr>
        <w:lastRenderedPageBreak/>
        <w:t>A</w:t>
      </w:r>
      <w:r w:rsidR="0049423B" w:rsidRPr="0018264E">
        <w:rPr>
          <w:rFonts w:ascii="Arial" w:hAnsi="Arial" w:cs="Arial"/>
          <w:sz w:val="28"/>
          <w:szCs w:val="28"/>
        </w:rPr>
        <w:t>PPENDIX</w:t>
      </w:r>
      <w:r w:rsidRPr="0018264E">
        <w:rPr>
          <w:rFonts w:ascii="Arial" w:hAnsi="Arial" w:cs="Arial"/>
          <w:sz w:val="28"/>
          <w:szCs w:val="28"/>
        </w:rPr>
        <w:t xml:space="preserve"> B: L</w:t>
      </w:r>
      <w:r w:rsidR="0049423B" w:rsidRPr="0018264E">
        <w:rPr>
          <w:rFonts w:ascii="Arial" w:hAnsi="Arial" w:cs="Arial"/>
          <w:sz w:val="28"/>
          <w:szCs w:val="28"/>
        </w:rPr>
        <w:t>IST</w:t>
      </w:r>
      <w:r w:rsidRPr="0018264E">
        <w:rPr>
          <w:rFonts w:ascii="Arial" w:hAnsi="Arial" w:cs="Arial"/>
          <w:sz w:val="28"/>
          <w:szCs w:val="28"/>
        </w:rPr>
        <w:t xml:space="preserve"> </w:t>
      </w:r>
      <w:r w:rsidR="0049423B" w:rsidRPr="0018264E">
        <w:rPr>
          <w:rFonts w:ascii="Arial" w:hAnsi="Arial" w:cs="Arial"/>
          <w:sz w:val="28"/>
          <w:szCs w:val="28"/>
        </w:rPr>
        <w:t xml:space="preserve">OF </w:t>
      </w:r>
      <w:r w:rsidRPr="0018264E">
        <w:rPr>
          <w:rFonts w:ascii="Arial" w:hAnsi="Arial" w:cs="Arial"/>
          <w:sz w:val="28"/>
          <w:szCs w:val="28"/>
        </w:rPr>
        <w:t>A</w:t>
      </w:r>
      <w:r w:rsidR="0049423B" w:rsidRPr="0018264E">
        <w:rPr>
          <w:rFonts w:ascii="Arial" w:hAnsi="Arial" w:cs="Arial"/>
          <w:sz w:val="28"/>
          <w:szCs w:val="28"/>
        </w:rPr>
        <w:t>BBREVIATIONS</w:t>
      </w:r>
      <w:bookmarkEnd w:id="124"/>
    </w:p>
    <w:p w14:paraId="19B9CBE9" w14:textId="6540BAF8" w:rsidR="00C15A61" w:rsidRPr="00F147E8" w:rsidRDefault="00F147E8" w:rsidP="00F147E8">
      <w:pPr>
        <w:pStyle w:val="Caption"/>
        <w:jc w:val="center"/>
        <w:rPr>
          <w:sz w:val="24"/>
          <w:szCs w:val="24"/>
        </w:rPr>
      </w:pPr>
      <w:bookmarkStart w:id="125" w:name="_Toc235803966"/>
      <w:bookmarkStart w:id="126" w:name="_Toc235804219"/>
      <w:r w:rsidRPr="00F147E8">
        <w:rPr>
          <w:sz w:val="24"/>
          <w:szCs w:val="24"/>
        </w:rPr>
        <w:t xml:space="preserve">Table </w:t>
      </w:r>
      <w:r w:rsidRPr="00F147E8">
        <w:rPr>
          <w:sz w:val="24"/>
          <w:szCs w:val="24"/>
        </w:rPr>
        <w:fldChar w:fldCharType="begin"/>
      </w:r>
      <w:r w:rsidRPr="00F147E8">
        <w:rPr>
          <w:sz w:val="24"/>
          <w:szCs w:val="24"/>
        </w:rPr>
        <w:instrText xml:space="preserve"> SEQ Table \* ARABIC </w:instrText>
      </w:r>
      <w:r w:rsidRPr="00F147E8">
        <w:rPr>
          <w:sz w:val="24"/>
          <w:szCs w:val="24"/>
        </w:rPr>
        <w:fldChar w:fldCharType="separate"/>
      </w:r>
      <w:r w:rsidR="003A3DA9">
        <w:rPr>
          <w:noProof/>
          <w:sz w:val="24"/>
          <w:szCs w:val="24"/>
        </w:rPr>
        <w:t>16</w:t>
      </w:r>
      <w:r w:rsidRPr="00F147E8">
        <w:rPr>
          <w:sz w:val="24"/>
          <w:szCs w:val="24"/>
        </w:rPr>
        <w:fldChar w:fldCharType="end"/>
      </w:r>
      <w:r w:rsidRPr="00F147E8">
        <w:rPr>
          <w:sz w:val="24"/>
          <w:szCs w:val="24"/>
        </w:rPr>
        <w:t>.1: List of Abbreviations</w:t>
      </w:r>
      <w:bookmarkEnd w:id="125"/>
      <w:bookmarkEnd w:id="126"/>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40"/>
        <w:gridCol w:w="7020"/>
      </w:tblGrid>
      <w:tr w:rsidR="00735DB8" w14:paraId="33AC1450" w14:textId="77777777" w:rsidTr="00906B09">
        <w:tc>
          <w:tcPr>
            <w:tcW w:w="2340" w:type="dxa"/>
            <w:shd w:val="clear" w:color="auto" w:fill="156082" w:themeFill="accent1"/>
            <w:tcMar>
              <w:top w:w="100" w:type="dxa"/>
              <w:left w:w="120" w:type="dxa"/>
              <w:bottom w:w="100" w:type="dxa"/>
              <w:right w:w="120" w:type="dxa"/>
            </w:tcMar>
            <w:vAlign w:val="center"/>
          </w:tcPr>
          <w:p w14:paraId="735560CC" w14:textId="77777777" w:rsidR="0030794C" w:rsidRPr="00884492" w:rsidRDefault="0030794C" w:rsidP="00E13EDB">
            <w:pPr>
              <w:spacing w:line="276" w:lineRule="auto"/>
              <w:rPr>
                <w:rFonts w:ascii="Arial" w:hAnsi="Arial"/>
                <w:szCs w:val="24"/>
              </w:rPr>
            </w:pPr>
            <w:r w:rsidRPr="00884492">
              <w:rPr>
                <w:rFonts w:ascii="Arial" w:hAnsi="Arial"/>
                <w:b/>
                <w:bCs/>
                <w:color w:val="FFFFFF"/>
                <w:szCs w:val="24"/>
              </w:rPr>
              <w:t>Abbreviation</w:t>
            </w:r>
          </w:p>
        </w:tc>
        <w:tc>
          <w:tcPr>
            <w:tcW w:w="7020" w:type="dxa"/>
            <w:shd w:val="clear" w:color="auto" w:fill="156082" w:themeFill="accent1"/>
            <w:tcMar>
              <w:top w:w="100" w:type="dxa"/>
              <w:left w:w="120" w:type="dxa"/>
              <w:bottom w:w="100" w:type="dxa"/>
              <w:right w:w="120" w:type="dxa"/>
            </w:tcMar>
            <w:vAlign w:val="center"/>
          </w:tcPr>
          <w:p w14:paraId="2D6F795B" w14:textId="77777777" w:rsidR="0030794C" w:rsidRPr="00884492" w:rsidRDefault="0030794C" w:rsidP="00E13EDB">
            <w:pPr>
              <w:spacing w:line="276" w:lineRule="auto"/>
              <w:rPr>
                <w:rFonts w:ascii="Arial" w:hAnsi="Arial"/>
                <w:szCs w:val="24"/>
              </w:rPr>
            </w:pPr>
            <w:r w:rsidRPr="00884492">
              <w:rPr>
                <w:rFonts w:ascii="Arial" w:hAnsi="Arial"/>
                <w:b/>
                <w:bCs/>
                <w:color w:val="FFFFFF"/>
                <w:szCs w:val="24"/>
              </w:rPr>
              <w:t>Full Form</w:t>
            </w:r>
          </w:p>
        </w:tc>
      </w:tr>
      <w:tr w:rsidR="00735DB8" w14:paraId="2B886536" w14:textId="77777777" w:rsidTr="002623C4">
        <w:tc>
          <w:tcPr>
            <w:tcW w:w="2340" w:type="dxa"/>
            <w:shd w:val="clear" w:color="auto" w:fill="FFFFFF"/>
            <w:tcMar>
              <w:top w:w="80" w:type="dxa"/>
              <w:left w:w="120" w:type="dxa"/>
              <w:bottom w:w="80" w:type="dxa"/>
              <w:right w:w="120" w:type="dxa"/>
            </w:tcMar>
          </w:tcPr>
          <w:p w14:paraId="21481F48" w14:textId="77777777" w:rsidR="0030794C" w:rsidRPr="008E51B2" w:rsidRDefault="0030794C" w:rsidP="00E13EDB">
            <w:pPr>
              <w:spacing w:line="276" w:lineRule="auto"/>
              <w:rPr>
                <w:rFonts w:ascii="Arial" w:hAnsi="Arial"/>
                <w:b/>
                <w:bCs/>
                <w:szCs w:val="24"/>
              </w:rPr>
            </w:pPr>
            <w:r w:rsidRPr="008E51B2">
              <w:rPr>
                <w:rFonts w:ascii="Arial" w:hAnsi="Arial"/>
                <w:b/>
                <w:bCs/>
                <w:szCs w:val="24"/>
              </w:rPr>
              <w:t>AIT</w:t>
            </w:r>
          </w:p>
        </w:tc>
        <w:tc>
          <w:tcPr>
            <w:tcW w:w="7020" w:type="dxa"/>
            <w:shd w:val="clear" w:color="auto" w:fill="FFFFFF"/>
            <w:tcMar>
              <w:top w:w="80" w:type="dxa"/>
              <w:left w:w="120" w:type="dxa"/>
              <w:bottom w:w="80" w:type="dxa"/>
              <w:right w:w="120" w:type="dxa"/>
            </w:tcMar>
            <w:vAlign w:val="center"/>
          </w:tcPr>
          <w:p w14:paraId="66E4D41C" w14:textId="77777777" w:rsidR="0030794C" w:rsidRPr="00884492" w:rsidRDefault="0030794C" w:rsidP="00E13EDB">
            <w:pPr>
              <w:spacing w:line="276" w:lineRule="auto"/>
              <w:rPr>
                <w:rFonts w:ascii="Arial" w:hAnsi="Arial"/>
                <w:szCs w:val="24"/>
              </w:rPr>
            </w:pPr>
            <w:r w:rsidRPr="00884492">
              <w:rPr>
                <w:rFonts w:ascii="Arial" w:hAnsi="Arial"/>
                <w:szCs w:val="24"/>
              </w:rPr>
              <w:t>Advance Income Tax</w:t>
            </w:r>
          </w:p>
        </w:tc>
      </w:tr>
      <w:tr w:rsidR="00735DB8" w14:paraId="44A5CFE3" w14:textId="77777777" w:rsidTr="002623C4">
        <w:tc>
          <w:tcPr>
            <w:tcW w:w="2340" w:type="dxa"/>
            <w:shd w:val="clear" w:color="auto" w:fill="FFFFFF"/>
            <w:tcMar>
              <w:top w:w="80" w:type="dxa"/>
              <w:left w:w="120" w:type="dxa"/>
              <w:bottom w:w="80" w:type="dxa"/>
              <w:right w:w="120" w:type="dxa"/>
            </w:tcMar>
          </w:tcPr>
          <w:p w14:paraId="22D7A08C" w14:textId="77777777" w:rsidR="0030794C" w:rsidRPr="008E51B2" w:rsidRDefault="0030794C" w:rsidP="00E13EDB">
            <w:pPr>
              <w:spacing w:line="276" w:lineRule="auto"/>
              <w:rPr>
                <w:rFonts w:ascii="Arial" w:hAnsi="Arial"/>
                <w:b/>
                <w:bCs/>
                <w:szCs w:val="24"/>
              </w:rPr>
            </w:pPr>
            <w:r w:rsidRPr="008E51B2">
              <w:rPr>
                <w:rFonts w:ascii="Arial" w:hAnsi="Arial"/>
                <w:b/>
                <w:bCs/>
                <w:szCs w:val="24"/>
              </w:rPr>
              <w:t>CCC</w:t>
            </w:r>
          </w:p>
        </w:tc>
        <w:tc>
          <w:tcPr>
            <w:tcW w:w="7020" w:type="dxa"/>
            <w:shd w:val="clear" w:color="auto" w:fill="FFFFFF"/>
            <w:tcMar>
              <w:top w:w="80" w:type="dxa"/>
              <w:left w:w="120" w:type="dxa"/>
              <w:bottom w:w="80" w:type="dxa"/>
              <w:right w:w="120" w:type="dxa"/>
            </w:tcMar>
            <w:vAlign w:val="center"/>
          </w:tcPr>
          <w:p w14:paraId="4536F081" w14:textId="77777777" w:rsidR="0030794C" w:rsidRPr="00884492" w:rsidRDefault="0030794C" w:rsidP="00E13EDB">
            <w:pPr>
              <w:spacing w:line="276" w:lineRule="auto"/>
              <w:rPr>
                <w:rFonts w:ascii="Arial" w:hAnsi="Arial"/>
                <w:szCs w:val="24"/>
              </w:rPr>
            </w:pPr>
            <w:r w:rsidRPr="00884492">
              <w:rPr>
                <w:rFonts w:ascii="Arial" w:hAnsi="Arial"/>
                <w:szCs w:val="24"/>
              </w:rPr>
              <w:t>Cash Conversion Cycle</w:t>
            </w:r>
          </w:p>
        </w:tc>
      </w:tr>
      <w:tr w:rsidR="00735DB8" w14:paraId="2EF94753" w14:textId="77777777" w:rsidTr="00AD269C">
        <w:tc>
          <w:tcPr>
            <w:tcW w:w="2340" w:type="dxa"/>
            <w:shd w:val="clear" w:color="auto" w:fill="FFFFFF" w:themeFill="background1"/>
            <w:tcMar>
              <w:top w:w="80" w:type="dxa"/>
              <w:left w:w="120" w:type="dxa"/>
              <w:bottom w:w="80" w:type="dxa"/>
              <w:right w:w="120" w:type="dxa"/>
            </w:tcMar>
          </w:tcPr>
          <w:p w14:paraId="31C8AA8A" w14:textId="77777777" w:rsidR="0030794C" w:rsidRPr="008E51B2" w:rsidRDefault="0030794C" w:rsidP="00E13EDB">
            <w:pPr>
              <w:spacing w:line="276" w:lineRule="auto"/>
              <w:rPr>
                <w:rFonts w:ascii="Arial" w:hAnsi="Arial"/>
                <w:b/>
                <w:bCs/>
                <w:szCs w:val="24"/>
              </w:rPr>
            </w:pPr>
            <w:r w:rsidRPr="008E51B2">
              <w:rPr>
                <w:rFonts w:ascii="Arial" w:hAnsi="Arial"/>
                <w:b/>
                <w:bCs/>
                <w:szCs w:val="24"/>
              </w:rPr>
              <w:t>CFO</w:t>
            </w:r>
          </w:p>
        </w:tc>
        <w:tc>
          <w:tcPr>
            <w:tcW w:w="7020" w:type="dxa"/>
            <w:shd w:val="clear" w:color="auto" w:fill="FFFFFF" w:themeFill="background1"/>
            <w:tcMar>
              <w:top w:w="80" w:type="dxa"/>
              <w:left w:w="120" w:type="dxa"/>
              <w:bottom w:w="80" w:type="dxa"/>
              <w:right w:w="120" w:type="dxa"/>
            </w:tcMar>
            <w:vAlign w:val="center"/>
          </w:tcPr>
          <w:p w14:paraId="7A434FBD" w14:textId="77777777" w:rsidR="0030794C" w:rsidRPr="00884492" w:rsidRDefault="0030794C" w:rsidP="00E13EDB">
            <w:pPr>
              <w:spacing w:line="276" w:lineRule="auto"/>
              <w:rPr>
                <w:rFonts w:ascii="Arial" w:hAnsi="Arial"/>
                <w:szCs w:val="24"/>
              </w:rPr>
            </w:pPr>
            <w:r w:rsidRPr="00884492">
              <w:rPr>
                <w:rFonts w:ascii="Arial" w:hAnsi="Arial"/>
                <w:szCs w:val="24"/>
              </w:rPr>
              <w:t>Cash Flow from Operations</w:t>
            </w:r>
          </w:p>
        </w:tc>
      </w:tr>
      <w:tr w:rsidR="00735DB8" w14:paraId="13AA9C02" w14:textId="77777777" w:rsidTr="00AD269C">
        <w:tc>
          <w:tcPr>
            <w:tcW w:w="2340" w:type="dxa"/>
            <w:shd w:val="clear" w:color="auto" w:fill="FFFFFF" w:themeFill="background1"/>
            <w:tcMar>
              <w:top w:w="80" w:type="dxa"/>
              <w:left w:w="120" w:type="dxa"/>
              <w:bottom w:w="80" w:type="dxa"/>
              <w:right w:w="120" w:type="dxa"/>
            </w:tcMar>
          </w:tcPr>
          <w:p w14:paraId="3B3B5009" w14:textId="77777777" w:rsidR="0030794C" w:rsidRPr="008E51B2" w:rsidRDefault="0030794C" w:rsidP="00E13EDB">
            <w:pPr>
              <w:spacing w:line="276" w:lineRule="auto"/>
              <w:rPr>
                <w:rFonts w:ascii="Arial" w:hAnsi="Arial"/>
                <w:b/>
                <w:bCs/>
                <w:szCs w:val="24"/>
              </w:rPr>
            </w:pPr>
            <w:r w:rsidRPr="008E51B2">
              <w:rPr>
                <w:rFonts w:ascii="Arial" w:hAnsi="Arial"/>
                <w:b/>
                <w:bCs/>
                <w:szCs w:val="24"/>
              </w:rPr>
              <w:t>CPF</w:t>
            </w:r>
          </w:p>
        </w:tc>
        <w:tc>
          <w:tcPr>
            <w:tcW w:w="7020" w:type="dxa"/>
            <w:shd w:val="clear" w:color="auto" w:fill="FFFFFF" w:themeFill="background1"/>
            <w:tcMar>
              <w:top w:w="80" w:type="dxa"/>
              <w:left w:w="120" w:type="dxa"/>
              <w:bottom w:w="80" w:type="dxa"/>
              <w:right w:w="120" w:type="dxa"/>
            </w:tcMar>
            <w:vAlign w:val="center"/>
          </w:tcPr>
          <w:p w14:paraId="6D7A34F2" w14:textId="77777777" w:rsidR="0030794C" w:rsidRPr="00884492" w:rsidRDefault="0030794C" w:rsidP="00E13EDB">
            <w:pPr>
              <w:spacing w:line="276" w:lineRule="auto"/>
              <w:rPr>
                <w:rFonts w:ascii="Arial" w:hAnsi="Arial"/>
                <w:szCs w:val="24"/>
              </w:rPr>
            </w:pPr>
            <w:r w:rsidRPr="00884492">
              <w:rPr>
                <w:rFonts w:ascii="Arial" w:hAnsi="Arial"/>
                <w:szCs w:val="24"/>
              </w:rPr>
              <w:t>Contributory Provident Fund</w:t>
            </w:r>
          </w:p>
        </w:tc>
      </w:tr>
      <w:tr w:rsidR="00735DB8" w14:paraId="264D1FCE" w14:textId="77777777" w:rsidTr="00AD269C">
        <w:tc>
          <w:tcPr>
            <w:tcW w:w="2340" w:type="dxa"/>
            <w:shd w:val="clear" w:color="auto" w:fill="FFFFFF" w:themeFill="background1"/>
            <w:tcMar>
              <w:top w:w="80" w:type="dxa"/>
              <w:left w:w="120" w:type="dxa"/>
              <w:bottom w:w="80" w:type="dxa"/>
              <w:right w:w="120" w:type="dxa"/>
            </w:tcMar>
          </w:tcPr>
          <w:p w14:paraId="4246BC99" w14:textId="77777777" w:rsidR="0030794C" w:rsidRPr="008E51B2" w:rsidRDefault="0030794C" w:rsidP="00E13EDB">
            <w:pPr>
              <w:spacing w:line="276" w:lineRule="auto"/>
              <w:rPr>
                <w:rFonts w:ascii="Arial" w:hAnsi="Arial"/>
                <w:b/>
                <w:bCs/>
                <w:szCs w:val="24"/>
              </w:rPr>
            </w:pPr>
            <w:r w:rsidRPr="008E51B2">
              <w:rPr>
                <w:rFonts w:ascii="Arial" w:hAnsi="Arial"/>
                <w:b/>
                <w:bCs/>
                <w:szCs w:val="24"/>
              </w:rPr>
              <w:t>Cr</w:t>
            </w:r>
          </w:p>
        </w:tc>
        <w:tc>
          <w:tcPr>
            <w:tcW w:w="7020" w:type="dxa"/>
            <w:shd w:val="clear" w:color="auto" w:fill="FFFFFF" w:themeFill="background1"/>
            <w:tcMar>
              <w:top w:w="80" w:type="dxa"/>
              <w:left w:w="120" w:type="dxa"/>
              <w:bottom w:w="80" w:type="dxa"/>
              <w:right w:w="120" w:type="dxa"/>
            </w:tcMar>
            <w:vAlign w:val="center"/>
          </w:tcPr>
          <w:p w14:paraId="2EBE14B2" w14:textId="77777777" w:rsidR="0030794C" w:rsidRPr="00884492" w:rsidRDefault="0030794C" w:rsidP="00E13EDB">
            <w:pPr>
              <w:spacing w:line="276" w:lineRule="auto"/>
              <w:rPr>
                <w:rFonts w:ascii="Arial" w:hAnsi="Arial"/>
                <w:szCs w:val="24"/>
              </w:rPr>
            </w:pPr>
            <w:r w:rsidRPr="00884492">
              <w:rPr>
                <w:rFonts w:ascii="Arial" w:hAnsi="Arial"/>
                <w:szCs w:val="24"/>
              </w:rPr>
              <w:t>Crore (10 million BDT)</w:t>
            </w:r>
          </w:p>
        </w:tc>
      </w:tr>
      <w:tr w:rsidR="00735DB8" w14:paraId="1ACEAD43" w14:textId="77777777" w:rsidTr="00AD269C">
        <w:tc>
          <w:tcPr>
            <w:tcW w:w="2340" w:type="dxa"/>
            <w:shd w:val="clear" w:color="auto" w:fill="FFFFFF" w:themeFill="background1"/>
            <w:tcMar>
              <w:top w:w="80" w:type="dxa"/>
              <w:left w:w="120" w:type="dxa"/>
              <w:bottom w:w="80" w:type="dxa"/>
              <w:right w:w="120" w:type="dxa"/>
            </w:tcMar>
          </w:tcPr>
          <w:p w14:paraId="49A990D0" w14:textId="77777777" w:rsidR="0030794C" w:rsidRPr="008E51B2" w:rsidRDefault="0030794C" w:rsidP="00E13EDB">
            <w:pPr>
              <w:spacing w:line="276" w:lineRule="auto"/>
              <w:rPr>
                <w:rFonts w:ascii="Arial" w:hAnsi="Arial"/>
                <w:b/>
                <w:bCs/>
                <w:szCs w:val="24"/>
              </w:rPr>
            </w:pPr>
            <w:r w:rsidRPr="008E51B2">
              <w:rPr>
                <w:rFonts w:ascii="Arial" w:hAnsi="Arial"/>
                <w:b/>
                <w:bCs/>
                <w:szCs w:val="24"/>
              </w:rPr>
              <w:t>FDR</w:t>
            </w:r>
          </w:p>
        </w:tc>
        <w:tc>
          <w:tcPr>
            <w:tcW w:w="7020" w:type="dxa"/>
            <w:shd w:val="clear" w:color="auto" w:fill="FFFFFF" w:themeFill="background1"/>
            <w:tcMar>
              <w:top w:w="80" w:type="dxa"/>
              <w:left w:w="120" w:type="dxa"/>
              <w:bottom w:w="80" w:type="dxa"/>
              <w:right w:w="120" w:type="dxa"/>
            </w:tcMar>
            <w:vAlign w:val="center"/>
          </w:tcPr>
          <w:p w14:paraId="09255029" w14:textId="77777777" w:rsidR="0030794C" w:rsidRPr="00884492" w:rsidRDefault="0030794C" w:rsidP="00E13EDB">
            <w:pPr>
              <w:spacing w:line="276" w:lineRule="auto"/>
              <w:rPr>
                <w:rFonts w:ascii="Arial" w:hAnsi="Arial"/>
                <w:szCs w:val="24"/>
              </w:rPr>
            </w:pPr>
            <w:r w:rsidRPr="00884492">
              <w:rPr>
                <w:rFonts w:ascii="Arial" w:hAnsi="Arial"/>
                <w:szCs w:val="24"/>
              </w:rPr>
              <w:t>Fixed Deposit Receipt</w:t>
            </w:r>
          </w:p>
        </w:tc>
      </w:tr>
      <w:tr w:rsidR="00735DB8" w14:paraId="0BEDEE63" w14:textId="77777777" w:rsidTr="00AD269C">
        <w:tc>
          <w:tcPr>
            <w:tcW w:w="2340" w:type="dxa"/>
            <w:shd w:val="clear" w:color="auto" w:fill="FFFFFF" w:themeFill="background1"/>
            <w:tcMar>
              <w:top w:w="80" w:type="dxa"/>
              <w:left w:w="120" w:type="dxa"/>
              <w:bottom w:w="80" w:type="dxa"/>
              <w:right w:w="120" w:type="dxa"/>
            </w:tcMar>
          </w:tcPr>
          <w:p w14:paraId="27C9B166" w14:textId="77777777" w:rsidR="0030794C" w:rsidRPr="008E51B2" w:rsidRDefault="0030794C" w:rsidP="00E13EDB">
            <w:pPr>
              <w:spacing w:line="276" w:lineRule="auto"/>
              <w:rPr>
                <w:rFonts w:ascii="Arial" w:hAnsi="Arial"/>
                <w:b/>
                <w:bCs/>
                <w:szCs w:val="24"/>
              </w:rPr>
            </w:pPr>
            <w:r w:rsidRPr="008E51B2">
              <w:rPr>
                <w:rFonts w:ascii="Arial" w:hAnsi="Arial"/>
                <w:b/>
                <w:bCs/>
                <w:szCs w:val="24"/>
              </w:rPr>
              <w:t>GPM</w:t>
            </w:r>
          </w:p>
        </w:tc>
        <w:tc>
          <w:tcPr>
            <w:tcW w:w="7020" w:type="dxa"/>
            <w:shd w:val="clear" w:color="auto" w:fill="FFFFFF" w:themeFill="background1"/>
            <w:tcMar>
              <w:top w:w="80" w:type="dxa"/>
              <w:left w:w="120" w:type="dxa"/>
              <w:bottom w:w="80" w:type="dxa"/>
              <w:right w:w="120" w:type="dxa"/>
            </w:tcMar>
            <w:vAlign w:val="center"/>
          </w:tcPr>
          <w:p w14:paraId="7FA7707D" w14:textId="77777777" w:rsidR="0030794C" w:rsidRPr="00884492" w:rsidRDefault="0030794C" w:rsidP="00E13EDB">
            <w:pPr>
              <w:spacing w:line="276" w:lineRule="auto"/>
              <w:rPr>
                <w:rFonts w:ascii="Arial" w:hAnsi="Arial"/>
                <w:szCs w:val="24"/>
              </w:rPr>
            </w:pPr>
            <w:r w:rsidRPr="00884492">
              <w:rPr>
                <w:rFonts w:ascii="Arial" w:hAnsi="Arial"/>
                <w:szCs w:val="24"/>
              </w:rPr>
              <w:t>Gross Profit Margin</w:t>
            </w:r>
          </w:p>
        </w:tc>
      </w:tr>
      <w:tr w:rsidR="00735DB8" w14:paraId="258F85FB" w14:textId="77777777" w:rsidTr="00AD269C">
        <w:tc>
          <w:tcPr>
            <w:tcW w:w="2340" w:type="dxa"/>
            <w:shd w:val="clear" w:color="auto" w:fill="FFFFFF" w:themeFill="background1"/>
            <w:tcMar>
              <w:top w:w="80" w:type="dxa"/>
              <w:left w:w="120" w:type="dxa"/>
              <w:bottom w:w="80" w:type="dxa"/>
              <w:right w:w="120" w:type="dxa"/>
            </w:tcMar>
          </w:tcPr>
          <w:p w14:paraId="14F5C7F4" w14:textId="77777777" w:rsidR="0030794C" w:rsidRPr="008E51B2" w:rsidRDefault="0030794C" w:rsidP="00E13EDB">
            <w:pPr>
              <w:spacing w:line="276" w:lineRule="auto"/>
              <w:rPr>
                <w:rFonts w:ascii="Arial" w:hAnsi="Arial"/>
                <w:b/>
                <w:bCs/>
                <w:szCs w:val="24"/>
              </w:rPr>
            </w:pPr>
            <w:r w:rsidRPr="008E51B2">
              <w:rPr>
                <w:rFonts w:ascii="Arial" w:hAnsi="Arial"/>
                <w:b/>
                <w:bCs/>
                <w:szCs w:val="24"/>
              </w:rPr>
              <w:t>ICAB</w:t>
            </w:r>
          </w:p>
        </w:tc>
        <w:tc>
          <w:tcPr>
            <w:tcW w:w="7020" w:type="dxa"/>
            <w:shd w:val="clear" w:color="auto" w:fill="FFFFFF" w:themeFill="background1"/>
            <w:tcMar>
              <w:top w:w="80" w:type="dxa"/>
              <w:left w:w="120" w:type="dxa"/>
              <w:bottom w:w="80" w:type="dxa"/>
              <w:right w:w="120" w:type="dxa"/>
            </w:tcMar>
            <w:vAlign w:val="center"/>
          </w:tcPr>
          <w:p w14:paraId="34049470" w14:textId="77777777" w:rsidR="0030794C" w:rsidRPr="00884492" w:rsidRDefault="0030794C" w:rsidP="00E13EDB">
            <w:pPr>
              <w:spacing w:line="276" w:lineRule="auto"/>
              <w:rPr>
                <w:rFonts w:ascii="Arial" w:hAnsi="Arial"/>
                <w:szCs w:val="24"/>
              </w:rPr>
            </w:pPr>
            <w:r w:rsidRPr="00884492">
              <w:rPr>
                <w:rFonts w:ascii="Arial" w:hAnsi="Arial"/>
                <w:szCs w:val="24"/>
              </w:rPr>
              <w:t>Institute of Chartered Accountants of Bangladesh</w:t>
            </w:r>
          </w:p>
        </w:tc>
      </w:tr>
      <w:tr w:rsidR="00735DB8" w14:paraId="23CB8F72" w14:textId="77777777" w:rsidTr="00AD269C">
        <w:tc>
          <w:tcPr>
            <w:tcW w:w="2340" w:type="dxa"/>
            <w:shd w:val="clear" w:color="auto" w:fill="FFFFFF" w:themeFill="background1"/>
            <w:tcMar>
              <w:top w:w="80" w:type="dxa"/>
              <w:left w:w="120" w:type="dxa"/>
              <w:bottom w:w="80" w:type="dxa"/>
              <w:right w:w="120" w:type="dxa"/>
            </w:tcMar>
          </w:tcPr>
          <w:p w14:paraId="7DFB6FAA" w14:textId="77777777" w:rsidR="0030794C" w:rsidRPr="008E51B2" w:rsidRDefault="0030794C" w:rsidP="00E13EDB">
            <w:pPr>
              <w:spacing w:line="276" w:lineRule="auto"/>
              <w:rPr>
                <w:rFonts w:ascii="Arial" w:hAnsi="Arial"/>
                <w:b/>
                <w:bCs/>
                <w:szCs w:val="24"/>
              </w:rPr>
            </w:pPr>
            <w:r w:rsidRPr="008E51B2">
              <w:rPr>
                <w:rFonts w:ascii="Arial" w:hAnsi="Arial"/>
                <w:b/>
                <w:bCs/>
                <w:szCs w:val="24"/>
              </w:rPr>
              <w:t>IAS</w:t>
            </w:r>
          </w:p>
        </w:tc>
        <w:tc>
          <w:tcPr>
            <w:tcW w:w="7020" w:type="dxa"/>
            <w:shd w:val="clear" w:color="auto" w:fill="FFFFFF" w:themeFill="background1"/>
            <w:tcMar>
              <w:top w:w="80" w:type="dxa"/>
              <w:left w:w="120" w:type="dxa"/>
              <w:bottom w:w="80" w:type="dxa"/>
              <w:right w:w="120" w:type="dxa"/>
            </w:tcMar>
            <w:vAlign w:val="center"/>
          </w:tcPr>
          <w:p w14:paraId="31F7B595" w14:textId="77777777" w:rsidR="0030794C" w:rsidRPr="00884492" w:rsidRDefault="0030794C" w:rsidP="00E13EDB">
            <w:pPr>
              <w:spacing w:line="276" w:lineRule="auto"/>
              <w:rPr>
                <w:rFonts w:ascii="Arial" w:hAnsi="Arial"/>
                <w:szCs w:val="24"/>
              </w:rPr>
            </w:pPr>
            <w:r w:rsidRPr="00884492">
              <w:rPr>
                <w:rFonts w:ascii="Arial" w:hAnsi="Arial"/>
                <w:szCs w:val="24"/>
              </w:rPr>
              <w:t>International Accounting Standards</w:t>
            </w:r>
          </w:p>
        </w:tc>
      </w:tr>
      <w:tr w:rsidR="00735DB8" w14:paraId="78138919" w14:textId="77777777" w:rsidTr="00AD269C">
        <w:tc>
          <w:tcPr>
            <w:tcW w:w="2340" w:type="dxa"/>
            <w:shd w:val="clear" w:color="auto" w:fill="FFFFFF" w:themeFill="background1"/>
            <w:tcMar>
              <w:top w:w="80" w:type="dxa"/>
              <w:left w:w="120" w:type="dxa"/>
              <w:bottom w:w="80" w:type="dxa"/>
              <w:right w:w="120" w:type="dxa"/>
            </w:tcMar>
          </w:tcPr>
          <w:p w14:paraId="5771EA01" w14:textId="77777777" w:rsidR="0030794C" w:rsidRPr="008E51B2" w:rsidRDefault="0030794C" w:rsidP="00E13EDB">
            <w:pPr>
              <w:spacing w:line="276" w:lineRule="auto"/>
              <w:rPr>
                <w:rFonts w:ascii="Arial" w:hAnsi="Arial"/>
                <w:b/>
                <w:bCs/>
                <w:szCs w:val="24"/>
              </w:rPr>
            </w:pPr>
            <w:r w:rsidRPr="008E51B2">
              <w:rPr>
                <w:rFonts w:ascii="Arial" w:hAnsi="Arial"/>
                <w:b/>
                <w:bCs/>
                <w:szCs w:val="24"/>
              </w:rPr>
              <w:t>IFRS</w:t>
            </w:r>
          </w:p>
        </w:tc>
        <w:tc>
          <w:tcPr>
            <w:tcW w:w="7020" w:type="dxa"/>
            <w:shd w:val="clear" w:color="auto" w:fill="FFFFFF" w:themeFill="background1"/>
            <w:tcMar>
              <w:top w:w="80" w:type="dxa"/>
              <w:left w:w="120" w:type="dxa"/>
              <w:bottom w:w="80" w:type="dxa"/>
              <w:right w:w="120" w:type="dxa"/>
            </w:tcMar>
            <w:vAlign w:val="center"/>
          </w:tcPr>
          <w:p w14:paraId="482B1708" w14:textId="77777777" w:rsidR="0030794C" w:rsidRPr="00884492" w:rsidRDefault="0030794C" w:rsidP="00E13EDB">
            <w:pPr>
              <w:spacing w:line="276" w:lineRule="auto"/>
              <w:rPr>
                <w:rFonts w:ascii="Arial" w:hAnsi="Arial"/>
                <w:szCs w:val="24"/>
              </w:rPr>
            </w:pPr>
            <w:r w:rsidRPr="00884492">
              <w:rPr>
                <w:rFonts w:ascii="Arial" w:hAnsi="Arial"/>
                <w:szCs w:val="24"/>
              </w:rPr>
              <w:t>International Financial Reporting Standards</w:t>
            </w:r>
          </w:p>
        </w:tc>
      </w:tr>
      <w:tr w:rsidR="00735DB8" w14:paraId="53A45D10" w14:textId="77777777" w:rsidTr="00AD269C">
        <w:tc>
          <w:tcPr>
            <w:tcW w:w="2340" w:type="dxa"/>
            <w:shd w:val="clear" w:color="auto" w:fill="FFFFFF" w:themeFill="background1"/>
            <w:tcMar>
              <w:top w:w="80" w:type="dxa"/>
              <w:left w:w="120" w:type="dxa"/>
              <w:bottom w:w="80" w:type="dxa"/>
              <w:right w:w="120" w:type="dxa"/>
            </w:tcMar>
          </w:tcPr>
          <w:p w14:paraId="297CA94F" w14:textId="77777777" w:rsidR="0030794C" w:rsidRPr="008E51B2" w:rsidRDefault="0030794C" w:rsidP="00E13EDB">
            <w:pPr>
              <w:spacing w:line="276" w:lineRule="auto"/>
              <w:rPr>
                <w:rFonts w:ascii="Arial" w:hAnsi="Arial"/>
                <w:b/>
                <w:bCs/>
                <w:szCs w:val="24"/>
              </w:rPr>
            </w:pPr>
            <w:r w:rsidRPr="008E51B2">
              <w:rPr>
                <w:rFonts w:ascii="Arial" w:hAnsi="Arial"/>
                <w:b/>
                <w:bCs/>
                <w:szCs w:val="24"/>
              </w:rPr>
              <w:t>NBR</w:t>
            </w:r>
          </w:p>
        </w:tc>
        <w:tc>
          <w:tcPr>
            <w:tcW w:w="7020" w:type="dxa"/>
            <w:shd w:val="clear" w:color="auto" w:fill="FFFFFF" w:themeFill="background1"/>
            <w:tcMar>
              <w:top w:w="80" w:type="dxa"/>
              <w:left w:w="120" w:type="dxa"/>
              <w:bottom w:w="80" w:type="dxa"/>
              <w:right w:w="120" w:type="dxa"/>
            </w:tcMar>
            <w:vAlign w:val="center"/>
          </w:tcPr>
          <w:p w14:paraId="2E77FEFC" w14:textId="77777777" w:rsidR="0030794C" w:rsidRPr="00884492" w:rsidRDefault="0030794C" w:rsidP="00E13EDB">
            <w:pPr>
              <w:spacing w:line="276" w:lineRule="auto"/>
              <w:rPr>
                <w:rFonts w:ascii="Arial" w:hAnsi="Arial"/>
                <w:szCs w:val="24"/>
              </w:rPr>
            </w:pPr>
            <w:r w:rsidRPr="00884492">
              <w:rPr>
                <w:rFonts w:ascii="Arial" w:hAnsi="Arial"/>
                <w:szCs w:val="24"/>
              </w:rPr>
              <w:t>National Board of Revenue</w:t>
            </w:r>
          </w:p>
        </w:tc>
      </w:tr>
      <w:tr w:rsidR="00735DB8" w14:paraId="1D074617" w14:textId="77777777" w:rsidTr="00AD269C">
        <w:tc>
          <w:tcPr>
            <w:tcW w:w="2340" w:type="dxa"/>
            <w:shd w:val="clear" w:color="auto" w:fill="FFFFFF" w:themeFill="background1"/>
            <w:tcMar>
              <w:top w:w="80" w:type="dxa"/>
              <w:left w:w="120" w:type="dxa"/>
              <w:bottom w:w="80" w:type="dxa"/>
              <w:right w:w="120" w:type="dxa"/>
            </w:tcMar>
          </w:tcPr>
          <w:p w14:paraId="152FD724" w14:textId="77777777" w:rsidR="0030794C" w:rsidRPr="008E51B2" w:rsidRDefault="0030794C" w:rsidP="00E13EDB">
            <w:pPr>
              <w:spacing w:line="276" w:lineRule="auto"/>
              <w:rPr>
                <w:rFonts w:ascii="Arial" w:hAnsi="Arial"/>
                <w:b/>
                <w:bCs/>
                <w:szCs w:val="24"/>
              </w:rPr>
            </w:pPr>
            <w:r w:rsidRPr="008E51B2">
              <w:rPr>
                <w:rFonts w:ascii="Arial" w:hAnsi="Arial"/>
                <w:b/>
                <w:bCs/>
                <w:szCs w:val="24"/>
              </w:rPr>
              <w:t>NPM</w:t>
            </w:r>
          </w:p>
        </w:tc>
        <w:tc>
          <w:tcPr>
            <w:tcW w:w="7020" w:type="dxa"/>
            <w:shd w:val="clear" w:color="auto" w:fill="FFFFFF" w:themeFill="background1"/>
            <w:tcMar>
              <w:top w:w="80" w:type="dxa"/>
              <w:left w:w="120" w:type="dxa"/>
              <w:bottom w:w="80" w:type="dxa"/>
              <w:right w:w="120" w:type="dxa"/>
            </w:tcMar>
            <w:vAlign w:val="center"/>
          </w:tcPr>
          <w:p w14:paraId="675D2A43" w14:textId="77777777" w:rsidR="0030794C" w:rsidRPr="00884492" w:rsidRDefault="0030794C" w:rsidP="00E13EDB">
            <w:pPr>
              <w:spacing w:line="276" w:lineRule="auto"/>
              <w:rPr>
                <w:rFonts w:ascii="Arial" w:hAnsi="Arial"/>
                <w:szCs w:val="24"/>
              </w:rPr>
            </w:pPr>
            <w:r w:rsidRPr="00884492">
              <w:rPr>
                <w:rFonts w:ascii="Arial" w:hAnsi="Arial"/>
                <w:szCs w:val="24"/>
              </w:rPr>
              <w:t>Net Profit Margin</w:t>
            </w:r>
          </w:p>
        </w:tc>
      </w:tr>
      <w:tr w:rsidR="00735DB8" w14:paraId="39F77806" w14:textId="77777777" w:rsidTr="00AD269C">
        <w:tc>
          <w:tcPr>
            <w:tcW w:w="2340" w:type="dxa"/>
            <w:shd w:val="clear" w:color="auto" w:fill="FFFFFF" w:themeFill="background1"/>
            <w:tcMar>
              <w:top w:w="80" w:type="dxa"/>
              <w:left w:w="120" w:type="dxa"/>
              <w:bottom w:w="80" w:type="dxa"/>
              <w:right w:w="120" w:type="dxa"/>
            </w:tcMar>
          </w:tcPr>
          <w:p w14:paraId="1FE892ED" w14:textId="77777777" w:rsidR="0030794C" w:rsidRPr="008E51B2" w:rsidRDefault="0030794C" w:rsidP="00E13EDB">
            <w:pPr>
              <w:spacing w:line="276" w:lineRule="auto"/>
              <w:rPr>
                <w:rFonts w:ascii="Arial" w:hAnsi="Arial"/>
                <w:b/>
                <w:bCs/>
                <w:szCs w:val="24"/>
              </w:rPr>
            </w:pPr>
            <w:r w:rsidRPr="008E51B2">
              <w:rPr>
                <w:rFonts w:ascii="Arial" w:hAnsi="Arial"/>
                <w:b/>
                <w:bCs/>
                <w:szCs w:val="24"/>
              </w:rPr>
              <w:t>NWC</w:t>
            </w:r>
          </w:p>
        </w:tc>
        <w:tc>
          <w:tcPr>
            <w:tcW w:w="7020" w:type="dxa"/>
            <w:shd w:val="clear" w:color="auto" w:fill="FFFFFF" w:themeFill="background1"/>
            <w:tcMar>
              <w:top w:w="80" w:type="dxa"/>
              <w:left w:w="120" w:type="dxa"/>
              <w:bottom w:w="80" w:type="dxa"/>
              <w:right w:w="120" w:type="dxa"/>
            </w:tcMar>
            <w:vAlign w:val="center"/>
          </w:tcPr>
          <w:p w14:paraId="3859544E" w14:textId="77777777" w:rsidR="0030794C" w:rsidRPr="00884492" w:rsidRDefault="0030794C" w:rsidP="00E13EDB">
            <w:pPr>
              <w:spacing w:line="276" w:lineRule="auto"/>
              <w:rPr>
                <w:rFonts w:ascii="Arial" w:hAnsi="Arial"/>
                <w:szCs w:val="24"/>
              </w:rPr>
            </w:pPr>
            <w:r w:rsidRPr="00884492">
              <w:rPr>
                <w:rFonts w:ascii="Arial" w:hAnsi="Arial"/>
                <w:szCs w:val="24"/>
              </w:rPr>
              <w:t>Net Working Capital</w:t>
            </w:r>
          </w:p>
        </w:tc>
      </w:tr>
      <w:tr w:rsidR="00735DB8" w14:paraId="386EA99E" w14:textId="77777777" w:rsidTr="002623C4">
        <w:tc>
          <w:tcPr>
            <w:tcW w:w="2340" w:type="dxa"/>
            <w:shd w:val="clear" w:color="auto" w:fill="FFFFFF"/>
            <w:tcMar>
              <w:top w:w="80" w:type="dxa"/>
              <w:left w:w="120" w:type="dxa"/>
              <w:bottom w:w="80" w:type="dxa"/>
              <w:right w:w="120" w:type="dxa"/>
            </w:tcMar>
          </w:tcPr>
          <w:p w14:paraId="75C2F8F4" w14:textId="77777777" w:rsidR="0030794C" w:rsidRPr="008E51B2" w:rsidRDefault="0030794C" w:rsidP="00E13EDB">
            <w:pPr>
              <w:spacing w:line="276" w:lineRule="auto"/>
              <w:rPr>
                <w:rFonts w:ascii="Arial" w:hAnsi="Arial"/>
                <w:b/>
                <w:bCs/>
                <w:szCs w:val="24"/>
              </w:rPr>
            </w:pPr>
            <w:r w:rsidRPr="008E51B2">
              <w:rPr>
                <w:rFonts w:ascii="Arial" w:hAnsi="Arial"/>
                <w:b/>
                <w:bCs/>
                <w:szCs w:val="24"/>
              </w:rPr>
              <w:t>PBT</w:t>
            </w:r>
          </w:p>
        </w:tc>
        <w:tc>
          <w:tcPr>
            <w:tcW w:w="7020" w:type="dxa"/>
            <w:shd w:val="clear" w:color="auto" w:fill="FFFFFF"/>
            <w:tcMar>
              <w:top w:w="80" w:type="dxa"/>
              <w:left w:w="120" w:type="dxa"/>
              <w:bottom w:w="80" w:type="dxa"/>
              <w:right w:w="120" w:type="dxa"/>
            </w:tcMar>
            <w:vAlign w:val="center"/>
          </w:tcPr>
          <w:p w14:paraId="53D5AE29" w14:textId="77777777" w:rsidR="0030794C" w:rsidRPr="00884492" w:rsidRDefault="0030794C" w:rsidP="00E13EDB">
            <w:pPr>
              <w:spacing w:line="276" w:lineRule="auto"/>
              <w:rPr>
                <w:rFonts w:ascii="Arial" w:hAnsi="Arial"/>
                <w:szCs w:val="24"/>
              </w:rPr>
            </w:pPr>
            <w:r w:rsidRPr="00884492">
              <w:rPr>
                <w:rFonts w:ascii="Arial" w:hAnsi="Arial"/>
                <w:szCs w:val="24"/>
              </w:rPr>
              <w:t>Profit Before Tax</w:t>
            </w:r>
          </w:p>
        </w:tc>
      </w:tr>
      <w:tr w:rsidR="00735DB8" w14:paraId="7C998B7E" w14:textId="77777777" w:rsidTr="00AD269C">
        <w:tc>
          <w:tcPr>
            <w:tcW w:w="2340" w:type="dxa"/>
            <w:shd w:val="clear" w:color="auto" w:fill="FFFFFF" w:themeFill="background1"/>
            <w:tcMar>
              <w:top w:w="80" w:type="dxa"/>
              <w:left w:w="120" w:type="dxa"/>
              <w:bottom w:w="80" w:type="dxa"/>
              <w:right w:w="120" w:type="dxa"/>
            </w:tcMar>
          </w:tcPr>
          <w:p w14:paraId="2CF2B473" w14:textId="77777777" w:rsidR="0030794C" w:rsidRPr="008E51B2" w:rsidRDefault="0030794C" w:rsidP="00E13EDB">
            <w:pPr>
              <w:spacing w:line="276" w:lineRule="auto"/>
              <w:rPr>
                <w:rFonts w:ascii="Arial" w:hAnsi="Arial"/>
                <w:b/>
                <w:bCs/>
                <w:szCs w:val="24"/>
              </w:rPr>
            </w:pPr>
            <w:r w:rsidRPr="008E51B2">
              <w:rPr>
                <w:rFonts w:ascii="Arial" w:hAnsi="Arial"/>
                <w:b/>
                <w:bCs/>
                <w:szCs w:val="24"/>
              </w:rPr>
              <w:t>PAT</w:t>
            </w:r>
          </w:p>
        </w:tc>
        <w:tc>
          <w:tcPr>
            <w:tcW w:w="7020" w:type="dxa"/>
            <w:shd w:val="clear" w:color="auto" w:fill="FFFFFF" w:themeFill="background1"/>
            <w:tcMar>
              <w:top w:w="80" w:type="dxa"/>
              <w:left w:w="120" w:type="dxa"/>
              <w:bottom w:w="80" w:type="dxa"/>
              <w:right w:w="120" w:type="dxa"/>
            </w:tcMar>
            <w:vAlign w:val="center"/>
          </w:tcPr>
          <w:p w14:paraId="760159FE" w14:textId="77777777" w:rsidR="0030794C" w:rsidRPr="00884492" w:rsidRDefault="0030794C" w:rsidP="00E13EDB">
            <w:pPr>
              <w:spacing w:line="276" w:lineRule="auto"/>
              <w:rPr>
                <w:rFonts w:ascii="Arial" w:hAnsi="Arial"/>
                <w:szCs w:val="24"/>
              </w:rPr>
            </w:pPr>
            <w:r w:rsidRPr="00884492">
              <w:rPr>
                <w:rFonts w:ascii="Arial" w:hAnsi="Arial"/>
                <w:szCs w:val="24"/>
              </w:rPr>
              <w:t>Profit After Tax</w:t>
            </w:r>
          </w:p>
        </w:tc>
      </w:tr>
      <w:tr w:rsidR="00735DB8" w14:paraId="14C4DAE1" w14:textId="77777777" w:rsidTr="00AD269C">
        <w:tc>
          <w:tcPr>
            <w:tcW w:w="2340" w:type="dxa"/>
            <w:shd w:val="clear" w:color="auto" w:fill="FFFFFF" w:themeFill="background1"/>
            <w:tcMar>
              <w:top w:w="80" w:type="dxa"/>
              <w:left w:w="120" w:type="dxa"/>
              <w:bottom w:w="80" w:type="dxa"/>
              <w:right w:w="120" w:type="dxa"/>
            </w:tcMar>
          </w:tcPr>
          <w:p w14:paraId="1E962212" w14:textId="77777777" w:rsidR="0030794C" w:rsidRPr="008E51B2" w:rsidRDefault="0030794C" w:rsidP="00E13EDB">
            <w:pPr>
              <w:spacing w:line="276" w:lineRule="auto"/>
              <w:rPr>
                <w:rFonts w:ascii="Arial" w:hAnsi="Arial"/>
                <w:b/>
                <w:bCs/>
                <w:szCs w:val="24"/>
              </w:rPr>
            </w:pPr>
            <w:r w:rsidRPr="008E51B2">
              <w:rPr>
                <w:rFonts w:ascii="Arial" w:hAnsi="Arial"/>
                <w:b/>
                <w:bCs/>
                <w:szCs w:val="24"/>
              </w:rPr>
              <w:t>PP&amp;E</w:t>
            </w:r>
          </w:p>
        </w:tc>
        <w:tc>
          <w:tcPr>
            <w:tcW w:w="7020" w:type="dxa"/>
            <w:shd w:val="clear" w:color="auto" w:fill="FFFFFF" w:themeFill="background1"/>
            <w:tcMar>
              <w:top w:w="80" w:type="dxa"/>
              <w:left w:w="120" w:type="dxa"/>
              <w:bottom w:w="80" w:type="dxa"/>
              <w:right w:w="120" w:type="dxa"/>
            </w:tcMar>
            <w:vAlign w:val="center"/>
          </w:tcPr>
          <w:p w14:paraId="00A5D61F" w14:textId="77777777" w:rsidR="0030794C" w:rsidRPr="00884492" w:rsidRDefault="0030794C" w:rsidP="00E13EDB">
            <w:pPr>
              <w:spacing w:line="276" w:lineRule="auto"/>
              <w:rPr>
                <w:rFonts w:ascii="Arial" w:hAnsi="Arial"/>
                <w:szCs w:val="24"/>
              </w:rPr>
            </w:pPr>
            <w:r w:rsidRPr="00884492">
              <w:rPr>
                <w:rFonts w:ascii="Arial" w:hAnsi="Arial"/>
                <w:szCs w:val="24"/>
              </w:rPr>
              <w:t>Property, Plant &amp; Equipment</w:t>
            </w:r>
          </w:p>
        </w:tc>
      </w:tr>
      <w:tr w:rsidR="00735DB8" w14:paraId="2B3217AD" w14:textId="77777777" w:rsidTr="00AD269C">
        <w:tc>
          <w:tcPr>
            <w:tcW w:w="2340" w:type="dxa"/>
            <w:shd w:val="clear" w:color="auto" w:fill="FFFFFF" w:themeFill="background1"/>
            <w:tcMar>
              <w:top w:w="80" w:type="dxa"/>
              <w:left w:w="120" w:type="dxa"/>
              <w:bottom w:w="80" w:type="dxa"/>
              <w:right w:w="120" w:type="dxa"/>
            </w:tcMar>
          </w:tcPr>
          <w:p w14:paraId="20DB49C3" w14:textId="77777777" w:rsidR="0030794C" w:rsidRPr="008E51B2" w:rsidRDefault="0030794C" w:rsidP="00E13EDB">
            <w:pPr>
              <w:spacing w:line="276" w:lineRule="auto"/>
              <w:rPr>
                <w:rFonts w:ascii="Arial" w:hAnsi="Arial"/>
                <w:b/>
                <w:bCs/>
                <w:szCs w:val="24"/>
              </w:rPr>
            </w:pPr>
            <w:r w:rsidRPr="008E51B2">
              <w:rPr>
                <w:rFonts w:ascii="Arial" w:hAnsi="Arial"/>
                <w:b/>
                <w:bCs/>
                <w:szCs w:val="24"/>
              </w:rPr>
              <w:t>RMG</w:t>
            </w:r>
          </w:p>
        </w:tc>
        <w:tc>
          <w:tcPr>
            <w:tcW w:w="7020" w:type="dxa"/>
            <w:shd w:val="clear" w:color="auto" w:fill="FFFFFF" w:themeFill="background1"/>
            <w:tcMar>
              <w:top w:w="80" w:type="dxa"/>
              <w:left w:w="120" w:type="dxa"/>
              <w:bottom w:w="80" w:type="dxa"/>
              <w:right w:w="120" w:type="dxa"/>
            </w:tcMar>
            <w:vAlign w:val="center"/>
          </w:tcPr>
          <w:p w14:paraId="17A99309" w14:textId="77777777" w:rsidR="0030794C" w:rsidRPr="00884492" w:rsidRDefault="0030794C" w:rsidP="00E13EDB">
            <w:pPr>
              <w:spacing w:line="276" w:lineRule="auto"/>
              <w:rPr>
                <w:rFonts w:ascii="Arial" w:hAnsi="Arial"/>
                <w:szCs w:val="24"/>
              </w:rPr>
            </w:pPr>
            <w:r w:rsidRPr="00884492">
              <w:rPr>
                <w:rFonts w:ascii="Arial" w:hAnsi="Arial"/>
                <w:szCs w:val="24"/>
              </w:rPr>
              <w:t>Ready-Made Garments</w:t>
            </w:r>
          </w:p>
        </w:tc>
      </w:tr>
      <w:tr w:rsidR="00735DB8" w14:paraId="459D2961" w14:textId="77777777" w:rsidTr="00AD269C">
        <w:tc>
          <w:tcPr>
            <w:tcW w:w="2340" w:type="dxa"/>
            <w:shd w:val="clear" w:color="auto" w:fill="FFFFFF" w:themeFill="background1"/>
            <w:tcMar>
              <w:top w:w="80" w:type="dxa"/>
              <w:left w:w="120" w:type="dxa"/>
              <w:bottom w:w="80" w:type="dxa"/>
              <w:right w:w="120" w:type="dxa"/>
            </w:tcMar>
          </w:tcPr>
          <w:p w14:paraId="7ABC7544" w14:textId="77777777" w:rsidR="0030794C" w:rsidRPr="008E51B2" w:rsidRDefault="0030794C" w:rsidP="00E13EDB">
            <w:pPr>
              <w:spacing w:line="276" w:lineRule="auto"/>
              <w:rPr>
                <w:rFonts w:ascii="Arial" w:hAnsi="Arial"/>
                <w:b/>
                <w:bCs/>
                <w:szCs w:val="24"/>
              </w:rPr>
            </w:pPr>
            <w:r w:rsidRPr="008E51B2">
              <w:rPr>
                <w:rFonts w:ascii="Arial" w:hAnsi="Arial"/>
                <w:b/>
                <w:bCs/>
                <w:szCs w:val="24"/>
              </w:rPr>
              <w:t>ROA</w:t>
            </w:r>
          </w:p>
        </w:tc>
        <w:tc>
          <w:tcPr>
            <w:tcW w:w="7020" w:type="dxa"/>
            <w:shd w:val="clear" w:color="auto" w:fill="FFFFFF" w:themeFill="background1"/>
            <w:tcMar>
              <w:top w:w="80" w:type="dxa"/>
              <w:left w:w="120" w:type="dxa"/>
              <w:bottom w:w="80" w:type="dxa"/>
              <w:right w:w="120" w:type="dxa"/>
            </w:tcMar>
            <w:vAlign w:val="center"/>
          </w:tcPr>
          <w:p w14:paraId="2AEBB56E" w14:textId="77777777" w:rsidR="0030794C" w:rsidRPr="00884492" w:rsidRDefault="0030794C" w:rsidP="00E13EDB">
            <w:pPr>
              <w:spacing w:line="276" w:lineRule="auto"/>
              <w:rPr>
                <w:rFonts w:ascii="Arial" w:hAnsi="Arial"/>
                <w:szCs w:val="24"/>
              </w:rPr>
            </w:pPr>
            <w:r w:rsidRPr="00884492">
              <w:rPr>
                <w:rFonts w:ascii="Arial" w:hAnsi="Arial"/>
                <w:szCs w:val="24"/>
              </w:rPr>
              <w:t>Return on Assets</w:t>
            </w:r>
          </w:p>
        </w:tc>
      </w:tr>
      <w:tr w:rsidR="00735DB8" w14:paraId="4CA98A11" w14:textId="77777777" w:rsidTr="00AD269C">
        <w:tc>
          <w:tcPr>
            <w:tcW w:w="2340" w:type="dxa"/>
            <w:shd w:val="clear" w:color="auto" w:fill="FFFFFF" w:themeFill="background1"/>
            <w:tcMar>
              <w:top w:w="80" w:type="dxa"/>
              <w:left w:w="120" w:type="dxa"/>
              <w:bottom w:w="80" w:type="dxa"/>
              <w:right w:w="120" w:type="dxa"/>
            </w:tcMar>
          </w:tcPr>
          <w:p w14:paraId="0E46B4A3" w14:textId="77777777" w:rsidR="0030794C" w:rsidRPr="008E51B2" w:rsidRDefault="0030794C" w:rsidP="00E13EDB">
            <w:pPr>
              <w:spacing w:line="276" w:lineRule="auto"/>
              <w:rPr>
                <w:rFonts w:ascii="Arial" w:hAnsi="Arial"/>
                <w:b/>
                <w:bCs/>
                <w:szCs w:val="24"/>
              </w:rPr>
            </w:pPr>
            <w:r w:rsidRPr="008E51B2">
              <w:rPr>
                <w:rFonts w:ascii="Arial" w:hAnsi="Arial"/>
                <w:b/>
                <w:bCs/>
                <w:szCs w:val="24"/>
              </w:rPr>
              <w:t>ROE</w:t>
            </w:r>
          </w:p>
        </w:tc>
        <w:tc>
          <w:tcPr>
            <w:tcW w:w="7020" w:type="dxa"/>
            <w:shd w:val="clear" w:color="auto" w:fill="FFFFFF" w:themeFill="background1"/>
            <w:tcMar>
              <w:top w:w="80" w:type="dxa"/>
              <w:left w:w="120" w:type="dxa"/>
              <w:bottom w:w="80" w:type="dxa"/>
              <w:right w:w="120" w:type="dxa"/>
            </w:tcMar>
            <w:vAlign w:val="center"/>
          </w:tcPr>
          <w:p w14:paraId="498C8271" w14:textId="77777777" w:rsidR="0030794C" w:rsidRPr="00884492" w:rsidRDefault="0030794C" w:rsidP="00E13EDB">
            <w:pPr>
              <w:spacing w:line="276" w:lineRule="auto"/>
              <w:rPr>
                <w:rFonts w:ascii="Arial" w:hAnsi="Arial"/>
                <w:szCs w:val="24"/>
              </w:rPr>
            </w:pPr>
            <w:r w:rsidRPr="00884492">
              <w:rPr>
                <w:rFonts w:ascii="Arial" w:hAnsi="Arial"/>
                <w:szCs w:val="24"/>
              </w:rPr>
              <w:t>Return on Equity</w:t>
            </w:r>
          </w:p>
        </w:tc>
      </w:tr>
      <w:tr w:rsidR="00735DB8" w14:paraId="08AF4B50" w14:textId="77777777" w:rsidTr="00AD269C">
        <w:tc>
          <w:tcPr>
            <w:tcW w:w="2340" w:type="dxa"/>
            <w:shd w:val="clear" w:color="auto" w:fill="FFFFFF" w:themeFill="background1"/>
            <w:tcMar>
              <w:top w:w="80" w:type="dxa"/>
              <w:left w:w="120" w:type="dxa"/>
              <w:bottom w:w="80" w:type="dxa"/>
              <w:right w:w="120" w:type="dxa"/>
            </w:tcMar>
          </w:tcPr>
          <w:p w14:paraId="5BEE0020" w14:textId="77777777" w:rsidR="0030794C" w:rsidRPr="008E51B2" w:rsidRDefault="0030794C" w:rsidP="00E13EDB">
            <w:pPr>
              <w:spacing w:line="276" w:lineRule="auto"/>
              <w:rPr>
                <w:rFonts w:ascii="Arial" w:hAnsi="Arial"/>
                <w:b/>
                <w:bCs/>
                <w:szCs w:val="24"/>
              </w:rPr>
            </w:pPr>
            <w:r w:rsidRPr="008E51B2">
              <w:rPr>
                <w:rFonts w:ascii="Arial" w:hAnsi="Arial"/>
                <w:b/>
                <w:bCs/>
                <w:szCs w:val="24"/>
              </w:rPr>
              <w:t>TCF</w:t>
            </w:r>
          </w:p>
        </w:tc>
        <w:tc>
          <w:tcPr>
            <w:tcW w:w="7020" w:type="dxa"/>
            <w:shd w:val="clear" w:color="auto" w:fill="FFFFFF" w:themeFill="background1"/>
            <w:tcMar>
              <w:top w:w="80" w:type="dxa"/>
              <w:left w:w="120" w:type="dxa"/>
              <w:bottom w:w="80" w:type="dxa"/>
              <w:right w:w="120" w:type="dxa"/>
            </w:tcMar>
            <w:vAlign w:val="center"/>
          </w:tcPr>
          <w:p w14:paraId="5487B4F9" w14:textId="77777777" w:rsidR="0030794C" w:rsidRPr="00884492" w:rsidRDefault="0030794C" w:rsidP="00E13EDB">
            <w:pPr>
              <w:spacing w:line="276" w:lineRule="auto"/>
              <w:rPr>
                <w:rFonts w:ascii="Arial" w:hAnsi="Arial"/>
                <w:szCs w:val="24"/>
              </w:rPr>
            </w:pPr>
            <w:r w:rsidRPr="00884492">
              <w:rPr>
                <w:rFonts w:ascii="Arial" w:hAnsi="Arial"/>
                <w:szCs w:val="24"/>
              </w:rPr>
              <w:t>Tokyo Consulting Firm</w:t>
            </w:r>
          </w:p>
        </w:tc>
      </w:tr>
      <w:tr w:rsidR="00735DB8" w14:paraId="4EAA6DC3" w14:textId="77777777" w:rsidTr="00AD269C">
        <w:tc>
          <w:tcPr>
            <w:tcW w:w="2340" w:type="dxa"/>
            <w:shd w:val="clear" w:color="auto" w:fill="FFFFFF" w:themeFill="background1"/>
            <w:tcMar>
              <w:top w:w="80" w:type="dxa"/>
              <w:left w:w="120" w:type="dxa"/>
              <w:bottom w:w="80" w:type="dxa"/>
              <w:right w:w="120" w:type="dxa"/>
            </w:tcMar>
          </w:tcPr>
          <w:p w14:paraId="4B36F1AD" w14:textId="77777777" w:rsidR="0030794C" w:rsidRPr="008E51B2" w:rsidRDefault="0030794C" w:rsidP="00E13EDB">
            <w:pPr>
              <w:spacing w:line="276" w:lineRule="auto"/>
              <w:rPr>
                <w:rFonts w:ascii="Arial" w:hAnsi="Arial"/>
                <w:b/>
                <w:bCs/>
                <w:szCs w:val="24"/>
              </w:rPr>
            </w:pPr>
            <w:r w:rsidRPr="008E51B2">
              <w:rPr>
                <w:rFonts w:ascii="Arial" w:hAnsi="Arial"/>
                <w:b/>
                <w:bCs/>
                <w:szCs w:val="24"/>
              </w:rPr>
              <w:t>TDS</w:t>
            </w:r>
          </w:p>
        </w:tc>
        <w:tc>
          <w:tcPr>
            <w:tcW w:w="7020" w:type="dxa"/>
            <w:shd w:val="clear" w:color="auto" w:fill="FFFFFF" w:themeFill="background1"/>
            <w:tcMar>
              <w:top w:w="80" w:type="dxa"/>
              <w:left w:w="120" w:type="dxa"/>
              <w:bottom w:w="80" w:type="dxa"/>
              <w:right w:w="120" w:type="dxa"/>
            </w:tcMar>
            <w:vAlign w:val="center"/>
          </w:tcPr>
          <w:p w14:paraId="15E248E6" w14:textId="77777777" w:rsidR="0030794C" w:rsidRPr="00884492" w:rsidRDefault="0030794C" w:rsidP="00E13EDB">
            <w:pPr>
              <w:spacing w:line="276" w:lineRule="auto"/>
              <w:rPr>
                <w:rFonts w:ascii="Arial" w:hAnsi="Arial"/>
                <w:szCs w:val="24"/>
              </w:rPr>
            </w:pPr>
            <w:r w:rsidRPr="00884492">
              <w:rPr>
                <w:rFonts w:ascii="Arial" w:hAnsi="Arial"/>
                <w:szCs w:val="24"/>
              </w:rPr>
              <w:t>Tax Deducted at Source</w:t>
            </w:r>
          </w:p>
        </w:tc>
      </w:tr>
      <w:tr w:rsidR="00735DB8" w14:paraId="203BF135" w14:textId="77777777" w:rsidTr="00AD269C">
        <w:tc>
          <w:tcPr>
            <w:tcW w:w="2340" w:type="dxa"/>
            <w:shd w:val="clear" w:color="auto" w:fill="FFFFFF" w:themeFill="background1"/>
            <w:tcMar>
              <w:top w:w="80" w:type="dxa"/>
              <w:left w:w="120" w:type="dxa"/>
              <w:bottom w:w="80" w:type="dxa"/>
              <w:right w:w="120" w:type="dxa"/>
            </w:tcMar>
          </w:tcPr>
          <w:p w14:paraId="7505A1CE" w14:textId="77777777" w:rsidR="0030794C" w:rsidRPr="008E51B2" w:rsidRDefault="0030794C" w:rsidP="00E13EDB">
            <w:pPr>
              <w:spacing w:line="276" w:lineRule="auto"/>
              <w:rPr>
                <w:rFonts w:ascii="Arial" w:hAnsi="Arial"/>
                <w:b/>
                <w:bCs/>
                <w:szCs w:val="24"/>
              </w:rPr>
            </w:pPr>
            <w:r w:rsidRPr="008E51B2">
              <w:rPr>
                <w:rFonts w:ascii="Arial" w:hAnsi="Arial"/>
                <w:b/>
                <w:bCs/>
                <w:szCs w:val="24"/>
              </w:rPr>
              <w:t>UCBL</w:t>
            </w:r>
          </w:p>
        </w:tc>
        <w:tc>
          <w:tcPr>
            <w:tcW w:w="7020" w:type="dxa"/>
            <w:shd w:val="clear" w:color="auto" w:fill="FFFFFF" w:themeFill="background1"/>
            <w:tcMar>
              <w:top w:w="80" w:type="dxa"/>
              <w:left w:w="120" w:type="dxa"/>
              <w:bottom w:w="80" w:type="dxa"/>
              <w:right w:w="120" w:type="dxa"/>
            </w:tcMar>
            <w:vAlign w:val="center"/>
          </w:tcPr>
          <w:p w14:paraId="741D40D6" w14:textId="77777777" w:rsidR="0030794C" w:rsidRPr="00884492" w:rsidRDefault="0030794C" w:rsidP="00E13EDB">
            <w:pPr>
              <w:spacing w:line="276" w:lineRule="auto"/>
              <w:rPr>
                <w:rFonts w:ascii="Arial" w:hAnsi="Arial"/>
                <w:szCs w:val="24"/>
              </w:rPr>
            </w:pPr>
            <w:r w:rsidRPr="00884492">
              <w:rPr>
                <w:rFonts w:ascii="Arial" w:hAnsi="Arial"/>
                <w:szCs w:val="24"/>
              </w:rPr>
              <w:t>United Commercial Bank Limited</w:t>
            </w:r>
          </w:p>
        </w:tc>
      </w:tr>
      <w:tr w:rsidR="00735DB8" w14:paraId="614E20FC" w14:textId="77777777" w:rsidTr="00AD269C">
        <w:tc>
          <w:tcPr>
            <w:tcW w:w="2340" w:type="dxa"/>
            <w:shd w:val="clear" w:color="auto" w:fill="FFFFFF" w:themeFill="background1"/>
            <w:tcMar>
              <w:top w:w="80" w:type="dxa"/>
              <w:left w:w="120" w:type="dxa"/>
              <w:bottom w:w="80" w:type="dxa"/>
              <w:right w:w="120" w:type="dxa"/>
            </w:tcMar>
          </w:tcPr>
          <w:p w14:paraId="2D730C7E" w14:textId="77777777" w:rsidR="0030794C" w:rsidRPr="008E51B2" w:rsidRDefault="0030794C" w:rsidP="00E13EDB">
            <w:pPr>
              <w:spacing w:line="276" w:lineRule="auto"/>
              <w:rPr>
                <w:rFonts w:ascii="Arial" w:hAnsi="Arial"/>
                <w:b/>
                <w:bCs/>
                <w:szCs w:val="24"/>
              </w:rPr>
            </w:pPr>
            <w:r w:rsidRPr="008E51B2">
              <w:rPr>
                <w:rFonts w:ascii="Arial" w:hAnsi="Arial"/>
                <w:b/>
                <w:bCs/>
                <w:szCs w:val="24"/>
              </w:rPr>
              <w:t>VAT</w:t>
            </w:r>
          </w:p>
        </w:tc>
        <w:tc>
          <w:tcPr>
            <w:tcW w:w="7020" w:type="dxa"/>
            <w:shd w:val="clear" w:color="auto" w:fill="FFFFFF" w:themeFill="background1"/>
            <w:tcMar>
              <w:top w:w="80" w:type="dxa"/>
              <w:left w:w="120" w:type="dxa"/>
              <w:bottom w:w="80" w:type="dxa"/>
              <w:right w:w="120" w:type="dxa"/>
            </w:tcMar>
            <w:vAlign w:val="center"/>
          </w:tcPr>
          <w:p w14:paraId="31B2FE10" w14:textId="77777777" w:rsidR="0030794C" w:rsidRPr="00884492" w:rsidRDefault="0030794C" w:rsidP="00E13EDB">
            <w:pPr>
              <w:spacing w:line="276" w:lineRule="auto"/>
              <w:rPr>
                <w:rFonts w:ascii="Arial" w:hAnsi="Arial"/>
                <w:szCs w:val="24"/>
              </w:rPr>
            </w:pPr>
            <w:r w:rsidRPr="00884492">
              <w:rPr>
                <w:rFonts w:ascii="Arial" w:hAnsi="Arial"/>
                <w:szCs w:val="24"/>
              </w:rPr>
              <w:t>Value Added Tax</w:t>
            </w:r>
          </w:p>
        </w:tc>
      </w:tr>
      <w:tr w:rsidR="00735DB8" w14:paraId="73A711ED" w14:textId="77777777" w:rsidTr="002623C4">
        <w:tc>
          <w:tcPr>
            <w:tcW w:w="2340" w:type="dxa"/>
            <w:shd w:val="clear" w:color="auto" w:fill="FFFFFF"/>
            <w:tcMar>
              <w:top w:w="80" w:type="dxa"/>
              <w:left w:w="120" w:type="dxa"/>
              <w:bottom w:w="80" w:type="dxa"/>
              <w:right w:w="120" w:type="dxa"/>
            </w:tcMar>
          </w:tcPr>
          <w:p w14:paraId="5F38F36D" w14:textId="77777777" w:rsidR="0030794C" w:rsidRPr="008E51B2" w:rsidRDefault="0030794C" w:rsidP="00E13EDB">
            <w:pPr>
              <w:spacing w:line="276" w:lineRule="auto"/>
              <w:rPr>
                <w:rFonts w:ascii="Arial" w:hAnsi="Arial"/>
                <w:b/>
                <w:bCs/>
                <w:szCs w:val="24"/>
              </w:rPr>
            </w:pPr>
            <w:r w:rsidRPr="008E51B2">
              <w:rPr>
                <w:rFonts w:ascii="Arial" w:hAnsi="Arial"/>
                <w:b/>
                <w:bCs/>
                <w:szCs w:val="24"/>
              </w:rPr>
              <w:t>WCM</w:t>
            </w:r>
          </w:p>
        </w:tc>
        <w:tc>
          <w:tcPr>
            <w:tcW w:w="7020" w:type="dxa"/>
            <w:shd w:val="clear" w:color="auto" w:fill="FFFFFF"/>
            <w:tcMar>
              <w:top w:w="80" w:type="dxa"/>
              <w:left w:w="120" w:type="dxa"/>
              <w:bottom w:w="80" w:type="dxa"/>
              <w:right w:w="120" w:type="dxa"/>
            </w:tcMar>
            <w:vAlign w:val="center"/>
          </w:tcPr>
          <w:p w14:paraId="26DF8486" w14:textId="77777777" w:rsidR="0030794C" w:rsidRPr="00884492" w:rsidRDefault="0030794C" w:rsidP="00E13EDB">
            <w:pPr>
              <w:spacing w:line="276" w:lineRule="auto"/>
              <w:rPr>
                <w:rFonts w:ascii="Arial" w:hAnsi="Arial"/>
                <w:szCs w:val="24"/>
              </w:rPr>
            </w:pPr>
            <w:r w:rsidRPr="00884492">
              <w:rPr>
                <w:rFonts w:ascii="Arial" w:hAnsi="Arial"/>
                <w:szCs w:val="24"/>
              </w:rPr>
              <w:t>Working Capital Management</w:t>
            </w:r>
          </w:p>
        </w:tc>
      </w:tr>
    </w:tbl>
    <w:p w14:paraId="15F8EC80" w14:textId="6DE9F998" w:rsidR="00335224" w:rsidRPr="00335224" w:rsidRDefault="00335224" w:rsidP="004744F0">
      <w:pPr>
        <w:pStyle w:val="Caption"/>
        <w:jc w:val="center"/>
        <w:rPr>
          <w:rFonts w:cs="Times New Roman"/>
        </w:rPr>
      </w:pPr>
    </w:p>
    <w:sectPr w:rsidR="00335224" w:rsidRPr="00335224" w:rsidSect="000B5556">
      <w:pgSz w:w="11909" w:h="16834"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47A93B" w14:textId="77777777" w:rsidR="00A82091" w:rsidRDefault="00A82091" w:rsidP="00FF7EDA">
      <w:r>
        <w:separator/>
      </w:r>
    </w:p>
  </w:endnote>
  <w:endnote w:type="continuationSeparator" w:id="0">
    <w:p w14:paraId="7E27007B" w14:textId="77777777" w:rsidR="00A82091" w:rsidRDefault="00A82091" w:rsidP="00FF7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Ink Free">
    <w:panose1 w:val="03080402000500000000"/>
    <w:charset w:val="00"/>
    <w:family w:val="script"/>
    <w:pitch w:val="variable"/>
    <w:sig w:usb0="2000068F" w:usb1="4000000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4734799"/>
      <w:docPartObj>
        <w:docPartGallery w:val="Page Numbers (Bottom of Page)"/>
        <w:docPartUnique/>
      </w:docPartObj>
    </w:sdtPr>
    <w:sdtEndPr>
      <w:rPr>
        <w:color w:val="7F7F7F" w:themeColor="background1" w:themeShade="7F"/>
        <w:spacing w:val="60"/>
      </w:rPr>
    </w:sdtEndPr>
    <w:sdtContent>
      <w:p w14:paraId="55DB6EAE" w14:textId="77777777" w:rsidR="00241C46" w:rsidRDefault="00241C46">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5E31F568" w14:textId="77777777" w:rsidR="00241C46" w:rsidRDefault="00241C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5357239"/>
      <w:docPartObj>
        <w:docPartGallery w:val="Page Numbers (Bottom of Page)"/>
        <w:docPartUnique/>
      </w:docPartObj>
    </w:sdtPr>
    <w:sdtEndPr>
      <w:rPr>
        <w:color w:val="7F7F7F" w:themeColor="background1" w:themeShade="7F"/>
        <w:spacing w:val="60"/>
      </w:rPr>
    </w:sdtEndPr>
    <w:sdtContent>
      <w:p w14:paraId="101CB922" w14:textId="77777777" w:rsidR="00241C46" w:rsidRDefault="00241C46">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8F704F3" w14:textId="77777777" w:rsidR="00241C46" w:rsidRDefault="00241C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DDCB14" w14:textId="77777777" w:rsidR="00A82091" w:rsidRDefault="00A82091" w:rsidP="00FF7EDA">
      <w:r>
        <w:separator/>
      </w:r>
    </w:p>
  </w:footnote>
  <w:footnote w:type="continuationSeparator" w:id="0">
    <w:p w14:paraId="383A95F1" w14:textId="77777777" w:rsidR="00A82091" w:rsidRDefault="00A82091" w:rsidP="00FF7E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16E33"/>
    <w:multiLevelType w:val="hybridMultilevel"/>
    <w:tmpl w:val="EEA83E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B124E8"/>
    <w:multiLevelType w:val="hybridMultilevel"/>
    <w:tmpl w:val="9092BD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A93D95"/>
    <w:multiLevelType w:val="hybridMultilevel"/>
    <w:tmpl w:val="9E04A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B152D7"/>
    <w:multiLevelType w:val="hybridMultilevel"/>
    <w:tmpl w:val="9BDCB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452883"/>
    <w:multiLevelType w:val="multilevel"/>
    <w:tmpl w:val="5CBE812E"/>
    <w:lvl w:ilvl="0">
      <w:start w:val="1"/>
      <w:numFmt w:val="decimal"/>
      <w:lvlText w:val="%1."/>
      <w:lvlJc w:val="left"/>
      <w:pPr>
        <w:ind w:left="720" w:hanging="360"/>
      </w:pPr>
      <w:rPr>
        <w:rFonts w:hint="default"/>
        <w:b/>
        <w:bCs/>
        <w:sz w:val="24"/>
      </w:rPr>
    </w:lvl>
    <w:lvl w:ilvl="1">
      <w:start w:val="7"/>
      <w:numFmt w:val="decimal"/>
      <w:isLgl/>
      <w:lvlText w:val="%1.%2"/>
      <w:lvlJc w:val="left"/>
      <w:pPr>
        <w:ind w:left="864" w:hanging="50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9C55D76"/>
    <w:multiLevelType w:val="hybridMultilevel"/>
    <w:tmpl w:val="74D6A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6B0C63"/>
    <w:multiLevelType w:val="hybridMultilevel"/>
    <w:tmpl w:val="B6D6AED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D54618B"/>
    <w:multiLevelType w:val="hybridMultilevel"/>
    <w:tmpl w:val="D68AF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095765"/>
    <w:multiLevelType w:val="hybridMultilevel"/>
    <w:tmpl w:val="15C6D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373424"/>
    <w:multiLevelType w:val="hybridMultilevel"/>
    <w:tmpl w:val="E9DA1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815213"/>
    <w:multiLevelType w:val="hybridMultilevel"/>
    <w:tmpl w:val="D4149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923008"/>
    <w:multiLevelType w:val="hybridMultilevel"/>
    <w:tmpl w:val="5DACEF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58759AD"/>
    <w:multiLevelType w:val="hybridMultilevel"/>
    <w:tmpl w:val="03B21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4D2553"/>
    <w:multiLevelType w:val="hybridMultilevel"/>
    <w:tmpl w:val="28742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C10F54"/>
    <w:multiLevelType w:val="hybridMultilevel"/>
    <w:tmpl w:val="87AA1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B23BD0"/>
    <w:multiLevelType w:val="hybridMultilevel"/>
    <w:tmpl w:val="BBBED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B36AA9"/>
    <w:multiLevelType w:val="hybridMultilevel"/>
    <w:tmpl w:val="038E9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6300805"/>
    <w:multiLevelType w:val="hybridMultilevel"/>
    <w:tmpl w:val="1D209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F55A0C"/>
    <w:multiLevelType w:val="hybridMultilevel"/>
    <w:tmpl w:val="B0867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93B4805"/>
    <w:multiLevelType w:val="hybridMultilevel"/>
    <w:tmpl w:val="08D64B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F4B4F36"/>
    <w:multiLevelType w:val="hybridMultilevel"/>
    <w:tmpl w:val="37C63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D16749"/>
    <w:multiLevelType w:val="hybridMultilevel"/>
    <w:tmpl w:val="49268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7430F6"/>
    <w:multiLevelType w:val="hybridMultilevel"/>
    <w:tmpl w:val="25BE3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5A0612A"/>
    <w:multiLevelType w:val="hybridMultilevel"/>
    <w:tmpl w:val="91A860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CDE3239"/>
    <w:multiLevelType w:val="hybridMultilevel"/>
    <w:tmpl w:val="F50C4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C37CCF"/>
    <w:multiLevelType w:val="hybridMultilevel"/>
    <w:tmpl w:val="BF709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991BBC"/>
    <w:multiLevelType w:val="hybridMultilevel"/>
    <w:tmpl w:val="6534F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A7F0B41"/>
    <w:multiLevelType w:val="hybridMultilevel"/>
    <w:tmpl w:val="DCD8E73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B7F7051"/>
    <w:multiLevelType w:val="hybridMultilevel"/>
    <w:tmpl w:val="29667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CF451BF"/>
    <w:multiLevelType w:val="hybridMultilevel"/>
    <w:tmpl w:val="C7A6A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F3075A4"/>
    <w:multiLevelType w:val="hybridMultilevel"/>
    <w:tmpl w:val="B6D0C0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02541BE"/>
    <w:multiLevelType w:val="hybridMultilevel"/>
    <w:tmpl w:val="9CF27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04F0527"/>
    <w:multiLevelType w:val="hybridMultilevel"/>
    <w:tmpl w:val="CD3AD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1067194"/>
    <w:multiLevelType w:val="hybridMultilevel"/>
    <w:tmpl w:val="F90281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3847828"/>
    <w:multiLevelType w:val="hybridMultilevel"/>
    <w:tmpl w:val="B98A6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0C7404C"/>
    <w:multiLevelType w:val="hybridMultilevel"/>
    <w:tmpl w:val="DC24E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1BA4049"/>
    <w:multiLevelType w:val="hybridMultilevel"/>
    <w:tmpl w:val="98B263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5981085"/>
    <w:multiLevelType w:val="hybridMultilevel"/>
    <w:tmpl w:val="00924B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81F1142"/>
    <w:multiLevelType w:val="hybridMultilevel"/>
    <w:tmpl w:val="9B488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8CC7A28"/>
    <w:multiLevelType w:val="hybridMultilevel"/>
    <w:tmpl w:val="5B0A2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60889949">
    <w:abstractNumId w:val="23"/>
  </w:num>
  <w:num w:numId="2" w16cid:durableId="1886944694">
    <w:abstractNumId w:val="36"/>
  </w:num>
  <w:num w:numId="3" w16cid:durableId="139346692">
    <w:abstractNumId w:val="19"/>
  </w:num>
  <w:num w:numId="4" w16cid:durableId="180165053">
    <w:abstractNumId w:val="10"/>
  </w:num>
  <w:num w:numId="5" w16cid:durableId="1288586575">
    <w:abstractNumId w:val="5"/>
  </w:num>
  <w:num w:numId="6" w16cid:durableId="840050534">
    <w:abstractNumId w:val="7"/>
  </w:num>
  <w:num w:numId="7" w16cid:durableId="1053770091">
    <w:abstractNumId w:val="28"/>
  </w:num>
  <w:num w:numId="8" w16cid:durableId="420878518">
    <w:abstractNumId w:val="15"/>
  </w:num>
  <w:num w:numId="9" w16cid:durableId="28796856">
    <w:abstractNumId w:val="29"/>
  </w:num>
  <w:num w:numId="10" w16cid:durableId="268976831">
    <w:abstractNumId w:val="32"/>
  </w:num>
  <w:num w:numId="11" w16cid:durableId="716977810">
    <w:abstractNumId w:val="18"/>
  </w:num>
  <w:num w:numId="12" w16cid:durableId="1931624711">
    <w:abstractNumId w:val="33"/>
  </w:num>
  <w:num w:numId="13" w16cid:durableId="1881430080">
    <w:abstractNumId w:val="25"/>
  </w:num>
  <w:num w:numId="14" w16cid:durableId="1426926488">
    <w:abstractNumId w:val="12"/>
  </w:num>
  <w:num w:numId="15" w16cid:durableId="959337704">
    <w:abstractNumId w:val="8"/>
  </w:num>
  <w:num w:numId="16" w16cid:durableId="741871909">
    <w:abstractNumId w:val="30"/>
  </w:num>
  <w:num w:numId="17" w16cid:durableId="732970730">
    <w:abstractNumId w:val="22"/>
  </w:num>
  <w:num w:numId="18" w16cid:durableId="1996181772">
    <w:abstractNumId w:val="2"/>
  </w:num>
  <w:num w:numId="19" w16cid:durableId="534774109">
    <w:abstractNumId w:val="38"/>
  </w:num>
  <w:num w:numId="20" w16cid:durableId="480578822">
    <w:abstractNumId w:val="4"/>
  </w:num>
  <w:num w:numId="21" w16cid:durableId="383024314">
    <w:abstractNumId w:val="14"/>
  </w:num>
  <w:num w:numId="22" w16cid:durableId="997265507">
    <w:abstractNumId w:val="24"/>
  </w:num>
  <w:num w:numId="23" w16cid:durableId="458839370">
    <w:abstractNumId w:val="13"/>
  </w:num>
  <w:num w:numId="24" w16cid:durableId="2011712463">
    <w:abstractNumId w:val="39"/>
  </w:num>
  <w:num w:numId="25" w16cid:durableId="2056000544">
    <w:abstractNumId w:val="20"/>
  </w:num>
  <w:num w:numId="26" w16cid:durableId="1224637000">
    <w:abstractNumId w:val="31"/>
  </w:num>
  <w:num w:numId="27" w16cid:durableId="2069069781">
    <w:abstractNumId w:val="35"/>
  </w:num>
  <w:num w:numId="28" w16cid:durableId="583806074">
    <w:abstractNumId w:val="37"/>
  </w:num>
  <w:num w:numId="29" w16cid:durableId="1454859522">
    <w:abstractNumId w:val="26"/>
  </w:num>
  <w:num w:numId="30" w16cid:durableId="1213426136">
    <w:abstractNumId w:val="34"/>
  </w:num>
  <w:num w:numId="31" w16cid:durableId="641927201">
    <w:abstractNumId w:val="0"/>
  </w:num>
  <w:num w:numId="32" w16cid:durableId="1021391245">
    <w:abstractNumId w:val="16"/>
  </w:num>
  <w:num w:numId="33" w16cid:durableId="1224295870">
    <w:abstractNumId w:val="27"/>
  </w:num>
  <w:num w:numId="34" w16cid:durableId="448620684">
    <w:abstractNumId w:val="3"/>
  </w:num>
  <w:num w:numId="35" w16cid:durableId="1192496042">
    <w:abstractNumId w:val="9"/>
  </w:num>
  <w:num w:numId="36" w16cid:durableId="1028602770">
    <w:abstractNumId w:val="1"/>
  </w:num>
  <w:num w:numId="37" w16cid:durableId="19596902">
    <w:abstractNumId w:val="17"/>
  </w:num>
  <w:num w:numId="38" w16cid:durableId="1705599049">
    <w:abstractNumId w:val="6"/>
  </w:num>
  <w:num w:numId="39" w16cid:durableId="1041973997">
    <w:abstractNumId w:val="21"/>
  </w:num>
  <w:num w:numId="40" w16cid:durableId="1631128453">
    <w:abstractNumId w:val="11"/>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224"/>
    <w:rsid w:val="000018CD"/>
    <w:rsid w:val="0000781F"/>
    <w:rsid w:val="00012EA1"/>
    <w:rsid w:val="00015CC9"/>
    <w:rsid w:val="000209EC"/>
    <w:rsid w:val="00026163"/>
    <w:rsid w:val="0003150C"/>
    <w:rsid w:val="00034C12"/>
    <w:rsid w:val="00034F68"/>
    <w:rsid w:val="000376EC"/>
    <w:rsid w:val="000408BC"/>
    <w:rsid w:val="000432A5"/>
    <w:rsid w:val="00052D5C"/>
    <w:rsid w:val="00054589"/>
    <w:rsid w:val="00056673"/>
    <w:rsid w:val="00065847"/>
    <w:rsid w:val="00066615"/>
    <w:rsid w:val="000705A0"/>
    <w:rsid w:val="00071344"/>
    <w:rsid w:val="00072AFA"/>
    <w:rsid w:val="000731E4"/>
    <w:rsid w:val="00074DB8"/>
    <w:rsid w:val="0007668B"/>
    <w:rsid w:val="0008441A"/>
    <w:rsid w:val="00085989"/>
    <w:rsid w:val="00097E4C"/>
    <w:rsid w:val="000A0646"/>
    <w:rsid w:val="000A596D"/>
    <w:rsid w:val="000A6164"/>
    <w:rsid w:val="000B384C"/>
    <w:rsid w:val="000B5556"/>
    <w:rsid w:val="000C6291"/>
    <w:rsid w:val="000D1702"/>
    <w:rsid w:val="000D4AC2"/>
    <w:rsid w:val="000E197F"/>
    <w:rsid w:val="000E7020"/>
    <w:rsid w:val="000F7972"/>
    <w:rsid w:val="00104FCC"/>
    <w:rsid w:val="0010617B"/>
    <w:rsid w:val="001064BA"/>
    <w:rsid w:val="00111C57"/>
    <w:rsid w:val="0013194C"/>
    <w:rsid w:val="00133136"/>
    <w:rsid w:val="00133344"/>
    <w:rsid w:val="00133C61"/>
    <w:rsid w:val="00134BC5"/>
    <w:rsid w:val="0013719A"/>
    <w:rsid w:val="0013730B"/>
    <w:rsid w:val="00137C32"/>
    <w:rsid w:val="00137C65"/>
    <w:rsid w:val="00141CE7"/>
    <w:rsid w:val="001427EF"/>
    <w:rsid w:val="001444C8"/>
    <w:rsid w:val="00147FB5"/>
    <w:rsid w:val="00150129"/>
    <w:rsid w:val="0015098B"/>
    <w:rsid w:val="00151F8C"/>
    <w:rsid w:val="00152CB0"/>
    <w:rsid w:val="00155F09"/>
    <w:rsid w:val="00160255"/>
    <w:rsid w:val="00160B0A"/>
    <w:rsid w:val="00165C06"/>
    <w:rsid w:val="00171E07"/>
    <w:rsid w:val="001722CE"/>
    <w:rsid w:val="001801D1"/>
    <w:rsid w:val="001808BD"/>
    <w:rsid w:val="00181181"/>
    <w:rsid w:val="0018264E"/>
    <w:rsid w:val="0018309B"/>
    <w:rsid w:val="001832C1"/>
    <w:rsid w:val="001862E8"/>
    <w:rsid w:val="00191C42"/>
    <w:rsid w:val="001A2C55"/>
    <w:rsid w:val="001A49B2"/>
    <w:rsid w:val="001B4A0D"/>
    <w:rsid w:val="001B79C3"/>
    <w:rsid w:val="001C36AF"/>
    <w:rsid w:val="001C3B4C"/>
    <w:rsid w:val="001D10B0"/>
    <w:rsid w:val="001D25B8"/>
    <w:rsid w:val="001D78DD"/>
    <w:rsid w:val="001E0440"/>
    <w:rsid w:val="001E0617"/>
    <w:rsid w:val="001E3B8F"/>
    <w:rsid w:val="001E5897"/>
    <w:rsid w:val="001F06E8"/>
    <w:rsid w:val="002110A0"/>
    <w:rsid w:val="002125BC"/>
    <w:rsid w:val="00220257"/>
    <w:rsid w:val="00223F57"/>
    <w:rsid w:val="002322DF"/>
    <w:rsid w:val="00237EE0"/>
    <w:rsid w:val="00241278"/>
    <w:rsid w:val="00241C46"/>
    <w:rsid w:val="00243219"/>
    <w:rsid w:val="002449DC"/>
    <w:rsid w:val="002504C9"/>
    <w:rsid w:val="0025150F"/>
    <w:rsid w:val="00252A5D"/>
    <w:rsid w:val="00253E69"/>
    <w:rsid w:val="00256D8A"/>
    <w:rsid w:val="0026199B"/>
    <w:rsid w:val="002623C4"/>
    <w:rsid w:val="002625E5"/>
    <w:rsid w:val="0026478E"/>
    <w:rsid w:val="00270847"/>
    <w:rsid w:val="00272548"/>
    <w:rsid w:val="0028141B"/>
    <w:rsid w:val="002861B5"/>
    <w:rsid w:val="00287D8C"/>
    <w:rsid w:val="0029394F"/>
    <w:rsid w:val="00295900"/>
    <w:rsid w:val="002965D1"/>
    <w:rsid w:val="00297034"/>
    <w:rsid w:val="002A002D"/>
    <w:rsid w:val="002A2C9C"/>
    <w:rsid w:val="002A341A"/>
    <w:rsid w:val="002A5BA3"/>
    <w:rsid w:val="002A60F7"/>
    <w:rsid w:val="002A71B1"/>
    <w:rsid w:val="002A7F0D"/>
    <w:rsid w:val="002B0DFC"/>
    <w:rsid w:val="002B25BC"/>
    <w:rsid w:val="002C265D"/>
    <w:rsid w:val="002C7A2D"/>
    <w:rsid w:val="002C7DF1"/>
    <w:rsid w:val="002D3510"/>
    <w:rsid w:val="002D5A4F"/>
    <w:rsid w:val="002E2C97"/>
    <w:rsid w:val="002E5172"/>
    <w:rsid w:val="002F2B78"/>
    <w:rsid w:val="002F3674"/>
    <w:rsid w:val="0030794C"/>
    <w:rsid w:val="00307FC6"/>
    <w:rsid w:val="00321077"/>
    <w:rsid w:val="00321F71"/>
    <w:rsid w:val="00325ACB"/>
    <w:rsid w:val="003300F3"/>
    <w:rsid w:val="00332FB8"/>
    <w:rsid w:val="00335224"/>
    <w:rsid w:val="0033543A"/>
    <w:rsid w:val="0034005D"/>
    <w:rsid w:val="003442A6"/>
    <w:rsid w:val="003517A5"/>
    <w:rsid w:val="00352EEE"/>
    <w:rsid w:val="00354A7B"/>
    <w:rsid w:val="003555C1"/>
    <w:rsid w:val="00363FA5"/>
    <w:rsid w:val="00364DA4"/>
    <w:rsid w:val="003666EA"/>
    <w:rsid w:val="00376530"/>
    <w:rsid w:val="00380AB1"/>
    <w:rsid w:val="00384514"/>
    <w:rsid w:val="00385F8A"/>
    <w:rsid w:val="00390642"/>
    <w:rsid w:val="00391690"/>
    <w:rsid w:val="003944BD"/>
    <w:rsid w:val="0039526A"/>
    <w:rsid w:val="00396D84"/>
    <w:rsid w:val="003A3637"/>
    <w:rsid w:val="003A3DA9"/>
    <w:rsid w:val="003B1165"/>
    <w:rsid w:val="003B247E"/>
    <w:rsid w:val="003B4ABE"/>
    <w:rsid w:val="003B4BF3"/>
    <w:rsid w:val="003B57A4"/>
    <w:rsid w:val="003B6385"/>
    <w:rsid w:val="003C20DA"/>
    <w:rsid w:val="003D1413"/>
    <w:rsid w:val="003D40F9"/>
    <w:rsid w:val="003D7CB5"/>
    <w:rsid w:val="003D7EE2"/>
    <w:rsid w:val="003E524B"/>
    <w:rsid w:val="003E7A26"/>
    <w:rsid w:val="003E7E65"/>
    <w:rsid w:val="003F1151"/>
    <w:rsid w:val="003F17B3"/>
    <w:rsid w:val="003F1A1D"/>
    <w:rsid w:val="003F3F77"/>
    <w:rsid w:val="003F54C8"/>
    <w:rsid w:val="00407E8B"/>
    <w:rsid w:val="00410D37"/>
    <w:rsid w:val="00412E06"/>
    <w:rsid w:val="00416FBC"/>
    <w:rsid w:val="004201B1"/>
    <w:rsid w:val="00422529"/>
    <w:rsid w:val="00422D1B"/>
    <w:rsid w:val="00426837"/>
    <w:rsid w:val="00426D2E"/>
    <w:rsid w:val="004344F6"/>
    <w:rsid w:val="00436AAF"/>
    <w:rsid w:val="00436B5A"/>
    <w:rsid w:val="004372EA"/>
    <w:rsid w:val="00441545"/>
    <w:rsid w:val="00453DBE"/>
    <w:rsid w:val="004573FF"/>
    <w:rsid w:val="00460E2E"/>
    <w:rsid w:val="00461EB6"/>
    <w:rsid w:val="004631CC"/>
    <w:rsid w:val="00464AEB"/>
    <w:rsid w:val="00465222"/>
    <w:rsid w:val="004744F0"/>
    <w:rsid w:val="00480A6B"/>
    <w:rsid w:val="0048102D"/>
    <w:rsid w:val="00482914"/>
    <w:rsid w:val="0049423B"/>
    <w:rsid w:val="004944B2"/>
    <w:rsid w:val="00494B8E"/>
    <w:rsid w:val="00495169"/>
    <w:rsid w:val="00495858"/>
    <w:rsid w:val="004A44E3"/>
    <w:rsid w:val="004A4A69"/>
    <w:rsid w:val="004A5675"/>
    <w:rsid w:val="004A7E76"/>
    <w:rsid w:val="004B323A"/>
    <w:rsid w:val="004B45EC"/>
    <w:rsid w:val="004C0603"/>
    <w:rsid w:val="004C0636"/>
    <w:rsid w:val="004C510C"/>
    <w:rsid w:val="004D0392"/>
    <w:rsid w:val="004D2DDB"/>
    <w:rsid w:val="004D4886"/>
    <w:rsid w:val="004D4D45"/>
    <w:rsid w:val="004F0962"/>
    <w:rsid w:val="004F1287"/>
    <w:rsid w:val="004F1900"/>
    <w:rsid w:val="004F1D68"/>
    <w:rsid w:val="005005F2"/>
    <w:rsid w:val="005034EF"/>
    <w:rsid w:val="00503F11"/>
    <w:rsid w:val="00505DCB"/>
    <w:rsid w:val="0051253C"/>
    <w:rsid w:val="005141DF"/>
    <w:rsid w:val="005168C8"/>
    <w:rsid w:val="00517282"/>
    <w:rsid w:val="005174C6"/>
    <w:rsid w:val="00531528"/>
    <w:rsid w:val="005329D4"/>
    <w:rsid w:val="00533DA6"/>
    <w:rsid w:val="00536FD9"/>
    <w:rsid w:val="0054306E"/>
    <w:rsid w:val="00543294"/>
    <w:rsid w:val="005451E5"/>
    <w:rsid w:val="0055055F"/>
    <w:rsid w:val="005603B3"/>
    <w:rsid w:val="005630C0"/>
    <w:rsid w:val="00564278"/>
    <w:rsid w:val="005642CC"/>
    <w:rsid w:val="00567FA7"/>
    <w:rsid w:val="00571992"/>
    <w:rsid w:val="005835B8"/>
    <w:rsid w:val="005860AB"/>
    <w:rsid w:val="005875BD"/>
    <w:rsid w:val="00592171"/>
    <w:rsid w:val="005931D9"/>
    <w:rsid w:val="005946AD"/>
    <w:rsid w:val="005978A9"/>
    <w:rsid w:val="005A2559"/>
    <w:rsid w:val="005B043A"/>
    <w:rsid w:val="005B3479"/>
    <w:rsid w:val="005C037A"/>
    <w:rsid w:val="005C6C58"/>
    <w:rsid w:val="005D33D7"/>
    <w:rsid w:val="005D3C53"/>
    <w:rsid w:val="005D5C69"/>
    <w:rsid w:val="005D6061"/>
    <w:rsid w:val="005E1624"/>
    <w:rsid w:val="005E590C"/>
    <w:rsid w:val="005E68C1"/>
    <w:rsid w:val="005E70C1"/>
    <w:rsid w:val="005E72E4"/>
    <w:rsid w:val="005F644C"/>
    <w:rsid w:val="005F6831"/>
    <w:rsid w:val="00602FCB"/>
    <w:rsid w:val="00603642"/>
    <w:rsid w:val="0060401A"/>
    <w:rsid w:val="00607103"/>
    <w:rsid w:val="00607689"/>
    <w:rsid w:val="00607BAF"/>
    <w:rsid w:val="00611F07"/>
    <w:rsid w:val="00613A52"/>
    <w:rsid w:val="006163DA"/>
    <w:rsid w:val="006205F2"/>
    <w:rsid w:val="00620868"/>
    <w:rsid w:val="00626D34"/>
    <w:rsid w:val="0063251B"/>
    <w:rsid w:val="00632EEF"/>
    <w:rsid w:val="00636938"/>
    <w:rsid w:val="00637F95"/>
    <w:rsid w:val="00640C28"/>
    <w:rsid w:val="006520E2"/>
    <w:rsid w:val="006544E4"/>
    <w:rsid w:val="0066061D"/>
    <w:rsid w:val="00665B05"/>
    <w:rsid w:val="00667044"/>
    <w:rsid w:val="00673DA4"/>
    <w:rsid w:val="00680E32"/>
    <w:rsid w:val="00683CCD"/>
    <w:rsid w:val="00690C11"/>
    <w:rsid w:val="00691BB9"/>
    <w:rsid w:val="006937B5"/>
    <w:rsid w:val="0069423F"/>
    <w:rsid w:val="006A2AC5"/>
    <w:rsid w:val="006A6C49"/>
    <w:rsid w:val="006A6FF7"/>
    <w:rsid w:val="006A7616"/>
    <w:rsid w:val="006B3461"/>
    <w:rsid w:val="006B3B7B"/>
    <w:rsid w:val="006B49FF"/>
    <w:rsid w:val="006B7890"/>
    <w:rsid w:val="006C0879"/>
    <w:rsid w:val="006C32AA"/>
    <w:rsid w:val="006D13EF"/>
    <w:rsid w:val="006D33B7"/>
    <w:rsid w:val="006E02CA"/>
    <w:rsid w:val="006E6D1C"/>
    <w:rsid w:val="006E75AA"/>
    <w:rsid w:val="006F6D19"/>
    <w:rsid w:val="00701859"/>
    <w:rsid w:val="007022B4"/>
    <w:rsid w:val="0070505A"/>
    <w:rsid w:val="00706298"/>
    <w:rsid w:val="00706603"/>
    <w:rsid w:val="0071161E"/>
    <w:rsid w:val="00716B98"/>
    <w:rsid w:val="00720C07"/>
    <w:rsid w:val="007302CC"/>
    <w:rsid w:val="00732E15"/>
    <w:rsid w:val="00734641"/>
    <w:rsid w:val="00735DB8"/>
    <w:rsid w:val="00736EA5"/>
    <w:rsid w:val="0074298B"/>
    <w:rsid w:val="007444E8"/>
    <w:rsid w:val="00747BFE"/>
    <w:rsid w:val="00755780"/>
    <w:rsid w:val="00757C35"/>
    <w:rsid w:val="00760824"/>
    <w:rsid w:val="0077219B"/>
    <w:rsid w:val="007742AF"/>
    <w:rsid w:val="00774A1A"/>
    <w:rsid w:val="00776B5F"/>
    <w:rsid w:val="00786607"/>
    <w:rsid w:val="00787C28"/>
    <w:rsid w:val="00790996"/>
    <w:rsid w:val="007928EF"/>
    <w:rsid w:val="0079309C"/>
    <w:rsid w:val="007930AD"/>
    <w:rsid w:val="0079359B"/>
    <w:rsid w:val="007A10D6"/>
    <w:rsid w:val="007A5062"/>
    <w:rsid w:val="007A645A"/>
    <w:rsid w:val="007B577C"/>
    <w:rsid w:val="007B7482"/>
    <w:rsid w:val="007C07AB"/>
    <w:rsid w:val="007C37EE"/>
    <w:rsid w:val="007C61B4"/>
    <w:rsid w:val="007C68D7"/>
    <w:rsid w:val="007C7C87"/>
    <w:rsid w:val="007D7B8B"/>
    <w:rsid w:val="007E0F5C"/>
    <w:rsid w:val="007E7043"/>
    <w:rsid w:val="007E7FC8"/>
    <w:rsid w:val="007F53F8"/>
    <w:rsid w:val="0080181A"/>
    <w:rsid w:val="00802570"/>
    <w:rsid w:val="008053E0"/>
    <w:rsid w:val="00806C2A"/>
    <w:rsid w:val="008141CA"/>
    <w:rsid w:val="008143FC"/>
    <w:rsid w:val="008171C7"/>
    <w:rsid w:val="008215E2"/>
    <w:rsid w:val="008218EC"/>
    <w:rsid w:val="00824D99"/>
    <w:rsid w:val="008253E6"/>
    <w:rsid w:val="008348B9"/>
    <w:rsid w:val="00836226"/>
    <w:rsid w:val="00836B90"/>
    <w:rsid w:val="008453A5"/>
    <w:rsid w:val="00847008"/>
    <w:rsid w:val="00850D3B"/>
    <w:rsid w:val="00850E8E"/>
    <w:rsid w:val="008533D0"/>
    <w:rsid w:val="00854EE5"/>
    <w:rsid w:val="00856495"/>
    <w:rsid w:val="008627E7"/>
    <w:rsid w:val="00864F96"/>
    <w:rsid w:val="008657D1"/>
    <w:rsid w:val="00872059"/>
    <w:rsid w:val="00875685"/>
    <w:rsid w:val="00876119"/>
    <w:rsid w:val="0087763B"/>
    <w:rsid w:val="00884492"/>
    <w:rsid w:val="00884CEC"/>
    <w:rsid w:val="0089590F"/>
    <w:rsid w:val="008A59E7"/>
    <w:rsid w:val="008A76B5"/>
    <w:rsid w:val="008B4C80"/>
    <w:rsid w:val="008B551F"/>
    <w:rsid w:val="008B7545"/>
    <w:rsid w:val="008C0D23"/>
    <w:rsid w:val="008C55C2"/>
    <w:rsid w:val="008D3605"/>
    <w:rsid w:val="008D7813"/>
    <w:rsid w:val="008E3E40"/>
    <w:rsid w:val="008E51B2"/>
    <w:rsid w:val="008E58E3"/>
    <w:rsid w:val="008E7DCE"/>
    <w:rsid w:val="008F18DF"/>
    <w:rsid w:val="008F3837"/>
    <w:rsid w:val="00901264"/>
    <w:rsid w:val="00905884"/>
    <w:rsid w:val="00906B09"/>
    <w:rsid w:val="00916161"/>
    <w:rsid w:val="00920581"/>
    <w:rsid w:val="00923307"/>
    <w:rsid w:val="00925238"/>
    <w:rsid w:val="0092539F"/>
    <w:rsid w:val="00930BBD"/>
    <w:rsid w:val="00941499"/>
    <w:rsid w:val="00945104"/>
    <w:rsid w:val="00947792"/>
    <w:rsid w:val="00957584"/>
    <w:rsid w:val="009622FB"/>
    <w:rsid w:val="0096453D"/>
    <w:rsid w:val="009654A1"/>
    <w:rsid w:val="00975A44"/>
    <w:rsid w:val="0097739E"/>
    <w:rsid w:val="00982812"/>
    <w:rsid w:val="00990ACC"/>
    <w:rsid w:val="00992F65"/>
    <w:rsid w:val="0099503A"/>
    <w:rsid w:val="00995A42"/>
    <w:rsid w:val="009B0037"/>
    <w:rsid w:val="009B5159"/>
    <w:rsid w:val="009B78E2"/>
    <w:rsid w:val="009C0D2F"/>
    <w:rsid w:val="009C1487"/>
    <w:rsid w:val="009C3267"/>
    <w:rsid w:val="009C5283"/>
    <w:rsid w:val="009C5C26"/>
    <w:rsid w:val="009D17A1"/>
    <w:rsid w:val="009D48F5"/>
    <w:rsid w:val="009D6B23"/>
    <w:rsid w:val="009D7D02"/>
    <w:rsid w:val="009E0ADC"/>
    <w:rsid w:val="009E13BA"/>
    <w:rsid w:val="009E7A37"/>
    <w:rsid w:val="009F561B"/>
    <w:rsid w:val="00A05316"/>
    <w:rsid w:val="00A14452"/>
    <w:rsid w:val="00A20A52"/>
    <w:rsid w:val="00A2261E"/>
    <w:rsid w:val="00A23448"/>
    <w:rsid w:val="00A23FF7"/>
    <w:rsid w:val="00A2573A"/>
    <w:rsid w:val="00A27C08"/>
    <w:rsid w:val="00A4548E"/>
    <w:rsid w:val="00A4741C"/>
    <w:rsid w:val="00A52199"/>
    <w:rsid w:val="00A536F5"/>
    <w:rsid w:val="00A54757"/>
    <w:rsid w:val="00A56150"/>
    <w:rsid w:val="00A60BE5"/>
    <w:rsid w:val="00A610C7"/>
    <w:rsid w:val="00A64155"/>
    <w:rsid w:val="00A6772C"/>
    <w:rsid w:val="00A74EA4"/>
    <w:rsid w:val="00A81E0D"/>
    <w:rsid w:val="00A82091"/>
    <w:rsid w:val="00A82FF5"/>
    <w:rsid w:val="00A83061"/>
    <w:rsid w:val="00A84038"/>
    <w:rsid w:val="00A860B6"/>
    <w:rsid w:val="00A87C82"/>
    <w:rsid w:val="00A962C6"/>
    <w:rsid w:val="00A962FA"/>
    <w:rsid w:val="00AA2C3B"/>
    <w:rsid w:val="00AA3656"/>
    <w:rsid w:val="00AA3AB3"/>
    <w:rsid w:val="00AA5A77"/>
    <w:rsid w:val="00AA62B2"/>
    <w:rsid w:val="00AA7923"/>
    <w:rsid w:val="00AA7FD3"/>
    <w:rsid w:val="00AB4B6F"/>
    <w:rsid w:val="00AC066B"/>
    <w:rsid w:val="00AC23A6"/>
    <w:rsid w:val="00AC7C6E"/>
    <w:rsid w:val="00AD178D"/>
    <w:rsid w:val="00AD256A"/>
    <w:rsid w:val="00AD269C"/>
    <w:rsid w:val="00AD3919"/>
    <w:rsid w:val="00AE2247"/>
    <w:rsid w:val="00AE3D4E"/>
    <w:rsid w:val="00AE480D"/>
    <w:rsid w:val="00AF20AA"/>
    <w:rsid w:val="00B03F6F"/>
    <w:rsid w:val="00B123EE"/>
    <w:rsid w:val="00B12A2D"/>
    <w:rsid w:val="00B12B59"/>
    <w:rsid w:val="00B21117"/>
    <w:rsid w:val="00B26431"/>
    <w:rsid w:val="00B3130B"/>
    <w:rsid w:val="00B31798"/>
    <w:rsid w:val="00B33F03"/>
    <w:rsid w:val="00B34546"/>
    <w:rsid w:val="00B36801"/>
    <w:rsid w:val="00B42DDF"/>
    <w:rsid w:val="00B50FB0"/>
    <w:rsid w:val="00B576A4"/>
    <w:rsid w:val="00B644C8"/>
    <w:rsid w:val="00B64C09"/>
    <w:rsid w:val="00B653D5"/>
    <w:rsid w:val="00B71B8D"/>
    <w:rsid w:val="00B750A6"/>
    <w:rsid w:val="00B75BA2"/>
    <w:rsid w:val="00B8396D"/>
    <w:rsid w:val="00B83A5D"/>
    <w:rsid w:val="00B93607"/>
    <w:rsid w:val="00B9777A"/>
    <w:rsid w:val="00BA42F7"/>
    <w:rsid w:val="00BA66B9"/>
    <w:rsid w:val="00BA72BD"/>
    <w:rsid w:val="00BB48D5"/>
    <w:rsid w:val="00BB50C0"/>
    <w:rsid w:val="00BB56F3"/>
    <w:rsid w:val="00BB6C34"/>
    <w:rsid w:val="00BC2815"/>
    <w:rsid w:val="00BC2B39"/>
    <w:rsid w:val="00BC7B37"/>
    <w:rsid w:val="00BD7414"/>
    <w:rsid w:val="00BD7B73"/>
    <w:rsid w:val="00BE1179"/>
    <w:rsid w:val="00BE2A9A"/>
    <w:rsid w:val="00BF6AB7"/>
    <w:rsid w:val="00C008CB"/>
    <w:rsid w:val="00C0229E"/>
    <w:rsid w:val="00C0365D"/>
    <w:rsid w:val="00C05231"/>
    <w:rsid w:val="00C15A61"/>
    <w:rsid w:val="00C16897"/>
    <w:rsid w:val="00C2004F"/>
    <w:rsid w:val="00C22F6D"/>
    <w:rsid w:val="00C23759"/>
    <w:rsid w:val="00C23BBC"/>
    <w:rsid w:val="00C257FA"/>
    <w:rsid w:val="00C272E3"/>
    <w:rsid w:val="00C34980"/>
    <w:rsid w:val="00C41C13"/>
    <w:rsid w:val="00C42D2D"/>
    <w:rsid w:val="00C45468"/>
    <w:rsid w:val="00C52175"/>
    <w:rsid w:val="00C521CB"/>
    <w:rsid w:val="00C54683"/>
    <w:rsid w:val="00C54F04"/>
    <w:rsid w:val="00C550FB"/>
    <w:rsid w:val="00C604F6"/>
    <w:rsid w:val="00C6678A"/>
    <w:rsid w:val="00C67CE3"/>
    <w:rsid w:val="00C70F11"/>
    <w:rsid w:val="00C7601C"/>
    <w:rsid w:val="00C7603E"/>
    <w:rsid w:val="00C82899"/>
    <w:rsid w:val="00C87535"/>
    <w:rsid w:val="00C87FD9"/>
    <w:rsid w:val="00C92433"/>
    <w:rsid w:val="00C97BB4"/>
    <w:rsid w:val="00CA03FF"/>
    <w:rsid w:val="00CA1463"/>
    <w:rsid w:val="00CA3F8F"/>
    <w:rsid w:val="00CA52E8"/>
    <w:rsid w:val="00CA60F0"/>
    <w:rsid w:val="00CB01E3"/>
    <w:rsid w:val="00CB346B"/>
    <w:rsid w:val="00CB631B"/>
    <w:rsid w:val="00CC3989"/>
    <w:rsid w:val="00CC5089"/>
    <w:rsid w:val="00CD0CA3"/>
    <w:rsid w:val="00CD11B2"/>
    <w:rsid w:val="00CD3648"/>
    <w:rsid w:val="00CD38C5"/>
    <w:rsid w:val="00CE1CA7"/>
    <w:rsid w:val="00CE3D5D"/>
    <w:rsid w:val="00CF4231"/>
    <w:rsid w:val="00CF4FE2"/>
    <w:rsid w:val="00CF5BE0"/>
    <w:rsid w:val="00CF6B3F"/>
    <w:rsid w:val="00D00D12"/>
    <w:rsid w:val="00D00E6D"/>
    <w:rsid w:val="00D02A95"/>
    <w:rsid w:val="00D03C6C"/>
    <w:rsid w:val="00D03E78"/>
    <w:rsid w:val="00D04D19"/>
    <w:rsid w:val="00D0773D"/>
    <w:rsid w:val="00D07D27"/>
    <w:rsid w:val="00D23792"/>
    <w:rsid w:val="00D2676A"/>
    <w:rsid w:val="00D3168B"/>
    <w:rsid w:val="00D32B04"/>
    <w:rsid w:val="00D32C25"/>
    <w:rsid w:val="00D32E8E"/>
    <w:rsid w:val="00D44C8F"/>
    <w:rsid w:val="00D52BB2"/>
    <w:rsid w:val="00D565C0"/>
    <w:rsid w:val="00D625DE"/>
    <w:rsid w:val="00D77E57"/>
    <w:rsid w:val="00D819FE"/>
    <w:rsid w:val="00D854F3"/>
    <w:rsid w:val="00D9125F"/>
    <w:rsid w:val="00D94E28"/>
    <w:rsid w:val="00D96581"/>
    <w:rsid w:val="00DA0417"/>
    <w:rsid w:val="00DA2353"/>
    <w:rsid w:val="00DA6A39"/>
    <w:rsid w:val="00DB17E3"/>
    <w:rsid w:val="00DB2C00"/>
    <w:rsid w:val="00DB3991"/>
    <w:rsid w:val="00DB4A46"/>
    <w:rsid w:val="00DB7C33"/>
    <w:rsid w:val="00DC06BE"/>
    <w:rsid w:val="00DD4B02"/>
    <w:rsid w:val="00DD6263"/>
    <w:rsid w:val="00DE2517"/>
    <w:rsid w:val="00DF4E37"/>
    <w:rsid w:val="00DF5A52"/>
    <w:rsid w:val="00DF6AAB"/>
    <w:rsid w:val="00DF6E56"/>
    <w:rsid w:val="00E01D98"/>
    <w:rsid w:val="00E02AFA"/>
    <w:rsid w:val="00E02E4B"/>
    <w:rsid w:val="00E1351F"/>
    <w:rsid w:val="00E13EDB"/>
    <w:rsid w:val="00E17230"/>
    <w:rsid w:val="00E20516"/>
    <w:rsid w:val="00E20FD0"/>
    <w:rsid w:val="00E30999"/>
    <w:rsid w:val="00E359C0"/>
    <w:rsid w:val="00E362F4"/>
    <w:rsid w:val="00E365D5"/>
    <w:rsid w:val="00E36BC3"/>
    <w:rsid w:val="00E41644"/>
    <w:rsid w:val="00E453FB"/>
    <w:rsid w:val="00E53658"/>
    <w:rsid w:val="00E5652F"/>
    <w:rsid w:val="00E65443"/>
    <w:rsid w:val="00E65689"/>
    <w:rsid w:val="00E70E48"/>
    <w:rsid w:val="00E75AFA"/>
    <w:rsid w:val="00E8052F"/>
    <w:rsid w:val="00E80FBD"/>
    <w:rsid w:val="00E82B3D"/>
    <w:rsid w:val="00E85400"/>
    <w:rsid w:val="00E86519"/>
    <w:rsid w:val="00E906A1"/>
    <w:rsid w:val="00E90B61"/>
    <w:rsid w:val="00E92819"/>
    <w:rsid w:val="00E978F3"/>
    <w:rsid w:val="00EA01A4"/>
    <w:rsid w:val="00EA2E5E"/>
    <w:rsid w:val="00EA532E"/>
    <w:rsid w:val="00EA7F2A"/>
    <w:rsid w:val="00EB46AC"/>
    <w:rsid w:val="00EB649B"/>
    <w:rsid w:val="00EB6C35"/>
    <w:rsid w:val="00EB6D0E"/>
    <w:rsid w:val="00EB7D4F"/>
    <w:rsid w:val="00EC0817"/>
    <w:rsid w:val="00EC644C"/>
    <w:rsid w:val="00EE3640"/>
    <w:rsid w:val="00F011B0"/>
    <w:rsid w:val="00F0624A"/>
    <w:rsid w:val="00F071AC"/>
    <w:rsid w:val="00F147E8"/>
    <w:rsid w:val="00F23E04"/>
    <w:rsid w:val="00F23E55"/>
    <w:rsid w:val="00F312CD"/>
    <w:rsid w:val="00F3300A"/>
    <w:rsid w:val="00F33A1F"/>
    <w:rsid w:val="00F35ABE"/>
    <w:rsid w:val="00F366C1"/>
    <w:rsid w:val="00F367E8"/>
    <w:rsid w:val="00F3734C"/>
    <w:rsid w:val="00F3742D"/>
    <w:rsid w:val="00F37B76"/>
    <w:rsid w:val="00F403A6"/>
    <w:rsid w:val="00F464ED"/>
    <w:rsid w:val="00F466B9"/>
    <w:rsid w:val="00F4725A"/>
    <w:rsid w:val="00F607FE"/>
    <w:rsid w:val="00F61B9C"/>
    <w:rsid w:val="00F67115"/>
    <w:rsid w:val="00F70717"/>
    <w:rsid w:val="00F707D8"/>
    <w:rsid w:val="00F71FF5"/>
    <w:rsid w:val="00F737E9"/>
    <w:rsid w:val="00F74BFD"/>
    <w:rsid w:val="00F75665"/>
    <w:rsid w:val="00F8095B"/>
    <w:rsid w:val="00F80F66"/>
    <w:rsid w:val="00F848A7"/>
    <w:rsid w:val="00F87BEF"/>
    <w:rsid w:val="00F90B1B"/>
    <w:rsid w:val="00F9246C"/>
    <w:rsid w:val="00F92C40"/>
    <w:rsid w:val="00F96872"/>
    <w:rsid w:val="00F97F9E"/>
    <w:rsid w:val="00FA0A98"/>
    <w:rsid w:val="00FA5F8B"/>
    <w:rsid w:val="00FB03C0"/>
    <w:rsid w:val="00FB11A4"/>
    <w:rsid w:val="00FB2656"/>
    <w:rsid w:val="00FB7073"/>
    <w:rsid w:val="00FC1709"/>
    <w:rsid w:val="00FC181C"/>
    <w:rsid w:val="00FC65EF"/>
    <w:rsid w:val="00FC7BE7"/>
    <w:rsid w:val="00FD257E"/>
    <w:rsid w:val="00FD4A4D"/>
    <w:rsid w:val="00FD5A0B"/>
    <w:rsid w:val="00FE1C59"/>
    <w:rsid w:val="00FF5129"/>
    <w:rsid w:val="00FF7E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185A86"/>
  <w15:chartTrackingRefBased/>
  <w15:docId w15:val="{DE9ACAB3-76E5-4319-A566-E0E7C5C17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649B"/>
    <w:pPr>
      <w:spacing w:after="0" w:line="360" w:lineRule="auto"/>
      <w:jc w:val="both"/>
    </w:pPr>
    <w:rPr>
      <w:rFonts w:ascii="Times New Roman" w:eastAsia="Arial" w:hAnsi="Times New Roman" w:cs="Arial"/>
      <w:kern w:val="0"/>
      <w:sz w:val="24"/>
      <w14:ligatures w14:val="none"/>
    </w:rPr>
  </w:style>
  <w:style w:type="paragraph" w:styleId="Heading1">
    <w:name w:val="heading 1"/>
    <w:basedOn w:val="Normal"/>
    <w:next w:val="Normal"/>
    <w:link w:val="Heading1Char"/>
    <w:uiPriority w:val="9"/>
    <w:qFormat/>
    <w:rsid w:val="004F1287"/>
    <w:pPr>
      <w:keepNext/>
      <w:keepLines/>
      <w:spacing w:before="360" w:after="80"/>
      <w:jc w:val="center"/>
      <w:outlineLvl w:val="0"/>
    </w:pPr>
    <w:rPr>
      <w:rFonts w:ascii="Cambria Math" w:eastAsiaTheme="majorEastAsia" w:hAnsi="Cambria Math" w:cstheme="majorBidi"/>
      <w:b/>
      <w:color w:val="0F4761" w:themeColor="accent1" w:themeShade="BF"/>
      <w:sz w:val="36"/>
      <w:szCs w:val="40"/>
    </w:rPr>
  </w:style>
  <w:style w:type="paragraph" w:styleId="Heading2">
    <w:name w:val="heading 2"/>
    <w:basedOn w:val="Normal"/>
    <w:next w:val="Normal"/>
    <w:link w:val="Heading2Char"/>
    <w:uiPriority w:val="9"/>
    <w:unhideWhenUsed/>
    <w:qFormat/>
    <w:rsid w:val="00BE1179"/>
    <w:pPr>
      <w:keepNext/>
      <w:keepLines/>
      <w:spacing w:before="160" w:after="80"/>
      <w:outlineLvl w:val="1"/>
    </w:pPr>
    <w:rPr>
      <w:rFonts w:ascii="Cambria Math" w:eastAsiaTheme="majorEastAsia" w:hAnsi="Cambria Math" w:cstheme="majorBidi"/>
      <w:b/>
      <w:color w:val="0F4761" w:themeColor="accent1" w:themeShade="BF"/>
      <w:sz w:val="32"/>
      <w:szCs w:val="32"/>
    </w:rPr>
  </w:style>
  <w:style w:type="paragraph" w:styleId="Heading3">
    <w:name w:val="heading 3"/>
    <w:basedOn w:val="Normal"/>
    <w:next w:val="Normal"/>
    <w:link w:val="Heading3Char"/>
    <w:uiPriority w:val="9"/>
    <w:unhideWhenUsed/>
    <w:qFormat/>
    <w:rsid w:val="00BE1179"/>
    <w:pPr>
      <w:keepNext/>
      <w:keepLines/>
      <w:spacing w:before="160" w:after="80"/>
      <w:outlineLvl w:val="2"/>
    </w:pPr>
    <w:rPr>
      <w:rFonts w:ascii="Cambria Math" w:eastAsiaTheme="majorEastAsia" w:hAnsi="Cambria Math" w:cstheme="majorBidi"/>
      <w:b/>
      <w:color w:val="215E99" w:themeColor="text2" w:themeTint="BF"/>
      <w:sz w:val="28"/>
      <w:szCs w:val="28"/>
    </w:rPr>
  </w:style>
  <w:style w:type="paragraph" w:styleId="Heading4">
    <w:name w:val="heading 4"/>
    <w:basedOn w:val="Normal"/>
    <w:next w:val="Normal"/>
    <w:link w:val="Heading4Char"/>
    <w:uiPriority w:val="9"/>
    <w:unhideWhenUsed/>
    <w:qFormat/>
    <w:rsid w:val="00607BAF"/>
    <w:pPr>
      <w:keepNext/>
      <w:keepLines/>
      <w:spacing w:before="80" w:after="40"/>
      <w:outlineLvl w:val="3"/>
    </w:pPr>
    <w:rPr>
      <w:rFonts w:ascii="Cambria Math" w:eastAsiaTheme="majorEastAsia" w:hAnsi="Cambria Math" w:cstheme="majorBidi"/>
      <w:b/>
      <w:iCs/>
      <w:color w:val="0F4761" w:themeColor="accent1" w:themeShade="BF"/>
    </w:rPr>
  </w:style>
  <w:style w:type="paragraph" w:styleId="Heading5">
    <w:name w:val="heading 5"/>
    <w:basedOn w:val="Normal"/>
    <w:next w:val="Normal"/>
    <w:link w:val="Heading5Char"/>
    <w:uiPriority w:val="9"/>
    <w:semiHidden/>
    <w:unhideWhenUsed/>
    <w:qFormat/>
    <w:rsid w:val="003352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522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522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522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522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1287"/>
    <w:rPr>
      <w:rFonts w:ascii="Cambria Math" w:eastAsiaTheme="majorEastAsia" w:hAnsi="Cambria Math" w:cstheme="majorBidi"/>
      <w:b/>
      <w:color w:val="0F4761" w:themeColor="accent1" w:themeShade="BF"/>
      <w:kern w:val="0"/>
      <w:sz w:val="36"/>
      <w:szCs w:val="40"/>
      <w14:ligatures w14:val="none"/>
    </w:rPr>
  </w:style>
  <w:style w:type="character" w:customStyle="1" w:styleId="Heading2Char">
    <w:name w:val="Heading 2 Char"/>
    <w:basedOn w:val="DefaultParagraphFont"/>
    <w:link w:val="Heading2"/>
    <w:uiPriority w:val="9"/>
    <w:rsid w:val="00BE1179"/>
    <w:rPr>
      <w:rFonts w:ascii="Cambria Math" w:eastAsiaTheme="majorEastAsia" w:hAnsi="Cambria Math" w:cstheme="majorBidi"/>
      <w:b/>
      <w:color w:val="0F4761" w:themeColor="accent1" w:themeShade="BF"/>
      <w:kern w:val="0"/>
      <w:sz w:val="32"/>
      <w:szCs w:val="32"/>
      <w14:ligatures w14:val="none"/>
    </w:rPr>
  </w:style>
  <w:style w:type="character" w:customStyle="1" w:styleId="Heading3Char">
    <w:name w:val="Heading 3 Char"/>
    <w:basedOn w:val="DefaultParagraphFont"/>
    <w:link w:val="Heading3"/>
    <w:uiPriority w:val="9"/>
    <w:rsid w:val="00BE1179"/>
    <w:rPr>
      <w:rFonts w:ascii="Cambria Math" w:eastAsiaTheme="majorEastAsia" w:hAnsi="Cambria Math" w:cstheme="majorBidi"/>
      <w:b/>
      <w:color w:val="215E99" w:themeColor="text2" w:themeTint="BF"/>
      <w:kern w:val="0"/>
      <w:sz w:val="28"/>
      <w:szCs w:val="28"/>
      <w14:ligatures w14:val="none"/>
    </w:rPr>
  </w:style>
  <w:style w:type="character" w:customStyle="1" w:styleId="Heading4Char">
    <w:name w:val="Heading 4 Char"/>
    <w:basedOn w:val="DefaultParagraphFont"/>
    <w:link w:val="Heading4"/>
    <w:uiPriority w:val="9"/>
    <w:rsid w:val="00607BAF"/>
    <w:rPr>
      <w:rFonts w:ascii="Cambria Math" w:eastAsiaTheme="majorEastAsia" w:hAnsi="Cambria Math" w:cstheme="majorBidi"/>
      <w:b/>
      <w:iCs/>
      <w:color w:val="0F4761" w:themeColor="accent1" w:themeShade="BF"/>
      <w:kern w:val="0"/>
      <w:sz w:val="24"/>
      <w14:ligatures w14:val="none"/>
    </w:rPr>
  </w:style>
  <w:style w:type="character" w:customStyle="1" w:styleId="Heading5Char">
    <w:name w:val="Heading 5 Char"/>
    <w:basedOn w:val="DefaultParagraphFont"/>
    <w:link w:val="Heading5"/>
    <w:uiPriority w:val="9"/>
    <w:semiHidden/>
    <w:rsid w:val="003352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52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52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52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5224"/>
    <w:rPr>
      <w:rFonts w:eastAsiaTheme="majorEastAsia" w:cstheme="majorBidi"/>
      <w:color w:val="272727" w:themeColor="text1" w:themeTint="D8"/>
    </w:rPr>
  </w:style>
  <w:style w:type="paragraph" w:styleId="Title">
    <w:name w:val="Title"/>
    <w:basedOn w:val="Normal"/>
    <w:next w:val="Normal"/>
    <w:link w:val="TitleChar"/>
    <w:uiPriority w:val="10"/>
    <w:qFormat/>
    <w:rsid w:val="0033522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52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52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52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5224"/>
    <w:pPr>
      <w:spacing w:before="160"/>
      <w:jc w:val="center"/>
    </w:pPr>
    <w:rPr>
      <w:i/>
      <w:iCs/>
      <w:color w:val="404040" w:themeColor="text1" w:themeTint="BF"/>
    </w:rPr>
  </w:style>
  <w:style w:type="character" w:customStyle="1" w:styleId="QuoteChar">
    <w:name w:val="Quote Char"/>
    <w:basedOn w:val="DefaultParagraphFont"/>
    <w:link w:val="Quote"/>
    <w:uiPriority w:val="29"/>
    <w:rsid w:val="00335224"/>
    <w:rPr>
      <w:i/>
      <w:iCs/>
      <w:color w:val="404040" w:themeColor="text1" w:themeTint="BF"/>
    </w:rPr>
  </w:style>
  <w:style w:type="paragraph" w:styleId="ListParagraph">
    <w:name w:val="List Paragraph"/>
    <w:basedOn w:val="Normal"/>
    <w:qFormat/>
    <w:rsid w:val="00335224"/>
    <w:pPr>
      <w:ind w:left="720"/>
      <w:contextualSpacing/>
    </w:pPr>
  </w:style>
  <w:style w:type="character" w:styleId="IntenseEmphasis">
    <w:name w:val="Intense Emphasis"/>
    <w:basedOn w:val="DefaultParagraphFont"/>
    <w:uiPriority w:val="21"/>
    <w:qFormat/>
    <w:rsid w:val="00335224"/>
    <w:rPr>
      <w:i/>
      <w:iCs/>
      <w:color w:val="0F4761" w:themeColor="accent1" w:themeShade="BF"/>
    </w:rPr>
  </w:style>
  <w:style w:type="paragraph" w:styleId="IntenseQuote">
    <w:name w:val="Intense Quote"/>
    <w:basedOn w:val="Normal"/>
    <w:next w:val="Normal"/>
    <w:link w:val="IntenseQuoteChar"/>
    <w:uiPriority w:val="30"/>
    <w:qFormat/>
    <w:rsid w:val="003352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5224"/>
    <w:rPr>
      <w:i/>
      <w:iCs/>
      <w:color w:val="0F4761" w:themeColor="accent1" w:themeShade="BF"/>
    </w:rPr>
  </w:style>
  <w:style w:type="character" w:styleId="IntenseReference">
    <w:name w:val="Intense Reference"/>
    <w:basedOn w:val="DefaultParagraphFont"/>
    <w:uiPriority w:val="32"/>
    <w:qFormat/>
    <w:rsid w:val="00335224"/>
    <w:rPr>
      <w:b/>
      <w:bCs/>
      <w:smallCaps/>
      <w:color w:val="0F4761" w:themeColor="accent1" w:themeShade="BF"/>
      <w:spacing w:val="5"/>
    </w:rPr>
  </w:style>
  <w:style w:type="character" w:styleId="PlaceholderText">
    <w:name w:val="Placeholder Text"/>
    <w:basedOn w:val="DefaultParagraphFont"/>
    <w:uiPriority w:val="99"/>
    <w:semiHidden/>
    <w:rsid w:val="0055055F"/>
    <w:rPr>
      <w:color w:val="666666"/>
    </w:rPr>
  </w:style>
  <w:style w:type="paragraph" w:styleId="Header">
    <w:name w:val="header"/>
    <w:basedOn w:val="Normal"/>
    <w:link w:val="HeaderChar"/>
    <w:uiPriority w:val="99"/>
    <w:unhideWhenUsed/>
    <w:rsid w:val="00FF7EDA"/>
    <w:pPr>
      <w:tabs>
        <w:tab w:val="center" w:pos="4680"/>
        <w:tab w:val="right" w:pos="9360"/>
      </w:tabs>
    </w:pPr>
  </w:style>
  <w:style w:type="character" w:customStyle="1" w:styleId="HeaderChar">
    <w:name w:val="Header Char"/>
    <w:basedOn w:val="DefaultParagraphFont"/>
    <w:link w:val="Header"/>
    <w:uiPriority w:val="99"/>
    <w:rsid w:val="00FF7EDA"/>
    <w:rPr>
      <w:rFonts w:ascii="Times New Roman" w:eastAsia="Arial" w:hAnsi="Times New Roman" w:cs="Arial"/>
      <w:kern w:val="0"/>
      <w:sz w:val="24"/>
      <w14:ligatures w14:val="none"/>
    </w:rPr>
  </w:style>
  <w:style w:type="paragraph" w:styleId="Footer">
    <w:name w:val="footer"/>
    <w:basedOn w:val="Normal"/>
    <w:link w:val="FooterChar"/>
    <w:uiPriority w:val="99"/>
    <w:unhideWhenUsed/>
    <w:rsid w:val="00FF7EDA"/>
    <w:pPr>
      <w:tabs>
        <w:tab w:val="center" w:pos="4680"/>
        <w:tab w:val="right" w:pos="9360"/>
      </w:tabs>
    </w:pPr>
  </w:style>
  <w:style w:type="character" w:customStyle="1" w:styleId="FooterChar">
    <w:name w:val="Footer Char"/>
    <w:basedOn w:val="DefaultParagraphFont"/>
    <w:link w:val="Footer"/>
    <w:uiPriority w:val="99"/>
    <w:rsid w:val="00FF7EDA"/>
    <w:rPr>
      <w:rFonts w:ascii="Times New Roman" w:eastAsia="Arial" w:hAnsi="Times New Roman" w:cs="Arial"/>
      <w:kern w:val="0"/>
      <w:sz w:val="24"/>
      <w14:ligatures w14:val="none"/>
    </w:rPr>
  </w:style>
  <w:style w:type="paragraph" w:styleId="TOCHeading">
    <w:name w:val="TOC Heading"/>
    <w:basedOn w:val="Heading1"/>
    <w:next w:val="Normal"/>
    <w:uiPriority w:val="39"/>
    <w:unhideWhenUsed/>
    <w:qFormat/>
    <w:rsid w:val="0008441A"/>
    <w:pPr>
      <w:spacing w:before="240" w:after="0" w:line="259" w:lineRule="auto"/>
      <w:jc w:val="left"/>
      <w:outlineLvl w:val="9"/>
    </w:pPr>
    <w:rPr>
      <w:rFonts w:asciiTheme="majorHAnsi" w:hAnsiTheme="majorHAnsi"/>
      <w:b w:val="0"/>
      <w:sz w:val="32"/>
      <w:szCs w:val="32"/>
    </w:rPr>
  </w:style>
  <w:style w:type="paragraph" w:styleId="TOC1">
    <w:name w:val="toc 1"/>
    <w:basedOn w:val="Normal"/>
    <w:next w:val="Normal"/>
    <w:autoRedefine/>
    <w:uiPriority w:val="39"/>
    <w:unhideWhenUsed/>
    <w:rsid w:val="00BF6AB7"/>
    <w:pPr>
      <w:tabs>
        <w:tab w:val="right" w:leader="dot" w:pos="9019"/>
      </w:tabs>
      <w:spacing w:after="100"/>
    </w:pPr>
    <w:rPr>
      <w:b/>
      <w:bCs/>
      <w:noProof/>
    </w:rPr>
  </w:style>
  <w:style w:type="paragraph" w:styleId="TOC2">
    <w:name w:val="toc 2"/>
    <w:basedOn w:val="Normal"/>
    <w:next w:val="Normal"/>
    <w:autoRedefine/>
    <w:uiPriority w:val="39"/>
    <w:unhideWhenUsed/>
    <w:rsid w:val="00CB631B"/>
    <w:pPr>
      <w:tabs>
        <w:tab w:val="right" w:leader="dot" w:pos="9019"/>
      </w:tabs>
      <w:spacing w:after="100"/>
      <w:ind w:left="240"/>
    </w:pPr>
    <w:rPr>
      <w:rFonts w:ascii="Arial" w:hAnsi="Arial"/>
      <w:noProof/>
    </w:rPr>
  </w:style>
  <w:style w:type="paragraph" w:styleId="TOC3">
    <w:name w:val="toc 3"/>
    <w:basedOn w:val="Normal"/>
    <w:next w:val="Normal"/>
    <w:autoRedefine/>
    <w:uiPriority w:val="39"/>
    <w:unhideWhenUsed/>
    <w:rsid w:val="0008441A"/>
    <w:pPr>
      <w:spacing w:after="100"/>
      <w:ind w:left="480"/>
    </w:pPr>
  </w:style>
  <w:style w:type="character" w:styleId="Hyperlink">
    <w:name w:val="Hyperlink"/>
    <w:basedOn w:val="DefaultParagraphFont"/>
    <w:uiPriority w:val="99"/>
    <w:unhideWhenUsed/>
    <w:rsid w:val="0008441A"/>
    <w:rPr>
      <w:color w:val="467886" w:themeColor="hyperlink"/>
      <w:u w:val="single"/>
    </w:rPr>
  </w:style>
  <w:style w:type="table" w:styleId="TableGrid">
    <w:name w:val="Table Grid"/>
    <w:basedOn w:val="TableNormal"/>
    <w:uiPriority w:val="39"/>
    <w:rsid w:val="0048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321077"/>
    <w:pPr>
      <w:spacing w:after="100" w:line="278" w:lineRule="auto"/>
      <w:ind w:left="720"/>
      <w:jc w:val="left"/>
    </w:pPr>
    <w:rPr>
      <w:rFonts w:asciiTheme="minorHAnsi" w:eastAsiaTheme="minorEastAsia" w:hAnsiTheme="minorHAnsi" w:cstheme="minorBidi"/>
      <w:kern w:val="2"/>
      <w:szCs w:val="24"/>
      <w14:ligatures w14:val="standardContextual"/>
    </w:rPr>
  </w:style>
  <w:style w:type="paragraph" w:styleId="TOC5">
    <w:name w:val="toc 5"/>
    <w:basedOn w:val="Normal"/>
    <w:next w:val="Normal"/>
    <w:autoRedefine/>
    <w:uiPriority w:val="39"/>
    <w:unhideWhenUsed/>
    <w:rsid w:val="00321077"/>
    <w:pPr>
      <w:spacing w:after="100" w:line="278" w:lineRule="auto"/>
      <w:ind w:left="960"/>
      <w:jc w:val="left"/>
    </w:pPr>
    <w:rPr>
      <w:rFonts w:asciiTheme="minorHAnsi" w:eastAsiaTheme="minorEastAsia" w:hAnsiTheme="minorHAnsi" w:cstheme="minorBidi"/>
      <w:kern w:val="2"/>
      <w:szCs w:val="24"/>
      <w14:ligatures w14:val="standardContextual"/>
    </w:rPr>
  </w:style>
  <w:style w:type="paragraph" w:styleId="TOC6">
    <w:name w:val="toc 6"/>
    <w:basedOn w:val="Normal"/>
    <w:next w:val="Normal"/>
    <w:autoRedefine/>
    <w:uiPriority w:val="39"/>
    <w:unhideWhenUsed/>
    <w:rsid w:val="00321077"/>
    <w:pPr>
      <w:spacing w:after="100" w:line="278" w:lineRule="auto"/>
      <w:ind w:left="1200"/>
      <w:jc w:val="left"/>
    </w:pPr>
    <w:rPr>
      <w:rFonts w:asciiTheme="minorHAnsi" w:eastAsiaTheme="minorEastAsia" w:hAnsiTheme="minorHAnsi" w:cstheme="minorBidi"/>
      <w:kern w:val="2"/>
      <w:szCs w:val="24"/>
      <w14:ligatures w14:val="standardContextual"/>
    </w:rPr>
  </w:style>
  <w:style w:type="paragraph" w:styleId="TOC7">
    <w:name w:val="toc 7"/>
    <w:basedOn w:val="Normal"/>
    <w:next w:val="Normal"/>
    <w:autoRedefine/>
    <w:uiPriority w:val="39"/>
    <w:unhideWhenUsed/>
    <w:rsid w:val="00321077"/>
    <w:pPr>
      <w:spacing w:after="100" w:line="278" w:lineRule="auto"/>
      <w:ind w:left="1440"/>
      <w:jc w:val="left"/>
    </w:pPr>
    <w:rPr>
      <w:rFonts w:asciiTheme="minorHAnsi" w:eastAsiaTheme="minorEastAsia" w:hAnsiTheme="minorHAnsi" w:cstheme="minorBidi"/>
      <w:kern w:val="2"/>
      <w:szCs w:val="24"/>
      <w14:ligatures w14:val="standardContextual"/>
    </w:rPr>
  </w:style>
  <w:style w:type="paragraph" w:styleId="TOC8">
    <w:name w:val="toc 8"/>
    <w:basedOn w:val="Normal"/>
    <w:next w:val="Normal"/>
    <w:autoRedefine/>
    <w:uiPriority w:val="39"/>
    <w:unhideWhenUsed/>
    <w:rsid w:val="00321077"/>
    <w:pPr>
      <w:spacing w:after="100" w:line="278" w:lineRule="auto"/>
      <w:ind w:left="1680"/>
      <w:jc w:val="left"/>
    </w:pPr>
    <w:rPr>
      <w:rFonts w:asciiTheme="minorHAnsi" w:eastAsiaTheme="minorEastAsia" w:hAnsiTheme="minorHAnsi" w:cstheme="minorBidi"/>
      <w:kern w:val="2"/>
      <w:szCs w:val="24"/>
      <w14:ligatures w14:val="standardContextual"/>
    </w:rPr>
  </w:style>
  <w:style w:type="paragraph" w:styleId="TOC9">
    <w:name w:val="toc 9"/>
    <w:basedOn w:val="Normal"/>
    <w:next w:val="Normal"/>
    <w:autoRedefine/>
    <w:uiPriority w:val="39"/>
    <w:unhideWhenUsed/>
    <w:rsid w:val="00321077"/>
    <w:pPr>
      <w:spacing w:after="100" w:line="278" w:lineRule="auto"/>
      <w:ind w:left="1920"/>
      <w:jc w:val="left"/>
    </w:pPr>
    <w:rPr>
      <w:rFonts w:asciiTheme="minorHAnsi" w:eastAsiaTheme="minorEastAsia" w:hAnsiTheme="minorHAnsi" w:cstheme="minorBidi"/>
      <w:kern w:val="2"/>
      <w:szCs w:val="24"/>
      <w14:ligatures w14:val="standardContextual"/>
    </w:rPr>
  </w:style>
  <w:style w:type="character" w:styleId="UnresolvedMention">
    <w:name w:val="Unresolved Mention"/>
    <w:basedOn w:val="DefaultParagraphFont"/>
    <w:uiPriority w:val="99"/>
    <w:semiHidden/>
    <w:unhideWhenUsed/>
    <w:rsid w:val="00321077"/>
    <w:rPr>
      <w:color w:val="605E5C"/>
      <w:shd w:val="clear" w:color="auto" w:fill="E1DFDD"/>
    </w:rPr>
  </w:style>
  <w:style w:type="paragraph" w:styleId="BodyText">
    <w:name w:val="Body Text"/>
    <w:basedOn w:val="Normal"/>
    <w:link w:val="BodyTextChar"/>
    <w:uiPriority w:val="1"/>
    <w:qFormat/>
    <w:rsid w:val="008627E7"/>
    <w:pPr>
      <w:widowControl w:val="0"/>
      <w:autoSpaceDE w:val="0"/>
      <w:autoSpaceDN w:val="0"/>
      <w:spacing w:line="240" w:lineRule="auto"/>
      <w:jc w:val="left"/>
    </w:pPr>
    <w:rPr>
      <w:rFonts w:eastAsia="Times New Roman" w:cs="Times New Roman"/>
      <w:szCs w:val="24"/>
    </w:rPr>
  </w:style>
  <w:style w:type="character" w:customStyle="1" w:styleId="BodyTextChar">
    <w:name w:val="Body Text Char"/>
    <w:basedOn w:val="DefaultParagraphFont"/>
    <w:link w:val="BodyText"/>
    <w:uiPriority w:val="1"/>
    <w:rsid w:val="008627E7"/>
    <w:rPr>
      <w:rFonts w:ascii="Times New Roman" w:eastAsia="Times New Roman" w:hAnsi="Times New Roman" w:cs="Times New Roman"/>
      <w:kern w:val="0"/>
      <w:sz w:val="24"/>
      <w:szCs w:val="24"/>
      <w14:ligatures w14:val="none"/>
    </w:rPr>
  </w:style>
  <w:style w:type="character" w:styleId="CommentReference">
    <w:name w:val="annotation reference"/>
    <w:basedOn w:val="DefaultParagraphFont"/>
    <w:uiPriority w:val="99"/>
    <w:semiHidden/>
    <w:unhideWhenUsed/>
    <w:rsid w:val="000432A5"/>
    <w:rPr>
      <w:sz w:val="16"/>
      <w:szCs w:val="16"/>
    </w:rPr>
  </w:style>
  <w:style w:type="paragraph" w:styleId="CommentText">
    <w:name w:val="annotation text"/>
    <w:basedOn w:val="Normal"/>
    <w:link w:val="CommentTextChar"/>
    <w:uiPriority w:val="99"/>
    <w:semiHidden/>
    <w:unhideWhenUsed/>
    <w:qFormat/>
    <w:rsid w:val="000432A5"/>
    <w:pPr>
      <w:spacing w:after="200" w:line="240" w:lineRule="auto"/>
      <w:jc w:val="left"/>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sid w:val="000432A5"/>
    <w:rPr>
      <w:rFonts w:ascii="Calibri" w:eastAsia="Calibri" w:hAnsi="Calibri" w:cs="Times New Roman"/>
      <w:kern w:val="0"/>
      <w:sz w:val="20"/>
      <w:szCs w:val="20"/>
      <w14:ligatures w14:val="none"/>
    </w:rPr>
  </w:style>
  <w:style w:type="paragraph" w:styleId="Caption">
    <w:name w:val="caption"/>
    <w:basedOn w:val="Normal"/>
    <w:next w:val="Normal"/>
    <w:uiPriority w:val="35"/>
    <w:unhideWhenUsed/>
    <w:qFormat/>
    <w:rsid w:val="00836B90"/>
    <w:pPr>
      <w:spacing w:after="200" w:line="240" w:lineRule="auto"/>
    </w:pPr>
    <w:rPr>
      <w:i/>
      <w:iCs/>
      <w:color w:val="0E2841" w:themeColor="text2"/>
      <w:sz w:val="18"/>
      <w:szCs w:val="18"/>
    </w:rPr>
  </w:style>
  <w:style w:type="paragraph" w:styleId="TableofFigures">
    <w:name w:val="table of figures"/>
    <w:basedOn w:val="Normal"/>
    <w:next w:val="Normal"/>
    <w:uiPriority w:val="99"/>
    <w:unhideWhenUsed/>
    <w:rsid w:val="00237E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hart" Target="charts/chart3.xml"/><Relationship Id="rId26" Type="http://schemas.openxmlformats.org/officeDocument/2006/relationships/chart" Target="charts/chart11.xml"/><Relationship Id="rId3" Type="http://schemas.openxmlformats.org/officeDocument/2006/relationships/styles" Target="styles.xml"/><Relationship Id="rId21" Type="http://schemas.openxmlformats.org/officeDocument/2006/relationships/chart" Target="charts/chart6.xml"/><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chart" Target="charts/chart2.xml"/><Relationship Id="rId25" Type="http://schemas.openxmlformats.org/officeDocument/2006/relationships/chart" Target="charts/chart10.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chart" Target="charts/chart5.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chart" Target="charts/chart9.xml"/><Relationship Id="rId5" Type="http://schemas.openxmlformats.org/officeDocument/2006/relationships/webSettings" Target="webSettings.xml"/><Relationship Id="rId15" Type="http://schemas.microsoft.com/office/2007/relationships/hdphoto" Target="media/hdphoto1.wdp"/><Relationship Id="rId23" Type="http://schemas.openxmlformats.org/officeDocument/2006/relationships/chart" Target="charts/chart8.xml"/><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chart" Target="charts/chart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chart" Target="charts/chart7.xml"/><Relationship Id="rId27" Type="http://schemas.openxmlformats.org/officeDocument/2006/relationships/chart" Target="charts/chart12.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Lenovo\Downloads\Internship%20Report%20File\Internship%20Final%20Report%20(TCF)%20-%20Updated%20Files\Internship%20Excel%20File.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Lenovo\Downloads\Internship%20Report%20File\Internship%20Final%20Report%20(TCF)%20-%20Updated%20Files\Internship%20Excel%20File.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Lenovo\Downloads\Internship%20Report%20File\Internship%20Final%20Report%20(TCF)%20-%20Updated%20Files\Internship%20Excel%20File.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Lenovo\Downloads\Internship%20Report%20File\Internship%20Final%20Report%20(TCF)%20-%20Updated%20Files\Internship%20Excel%20File.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Lenovo\Downloads\Internship%20Report%20File\Internship%20Final%20Report%20(TCF)%20-%20Updated%20Files\Internship%20Excel%20File.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Lenovo\Downloads\Internship%20Report%20File\Final%20Report%20-%20Draft\Internship%20Excel%20File.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Lenovo\Downloads\Internship%20Report%20File\Final%20Report%20-%20Draft\Internship%20Excel%20File.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Lenovo\Downloads\Internship%20Report%20File\Final%20Report%20-%20Draft\Internship%20Excel%20File.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Lenovo\Downloads\Internship%20Report%20File\Internship%20Final%20Report%20(TCF)%20-%20Updated%20Version\Internship%20Excel%20File.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Lenovo\Downloads\Internship%20Report%20File\Internship%20Final%20Report%20(TCF)%20-%20Updated%20Version\Internship%20Excel%20File.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Lenovo\Downloads\Internship%20Report%20File\Internship%20Final%20Report%20(TCF)%20-%20Updated%20Version\Internship%20Excel%20File.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Lenovo\Downloads\Internship%20Report%20File\Internship%20Final%20Report%20(TCF)%20-%20Updated%20Version\Internship%20Excel%20File.xlsx" TargetMode="External"/><Relationship Id="rId2" Type="http://schemas.microsoft.com/office/2011/relationships/chartColorStyle" Target="colors12.xml"/><Relationship Id="rId1" Type="http://schemas.microsoft.com/office/2011/relationships/chartStyle" Target="style1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en-US" sz="1200">
                <a:solidFill>
                  <a:schemeClr val="accent1">
                    <a:lumMod val="75000"/>
                  </a:schemeClr>
                </a:solidFill>
                <a:latin typeface="Arial" panose="020B0604020202020204" pitchFamily="34" charset="0"/>
                <a:ea typeface="Cambria Math" panose="02040503050406030204" pitchFamily="18" charset="0"/>
                <a:cs typeface="Arial" panose="020B0604020202020204" pitchFamily="34" charset="0"/>
              </a:rPr>
              <a:t>Current Assets to Total Assets </a:t>
            </a:r>
          </a:p>
        </c:rich>
      </c:tx>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en-US"/>
        </a:p>
      </c:txPr>
    </c:title>
    <c:autoTitleDeleted val="0"/>
    <c:plotArea>
      <c:layout/>
      <c:lineChart>
        <c:grouping val="standard"/>
        <c:varyColors val="0"/>
        <c:ser>
          <c:idx val="0"/>
          <c:order val="0"/>
          <c:tx>
            <c:strRef>
              <c:f>Sheet2!$C$7</c:f>
              <c:strCache>
                <c:ptCount val="1"/>
                <c:pt idx="0">
                  <c:v>Current Assets to Total Assets </c:v>
                </c:pt>
              </c:strCache>
            </c:strRef>
          </c:tx>
          <c:spPr>
            <a:ln w="22225" cap="rnd">
              <a:solidFill>
                <a:schemeClr val="accent1"/>
              </a:solidFill>
              <a:round/>
            </a:ln>
            <a:effectLst/>
          </c:spPr>
          <c:marker>
            <c:symbol val="none"/>
          </c:marker>
          <c:dLbls>
            <c:dLbl>
              <c:idx val="0"/>
              <c:layout>
                <c:manualLayout>
                  <c:x val="-4.9045802868391448E-2"/>
                  <c:y val="-2.012072434607645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25E-4EEE-BB7B-FD3F25EB4EAD}"/>
                </c:ext>
              </c:extLst>
            </c:dLbl>
            <c:dLbl>
              <c:idx val="1"/>
              <c:layout>
                <c:manualLayout>
                  <c:x val="-4.9045802868391448E-2"/>
                  <c:y val="-4.42655935613682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25E-4EEE-BB7B-FD3F25EB4EAD}"/>
                </c:ext>
              </c:extLst>
            </c:dLbl>
            <c:dLbl>
              <c:idx val="2"/>
              <c:layout>
                <c:manualLayout>
                  <c:x val="-4.9045802868391448E-2"/>
                  <c:y val="-4.828973843058349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25E-4EEE-BB7B-FD3F25EB4EAD}"/>
                </c:ext>
              </c:extLst>
            </c:dLbl>
            <c:dLbl>
              <c:idx val="3"/>
              <c:layout>
                <c:manualLayout>
                  <c:x val="-4.9045802868391532E-2"/>
                  <c:y val="-3.219315895372237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25E-4EEE-BB7B-FD3F25EB4EAD}"/>
                </c:ext>
              </c:extLst>
            </c:dLbl>
            <c:dLbl>
              <c:idx val="4"/>
              <c:layout>
                <c:manualLayout>
                  <c:x val="-4.9045802868391448E-2"/>
                  <c:y val="1.207243460764587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25E-4EEE-BB7B-FD3F25EB4EAD}"/>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dk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Sheet2!$D$6:$H$6</c:f>
              <c:numCache>
                <c:formatCode>General</c:formatCode>
                <c:ptCount val="5"/>
                <c:pt idx="0">
                  <c:v>2021</c:v>
                </c:pt>
                <c:pt idx="1">
                  <c:v>2022</c:v>
                </c:pt>
                <c:pt idx="2">
                  <c:v>2023</c:v>
                </c:pt>
                <c:pt idx="3">
                  <c:v>2024</c:v>
                </c:pt>
                <c:pt idx="4">
                  <c:v>2025</c:v>
                </c:pt>
              </c:numCache>
            </c:numRef>
          </c:cat>
          <c:val>
            <c:numRef>
              <c:f>Sheet2!$D$7:$H$7</c:f>
              <c:numCache>
                <c:formatCode>0.00%</c:formatCode>
                <c:ptCount val="5"/>
                <c:pt idx="0">
                  <c:v>0.43669999999999998</c:v>
                </c:pt>
                <c:pt idx="1">
                  <c:v>0.34870000000000001</c:v>
                </c:pt>
                <c:pt idx="2">
                  <c:v>0.33600000000000002</c:v>
                </c:pt>
                <c:pt idx="3">
                  <c:v>0.38950000000000001</c:v>
                </c:pt>
                <c:pt idx="4">
                  <c:v>0.27660000000000001</c:v>
                </c:pt>
              </c:numCache>
            </c:numRef>
          </c:val>
          <c:smooth val="0"/>
          <c:extLst>
            <c:ext xmlns:c16="http://schemas.microsoft.com/office/drawing/2014/chart" uri="{C3380CC4-5D6E-409C-BE32-E72D297353CC}">
              <c16:uniqueId val="{00000005-F25E-4EEE-BB7B-FD3F25EB4EAD}"/>
            </c:ext>
          </c:extLst>
        </c:ser>
        <c:dLbls>
          <c:dLblPos val="ctr"/>
          <c:showLegendKey val="0"/>
          <c:showVal val="1"/>
          <c:showCatName val="0"/>
          <c:showSerName val="0"/>
          <c:showPercent val="0"/>
          <c:showBubbleSize val="0"/>
        </c:dLbls>
        <c:smooth val="0"/>
        <c:axId val="654867648"/>
        <c:axId val="658808624"/>
      </c:lineChart>
      <c:catAx>
        <c:axId val="654867648"/>
        <c:scaling>
          <c:orientation val="minMax"/>
        </c:scaling>
        <c:delete val="0"/>
        <c:axPos val="b"/>
        <c:majorGridlines>
          <c:spPr>
            <a:ln w="9525" cap="flat" cmpd="sng" algn="ctr">
              <a:solidFill>
                <a:schemeClr val="dk1">
                  <a:lumMod val="15000"/>
                  <a:lumOff val="8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title>
          <c:tx>
            <c:rich>
              <a:bodyPr rot="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en-US" sz="1000">
                    <a:solidFill>
                      <a:schemeClr val="tx1"/>
                    </a:solidFill>
                    <a:latin typeface="Arial" panose="020B0604020202020204" pitchFamily="34" charset="0"/>
                    <a:ea typeface="Cambria Math" panose="02040503050406030204" pitchFamily="18" charset="0"/>
                    <a:cs typeface="Arial" panose="020B0604020202020204" pitchFamily="34" charset="0"/>
                  </a:rPr>
                  <a:t>Year</a:t>
                </a:r>
                <a:r>
                  <a:rPr lang="en-US" baseline="0"/>
                  <a:t> </a:t>
                </a:r>
                <a:endParaRPr lang="en-US"/>
              </a:p>
            </c:rich>
          </c:tx>
          <c:layout>
            <c:manualLayout>
              <c:xMode val="edge"/>
              <c:yMode val="edge"/>
              <c:x val="0.45546224690663667"/>
              <c:y val="0.90376241702181592"/>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n-US"/>
          </a:p>
        </c:txPr>
        <c:crossAx val="658808624"/>
        <c:crosses val="autoZero"/>
        <c:auto val="1"/>
        <c:lblAlgn val="ctr"/>
        <c:lblOffset val="100"/>
        <c:noMultiLvlLbl val="0"/>
      </c:catAx>
      <c:valAx>
        <c:axId val="658808624"/>
        <c:scaling>
          <c:orientation val="minMax"/>
        </c:scaling>
        <c:delete val="0"/>
        <c:axPos val="l"/>
        <c:majorGridlines>
          <c:spPr>
            <a:ln w="9525" cap="flat" cmpd="sng" algn="ctr">
              <a:solidFill>
                <a:schemeClr val="dk1">
                  <a:lumMod val="15000"/>
                  <a:lumOff val="85000"/>
                  <a:alpha val="54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en-US" sz="1000">
                    <a:solidFill>
                      <a:schemeClr val="tx1"/>
                    </a:solidFill>
                    <a:latin typeface="Arial" panose="020B0604020202020204" pitchFamily="34" charset="0"/>
                    <a:ea typeface="Cambria Math" panose="02040503050406030204" pitchFamily="18" charset="0"/>
                    <a:cs typeface="Arial" panose="020B0604020202020204" pitchFamily="34" charset="0"/>
                  </a:rPr>
                  <a:t>% of Current Assets to Total Assets</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654867648"/>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en-US" sz="1200">
                <a:solidFill>
                  <a:schemeClr val="accent1">
                    <a:lumMod val="75000"/>
                  </a:schemeClr>
                </a:solidFill>
                <a:latin typeface="Arial" panose="020B0604020202020204" pitchFamily="34" charset="0"/>
                <a:ea typeface="Cambria Math" panose="02040503050406030204" pitchFamily="18" charset="0"/>
                <a:cs typeface="Arial" panose="020B0604020202020204" pitchFamily="34" charset="0"/>
              </a:rPr>
              <a:t>Current Liabilities to Total Assets </a:t>
            </a:r>
          </a:p>
        </c:rich>
      </c:tx>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en-US"/>
        </a:p>
      </c:txPr>
    </c:title>
    <c:autoTitleDeleted val="0"/>
    <c:plotArea>
      <c:layout/>
      <c:scatterChart>
        <c:scatterStyle val="smoothMarker"/>
        <c:varyColors val="0"/>
        <c:ser>
          <c:idx val="0"/>
          <c:order val="0"/>
          <c:tx>
            <c:strRef>
              <c:f>Sheet2!$J$4</c:f>
              <c:strCache>
                <c:ptCount val="1"/>
                <c:pt idx="0">
                  <c:v>Current Liabilities to Total Assets </c:v>
                </c:pt>
              </c:strCache>
            </c:strRef>
          </c:tx>
          <c:spPr>
            <a:ln w="9525" cap="rnd">
              <a:solidFill>
                <a:schemeClr val="accent1">
                  <a:alpha val="50000"/>
                </a:schemeClr>
              </a:solidFill>
              <a:round/>
            </a:ln>
            <a:effectLst/>
          </c:spPr>
          <c:marker>
            <c:symbol val="diamond"/>
            <c:size val="6"/>
            <c:spPr>
              <a:solidFill>
                <a:schemeClr val="lt1"/>
              </a:solidFill>
              <a:ln w="15875">
                <a:solidFill>
                  <a:schemeClr val="accent1"/>
                </a:solidFill>
                <a:round/>
              </a:ln>
              <a:effectLst/>
            </c:spPr>
          </c:marker>
          <c:dLbls>
            <c:dLbl>
              <c:idx val="0"/>
              <c:layout>
                <c:manualLayout>
                  <c:x val="-6.711409395973195E-3"/>
                  <c:y val="2.5586353944562861E-2"/>
                </c:manualLayout>
              </c:layout>
              <c:spPr>
                <a:noFill/>
                <a:ln>
                  <a:noFill/>
                </a:ln>
                <a:effectLst/>
              </c:spPr>
              <c:txPr>
                <a:bodyPr rot="0" spcFirstLastPara="1" vertOverflow="ellipsis" vert="horz" wrap="square" lIns="38100" tIns="19050" rIns="38100" bIns="19050" anchor="ctr" anchorCtr="1">
                  <a:noAutofit/>
                </a:bodyPr>
                <a:lstStyle/>
                <a:p>
                  <a:pPr>
                    <a:defRPr sz="900" b="1" i="0" u="none" strike="noStrike" kern="1200" baseline="0">
                      <a:solidFill>
                        <a:schemeClr val="dk1">
                          <a:lumMod val="75000"/>
                          <a:lumOff val="2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layout>
                    <c:manualLayout>
                      <c:w val="7.884778664411915E-2"/>
                      <c:h val="8.5224048486476509E-2"/>
                    </c:manualLayout>
                  </c15:layout>
                </c:ext>
                <c:ext xmlns:c16="http://schemas.microsoft.com/office/drawing/2014/chart" uri="{C3380CC4-5D6E-409C-BE32-E72D297353CC}">
                  <c16:uniqueId val="{00000002-FF18-4F53-A663-B9E1257FE2BF}"/>
                </c:ext>
              </c:extLst>
            </c:dLbl>
            <c:dLbl>
              <c:idx val="1"/>
              <c:layout>
                <c:manualLayout>
                  <c:x val="-6.7114093959731542E-3"/>
                  <c:y val="3.837953091684435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F18-4F53-A663-B9E1257FE2BF}"/>
                </c:ext>
              </c:extLst>
            </c:dLbl>
            <c:dLbl>
              <c:idx val="2"/>
              <c:layout>
                <c:manualLayout>
                  <c:x val="-4.4742729306488519E-3"/>
                  <c:y val="-2.985074626865671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F18-4F53-A663-B9E1257FE2BF}"/>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dk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xVal>
            <c:numRef>
              <c:f>Sheet2!$K$3:$O$3</c:f>
              <c:numCache>
                <c:formatCode>General</c:formatCode>
                <c:ptCount val="5"/>
                <c:pt idx="0">
                  <c:v>2021</c:v>
                </c:pt>
                <c:pt idx="1">
                  <c:v>2022</c:v>
                </c:pt>
                <c:pt idx="2">
                  <c:v>2023</c:v>
                </c:pt>
                <c:pt idx="3">
                  <c:v>2024</c:v>
                </c:pt>
                <c:pt idx="4">
                  <c:v>2025</c:v>
                </c:pt>
              </c:numCache>
            </c:numRef>
          </c:xVal>
          <c:yVal>
            <c:numRef>
              <c:f>Sheet2!$K$4:$O$4</c:f>
              <c:numCache>
                <c:formatCode>0.00%</c:formatCode>
                <c:ptCount val="5"/>
                <c:pt idx="0">
                  <c:v>0.22700000000000001</c:v>
                </c:pt>
                <c:pt idx="1">
                  <c:v>0.2361</c:v>
                </c:pt>
                <c:pt idx="2">
                  <c:v>0.25219999999999998</c:v>
                </c:pt>
                <c:pt idx="3">
                  <c:v>0.2167</c:v>
                </c:pt>
                <c:pt idx="4">
                  <c:v>0.1585</c:v>
                </c:pt>
              </c:numCache>
            </c:numRef>
          </c:yVal>
          <c:smooth val="1"/>
          <c:extLst>
            <c:ext xmlns:c16="http://schemas.microsoft.com/office/drawing/2014/chart" uri="{C3380CC4-5D6E-409C-BE32-E72D297353CC}">
              <c16:uniqueId val="{00000000-8C5C-410F-88AD-802CFB9AB355}"/>
            </c:ext>
          </c:extLst>
        </c:ser>
        <c:dLbls>
          <c:showLegendKey val="0"/>
          <c:showVal val="1"/>
          <c:showCatName val="0"/>
          <c:showSerName val="0"/>
          <c:showPercent val="0"/>
          <c:showBubbleSize val="0"/>
        </c:dLbls>
        <c:axId val="654866256"/>
        <c:axId val="658790384"/>
      </c:scatterChart>
      <c:valAx>
        <c:axId val="654866256"/>
        <c:scaling>
          <c:orientation val="minMax"/>
        </c:scaling>
        <c:delete val="0"/>
        <c:axPos val="b"/>
        <c:majorGridlines>
          <c:spPr>
            <a:ln w="9525" cap="flat" cmpd="sng" algn="ctr">
              <a:solidFill>
                <a:schemeClr val="dk1">
                  <a:lumMod val="15000"/>
                  <a:lumOff val="85000"/>
                </a:schemeClr>
              </a:solidFill>
              <a:round/>
            </a:ln>
            <a:effectLst/>
          </c:spPr>
        </c:majorGridlines>
        <c:title>
          <c:tx>
            <c:rich>
              <a:bodyPr rot="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en-US" sz="1000">
                    <a:solidFill>
                      <a:schemeClr val="tx1"/>
                    </a:solidFill>
                    <a:latin typeface="Arial" panose="020B0604020202020204" pitchFamily="34" charset="0"/>
                    <a:ea typeface="Cambria Math" panose="02040503050406030204" pitchFamily="18" charset="0"/>
                    <a:cs typeface="Arial" panose="020B0604020202020204" pitchFamily="34" charset="0"/>
                  </a:rPr>
                  <a:t>Year</a:t>
                </a:r>
              </a:p>
            </c:rich>
          </c:tx>
          <c:layout>
            <c:manualLayout>
              <c:xMode val="edge"/>
              <c:yMode val="edge"/>
              <c:x val="0.46998238475224152"/>
              <c:y val="0.89771838221714828"/>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dk1">
                <a:lumMod val="15000"/>
                <a:lumOff val="85000"/>
                <a:alpha val="54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n-US"/>
          </a:p>
        </c:txPr>
        <c:crossAx val="658790384"/>
        <c:crosses val="autoZero"/>
        <c:crossBetween val="midCat"/>
      </c:valAx>
      <c:valAx>
        <c:axId val="658790384"/>
        <c:scaling>
          <c:orientation val="minMax"/>
        </c:scaling>
        <c:delete val="0"/>
        <c:axPos val="l"/>
        <c:majorGridlines>
          <c:spPr>
            <a:ln w="9525" cap="flat" cmpd="sng" algn="ctr">
              <a:solidFill>
                <a:schemeClr val="dk1">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en-US" sz="1000">
                    <a:solidFill>
                      <a:schemeClr val="tx1"/>
                    </a:solidFill>
                    <a:latin typeface="Arial" panose="020B0604020202020204" pitchFamily="34" charset="0"/>
                    <a:ea typeface="Cambria Math" panose="02040503050406030204" pitchFamily="18" charset="0"/>
                    <a:cs typeface="Arial" panose="020B0604020202020204" pitchFamily="34" charset="0"/>
                  </a:rPr>
                  <a:t>% of Current Liabilities to Total Assets</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w="9525" cap="flat" cmpd="sng" algn="ctr">
            <a:solidFill>
              <a:schemeClr val="dk1">
                <a:lumMod val="15000"/>
                <a:lumOff val="8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654866256"/>
        <c:crosses val="autoZero"/>
        <c:crossBetween val="midCat"/>
      </c:valAx>
      <c:spPr>
        <a:pattFill prst="ltDnDiag">
          <a:fgClr>
            <a:schemeClr val="dk1">
              <a:lumMod val="15000"/>
              <a:lumOff val="85000"/>
            </a:schemeClr>
          </a:fgClr>
          <a:bgClr>
            <a:schemeClr val="lt1"/>
          </a:bgClr>
        </a:pattFill>
        <a:ln>
          <a:noFill/>
        </a:ln>
        <a:effectLst/>
      </c:spPr>
    </c:plotArea>
    <c:plotVisOnly val="1"/>
    <c:dispBlanksAs val="zero"/>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en-US" sz="1200">
                <a:solidFill>
                  <a:schemeClr val="accent1">
                    <a:lumMod val="75000"/>
                  </a:schemeClr>
                </a:solidFill>
                <a:latin typeface="Arial" panose="020B0604020202020204" pitchFamily="34" charset="0"/>
                <a:ea typeface="Cambria Math" panose="02040503050406030204" pitchFamily="18" charset="0"/>
                <a:cs typeface="Arial" panose="020B0604020202020204" pitchFamily="34" charset="0"/>
              </a:rPr>
              <a:t>Cash</a:t>
            </a:r>
            <a:r>
              <a:rPr lang="en-US" sz="1200" baseline="0">
                <a:solidFill>
                  <a:schemeClr val="accent1">
                    <a:lumMod val="75000"/>
                  </a:schemeClr>
                </a:solidFill>
                <a:latin typeface="Arial" panose="020B0604020202020204" pitchFamily="34" charset="0"/>
                <a:ea typeface="Cambria Math" panose="02040503050406030204" pitchFamily="18" charset="0"/>
                <a:cs typeface="Arial" panose="020B0604020202020204" pitchFamily="34" charset="0"/>
              </a:rPr>
              <a:t> Conversion Cycle</a:t>
            </a:r>
            <a:r>
              <a:rPr lang="en-US" sz="1200">
                <a:solidFill>
                  <a:schemeClr val="accent1">
                    <a:lumMod val="75000"/>
                  </a:schemeClr>
                </a:solidFill>
                <a:latin typeface="Arial" panose="020B0604020202020204" pitchFamily="34" charset="0"/>
                <a:ea typeface="Cambria Math" panose="02040503050406030204" pitchFamily="18" charset="0"/>
                <a:cs typeface="Arial" panose="020B0604020202020204" pitchFamily="34" charset="0"/>
              </a:rPr>
              <a:t> (CCC)</a:t>
            </a:r>
          </a:p>
        </c:rich>
      </c:tx>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en-US"/>
        </a:p>
      </c:txPr>
    </c:title>
    <c:autoTitleDeleted val="0"/>
    <c:plotArea>
      <c:layout/>
      <c:lineChart>
        <c:grouping val="stacked"/>
        <c:varyColors val="0"/>
        <c:ser>
          <c:idx val="0"/>
          <c:order val="0"/>
          <c:tx>
            <c:strRef>
              <c:f>Sheet2!$R$4</c:f>
              <c:strCache>
                <c:ptCount val="1"/>
                <c:pt idx="0">
                  <c:v>CCC (Days)</c:v>
                </c:pt>
              </c:strCache>
            </c:strRef>
          </c:tx>
          <c:spPr>
            <a:ln w="22225" cap="rnd">
              <a:solidFill>
                <a:schemeClr val="accent1"/>
              </a:solidFill>
              <a:round/>
            </a:ln>
            <a:effectLst/>
          </c:spPr>
          <c:marker>
            <c:symbol val="none"/>
          </c:marker>
          <c:dLbls>
            <c:dLbl>
              <c:idx val="0"/>
              <c:layout>
                <c:manualLayout>
                  <c:x val="-3.1560044893378228E-2"/>
                  <c:y val="3.773584905660377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216-4F36-84EB-12A3B22C096F}"/>
                </c:ext>
              </c:extLst>
            </c:dLbl>
            <c:dLbl>
              <c:idx val="1"/>
              <c:layout>
                <c:manualLayout>
                  <c:x val="-2.931537598204265E-2"/>
                  <c:y val="4.192872117400419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216-4F36-84EB-12A3B22C096F}"/>
                </c:ext>
              </c:extLst>
            </c:dLbl>
            <c:dLbl>
              <c:idx val="2"/>
              <c:layout>
                <c:manualLayout>
                  <c:x val="-2.931537598204265E-2"/>
                  <c:y val="5.031446540880503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216-4F36-84EB-12A3B22C096F}"/>
                </c:ext>
              </c:extLst>
            </c:dLbl>
            <c:dLbl>
              <c:idx val="3"/>
              <c:layout>
                <c:manualLayout>
                  <c:x val="-2.9315375982042566E-2"/>
                  <c:y val="3.773584905660373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216-4F36-84EB-12A3B22C096F}"/>
                </c:ext>
              </c:extLst>
            </c:dLbl>
            <c:dLbl>
              <c:idx val="4"/>
              <c:layout>
                <c:manualLayout>
                  <c:x val="-1.8092031425364759E-2"/>
                  <c:y val="-4.1928721174004577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1216-4F36-84EB-12A3B22C096F}"/>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dk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Sheet2!$S$3:$W$3</c:f>
              <c:numCache>
                <c:formatCode>General</c:formatCode>
                <c:ptCount val="5"/>
                <c:pt idx="0">
                  <c:v>2021</c:v>
                </c:pt>
                <c:pt idx="1">
                  <c:v>2022</c:v>
                </c:pt>
                <c:pt idx="2">
                  <c:v>2023</c:v>
                </c:pt>
                <c:pt idx="3">
                  <c:v>2024</c:v>
                </c:pt>
                <c:pt idx="4">
                  <c:v>2025</c:v>
                </c:pt>
              </c:numCache>
            </c:numRef>
          </c:cat>
          <c:val>
            <c:numRef>
              <c:f>Sheet2!$S$4:$W$4</c:f>
              <c:numCache>
                <c:formatCode>General</c:formatCode>
                <c:ptCount val="5"/>
                <c:pt idx="0">
                  <c:v>12</c:v>
                </c:pt>
                <c:pt idx="1">
                  <c:v>23</c:v>
                </c:pt>
                <c:pt idx="2">
                  <c:v>16</c:v>
                </c:pt>
                <c:pt idx="3">
                  <c:v>19</c:v>
                </c:pt>
                <c:pt idx="4">
                  <c:v>21</c:v>
                </c:pt>
              </c:numCache>
            </c:numRef>
          </c:val>
          <c:smooth val="0"/>
          <c:extLst>
            <c:ext xmlns:c16="http://schemas.microsoft.com/office/drawing/2014/chart" uri="{C3380CC4-5D6E-409C-BE32-E72D297353CC}">
              <c16:uniqueId val="{00000000-0EC1-41A6-8D8D-21C20166AE63}"/>
            </c:ext>
          </c:extLst>
        </c:ser>
        <c:dLbls>
          <c:dLblPos val="ctr"/>
          <c:showLegendKey val="0"/>
          <c:showVal val="1"/>
          <c:showCatName val="0"/>
          <c:showSerName val="0"/>
          <c:showPercent val="0"/>
          <c:showBubbleSize val="0"/>
        </c:dLbls>
        <c:smooth val="0"/>
        <c:axId val="1999662256"/>
        <c:axId val="1751300944"/>
      </c:lineChart>
      <c:catAx>
        <c:axId val="1999662256"/>
        <c:scaling>
          <c:orientation val="minMax"/>
        </c:scaling>
        <c:delete val="0"/>
        <c:axPos val="b"/>
        <c:majorGridlines>
          <c:spPr>
            <a:ln w="9525" cap="flat" cmpd="sng" algn="ctr">
              <a:solidFill>
                <a:schemeClr val="dk1">
                  <a:lumMod val="15000"/>
                  <a:lumOff val="8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title>
          <c:tx>
            <c:rich>
              <a:bodyPr rot="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en-US" sz="1000">
                    <a:solidFill>
                      <a:schemeClr val="tx1"/>
                    </a:solidFill>
                    <a:latin typeface="Cambria Math" panose="02040503050406030204" pitchFamily="18" charset="0"/>
                    <a:ea typeface="Cambria Math" panose="02040503050406030204" pitchFamily="18" charset="0"/>
                  </a:rPr>
                  <a:t>Year</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n-US"/>
          </a:p>
        </c:txPr>
        <c:crossAx val="1751300944"/>
        <c:crosses val="autoZero"/>
        <c:auto val="1"/>
        <c:lblAlgn val="ctr"/>
        <c:lblOffset val="100"/>
        <c:noMultiLvlLbl val="0"/>
      </c:catAx>
      <c:valAx>
        <c:axId val="1751300944"/>
        <c:scaling>
          <c:orientation val="minMax"/>
        </c:scaling>
        <c:delete val="0"/>
        <c:axPos val="l"/>
        <c:majorGridlines>
          <c:spPr>
            <a:ln w="9525" cap="flat" cmpd="sng" algn="ctr">
              <a:solidFill>
                <a:schemeClr val="dk1">
                  <a:lumMod val="15000"/>
                  <a:lumOff val="85000"/>
                  <a:alpha val="54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en-US" sz="1000">
                    <a:solidFill>
                      <a:schemeClr val="tx1"/>
                    </a:solidFill>
                    <a:latin typeface="Cambria Math" panose="02040503050406030204" pitchFamily="18" charset="0"/>
                    <a:ea typeface="Cambria Math" panose="02040503050406030204" pitchFamily="18" charset="0"/>
                  </a:rPr>
                  <a:t>Cash</a:t>
                </a:r>
                <a:r>
                  <a:rPr lang="en-US" sz="1000" baseline="0">
                    <a:solidFill>
                      <a:schemeClr val="tx1"/>
                    </a:solidFill>
                    <a:latin typeface="Cambria Math" panose="02040503050406030204" pitchFamily="18" charset="0"/>
                    <a:ea typeface="Cambria Math" panose="02040503050406030204" pitchFamily="18" charset="0"/>
                  </a:rPr>
                  <a:t> Conversion Cycle</a:t>
                </a:r>
                <a:r>
                  <a:rPr lang="en-US" sz="1000">
                    <a:solidFill>
                      <a:schemeClr val="tx1"/>
                    </a:solidFill>
                    <a:latin typeface="Cambria Math" panose="02040503050406030204" pitchFamily="18" charset="0"/>
                    <a:ea typeface="Cambria Math" panose="02040503050406030204" pitchFamily="18" charset="0"/>
                  </a:rPr>
                  <a:t> Days</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1999662256"/>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sz="1200">
                <a:solidFill>
                  <a:schemeClr val="accent1">
                    <a:lumMod val="75000"/>
                  </a:schemeClr>
                </a:solidFill>
                <a:latin typeface="Arial" panose="020B0604020202020204" pitchFamily="34" charset="0"/>
                <a:ea typeface="Cambria Math" panose="02040503050406030204" pitchFamily="18" charset="0"/>
                <a:cs typeface="Arial" panose="020B0604020202020204" pitchFamily="34" charset="0"/>
              </a:rPr>
              <a:t>Days</a:t>
            </a:r>
            <a:r>
              <a:rPr lang="en-US" sz="1200" baseline="0">
                <a:solidFill>
                  <a:schemeClr val="accent1">
                    <a:lumMod val="75000"/>
                  </a:schemeClr>
                </a:solidFill>
                <a:latin typeface="Arial" panose="020B0604020202020204" pitchFamily="34" charset="0"/>
                <a:ea typeface="Cambria Math" panose="02040503050406030204" pitchFamily="18" charset="0"/>
                <a:cs typeface="Arial" panose="020B0604020202020204" pitchFamily="34" charset="0"/>
              </a:rPr>
              <a:t> Sales Outstanding </a:t>
            </a:r>
            <a:r>
              <a:rPr lang="en-US" sz="1200">
                <a:solidFill>
                  <a:schemeClr val="accent1">
                    <a:lumMod val="75000"/>
                  </a:schemeClr>
                </a:solidFill>
                <a:latin typeface="Arial" panose="020B0604020202020204" pitchFamily="34" charset="0"/>
                <a:ea typeface="Cambria Math" panose="02040503050406030204" pitchFamily="18" charset="0"/>
                <a:cs typeface="Arial" panose="020B0604020202020204" pitchFamily="34" charset="0"/>
              </a:rPr>
              <a:t>(DSO)</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Sheet2!$Z$4</c:f>
              <c:strCache>
                <c:ptCount val="1"/>
                <c:pt idx="0">
                  <c:v>DSO(Days)</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Sheet2!$AA$3:$AE$3</c:f>
              <c:numCache>
                <c:formatCode>General</c:formatCode>
                <c:ptCount val="5"/>
                <c:pt idx="0">
                  <c:v>2021</c:v>
                </c:pt>
                <c:pt idx="1">
                  <c:v>2022</c:v>
                </c:pt>
                <c:pt idx="2">
                  <c:v>2023</c:v>
                </c:pt>
                <c:pt idx="3">
                  <c:v>2024</c:v>
                </c:pt>
                <c:pt idx="4">
                  <c:v>2025</c:v>
                </c:pt>
              </c:numCache>
            </c:numRef>
          </c:cat>
          <c:val>
            <c:numRef>
              <c:f>Sheet2!$AA$4:$AE$4</c:f>
              <c:numCache>
                <c:formatCode>General</c:formatCode>
                <c:ptCount val="5"/>
                <c:pt idx="0">
                  <c:v>33</c:v>
                </c:pt>
                <c:pt idx="1">
                  <c:v>46</c:v>
                </c:pt>
                <c:pt idx="2">
                  <c:v>41</c:v>
                </c:pt>
                <c:pt idx="3">
                  <c:v>39</c:v>
                </c:pt>
                <c:pt idx="4">
                  <c:v>43</c:v>
                </c:pt>
              </c:numCache>
            </c:numRef>
          </c:val>
          <c:extLst>
            <c:ext xmlns:c16="http://schemas.microsoft.com/office/drawing/2014/chart" uri="{C3380CC4-5D6E-409C-BE32-E72D297353CC}">
              <c16:uniqueId val="{00000000-7FDC-49AE-B98B-AACB9E4C4052}"/>
            </c:ext>
          </c:extLst>
        </c:ser>
        <c:dLbls>
          <c:showLegendKey val="0"/>
          <c:showVal val="1"/>
          <c:showCatName val="0"/>
          <c:showSerName val="0"/>
          <c:showPercent val="0"/>
          <c:showBubbleSize val="0"/>
        </c:dLbls>
        <c:gapWidth val="150"/>
        <c:shape val="box"/>
        <c:axId val="1999706800"/>
        <c:axId val="1751326384"/>
        <c:axId val="0"/>
      </c:bar3DChart>
      <c:catAx>
        <c:axId val="1999706800"/>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1000" b="1">
                    <a:solidFill>
                      <a:schemeClr val="tx1"/>
                    </a:solidFill>
                    <a:latin typeface="Cambria Math" panose="02040503050406030204" pitchFamily="18" charset="0"/>
                    <a:ea typeface="Cambria Math" panose="02040503050406030204" pitchFamily="18" charset="0"/>
                  </a:rPr>
                  <a:t>Year</a:t>
                </a:r>
              </a:p>
            </c:rich>
          </c:tx>
          <c:layout>
            <c:manualLayout>
              <c:xMode val="edge"/>
              <c:yMode val="edge"/>
              <c:x val="0.46959657820550199"/>
              <c:y val="0.879515391701865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51326384"/>
        <c:crosses val="autoZero"/>
        <c:auto val="1"/>
        <c:lblAlgn val="ctr"/>
        <c:lblOffset val="100"/>
        <c:noMultiLvlLbl val="0"/>
      </c:catAx>
      <c:valAx>
        <c:axId val="175132638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1000" b="1">
                    <a:solidFill>
                      <a:schemeClr val="tx1"/>
                    </a:solidFill>
                    <a:latin typeface="Cambria Math" panose="02040503050406030204" pitchFamily="18" charset="0"/>
                    <a:ea typeface="Cambria Math" panose="02040503050406030204" pitchFamily="18" charset="0"/>
                  </a:rPr>
                  <a:t>DSO Days</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997068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en-US" sz="1200">
                <a:solidFill>
                  <a:schemeClr val="accent1">
                    <a:lumMod val="75000"/>
                  </a:schemeClr>
                </a:solidFill>
                <a:latin typeface="Arial" panose="020B0604020202020204" pitchFamily="34" charset="0"/>
                <a:ea typeface="Cambria Math" panose="02040503050406030204" pitchFamily="18" charset="0"/>
                <a:cs typeface="Arial" panose="020B0604020202020204" pitchFamily="34" charset="0"/>
              </a:rPr>
              <a:t>Days</a:t>
            </a:r>
            <a:r>
              <a:rPr lang="en-US" sz="1200" baseline="0">
                <a:solidFill>
                  <a:schemeClr val="accent1">
                    <a:lumMod val="75000"/>
                  </a:schemeClr>
                </a:solidFill>
                <a:latin typeface="Arial" panose="020B0604020202020204" pitchFamily="34" charset="0"/>
                <a:ea typeface="Cambria Math" panose="02040503050406030204" pitchFamily="18" charset="0"/>
                <a:cs typeface="Arial" panose="020B0604020202020204" pitchFamily="34" charset="0"/>
              </a:rPr>
              <a:t> Payables Outstanding</a:t>
            </a:r>
            <a:r>
              <a:rPr lang="en-US" sz="1200">
                <a:solidFill>
                  <a:schemeClr val="accent1">
                    <a:lumMod val="75000"/>
                  </a:schemeClr>
                </a:solidFill>
                <a:latin typeface="Arial" panose="020B0604020202020204" pitchFamily="34" charset="0"/>
                <a:ea typeface="Cambria Math" panose="02040503050406030204" pitchFamily="18" charset="0"/>
                <a:cs typeface="Arial" panose="020B0604020202020204" pitchFamily="34" charset="0"/>
              </a:rPr>
              <a:t> (DPO)</a:t>
            </a:r>
          </a:p>
        </c:rich>
      </c:tx>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en-US"/>
        </a:p>
      </c:txPr>
    </c:title>
    <c:autoTitleDeleted val="0"/>
    <c:plotArea>
      <c:layout/>
      <c:lineChart>
        <c:grouping val="stacked"/>
        <c:varyColors val="0"/>
        <c:ser>
          <c:idx val="0"/>
          <c:order val="0"/>
          <c:tx>
            <c:strRef>
              <c:f>Sheet2!$D$26</c:f>
              <c:strCache>
                <c:ptCount val="1"/>
                <c:pt idx="0">
                  <c:v>DPO (Days)</c:v>
                </c:pt>
              </c:strCache>
            </c:strRef>
          </c:tx>
          <c:spPr>
            <a:ln w="22225" cap="rnd">
              <a:solidFill>
                <a:schemeClr val="accent1"/>
              </a:solidFill>
              <a:round/>
            </a:ln>
            <a:effectLst/>
          </c:spPr>
          <c:marker>
            <c:symbol val="none"/>
          </c:marker>
          <c:dLbls>
            <c:dLbl>
              <c:idx val="0"/>
              <c:layout>
                <c:manualLayout>
                  <c:x val="-3.3909191583610207E-2"/>
                  <c:y val="2.036659877800411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888-4939-8767-55780BE52635}"/>
                </c:ext>
              </c:extLst>
            </c:dLbl>
            <c:dLbl>
              <c:idx val="1"/>
              <c:layout>
                <c:manualLayout>
                  <c:x val="-3.8338870431893768E-2"/>
                  <c:y val="-3.6659717433487858E-2"/>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dk1">
                          <a:lumMod val="75000"/>
                          <a:lumOff val="25000"/>
                        </a:schemeClr>
                      </a:solidFill>
                      <a:latin typeface="+mn-lt"/>
                      <a:ea typeface="+mn-ea"/>
                      <a:cs typeface="+mn-cs"/>
                    </a:defRPr>
                  </a:pPr>
                  <a:endParaRPr lang="en-US"/>
                </a:p>
              </c:txPr>
              <c:dLblPos val="r"/>
              <c:showLegendKey val="0"/>
              <c:showVal val="1"/>
              <c:showCatName val="0"/>
              <c:showSerName val="0"/>
              <c:showPercent val="0"/>
              <c:showBubbleSize val="0"/>
              <c:extLst>
                <c:ext xmlns:c15="http://schemas.microsoft.com/office/drawing/2012/chart" uri="{CE6537A1-D6FC-4f65-9D91-7224C49458BB}">
                  <c15:layout>
                    <c:manualLayout>
                      <c:w val="4.3455149501661128E-2"/>
                      <c:h val="8.9552095193803402E-2"/>
                    </c:manualLayout>
                  </c15:layout>
                </c:ext>
                <c:ext xmlns:c16="http://schemas.microsoft.com/office/drawing/2014/chart" uri="{C3380CC4-5D6E-409C-BE32-E72D297353CC}">
                  <c16:uniqueId val="{00000001-D888-4939-8767-55780BE52635}"/>
                </c:ext>
              </c:extLst>
            </c:dLbl>
            <c:dLbl>
              <c:idx val="2"/>
              <c:layout>
                <c:manualLayout>
                  <c:x val="-3.8338870431893768E-2"/>
                  <c:y val="-4.0733197556008183E-2"/>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dk1">
                          <a:lumMod val="75000"/>
                          <a:lumOff val="25000"/>
                        </a:schemeClr>
                      </a:solidFill>
                      <a:latin typeface="+mn-lt"/>
                      <a:ea typeface="+mn-ea"/>
                      <a:cs typeface="+mn-cs"/>
                    </a:defRPr>
                  </a:pPr>
                  <a:endParaRPr lang="en-US"/>
                </a:p>
              </c:txPr>
              <c:dLblPos val="r"/>
              <c:showLegendKey val="0"/>
              <c:showVal val="1"/>
              <c:showCatName val="0"/>
              <c:showSerName val="0"/>
              <c:showPercent val="0"/>
              <c:showBubbleSize val="0"/>
              <c:extLst>
                <c:ext xmlns:c15="http://schemas.microsoft.com/office/drawing/2012/chart" uri="{CE6537A1-D6FC-4f65-9D91-7224C49458BB}">
                  <c15:layout>
                    <c:manualLayout>
                      <c:w val="5.2314507198228132E-2"/>
                      <c:h val="8.1405455682601796E-2"/>
                    </c:manualLayout>
                  </c15:layout>
                </c:ext>
                <c:ext xmlns:c16="http://schemas.microsoft.com/office/drawing/2014/chart" uri="{C3380CC4-5D6E-409C-BE32-E72D297353CC}">
                  <c16:uniqueId val="{00000002-D888-4939-8767-55780BE52635}"/>
                </c:ext>
              </c:extLst>
            </c:dLbl>
            <c:dLbl>
              <c:idx val="3"/>
              <c:layout>
                <c:manualLayout>
                  <c:x val="-3.9446202945561955E-2"/>
                  <c:y val="4.0733357922927586E-2"/>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dk1">
                          <a:lumMod val="75000"/>
                          <a:lumOff val="25000"/>
                        </a:schemeClr>
                      </a:solidFill>
                      <a:latin typeface="+mn-lt"/>
                      <a:ea typeface="+mn-ea"/>
                      <a:cs typeface="+mn-cs"/>
                    </a:defRPr>
                  </a:pPr>
                  <a:endParaRPr lang="en-US"/>
                </a:p>
              </c:txPr>
              <c:dLblPos val="r"/>
              <c:showLegendKey val="0"/>
              <c:showVal val="1"/>
              <c:showCatName val="0"/>
              <c:showSerName val="0"/>
              <c:showPercent val="0"/>
              <c:showBubbleSize val="0"/>
              <c:extLst>
                <c:ext xmlns:c15="http://schemas.microsoft.com/office/drawing/2012/chart" uri="{CE6537A1-D6FC-4f65-9D91-7224C49458BB}">
                  <c15:layout>
                    <c:manualLayout>
                      <c:w val="4.1240310077519375E-2"/>
                      <c:h val="6.9185496415799339E-2"/>
                    </c:manualLayout>
                  </c15:layout>
                </c:ext>
                <c:ext xmlns:c16="http://schemas.microsoft.com/office/drawing/2014/chart" uri="{C3380CC4-5D6E-409C-BE32-E72D297353CC}">
                  <c16:uniqueId val="{00000003-D888-4939-8767-55780BE52635}"/>
                </c:ext>
              </c:extLst>
            </c:dLbl>
            <c:dLbl>
              <c:idx val="4"/>
              <c:layout>
                <c:manualLayout>
                  <c:x val="-3.7231363521420285E-2"/>
                  <c:y val="-2.8513238289205666E-2"/>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dk1">
                          <a:lumMod val="75000"/>
                          <a:lumOff val="25000"/>
                        </a:schemeClr>
                      </a:solidFill>
                      <a:latin typeface="+mn-lt"/>
                      <a:ea typeface="+mn-ea"/>
                      <a:cs typeface="+mn-cs"/>
                    </a:defRPr>
                  </a:pPr>
                  <a:endParaRPr lang="en-US"/>
                </a:p>
              </c:txPr>
              <c:dLblPos val="r"/>
              <c:showLegendKey val="0"/>
              <c:showVal val="1"/>
              <c:showCatName val="0"/>
              <c:showSerName val="0"/>
              <c:showPercent val="0"/>
              <c:showBubbleSize val="0"/>
              <c:extLst>
                <c:ext xmlns:c15="http://schemas.microsoft.com/office/drawing/2012/chart" uri="{CE6537A1-D6FC-4f65-9D91-7224C49458BB}">
                  <c15:layout>
                    <c:manualLayout>
                      <c:w val="4.1240310077519375E-2"/>
                      <c:h val="6.1038856904597719E-2"/>
                    </c:manualLayout>
                  </c15:layout>
                </c:ext>
                <c:ext xmlns:c16="http://schemas.microsoft.com/office/drawing/2014/chart" uri="{C3380CC4-5D6E-409C-BE32-E72D297353CC}">
                  <c16:uniqueId val="{00000004-D888-4939-8767-55780BE5263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Sheet2!$E$25:$I$25</c:f>
              <c:numCache>
                <c:formatCode>General</c:formatCode>
                <c:ptCount val="5"/>
                <c:pt idx="0">
                  <c:v>2021</c:v>
                </c:pt>
                <c:pt idx="1">
                  <c:v>2022</c:v>
                </c:pt>
                <c:pt idx="2">
                  <c:v>2023</c:v>
                </c:pt>
                <c:pt idx="3">
                  <c:v>2024</c:v>
                </c:pt>
                <c:pt idx="4">
                  <c:v>2025</c:v>
                </c:pt>
              </c:numCache>
            </c:numRef>
          </c:cat>
          <c:val>
            <c:numRef>
              <c:f>Sheet2!$E$26:$I$26</c:f>
              <c:numCache>
                <c:formatCode>General</c:formatCode>
                <c:ptCount val="5"/>
                <c:pt idx="0">
                  <c:v>21</c:v>
                </c:pt>
                <c:pt idx="1">
                  <c:v>23</c:v>
                </c:pt>
                <c:pt idx="2">
                  <c:v>25</c:v>
                </c:pt>
                <c:pt idx="3">
                  <c:v>20</c:v>
                </c:pt>
                <c:pt idx="4">
                  <c:v>22</c:v>
                </c:pt>
              </c:numCache>
            </c:numRef>
          </c:val>
          <c:smooth val="1"/>
          <c:extLst>
            <c:ext xmlns:c16="http://schemas.microsoft.com/office/drawing/2014/chart" uri="{C3380CC4-5D6E-409C-BE32-E72D297353CC}">
              <c16:uniqueId val="{00000000-9AE3-4CA0-9256-073F7524113C}"/>
            </c:ext>
          </c:extLst>
        </c:ser>
        <c:dLbls>
          <c:dLblPos val="ctr"/>
          <c:showLegendKey val="0"/>
          <c:showVal val="1"/>
          <c:showCatName val="0"/>
          <c:showSerName val="0"/>
          <c:showPercent val="0"/>
          <c:showBubbleSize val="0"/>
        </c:dLbls>
        <c:smooth val="0"/>
        <c:axId val="1937493200"/>
        <c:axId val="1751280304"/>
      </c:lineChart>
      <c:catAx>
        <c:axId val="1937493200"/>
        <c:scaling>
          <c:orientation val="minMax"/>
        </c:scaling>
        <c:delete val="0"/>
        <c:axPos val="b"/>
        <c:majorGridlines>
          <c:spPr>
            <a:ln w="9525" cap="flat" cmpd="sng" algn="ctr">
              <a:solidFill>
                <a:schemeClr val="dk1">
                  <a:lumMod val="15000"/>
                  <a:lumOff val="8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title>
          <c:tx>
            <c:rich>
              <a:bodyPr rot="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en-US" sz="1000">
                    <a:solidFill>
                      <a:schemeClr val="tx1"/>
                    </a:solidFill>
                    <a:latin typeface="Cambria Math" panose="02040503050406030204" pitchFamily="18" charset="0"/>
                    <a:ea typeface="Cambria Math" panose="02040503050406030204" pitchFamily="18" charset="0"/>
                  </a:rPr>
                  <a:t>Year</a:t>
                </a:r>
              </a:p>
            </c:rich>
          </c:tx>
          <c:layout>
            <c:manualLayout>
              <c:xMode val="edge"/>
              <c:yMode val="edge"/>
              <c:x val="0.45264028043006255"/>
              <c:y val="0.88092592592592589"/>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n-US"/>
          </a:p>
        </c:txPr>
        <c:crossAx val="1751280304"/>
        <c:crosses val="autoZero"/>
        <c:auto val="1"/>
        <c:lblAlgn val="ctr"/>
        <c:lblOffset val="100"/>
        <c:noMultiLvlLbl val="0"/>
      </c:catAx>
      <c:valAx>
        <c:axId val="1751280304"/>
        <c:scaling>
          <c:orientation val="minMax"/>
        </c:scaling>
        <c:delete val="0"/>
        <c:axPos val="l"/>
        <c:majorGridlines>
          <c:spPr>
            <a:ln w="9525" cap="flat" cmpd="sng" algn="ctr">
              <a:solidFill>
                <a:schemeClr val="dk1">
                  <a:lumMod val="15000"/>
                  <a:lumOff val="85000"/>
                  <a:alpha val="54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en-US" sz="1000">
                    <a:solidFill>
                      <a:schemeClr val="tx1"/>
                    </a:solidFill>
                    <a:latin typeface="Cambria Math" panose="02040503050406030204" pitchFamily="18" charset="0"/>
                    <a:ea typeface="Cambria Math" panose="02040503050406030204" pitchFamily="18" charset="0"/>
                  </a:rPr>
                  <a:t>Days of Payables Outstanding (Days</a:t>
                </a:r>
                <a:r>
                  <a:rPr lang="en-US"/>
                  <a:t>)</a:t>
                </a:r>
              </a:p>
            </c:rich>
          </c:tx>
          <c:layout>
            <c:manualLayout>
              <c:xMode val="edge"/>
              <c:yMode val="edge"/>
              <c:x val="3.0555555555555555E-2"/>
              <c:y val="0.14844925634295714"/>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1937493200"/>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en-US" sz="1200">
                <a:solidFill>
                  <a:schemeClr val="accent1">
                    <a:lumMod val="75000"/>
                  </a:schemeClr>
                </a:solidFill>
                <a:latin typeface="Arial" panose="020B0604020202020204" pitchFamily="34" charset="0"/>
                <a:ea typeface="Cambria Math" panose="02040503050406030204" pitchFamily="18" charset="0"/>
                <a:cs typeface="Arial" panose="020B0604020202020204" pitchFamily="34" charset="0"/>
              </a:rPr>
              <a:t>Current Ratio</a:t>
            </a:r>
          </a:p>
        </c:rich>
      </c:tx>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en-US"/>
        </a:p>
      </c:txPr>
    </c:title>
    <c:autoTitleDeleted val="0"/>
    <c:plotArea>
      <c:layout/>
      <c:lineChart>
        <c:grouping val="standard"/>
        <c:varyColors val="0"/>
        <c:ser>
          <c:idx val="0"/>
          <c:order val="0"/>
          <c:tx>
            <c:strRef>
              <c:f>Sheet1!$K$53</c:f>
              <c:strCache>
                <c:ptCount val="1"/>
                <c:pt idx="0">
                  <c:v>Current Ratio</c:v>
                </c:pt>
              </c:strCache>
            </c:strRef>
          </c:tx>
          <c:spPr>
            <a:ln w="2222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Sheet1!$L$52:$P$52</c:f>
              <c:strCache>
                <c:ptCount val="5"/>
                <c:pt idx="0">
                  <c:v>FY 2021</c:v>
                </c:pt>
                <c:pt idx="1">
                  <c:v>FY 2022</c:v>
                </c:pt>
                <c:pt idx="2">
                  <c:v>FY 2023</c:v>
                </c:pt>
                <c:pt idx="3">
                  <c:v>FY 2024</c:v>
                </c:pt>
                <c:pt idx="4">
                  <c:v>FY 2025</c:v>
                </c:pt>
              </c:strCache>
            </c:strRef>
          </c:cat>
          <c:val>
            <c:numRef>
              <c:f>Sheet1!$L$53:$P$53</c:f>
              <c:numCache>
                <c:formatCode>General</c:formatCode>
                <c:ptCount val="5"/>
                <c:pt idx="0">
                  <c:v>1.92</c:v>
                </c:pt>
                <c:pt idx="1">
                  <c:v>1.48</c:v>
                </c:pt>
                <c:pt idx="2">
                  <c:v>1.33</c:v>
                </c:pt>
                <c:pt idx="3">
                  <c:v>1.8</c:v>
                </c:pt>
                <c:pt idx="4">
                  <c:v>1.75</c:v>
                </c:pt>
              </c:numCache>
            </c:numRef>
          </c:val>
          <c:smooth val="0"/>
          <c:extLst>
            <c:ext xmlns:c16="http://schemas.microsoft.com/office/drawing/2014/chart" uri="{C3380CC4-5D6E-409C-BE32-E72D297353CC}">
              <c16:uniqueId val="{00000000-8960-4DB6-81A5-1413780210E2}"/>
            </c:ext>
          </c:extLst>
        </c:ser>
        <c:dLbls>
          <c:dLblPos val="t"/>
          <c:showLegendKey val="0"/>
          <c:showVal val="1"/>
          <c:showCatName val="0"/>
          <c:showSerName val="0"/>
          <c:showPercent val="0"/>
          <c:showBubbleSize val="0"/>
        </c:dLbls>
        <c:smooth val="0"/>
        <c:axId val="862562624"/>
        <c:axId val="862564064"/>
      </c:lineChart>
      <c:catAx>
        <c:axId val="862562624"/>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en-US" sz="1000">
                    <a:solidFill>
                      <a:schemeClr val="tx1"/>
                    </a:solidFill>
                    <a:latin typeface="Cambria" panose="02040503050406030204" pitchFamily="18" charset="0"/>
                    <a:ea typeface="Cambria" panose="02040503050406030204" pitchFamily="18" charset="0"/>
                    <a:cs typeface="Times New Roman" panose="02020603050405020304" pitchFamily="18" charset="0"/>
                  </a:rPr>
                  <a:t>Year</a:t>
                </a:r>
              </a:p>
            </c:rich>
          </c:tx>
          <c:layout>
            <c:manualLayout>
              <c:xMode val="edge"/>
              <c:yMode val="edge"/>
              <c:x val="0.48911918766178325"/>
              <c:y val="0.90987551867219918"/>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n-US"/>
          </a:p>
        </c:txPr>
        <c:crossAx val="862564064"/>
        <c:crosses val="autoZero"/>
        <c:auto val="1"/>
        <c:lblAlgn val="ctr"/>
        <c:lblOffset val="100"/>
        <c:noMultiLvlLbl val="0"/>
      </c:catAx>
      <c:valAx>
        <c:axId val="862564064"/>
        <c:scaling>
          <c:orientation val="minMax"/>
        </c:scaling>
        <c:delete val="0"/>
        <c:axPos val="l"/>
        <c:majorGridlines>
          <c:spPr>
            <a:ln w="9525" cap="flat" cmpd="sng" algn="ctr">
              <a:solidFill>
                <a:schemeClr val="dk1">
                  <a:lumMod val="15000"/>
                  <a:lumOff val="85000"/>
                  <a:alpha val="54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en-US" sz="1000">
                    <a:solidFill>
                      <a:schemeClr val="tx1"/>
                    </a:solidFill>
                    <a:latin typeface="Cambria Math" panose="02040503050406030204" pitchFamily="18" charset="0"/>
                    <a:ea typeface="Cambria Math" panose="02040503050406030204" pitchFamily="18" charset="0"/>
                    <a:cs typeface="Times New Roman" panose="02020603050405020304" pitchFamily="18" charset="0"/>
                  </a:rPr>
                  <a:t>Current</a:t>
                </a:r>
                <a:r>
                  <a:rPr lang="en-US" sz="1000" baseline="0">
                    <a:solidFill>
                      <a:schemeClr val="tx1"/>
                    </a:solidFill>
                    <a:latin typeface="Cambria Math" panose="02040503050406030204" pitchFamily="18" charset="0"/>
                    <a:ea typeface="Cambria Math" panose="02040503050406030204" pitchFamily="18" charset="0"/>
                    <a:cs typeface="Times New Roman" panose="02020603050405020304" pitchFamily="18" charset="0"/>
                  </a:rPr>
                  <a:t> Ratio</a:t>
                </a:r>
                <a:endParaRPr lang="en-US" sz="1000">
                  <a:solidFill>
                    <a:schemeClr val="tx1"/>
                  </a:solidFill>
                  <a:latin typeface="Cambria Math" panose="02040503050406030204" pitchFamily="18" charset="0"/>
                  <a:ea typeface="Cambria Math" panose="020405030504060302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862562624"/>
        <c:crosses val="autoZero"/>
        <c:crossBetween val="between"/>
      </c:valAx>
      <c:dTable>
        <c:showHorzBorder val="1"/>
        <c:showVertBorder val="1"/>
        <c:showOutline val="1"/>
        <c:showKeys val="1"/>
        <c:spPr>
          <a:noFill/>
          <a:ln w="9525" cap="flat" cmpd="sng" algn="ctr">
            <a:solidFill>
              <a:schemeClr val="dk1">
                <a:lumMod val="15000"/>
                <a:lumOff val="85000"/>
              </a:schemeClr>
            </a:solidFill>
            <a:round/>
          </a:ln>
          <a:effectLst/>
        </c:spPr>
        <c:txPr>
          <a:bodyPr rot="0" spcFirstLastPara="1" vertOverflow="ellipsis" vert="horz" wrap="square" anchor="ctr" anchorCtr="1"/>
          <a:lstStyle/>
          <a:p>
            <a:pPr rtl="0">
              <a:defRPr sz="800" b="0" i="0" u="none" strike="noStrike" kern="1200" baseline="0">
                <a:solidFill>
                  <a:schemeClr val="dk1">
                    <a:lumMod val="65000"/>
                    <a:lumOff val="35000"/>
                  </a:schemeClr>
                </a:solidFill>
                <a:latin typeface="+mn-lt"/>
                <a:ea typeface="+mn-ea"/>
                <a:cs typeface="+mn-cs"/>
              </a:defRPr>
            </a:pPr>
            <a:endParaRPr lang="en-US"/>
          </a:p>
        </c:txPr>
      </c:dTable>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US" sz="1200">
                <a:solidFill>
                  <a:schemeClr val="accent1">
                    <a:lumMod val="75000"/>
                  </a:schemeClr>
                </a:solidFill>
                <a:latin typeface="Arial" panose="020B0604020202020204" pitchFamily="34" charset="0"/>
                <a:ea typeface="Cambria Math" panose="02040503050406030204" pitchFamily="18" charset="0"/>
                <a:cs typeface="Arial" panose="020B0604020202020204" pitchFamily="34" charset="0"/>
              </a:rPr>
              <a:t>Quick Ratio Analysis Chart</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n-US"/>
        </a:p>
      </c:txPr>
    </c:title>
    <c:autoTitleDeleted val="0"/>
    <c:plotArea>
      <c:layout/>
      <c:scatterChart>
        <c:scatterStyle val="smoothMarker"/>
        <c:varyColors val="0"/>
        <c:ser>
          <c:idx val="0"/>
          <c:order val="0"/>
          <c:tx>
            <c:strRef>
              <c:f>Sheet1!$C$59</c:f>
              <c:strCache>
                <c:ptCount val="1"/>
                <c:pt idx="0">
                  <c:v>Quick Ratio</c:v>
                </c:pt>
              </c:strCache>
            </c:strRef>
          </c:tx>
          <c:spPr>
            <a:ln w="31750" cap="rnd">
              <a:solidFill>
                <a:schemeClr val="accent1"/>
              </a:solidFill>
              <a:round/>
            </a:ln>
            <a:effectLst/>
          </c:spPr>
          <c:marker>
            <c:symbol val="none"/>
          </c:marker>
          <c:dLbls>
            <c:dLbl>
              <c:idx val="2"/>
              <c:layout>
                <c:manualLayout>
                  <c:x val="2.1514629948364886E-3"/>
                  <c:y val="1.716738197424892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918-43CD-9A47-9BAAEB61C38F}"/>
                </c:ext>
              </c:extLst>
            </c:dLbl>
            <c:dLbl>
              <c:idx val="3"/>
              <c:layout>
                <c:manualLayout>
                  <c:x val="0"/>
                  <c:y val="-2.145922746781115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918-43CD-9A47-9BAAEB61C38F}"/>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2"/>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xVal>
            <c:strRef>
              <c:f>Sheet1!$D$58:$H$58</c:f>
              <c:strCache>
                <c:ptCount val="5"/>
                <c:pt idx="0">
                  <c:v>FY 2021</c:v>
                </c:pt>
                <c:pt idx="1">
                  <c:v>FY 2022</c:v>
                </c:pt>
                <c:pt idx="2">
                  <c:v>FY 2023</c:v>
                </c:pt>
                <c:pt idx="3">
                  <c:v>FY 2024</c:v>
                </c:pt>
                <c:pt idx="4">
                  <c:v>FY 2025</c:v>
                </c:pt>
              </c:strCache>
            </c:strRef>
          </c:xVal>
          <c:yVal>
            <c:numRef>
              <c:f>Sheet1!$D$59:$H$59</c:f>
              <c:numCache>
                <c:formatCode>General</c:formatCode>
                <c:ptCount val="5"/>
                <c:pt idx="0">
                  <c:v>1.4</c:v>
                </c:pt>
                <c:pt idx="1">
                  <c:v>0.8</c:v>
                </c:pt>
                <c:pt idx="2">
                  <c:v>0.56999999999999995</c:v>
                </c:pt>
                <c:pt idx="3">
                  <c:v>0.79</c:v>
                </c:pt>
                <c:pt idx="4">
                  <c:v>0.68</c:v>
                </c:pt>
              </c:numCache>
            </c:numRef>
          </c:yVal>
          <c:smooth val="1"/>
          <c:extLst>
            <c:ext xmlns:c16="http://schemas.microsoft.com/office/drawing/2014/chart" uri="{C3380CC4-5D6E-409C-BE32-E72D297353CC}">
              <c16:uniqueId val="{00000000-733D-4A8E-95BF-4D50AD7B199C}"/>
            </c:ext>
          </c:extLst>
        </c:ser>
        <c:dLbls>
          <c:showLegendKey val="0"/>
          <c:showVal val="1"/>
          <c:showCatName val="0"/>
          <c:showSerName val="0"/>
          <c:showPercent val="0"/>
          <c:showBubbleSize val="0"/>
        </c:dLbls>
        <c:axId val="1002318336"/>
        <c:axId val="1002324576"/>
      </c:scatterChart>
      <c:valAx>
        <c:axId val="1002318336"/>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US" sz="1000">
                    <a:solidFill>
                      <a:schemeClr val="tx1"/>
                    </a:solidFill>
                    <a:latin typeface="Cambria" panose="02040503050406030204" pitchFamily="18" charset="0"/>
                    <a:ea typeface="Cambria" panose="02040503050406030204" pitchFamily="18" charset="0"/>
                    <a:cs typeface="Times New Roman" panose="02020603050405020304" pitchFamily="18" charset="0"/>
                  </a:rPr>
                  <a:t>Year</a:t>
                </a:r>
              </a:p>
            </c:rich>
          </c:tx>
          <c:layout>
            <c:manualLayout>
              <c:xMode val="edge"/>
              <c:yMode val="edge"/>
              <c:x val="0.47955483350725736"/>
              <c:y val="0.89819742489270382"/>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002324576"/>
        <c:crosses val="autoZero"/>
        <c:crossBetween val="midCat"/>
      </c:valAx>
      <c:valAx>
        <c:axId val="1002324576"/>
        <c:scaling>
          <c:orientation val="minMax"/>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US" sz="1000">
                    <a:solidFill>
                      <a:schemeClr val="tx1"/>
                    </a:solidFill>
                    <a:latin typeface="Cambria" panose="02040503050406030204" pitchFamily="18" charset="0"/>
                    <a:ea typeface="Cambria" panose="02040503050406030204" pitchFamily="18" charset="0"/>
                    <a:cs typeface="Times New Roman" panose="02020603050405020304" pitchFamily="18" charset="0"/>
                  </a:rPr>
                  <a:t>Quick Ratio</a:t>
                </a:r>
              </a:p>
            </c:rich>
          </c:tx>
          <c:layout>
            <c:manualLayout>
              <c:xMode val="edge"/>
              <c:yMode val="edge"/>
              <c:x val="2.1514629948364887E-2"/>
              <c:y val="0.36400594775438472"/>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00231833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US" sz="1200">
                <a:solidFill>
                  <a:schemeClr val="accent1">
                    <a:lumMod val="75000"/>
                  </a:schemeClr>
                </a:solidFill>
                <a:latin typeface="Arial" panose="020B0604020202020204" pitchFamily="34" charset="0"/>
                <a:ea typeface="Cambria Math" panose="02040503050406030204" pitchFamily="18" charset="0"/>
                <a:cs typeface="Arial" panose="020B0604020202020204" pitchFamily="34" charset="0"/>
              </a:rPr>
              <a:t>Cash Ratio Analysis Chart</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n-US"/>
        </a:p>
      </c:txPr>
    </c:title>
    <c:autoTitleDeleted val="0"/>
    <c:plotArea>
      <c:layout/>
      <c:pieChart>
        <c:varyColors val="1"/>
        <c:ser>
          <c:idx val="0"/>
          <c:order val="0"/>
          <c:tx>
            <c:strRef>
              <c:f>Sheet1!$C$39</c:f>
              <c:strCache>
                <c:ptCount val="1"/>
                <c:pt idx="0">
                  <c:v>Cash Ratio</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extLst>
              <c:ext xmlns:c16="http://schemas.microsoft.com/office/drawing/2014/chart" uri="{C3380CC4-5D6E-409C-BE32-E72D297353CC}">
                <c16:uniqueId val="{00000001-88BA-4595-A0F5-24945F8B74A6}"/>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extLst>
              <c:ext xmlns:c16="http://schemas.microsoft.com/office/drawing/2014/chart" uri="{C3380CC4-5D6E-409C-BE32-E72D297353CC}">
                <c16:uniqueId val="{00000003-88BA-4595-A0F5-24945F8B74A6}"/>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extLst>
              <c:ext xmlns:c16="http://schemas.microsoft.com/office/drawing/2014/chart" uri="{C3380CC4-5D6E-409C-BE32-E72D297353CC}">
                <c16:uniqueId val="{00000005-88BA-4595-A0F5-24945F8B74A6}"/>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extLst>
              <c:ext xmlns:c16="http://schemas.microsoft.com/office/drawing/2014/chart" uri="{C3380CC4-5D6E-409C-BE32-E72D297353CC}">
                <c16:uniqueId val="{00000007-88BA-4595-A0F5-24945F8B74A6}"/>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c:spPr>
            <c:extLst>
              <c:ext xmlns:c16="http://schemas.microsoft.com/office/drawing/2014/chart" uri="{C3380CC4-5D6E-409C-BE32-E72D297353CC}">
                <c16:uniqueId val="{00000009-88BA-4595-A0F5-24945F8B74A6}"/>
              </c:ext>
            </c:extLst>
          </c:dPt>
          <c:dLbls>
            <c:dLbl>
              <c:idx val="0"/>
              <c:layout>
                <c:manualLayout>
                  <c:x val="8.9079702141304732E-3"/>
                  <c:y val="3.1815666776296742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88BA-4595-A0F5-24945F8B74A6}"/>
                </c:ext>
              </c:extLst>
            </c:dLbl>
            <c:dLbl>
              <c:idx val="1"/>
              <c:layout>
                <c:manualLayout>
                  <c:x val="2.0653436419995012E-2"/>
                  <c:y val="-2.9973882257346825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88BA-4595-A0F5-24945F8B74A6}"/>
                </c:ext>
              </c:extLst>
            </c:dLbl>
            <c:dLbl>
              <c:idx val="2"/>
              <c:layout>
                <c:manualLayout>
                  <c:x val="1.132415291979901E-2"/>
                  <c:y val="-2.8524057342955073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88BA-4595-A0F5-24945F8B74A6}"/>
                </c:ext>
              </c:extLst>
            </c:dLbl>
            <c:dLbl>
              <c:idx val="3"/>
              <c:layout>
                <c:manualLayout>
                  <c:x val="9.5309438130188068E-3"/>
                  <c:y val="6.8927624833136645E-3"/>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88BA-4595-A0F5-24945F8B74A6}"/>
                </c:ext>
              </c:extLst>
            </c:dLbl>
            <c:dLbl>
              <c:idx val="4"/>
              <c:layout>
                <c:manualLayout>
                  <c:x val="-5.4992517903587846E-3"/>
                  <c:y val="4.2806980208555015E-2"/>
                </c:manualLayout>
              </c:layout>
              <c:dLblPos val="bestFit"/>
              <c:showLegendKey val="0"/>
              <c:showVal val="0"/>
              <c:showCatName val="0"/>
              <c:showSerName val="0"/>
              <c:showPercent val="1"/>
              <c:showBubbleSize val="0"/>
              <c:extLst>
                <c:ext xmlns:c15="http://schemas.microsoft.com/office/drawing/2012/chart" uri="{CE6537A1-D6FC-4f65-9D91-7224C49458BB}">
                  <c15:layout>
                    <c:manualLayout>
                      <c:w val="5.4728506787330308E-2"/>
                      <c:h val="6.8722552187119104E-2"/>
                    </c:manualLayout>
                  </c15:layout>
                </c:ext>
                <c:ext xmlns:c16="http://schemas.microsoft.com/office/drawing/2014/chart" uri="{C3380CC4-5D6E-409C-BE32-E72D297353CC}">
                  <c16:uniqueId val="{00000009-88BA-4595-A0F5-24945F8B74A6}"/>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2"/>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a:solidFill>
                    <a:schemeClr val="tx2">
                      <a:lumMod val="35000"/>
                      <a:lumOff val="65000"/>
                    </a:schemeClr>
                  </a:solidFill>
                </a:ln>
                <a:effectLst/>
              </c:spPr>
            </c:leaderLines>
            <c:extLst>
              <c:ext xmlns:c15="http://schemas.microsoft.com/office/drawing/2012/chart" uri="{CE6537A1-D6FC-4f65-9D91-7224C49458BB}"/>
            </c:extLst>
          </c:dLbls>
          <c:cat>
            <c:strRef>
              <c:f>Sheet1!$D$38:$H$38</c:f>
              <c:strCache>
                <c:ptCount val="5"/>
                <c:pt idx="0">
                  <c:v>FY 2021</c:v>
                </c:pt>
                <c:pt idx="1">
                  <c:v>FY 2022</c:v>
                </c:pt>
                <c:pt idx="2">
                  <c:v>FY 2023</c:v>
                </c:pt>
                <c:pt idx="3">
                  <c:v>FY 2024</c:v>
                </c:pt>
                <c:pt idx="4">
                  <c:v>FY 2025</c:v>
                </c:pt>
              </c:strCache>
            </c:strRef>
          </c:cat>
          <c:val>
            <c:numRef>
              <c:f>Sheet1!$D$39:$H$39</c:f>
              <c:numCache>
                <c:formatCode>General</c:formatCode>
                <c:ptCount val="5"/>
                <c:pt idx="0">
                  <c:v>1.1399999999999999</c:v>
                </c:pt>
                <c:pt idx="1">
                  <c:v>0.4</c:v>
                </c:pt>
                <c:pt idx="2">
                  <c:v>0.31</c:v>
                </c:pt>
                <c:pt idx="3">
                  <c:v>0.55000000000000004</c:v>
                </c:pt>
                <c:pt idx="4">
                  <c:v>0.35</c:v>
                </c:pt>
              </c:numCache>
            </c:numRef>
          </c:val>
          <c:extLst>
            <c:ext xmlns:c16="http://schemas.microsoft.com/office/drawing/2014/chart" uri="{C3380CC4-5D6E-409C-BE32-E72D297353CC}">
              <c16:uniqueId val="{0000000A-88BA-4595-A0F5-24945F8B74A6}"/>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en-US" sz="1200">
                <a:solidFill>
                  <a:schemeClr val="accent1"/>
                </a:solidFill>
                <a:latin typeface="Arial" panose="020B0604020202020204" pitchFamily="34" charset="0"/>
                <a:ea typeface="Cambria Math" panose="02040503050406030204" pitchFamily="18" charset="0"/>
                <a:cs typeface="Arial" panose="020B0604020202020204" pitchFamily="34" charset="0"/>
              </a:rPr>
              <a:t>Receivable Turnover Ratio (Times)</a:t>
            </a:r>
          </a:p>
        </c:rich>
      </c:tx>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en-US"/>
        </a:p>
      </c:txPr>
    </c:title>
    <c:autoTitleDeleted val="0"/>
    <c:plotArea>
      <c:layout/>
      <c:lineChart>
        <c:grouping val="standard"/>
        <c:varyColors val="0"/>
        <c:ser>
          <c:idx val="0"/>
          <c:order val="0"/>
          <c:tx>
            <c:strRef>
              <c:f>Sheet3!$B$3</c:f>
              <c:strCache>
                <c:ptCount val="1"/>
                <c:pt idx="0">
                  <c:v>Receivable Turnover Ratio (Times)</c:v>
                </c:pt>
              </c:strCache>
            </c:strRef>
          </c:tx>
          <c:spPr>
            <a:ln w="22225" cap="rnd">
              <a:solidFill>
                <a:schemeClr val="accent1"/>
              </a:solidFill>
              <a:round/>
            </a:ln>
            <a:effectLst/>
          </c:spPr>
          <c:marker>
            <c:symbol val="none"/>
          </c:marker>
          <c:dLbls>
            <c:dLbl>
              <c:idx val="0"/>
              <c:layout>
                <c:manualLayout>
                  <c:x val="-6.5250015720466861E-2"/>
                  <c:y val="1.276052743513398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AC0-44EF-9771-84A42D6F05A3}"/>
                </c:ext>
              </c:extLst>
            </c:dLbl>
            <c:dLbl>
              <c:idx val="1"/>
              <c:layout>
                <c:manualLayout>
                  <c:x val="-3.6194113740377135E-2"/>
                  <c:y val="2.12675457252233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AC0-44EF-9771-84A42D6F05A3}"/>
                </c:ext>
              </c:extLst>
            </c:dLbl>
            <c:dLbl>
              <c:idx val="2"/>
              <c:layout>
                <c:manualLayout>
                  <c:x val="-2.9017656022403172E-2"/>
                  <c:y val="2.977456401531255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AC0-44EF-9771-84A42D6F05A3}"/>
                </c:ext>
              </c:extLst>
            </c:dLbl>
            <c:dLbl>
              <c:idx val="3"/>
              <c:layout>
                <c:manualLayout>
                  <c:x val="-3.6194113740377135E-2"/>
                  <c:y val="3.402807316035725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AC0-44EF-9771-84A42D6F05A3}"/>
                </c:ext>
              </c:extLst>
            </c:dLbl>
            <c:dLbl>
              <c:idx val="4"/>
              <c:layout>
                <c:manualLayout>
                  <c:x val="-9.9387806258382453E-3"/>
                  <c:y val="0"/>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AAC0-44EF-9771-84A42D6F05A3}"/>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dk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Sheet3!$C$2:$G$2</c:f>
              <c:numCache>
                <c:formatCode>General</c:formatCode>
                <c:ptCount val="5"/>
                <c:pt idx="0">
                  <c:v>2021</c:v>
                </c:pt>
                <c:pt idx="1">
                  <c:v>2022</c:v>
                </c:pt>
                <c:pt idx="2">
                  <c:v>2023</c:v>
                </c:pt>
                <c:pt idx="3">
                  <c:v>2024</c:v>
                </c:pt>
                <c:pt idx="4">
                  <c:v>2025</c:v>
                </c:pt>
              </c:numCache>
            </c:numRef>
          </c:cat>
          <c:val>
            <c:numRef>
              <c:f>Sheet3!$C$3:$G$3</c:f>
              <c:numCache>
                <c:formatCode>General</c:formatCode>
                <c:ptCount val="5"/>
                <c:pt idx="0">
                  <c:v>11.06</c:v>
                </c:pt>
                <c:pt idx="1">
                  <c:v>7.93</c:v>
                </c:pt>
                <c:pt idx="2">
                  <c:v>8.9</c:v>
                </c:pt>
                <c:pt idx="3">
                  <c:v>9.35</c:v>
                </c:pt>
                <c:pt idx="4">
                  <c:v>8.48</c:v>
                </c:pt>
              </c:numCache>
            </c:numRef>
          </c:val>
          <c:smooth val="0"/>
          <c:extLst>
            <c:ext xmlns:c16="http://schemas.microsoft.com/office/drawing/2014/chart" uri="{C3380CC4-5D6E-409C-BE32-E72D297353CC}">
              <c16:uniqueId val="{00000000-6598-4E6B-9ECB-CCE8C6EE1AE0}"/>
            </c:ext>
          </c:extLst>
        </c:ser>
        <c:dLbls>
          <c:dLblPos val="ctr"/>
          <c:showLegendKey val="0"/>
          <c:showVal val="1"/>
          <c:showCatName val="0"/>
          <c:showSerName val="0"/>
          <c:showPercent val="0"/>
          <c:showBubbleSize val="0"/>
        </c:dLbls>
        <c:smooth val="0"/>
        <c:axId val="415889295"/>
        <c:axId val="415894095"/>
      </c:lineChart>
      <c:catAx>
        <c:axId val="415889295"/>
        <c:scaling>
          <c:orientation val="minMax"/>
        </c:scaling>
        <c:delete val="0"/>
        <c:axPos val="b"/>
        <c:majorGridlines>
          <c:spPr>
            <a:ln w="9525" cap="flat" cmpd="sng" algn="ctr">
              <a:solidFill>
                <a:schemeClr val="dk1">
                  <a:lumMod val="15000"/>
                  <a:lumOff val="8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title>
          <c:tx>
            <c:rich>
              <a:bodyPr rot="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en-US" sz="1000">
                    <a:solidFill>
                      <a:schemeClr val="tx1"/>
                    </a:solidFill>
                    <a:latin typeface="Cambria Math" panose="02040503050406030204" pitchFamily="18" charset="0"/>
                    <a:ea typeface="Cambria Math" panose="02040503050406030204" pitchFamily="18" charset="0"/>
                  </a:rPr>
                  <a:t>Year</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n-US"/>
          </a:p>
        </c:txPr>
        <c:crossAx val="415894095"/>
        <c:crosses val="autoZero"/>
        <c:auto val="1"/>
        <c:lblAlgn val="ctr"/>
        <c:lblOffset val="100"/>
        <c:noMultiLvlLbl val="0"/>
      </c:catAx>
      <c:valAx>
        <c:axId val="415894095"/>
        <c:scaling>
          <c:orientation val="minMax"/>
        </c:scaling>
        <c:delete val="0"/>
        <c:axPos val="l"/>
        <c:majorGridlines>
          <c:spPr>
            <a:ln w="9525" cap="flat" cmpd="sng" algn="ctr">
              <a:solidFill>
                <a:schemeClr val="dk1">
                  <a:lumMod val="15000"/>
                  <a:lumOff val="85000"/>
                  <a:alpha val="54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en-US" sz="1000">
                    <a:solidFill>
                      <a:schemeClr val="tx1"/>
                    </a:solidFill>
                    <a:latin typeface="Cambria Math" panose="02040503050406030204" pitchFamily="18" charset="0"/>
                    <a:ea typeface="Cambria Math" panose="02040503050406030204" pitchFamily="18" charset="0"/>
                  </a:rPr>
                  <a:t>Times</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415889295"/>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en-US" sz="1200">
                <a:solidFill>
                  <a:schemeClr val="accent1"/>
                </a:solidFill>
                <a:latin typeface="Arial" panose="020B0604020202020204" pitchFamily="34" charset="0"/>
                <a:ea typeface="Cambria Math" panose="02040503050406030204" pitchFamily="18" charset="0"/>
                <a:cs typeface="Arial" panose="020B0604020202020204" pitchFamily="34" charset="0"/>
              </a:rPr>
              <a:t>Payable Turnover Ratio (Times)</a:t>
            </a:r>
          </a:p>
        </c:rich>
      </c:tx>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en-US"/>
        </a:p>
      </c:txPr>
    </c:title>
    <c:autoTitleDeleted val="0"/>
    <c:plotArea>
      <c:layout/>
      <c:lineChart>
        <c:grouping val="standard"/>
        <c:varyColors val="0"/>
        <c:ser>
          <c:idx val="0"/>
          <c:order val="0"/>
          <c:tx>
            <c:strRef>
              <c:f>Sheet3!$B$6</c:f>
              <c:strCache>
                <c:ptCount val="1"/>
                <c:pt idx="0">
                  <c:v>Payable Turnover Ratio</c:v>
                </c:pt>
              </c:strCache>
            </c:strRef>
          </c:tx>
          <c:spPr>
            <a:ln w="22225" cap="rnd">
              <a:solidFill>
                <a:schemeClr val="accent1"/>
              </a:solidFill>
              <a:round/>
            </a:ln>
            <a:effectLst/>
          </c:spPr>
          <c:marker>
            <c:symbol val="none"/>
          </c:marker>
          <c:dLbls>
            <c:dLbl>
              <c:idx val="0"/>
              <c:layout>
                <c:manualLayout>
                  <c:x val="-6.1425145568030401E-2"/>
                  <c:y val="-1.495606655449616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F5F-4FC7-AE62-2C075134DFBA}"/>
                </c:ext>
              </c:extLst>
            </c:dLbl>
            <c:dLbl>
              <c:idx val="1"/>
              <c:layout>
                <c:manualLayout>
                  <c:x val="-4.1555402770812128E-2"/>
                  <c:y val="2.243409983174421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F5F-4FC7-AE62-2C075134DFBA}"/>
                </c:ext>
              </c:extLst>
            </c:dLbl>
            <c:dLbl>
              <c:idx val="2"/>
              <c:layout>
                <c:manualLayout>
                  <c:x val="-3.6521734595516879E-2"/>
                  <c:y val="2.243409983174418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F5F-4FC7-AE62-2C075134DFBA}"/>
                </c:ext>
              </c:extLst>
            </c:dLbl>
            <c:dLbl>
              <c:idx val="3"/>
              <c:layout>
                <c:manualLayout>
                  <c:x val="-4.1555402770812329E-2"/>
                  <c:y val="2.617311647036829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F5F-4FC7-AE62-2C075134DFBA}"/>
                </c:ext>
              </c:extLst>
            </c:dLbl>
            <c:dLbl>
              <c:idx val="4"/>
              <c:layout>
                <c:manualLayout>
                  <c:x val="-1.727016157421226E-2"/>
                  <c:y val="-3.7390166386240421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DF5F-4FC7-AE62-2C075134DFBA}"/>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dk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Sheet3!$C$5:$G$5</c:f>
              <c:numCache>
                <c:formatCode>General</c:formatCode>
                <c:ptCount val="5"/>
                <c:pt idx="0">
                  <c:v>2021</c:v>
                </c:pt>
                <c:pt idx="1">
                  <c:v>2022</c:v>
                </c:pt>
                <c:pt idx="2">
                  <c:v>2023</c:v>
                </c:pt>
                <c:pt idx="3">
                  <c:v>2024</c:v>
                </c:pt>
                <c:pt idx="4">
                  <c:v>2025</c:v>
                </c:pt>
              </c:numCache>
            </c:numRef>
          </c:cat>
          <c:val>
            <c:numRef>
              <c:f>Sheet3!$C$6:$G$6</c:f>
              <c:numCache>
                <c:formatCode>General</c:formatCode>
                <c:ptCount val="5"/>
                <c:pt idx="0">
                  <c:v>17.38</c:v>
                </c:pt>
                <c:pt idx="1">
                  <c:v>15.86</c:v>
                </c:pt>
                <c:pt idx="2">
                  <c:v>14.6</c:v>
                </c:pt>
                <c:pt idx="3">
                  <c:v>18.260000000000002</c:v>
                </c:pt>
                <c:pt idx="4">
                  <c:v>16.59</c:v>
                </c:pt>
              </c:numCache>
            </c:numRef>
          </c:val>
          <c:smooth val="0"/>
          <c:extLst>
            <c:ext xmlns:c16="http://schemas.microsoft.com/office/drawing/2014/chart" uri="{C3380CC4-5D6E-409C-BE32-E72D297353CC}">
              <c16:uniqueId val="{00000000-0FB6-450F-9C0F-6ECE2B61FE5E}"/>
            </c:ext>
          </c:extLst>
        </c:ser>
        <c:dLbls>
          <c:dLblPos val="ctr"/>
          <c:showLegendKey val="0"/>
          <c:showVal val="1"/>
          <c:showCatName val="0"/>
          <c:showSerName val="0"/>
          <c:showPercent val="0"/>
          <c:showBubbleSize val="0"/>
        </c:dLbls>
        <c:smooth val="0"/>
        <c:axId val="415899375"/>
        <c:axId val="415888335"/>
      </c:lineChart>
      <c:catAx>
        <c:axId val="415899375"/>
        <c:scaling>
          <c:orientation val="minMax"/>
        </c:scaling>
        <c:delete val="0"/>
        <c:axPos val="b"/>
        <c:majorGridlines>
          <c:spPr>
            <a:ln w="9525" cap="flat" cmpd="sng" algn="ctr">
              <a:solidFill>
                <a:schemeClr val="dk1">
                  <a:lumMod val="15000"/>
                  <a:lumOff val="8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title>
          <c:tx>
            <c:rich>
              <a:bodyPr rot="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en-US" sz="1000">
                    <a:solidFill>
                      <a:schemeClr val="tx1"/>
                    </a:solidFill>
                    <a:latin typeface="Cambria Math" panose="02040503050406030204" pitchFamily="18" charset="0"/>
                    <a:ea typeface="Cambria Math" panose="02040503050406030204" pitchFamily="18" charset="0"/>
                  </a:rPr>
                  <a:t>Year</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n-US"/>
          </a:p>
        </c:txPr>
        <c:crossAx val="415888335"/>
        <c:crosses val="autoZero"/>
        <c:auto val="1"/>
        <c:lblAlgn val="ctr"/>
        <c:lblOffset val="100"/>
        <c:noMultiLvlLbl val="0"/>
      </c:catAx>
      <c:valAx>
        <c:axId val="415888335"/>
        <c:scaling>
          <c:orientation val="minMax"/>
        </c:scaling>
        <c:delete val="0"/>
        <c:axPos val="l"/>
        <c:majorGridlines>
          <c:spPr>
            <a:ln w="9525" cap="flat" cmpd="sng" algn="ctr">
              <a:solidFill>
                <a:schemeClr val="dk1">
                  <a:lumMod val="15000"/>
                  <a:lumOff val="85000"/>
                  <a:alpha val="54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en-US" sz="1000">
                    <a:solidFill>
                      <a:schemeClr val="tx1"/>
                    </a:solidFill>
                    <a:latin typeface="Cambria Math" panose="02040503050406030204" pitchFamily="18" charset="0"/>
                    <a:ea typeface="Cambria Math" panose="02040503050406030204" pitchFamily="18" charset="0"/>
                  </a:rPr>
                  <a:t>Times</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415899375"/>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en-US" sz="1200">
                <a:solidFill>
                  <a:schemeClr val="accent1"/>
                </a:solidFill>
                <a:latin typeface="Arial" panose="020B0604020202020204" pitchFamily="34" charset="0"/>
                <a:ea typeface="Cambria Math" panose="02040503050406030204" pitchFamily="18" charset="0"/>
                <a:cs typeface="Arial" panose="020B0604020202020204" pitchFamily="34" charset="0"/>
              </a:rPr>
              <a:t>Working Capital Turnover Ratio (Times)</a:t>
            </a:r>
          </a:p>
        </c:rich>
      </c:tx>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en-US"/>
        </a:p>
      </c:txPr>
    </c:title>
    <c:autoTitleDeleted val="0"/>
    <c:plotArea>
      <c:layout/>
      <c:lineChart>
        <c:grouping val="standard"/>
        <c:varyColors val="0"/>
        <c:ser>
          <c:idx val="0"/>
          <c:order val="0"/>
          <c:tx>
            <c:strRef>
              <c:f>Sheet3!$B$24</c:f>
              <c:strCache>
                <c:ptCount val="1"/>
                <c:pt idx="0">
                  <c:v>Working Capital Turnover Ratio</c:v>
                </c:pt>
              </c:strCache>
            </c:strRef>
          </c:tx>
          <c:spPr>
            <a:ln w="22225" cap="rnd">
              <a:solidFill>
                <a:schemeClr val="accent1"/>
              </a:solidFill>
              <a:round/>
            </a:ln>
            <a:effectLst/>
          </c:spPr>
          <c:marker>
            <c:symbol val="none"/>
          </c:marker>
          <c:dLbls>
            <c:dLbl>
              <c:idx val="0"/>
              <c:layout>
                <c:manualLayout>
                  <c:x val="-3.6229784680331535E-2"/>
                  <c:y val="1.795332136445242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7AC-4ADA-B1DC-61E6419DCBDE}"/>
                </c:ext>
              </c:extLst>
            </c:dLbl>
            <c:dLbl>
              <c:idx val="1"/>
              <c:layout>
                <c:manualLayout>
                  <c:x val="-3.6229784680331514E-2"/>
                  <c:y val="-2.24416517055655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7AC-4ADA-B1DC-61E6419DCBDE}"/>
                </c:ext>
              </c:extLst>
            </c:dLbl>
            <c:dLbl>
              <c:idx val="2"/>
              <c:layout>
                <c:manualLayout>
                  <c:x val="-3.6229784680331514E-2"/>
                  <c:y val="3.59066427289048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7AC-4ADA-B1DC-61E6419DCBDE}"/>
                </c:ext>
              </c:extLst>
            </c:dLbl>
            <c:dLbl>
              <c:idx val="3"/>
              <c:layout>
                <c:manualLayout>
                  <c:x val="-3.184958319106293E-2"/>
                  <c:y val="-4.488330341113105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7AC-4ADA-B1DC-61E6419DCBDE}"/>
                </c:ext>
              </c:extLst>
            </c:dLbl>
            <c:dLbl>
              <c:idx val="4"/>
              <c:layout>
                <c:manualLayout>
                  <c:x val="-2.0899079467891744E-2"/>
                  <c:y val="2.24416517055655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D7AC-4ADA-B1DC-61E6419DCBDE}"/>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dk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Sheet3!$C$23:$G$23</c:f>
              <c:numCache>
                <c:formatCode>General</c:formatCode>
                <c:ptCount val="5"/>
                <c:pt idx="0">
                  <c:v>2021</c:v>
                </c:pt>
                <c:pt idx="1">
                  <c:v>2022</c:v>
                </c:pt>
                <c:pt idx="2">
                  <c:v>2023</c:v>
                </c:pt>
                <c:pt idx="3">
                  <c:v>2024</c:v>
                </c:pt>
                <c:pt idx="4">
                  <c:v>2025</c:v>
                </c:pt>
              </c:numCache>
            </c:numRef>
          </c:cat>
          <c:val>
            <c:numRef>
              <c:f>Sheet3!$C$24:$G$24</c:f>
              <c:numCache>
                <c:formatCode>General</c:formatCode>
                <c:ptCount val="5"/>
                <c:pt idx="0">
                  <c:v>3.04</c:v>
                </c:pt>
                <c:pt idx="1">
                  <c:v>4.97</c:v>
                </c:pt>
                <c:pt idx="2">
                  <c:v>6.02</c:v>
                </c:pt>
                <c:pt idx="3">
                  <c:v>2.69</c:v>
                </c:pt>
                <c:pt idx="4">
                  <c:v>3.61</c:v>
                </c:pt>
              </c:numCache>
            </c:numRef>
          </c:val>
          <c:smooth val="0"/>
          <c:extLst>
            <c:ext xmlns:c16="http://schemas.microsoft.com/office/drawing/2014/chart" uri="{C3380CC4-5D6E-409C-BE32-E72D297353CC}">
              <c16:uniqueId val="{00000000-7C65-4D3C-9B13-A6B77865C81C}"/>
            </c:ext>
          </c:extLst>
        </c:ser>
        <c:dLbls>
          <c:dLblPos val="ctr"/>
          <c:showLegendKey val="0"/>
          <c:showVal val="1"/>
          <c:showCatName val="0"/>
          <c:showSerName val="0"/>
          <c:showPercent val="0"/>
          <c:showBubbleSize val="0"/>
        </c:dLbls>
        <c:smooth val="0"/>
        <c:axId val="415857135"/>
        <c:axId val="415862895"/>
      </c:lineChart>
      <c:catAx>
        <c:axId val="415857135"/>
        <c:scaling>
          <c:orientation val="minMax"/>
        </c:scaling>
        <c:delete val="0"/>
        <c:axPos val="b"/>
        <c:majorGridlines>
          <c:spPr>
            <a:ln w="9525" cap="flat" cmpd="sng" algn="ctr">
              <a:solidFill>
                <a:schemeClr val="dk1">
                  <a:lumMod val="15000"/>
                  <a:lumOff val="8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title>
          <c:tx>
            <c:rich>
              <a:bodyPr rot="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en-US" sz="1000">
                    <a:solidFill>
                      <a:schemeClr val="tx1"/>
                    </a:solidFill>
                    <a:latin typeface="Cambria Math" panose="02040503050406030204" pitchFamily="18" charset="0"/>
                    <a:ea typeface="Cambria Math" panose="02040503050406030204" pitchFamily="18" charset="0"/>
                  </a:rPr>
                  <a:t>Year</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n-US"/>
          </a:p>
        </c:txPr>
        <c:crossAx val="415862895"/>
        <c:crosses val="autoZero"/>
        <c:auto val="1"/>
        <c:lblAlgn val="ctr"/>
        <c:lblOffset val="100"/>
        <c:noMultiLvlLbl val="0"/>
      </c:catAx>
      <c:valAx>
        <c:axId val="415862895"/>
        <c:scaling>
          <c:orientation val="minMax"/>
        </c:scaling>
        <c:delete val="0"/>
        <c:axPos val="l"/>
        <c:majorGridlines>
          <c:spPr>
            <a:ln w="9525" cap="flat" cmpd="sng" algn="ctr">
              <a:solidFill>
                <a:schemeClr val="dk1">
                  <a:lumMod val="15000"/>
                  <a:lumOff val="85000"/>
                  <a:alpha val="54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en-US" sz="1000">
                    <a:solidFill>
                      <a:schemeClr val="tx1"/>
                    </a:solidFill>
                    <a:latin typeface="Cambria Math" panose="02040503050406030204" pitchFamily="18" charset="0"/>
                    <a:ea typeface="Cambria Math" panose="02040503050406030204" pitchFamily="18" charset="0"/>
                  </a:rPr>
                  <a:t>Times</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415857135"/>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en-US" sz="1200">
                <a:solidFill>
                  <a:schemeClr val="accent1"/>
                </a:solidFill>
                <a:latin typeface="Arial" panose="020B0604020202020204" pitchFamily="34" charset="0"/>
                <a:ea typeface="Cambria Math" panose="02040503050406030204" pitchFamily="18" charset="0"/>
                <a:cs typeface="Arial" panose="020B0604020202020204" pitchFamily="34" charset="0"/>
              </a:rPr>
              <a:t>Net</a:t>
            </a:r>
            <a:r>
              <a:rPr lang="en-US" sz="1200" baseline="0">
                <a:solidFill>
                  <a:schemeClr val="accent1"/>
                </a:solidFill>
                <a:latin typeface="Arial" panose="020B0604020202020204" pitchFamily="34" charset="0"/>
                <a:ea typeface="Cambria Math" panose="02040503050406030204" pitchFamily="18" charset="0"/>
                <a:cs typeface="Arial" panose="020B0604020202020204" pitchFamily="34" charset="0"/>
              </a:rPr>
              <a:t> Working Capital </a:t>
            </a:r>
            <a:endParaRPr lang="en-US" sz="1200">
              <a:solidFill>
                <a:schemeClr val="accent1"/>
              </a:solidFill>
              <a:latin typeface="Arial" panose="020B0604020202020204" pitchFamily="34" charset="0"/>
              <a:ea typeface="Cambria Math" panose="02040503050406030204" pitchFamily="18"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en-US"/>
        </a:p>
      </c:txPr>
    </c:title>
    <c:autoTitleDeleted val="0"/>
    <c:plotArea>
      <c:layout/>
      <c:lineChart>
        <c:grouping val="standard"/>
        <c:varyColors val="0"/>
        <c:ser>
          <c:idx val="0"/>
          <c:order val="0"/>
          <c:tx>
            <c:strRef>
              <c:f>Sheet3!$R$3</c:f>
              <c:strCache>
                <c:ptCount val="1"/>
                <c:pt idx="0">
                  <c:v>Current Assets (BDT Cr.)</c:v>
                </c:pt>
              </c:strCache>
            </c:strRef>
          </c:tx>
          <c:spPr>
            <a:ln w="22225" cap="rnd">
              <a:solidFill>
                <a:schemeClr val="accent1"/>
              </a:solidFill>
              <a:round/>
            </a:ln>
            <a:effectLst/>
          </c:spPr>
          <c:marker>
            <c:symbol val="none"/>
          </c:marker>
          <c:dLbls>
            <c:dLbl>
              <c:idx val="3"/>
              <c:layout>
                <c:manualLayout>
                  <c:x val="-3.4967715950501486E-2"/>
                  <c:y val="2.679629530558216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7F0-474F-B518-651ABDD717D5}"/>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dk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Sheet3!$S$2:$W$2</c:f>
              <c:numCache>
                <c:formatCode>General</c:formatCode>
                <c:ptCount val="5"/>
                <c:pt idx="0">
                  <c:v>2021</c:v>
                </c:pt>
                <c:pt idx="1">
                  <c:v>2022</c:v>
                </c:pt>
                <c:pt idx="2">
                  <c:v>2023</c:v>
                </c:pt>
                <c:pt idx="3">
                  <c:v>2024</c:v>
                </c:pt>
                <c:pt idx="4">
                  <c:v>2025</c:v>
                </c:pt>
              </c:numCache>
            </c:numRef>
          </c:cat>
          <c:val>
            <c:numRef>
              <c:f>Sheet3!$S$3:$W$3</c:f>
              <c:numCache>
                <c:formatCode>General</c:formatCode>
                <c:ptCount val="5"/>
                <c:pt idx="0">
                  <c:v>2.86</c:v>
                </c:pt>
                <c:pt idx="1">
                  <c:v>2.91</c:v>
                </c:pt>
                <c:pt idx="2">
                  <c:v>3.61</c:v>
                </c:pt>
                <c:pt idx="3">
                  <c:v>4.72</c:v>
                </c:pt>
                <c:pt idx="4">
                  <c:v>3.78</c:v>
                </c:pt>
              </c:numCache>
            </c:numRef>
          </c:val>
          <c:smooth val="0"/>
          <c:extLst>
            <c:ext xmlns:c16="http://schemas.microsoft.com/office/drawing/2014/chart" uri="{C3380CC4-5D6E-409C-BE32-E72D297353CC}">
              <c16:uniqueId val="{00000000-A798-4F89-8FEB-C7F07EC70E86}"/>
            </c:ext>
          </c:extLst>
        </c:ser>
        <c:ser>
          <c:idx val="1"/>
          <c:order val="1"/>
          <c:tx>
            <c:strRef>
              <c:f>Sheet3!$R$4</c:f>
              <c:strCache>
                <c:ptCount val="1"/>
                <c:pt idx="0">
                  <c:v>Current Liabilities (BDT Cr.)</c:v>
                </c:pt>
              </c:strCache>
            </c:strRef>
          </c:tx>
          <c:spPr>
            <a:ln w="22225"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dk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Sheet3!$S$2:$W$2</c:f>
              <c:numCache>
                <c:formatCode>General</c:formatCode>
                <c:ptCount val="5"/>
                <c:pt idx="0">
                  <c:v>2021</c:v>
                </c:pt>
                <c:pt idx="1">
                  <c:v>2022</c:v>
                </c:pt>
                <c:pt idx="2">
                  <c:v>2023</c:v>
                </c:pt>
                <c:pt idx="3">
                  <c:v>2024</c:v>
                </c:pt>
                <c:pt idx="4">
                  <c:v>2025</c:v>
                </c:pt>
              </c:numCache>
            </c:numRef>
          </c:cat>
          <c:val>
            <c:numRef>
              <c:f>Sheet3!$S$4:$W$4</c:f>
              <c:numCache>
                <c:formatCode>General</c:formatCode>
                <c:ptCount val="5"/>
                <c:pt idx="0">
                  <c:v>1.49</c:v>
                </c:pt>
                <c:pt idx="1">
                  <c:v>1.97</c:v>
                </c:pt>
                <c:pt idx="2">
                  <c:v>2.71</c:v>
                </c:pt>
                <c:pt idx="3">
                  <c:v>2.63</c:v>
                </c:pt>
                <c:pt idx="4">
                  <c:v>2.17</c:v>
                </c:pt>
              </c:numCache>
            </c:numRef>
          </c:val>
          <c:smooth val="0"/>
          <c:extLst>
            <c:ext xmlns:c16="http://schemas.microsoft.com/office/drawing/2014/chart" uri="{C3380CC4-5D6E-409C-BE32-E72D297353CC}">
              <c16:uniqueId val="{00000001-A798-4F89-8FEB-C7F07EC70E86}"/>
            </c:ext>
          </c:extLst>
        </c:ser>
        <c:ser>
          <c:idx val="2"/>
          <c:order val="2"/>
          <c:tx>
            <c:strRef>
              <c:f>Sheet3!$R$5</c:f>
              <c:strCache>
                <c:ptCount val="1"/>
                <c:pt idx="0">
                  <c:v>NWC (BDT Cr.)</c:v>
                </c:pt>
              </c:strCache>
            </c:strRef>
          </c:tx>
          <c:spPr>
            <a:ln w="22225" cap="rnd">
              <a:solidFill>
                <a:schemeClr val="accent3"/>
              </a:solidFill>
              <a:round/>
            </a:ln>
            <a:effectLst/>
          </c:spPr>
          <c:marker>
            <c:symbol val="none"/>
          </c:marker>
          <c:dLbls>
            <c:dLbl>
              <c:idx val="0"/>
              <c:layout>
                <c:manualLayout>
                  <c:x val="-5.9429056563727073E-2"/>
                  <c:y val="6.2074544573218517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798-4F89-8FEB-C7F07EC70E86}"/>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dk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Sheet3!$S$2:$W$2</c:f>
              <c:numCache>
                <c:formatCode>General</c:formatCode>
                <c:ptCount val="5"/>
                <c:pt idx="0">
                  <c:v>2021</c:v>
                </c:pt>
                <c:pt idx="1">
                  <c:v>2022</c:v>
                </c:pt>
                <c:pt idx="2">
                  <c:v>2023</c:v>
                </c:pt>
                <c:pt idx="3">
                  <c:v>2024</c:v>
                </c:pt>
                <c:pt idx="4">
                  <c:v>2025</c:v>
                </c:pt>
              </c:numCache>
            </c:numRef>
          </c:cat>
          <c:val>
            <c:numRef>
              <c:f>Sheet3!$S$5:$W$5</c:f>
              <c:numCache>
                <c:formatCode>General</c:formatCode>
                <c:ptCount val="5"/>
                <c:pt idx="0">
                  <c:v>1.38</c:v>
                </c:pt>
                <c:pt idx="1">
                  <c:v>0.93</c:v>
                </c:pt>
                <c:pt idx="2">
                  <c:v>0.9</c:v>
                </c:pt>
                <c:pt idx="3">
                  <c:v>2.09</c:v>
                </c:pt>
                <c:pt idx="4">
                  <c:v>1.61</c:v>
                </c:pt>
              </c:numCache>
            </c:numRef>
          </c:val>
          <c:smooth val="0"/>
          <c:extLst>
            <c:ext xmlns:c16="http://schemas.microsoft.com/office/drawing/2014/chart" uri="{C3380CC4-5D6E-409C-BE32-E72D297353CC}">
              <c16:uniqueId val="{00000002-A798-4F89-8FEB-C7F07EC70E86}"/>
            </c:ext>
          </c:extLst>
        </c:ser>
        <c:dLbls>
          <c:dLblPos val="t"/>
          <c:showLegendKey val="0"/>
          <c:showVal val="1"/>
          <c:showCatName val="0"/>
          <c:showSerName val="0"/>
          <c:showPercent val="0"/>
          <c:showBubbleSize val="0"/>
        </c:dLbls>
        <c:smooth val="0"/>
        <c:axId val="415914735"/>
        <c:axId val="415903215"/>
      </c:lineChart>
      <c:catAx>
        <c:axId val="415914735"/>
        <c:scaling>
          <c:orientation val="minMax"/>
        </c:scaling>
        <c:delete val="0"/>
        <c:axPos val="b"/>
        <c:majorGridlines>
          <c:spPr>
            <a:ln w="9525" cap="flat" cmpd="sng" algn="ctr">
              <a:solidFill>
                <a:schemeClr val="dk1">
                  <a:lumMod val="15000"/>
                  <a:lumOff val="8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title>
          <c:tx>
            <c:rich>
              <a:bodyPr rot="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en-US" sz="1000">
                    <a:solidFill>
                      <a:schemeClr val="tx1"/>
                    </a:solidFill>
                    <a:latin typeface="Cambria Math" panose="02040503050406030204" pitchFamily="18" charset="0"/>
                    <a:ea typeface="Cambria Math" panose="02040503050406030204" pitchFamily="18" charset="0"/>
                  </a:rPr>
                  <a:t>Year</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n-US"/>
          </a:p>
        </c:txPr>
        <c:crossAx val="415903215"/>
        <c:crosses val="autoZero"/>
        <c:auto val="1"/>
        <c:lblAlgn val="ctr"/>
        <c:lblOffset val="100"/>
        <c:noMultiLvlLbl val="0"/>
      </c:catAx>
      <c:valAx>
        <c:axId val="415903215"/>
        <c:scaling>
          <c:orientation val="minMax"/>
        </c:scaling>
        <c:delete val="0"/>
        <c:axPos val="l"/>
        <c:majorGridlines>
          <c:spPr>
            <a:ln w="9525" cap="flat" cmpd="sng" algn="ctr">
              <a:solidFill>
                <a:schemeClr val="dk1">
                  <a:lumMod val="15000"/>
                  <a:lumOff val="85000"/>
                  <a:alpha val="54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en-US" sz="1000">
                    <a:solidFill>
                      <a:schemeClr val="tx1"/>
                    </a:solidFill>
                    <a:latin typeface="Cambria Math" panose="02040503050406030204" pitchFamily="18" charset="0"/>
                    <a:ea typeface="Cambria Math" panose="02040503050406030204" pitchFamily="18" charset="0"/>
                  </a:rPr>
                  <a:t>Net</a:t>
                </a:r>
                <a:r>
                  <a:rPr lang="en-US" sz="1000" baseline="0">
                    <a:solidFill>
                      <a:schemeClr val="tx1"/>
                    </a:solidFill>
                    <a:latin typeface="Cambria Math" panose="02040503050406030204" pitchFamily="18" charset="0"/>
                    <a:ea typeface="Cambria Math" panose="02040503050406030204" pitchFamily="18" charset="0"/>
                  </a:rPr>
                  <a:t> Working Capital Amount </a:t>
                </a:r>
                <a:r>
                  <a:rPr lang="en-US" baseline="0"/>
                  <a:t>(</a:t>
                </a:r>
                <a:r>
                  <a:rPr lang="en-US" sz="1000" baseline="0">
                    <a:solidFill>
                      <a:schemeClr val="tx1"/>
                    </a:solidFill>
                    <a:latin typeface="Cambria Math" panose="02040503050406030204" pitchFamily="18" charset="0"/>
                    <a:ea typeface="Cambria Math" panose="02040503050406030204" pitchFamily="18" charset="0"/>
                  </a:rPr>
                  <a:t>Cr)</a:t>
                </a:r>
                <a:endParaRPr lang="en-US" sz="1000">
                  <a:solidFill>
                    <a:schemeClr val="tx1"/>
                  </a:solidFill>
                  <a:latin typeface="Cambria Math" panose="02040503050406030204" pitchFamily="18" charset="0"/>
                  <a:ea typeface="Cambria Math" panose="02040503050406030204" pitchFamily="18" charset="0"/>
                </a:endParaRPr>
              </a:p>
            </c:rich>
          </c:tx>
          <c:layout>
            <c:manualLayout>
              <c:xMode val="edge"/>
              <c:yMode val="edge"/>
              <c:x val="1.4857264140931763E-2"/>
              <c:y val="0.1661347612586104"/>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415914735"/>
        <c:crosses val="autoZero"/>
        <c:crossBetween val="between"/>
      </c:valAx>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withinLinear" id="14">
  <a:schemeClr val="accent1"/>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3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alpha val="54000"/>
          </a:schemeClr>
        </a:solidFill>
        <a:round/>
      </a:ln>
    </cs:spPr>
  </cs:gridlineMajor>
  <cs:gridlineMinor>
    <cs:lnRef idx="0"/>
    <cs:fillRef idx="0"/>
    <cs:effectRef idx="0"/>
    <cs:fontRef idx="minor">
      <a:schemeClr val="dk1"/>
    </cs:fontRef>
    <cs:spPr>
      <a:ln w="9525" cap="flat" cmpd="sng" algn="ctr">
        <a:solidFill>
          <a:schemeClr val="dk1">
            <a:lumMod val="15000"/>
            <a:lumOff val="85000"/>
            <a:alpha val="51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2.xml><?xml version="1.0" encoding="utf-8"?>
<cs:chartStyle xmlns:cs="http://schemas.microsoft.com/office/drawing/2012/chartStyle" xmlns:a="http://schemas.openxmlformats.org/drawingml/2006/main" id="250">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alpha val="54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tx1"/>
    </cs:fontRef>
    <cs:spPr>
      <a:ln w="9525" cap="rnd">
        <a:solidFill>
          <a:schemeClr val="phClr">
            <a:alpha val="50000"/>
          </a:scheme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15000"/>
            <a:lumOff val="8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spPr>
      <a:ln w="9525" cap="flat" cmpd="sng" algn="ctr">
        <a:solidFill>
          <a:schemeClr val="dk1">
            <a:lumMod val="15000"/>
            <a:lumOff val="85000"/>
            <a:alpha val="54000"/>
          </a:schemeClr>
        </a:solidFill>
        <a:round/>
      </a:ln>
    </cs:spPr>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spPr>
      <a:ln w="9525" cap="flat" cmpd="sng" algn="ctr">
        <a:solidFill>
          <a:schemeClr val="dk1">
            <a:lumMod val="15000"/>
            <a:lumOff val="85000"/>
            <a:alpha val="54000"/>
          </a:schemeClr>
        </a:solidFill>
        <a:round/>
      </a:ln>
    </cs:spPr>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3.xml><?xml version="1.0" encoding="utf-8"?>
<cs:chartStyle xmlns:cs="http://schemas.microsoft.com/office/drawing/2012/chartStyle" xmlns:a="http://schemas.openxmlformats.org/drawingml/2006/main" id="23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alpha val="54000"/>
          </a:schemeClr>
        </a:solidFill>
        <a:round/>
      </a:ln>
    </cs:spPr>
  </cs:gridlineMajor>
  <cs:gridlineMinor>
    <cs:lnRef idx="0"/>
    <cs:fillRef idx="0"/>
    <cs:effectRef idx="0"/>
    <cs:fontRef idx="minor">
      <a:schemeClr val="dk1"/>
    </cs:fontRef>
    <cs:spPr>
      <a:ln w="9525" cap="flat" cmpd="sng" algn="ctr">
        <a:solidFill>
          <a:schemeClr val="dk1">
            <a:lumMod val="15000"/>
            <a:lumOff val="85000"/>
            <a:alpha val="51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4.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5.xml><?xml version="1.0" encoding="utf-8"?>
<cs:chartStyle xmlns:cs="http://schemas.microsoft.com/office/drawing/2012/chartStyle" xmlns:a="http://schemas.openxmlformats.org/drawingml/2006/main" id="23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alpha val="54000"/>
          </a:schemeClr>
        </a:solidFill>
        <a:round/>
      </a:ln>
    </cs:spPr>
  </cs:gridlineMajor>
  <cs:gridlineMinor>
    <cs:lnRef idx="0"/>
    <cs:fillRef idx="0"/>
    <cs:effectRef idx="0"/>
    <cs:fontRef idx="minor">
      <a:schemeClr val="dk1"/>
    </cs:fontRef>
    <cs:spPr>
      <a:ln w="9525" cap="flat" cmpd="sng" algn="ctr">
        <a:solidFill>
          <a:schemeClr val="dk1">
            <a:lumMod val="15000"/>
            <a:lumOff val="85000"/>
            <a:alpha val="51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6.xml><?xml version="1.0" encoding="utf-8"?>
<cs:chartStyle xmlns:cs="http://schemas.microsoft.com/office/drawing/2012/chartStyle" xmlns:a="http://schemas.openxmlformats.org/drawingml/2006/main" id="23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alpha val="54000"/>
          </a:schemeClr>
        </a:solidFill>
        <a:round/>
      </a:ln>
    </cs:spPr>
  </cs:gridlineMajor>
  <cs:gridlineMinor>
    <cs:lnRef idx="0"/>
    <cs:fillRef idx="0"/>
    <cs:effectRef idx="0"/>
    <cs:fontRef idx="minor">
      <a:schemeClr val="dk1"/>
    </cs:fontRef>
    <cs:spPr>
      <a:ln w="9525" cap="flat" cmpd="sng" algn="ctr">
        <a:solidFill>
          <a:schemeClr val="dk1">
            <a:lumMod val="15000"/>
            <a:lumOff val="85000"/>
            <a:alpha val="51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7.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8.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9.xml><?xml version="1.0" encoding="utf-8"?>
<cs:chartStyle xmlns:cs="http://schemas.microsoft.com/office/drawing/2012/chartStyle" xmlns:a="http://schemas.openxmlformats.org/drawingml/2006/main" id="23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alpha val="54000"/>
          </a:schemeClr>
        </a:solidFill>
        <a:round/>
      </a:ln>
    </cs:spPr>
  </cs:gridlineMajor>
  <cs:gridlineMinor>
    <cs:lnRef idx="0"/>
    <cs:fillRef idx="0"/>
    <cs:effectRef idx="0"/>
    <cs:fontRef idx="minor">
      <a:schemeClr val="dk1"/>
    </cs:fontRef>
    <cs:spPr>
      <a:ln w="9525" cap="flat" cmpd="sng" algn="ctr">
        <a:solidFill>
          <a:schemeClr val="dk1">
            <a:lumMod val="15000"/>
            <a:lumOff val="85000"/>
            <a:alpha val="51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10.xml><?xml version="1.0" encoding="utf-8"?>
<cs:chartStyle xmlns:cs="http://schemas.microsoft.com/office/drawing/2012/chartStyle" xmlns:a="http://schemas.openxmlformats.org/drawingml/2006/main" id="23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alpha val="54000"/>
          </a:schemeClr>
        </a:solidFill>
        <a:round/>
      </a:ln>
    </cs:spPr>
  </cs:gridlineMajor>
  <cs:gridlineMinor>
    <cs:lnRef idx="0"/>
    <cs:fillRef idx="0"/>
    <cs:effectRef idx="0"/>
    <cs:fontRef idx="minor">
      <a:schemeClr val="dk1"/>
    </cs:fontRef>
    <cs:spPr>
      <a:ln w="9525" cap="flat" cmpd="sng" algn="ctr">
        <a:solidFill>
          <a:schemeClr val="dk1">
            <a:lumMod val="15000"/>
            <a:lumOff val="85000"/>
            <a:alpha val="51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11.xml><?xml version="1.0" encoding="utf-8"?>
<cs:chartStyle xmlns:cs="http://schemas.microsoft.com/office/drawing/2012/chartStyle" xmlns:a="http://schemas.openxmlformats.org/drawingml/2006/main" id="23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alpha val="54000"/>
          </a:schemeClr>
        </a:solidFill>
        <a:round/>
      </a:ln>
    </cs:spPr>
  </cs:gridlineMajor>
  <cs:gridlineMinor>
    <cs:lnRef idx="0"/>
    <cs:fillRef idx="0"/>
    <cs:effectRef idx="0"/>
    <cs:fontRef idx="minor">
      <a:schemeClr val="dk1"/>
    </cs:fontRef>
    <cs:spPr>
      <a:ln w="9525" cap="flat" cmpd="sng" algn="ctr">
        <a:solidFill>
          <a:schemeClr val="dk1">
            <a:lumMod val="15000"/>
            <a:lumOff val="85000"/>
            <a:alpha val="51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12.xml><?xml version="1.0" encoding="utf-8"?>
<cs:chartStyle xmlns:cs="http://schemas.microsoft.com/office/drawing/2012/chartStyle" xmlns:a="http://schemas.openxmlformats.org/drawingml/2006/main" id="23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alpha val="54000"/>
          </a:schemeClr>
        </a:solidFill>
        <a:round/>
      </a:ln>
    </cs:spPr>
  </cs:gridlineMajor>
  <cs:gridlineMinor>
    <cs:lnRef idx="0"/>
    <cs:fillRef idx="0"/>
    <cs:effectRef idx="0"/>
    <cs:fontRef idx="minor">
      <a:schemeClr val="dk1"/>
    </cs:fontRef>
    <cs:spPr>
      <a:ln w="9525" cap="flat" cmpd="sng" algn="ctr">
        <a:solidFill>
          <a:schemeClr val="dk1">
            <a:lumMod val="15000"/>
            <a:lumOff val="85000"/>
            <a:alpha val="51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2FFCB-E34E-44AB-B385-13B9163878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60</Pages>
  <Words>14190</Words>
  <Characters>80887</Characters>
  <Application>Microsoft Office Word</Application>
  <DocSecurity>0</DocSecurity>
  <Lines>674</Lines>
  <Paragraphs>189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BAPPY 🇵🇸</dc:creator>
  <cp:keywords/>
  <dc:description/>
  <cp:lastModifiedBy>BAPPY 🇵🇸</cp:lastModifiedBy>
  <cp:revision>2</cp:revision>
  <cp:lastPrinted>2026-07-24T10:50:00Z</cp:lastPrinted>
  <dcterms:created xsi:type="dcterms:W3CDTF">2026-08-02T05:54:00Z</dcterms:created>
  <dcterms:modified xsi:type="dcterms:W3CDTF">2026-08-02T05:54:00Z</dcterms:modified>
</cp:coreProperties>
</file>