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EB6D8" w14:textId="77777777" w:rsidR="00487DB6" w:rsidRPr="00950125" w:rsidRDefault="00487DB6" w:rsidP="00D46E36">
      <w:pPr>
        <w:spacing w:line="276" w:lineRule="auto"/>
        <w:jc w:val="center"/>
        <w:rPr>
          <w:rFonts w:ascii="Times New Roman" w:hAnsi="Times New Roman" w:cs="Times New Roman"/>
          <w:sz w:val="32"/>
          <w:szCs w:val="24"/>
          <w:u w:val="single"/>
        </w:rPr>
      </w:pPr>
    </w:p>
    <w:p w14:paraId="7EF92740" w14:textId="77777777" w:rsidR="00487DB6" w:rsidRPr="00950125" w:rsidRDefault="00487DB6" w:rsidP="00D46E36">
      <w:pPr>
        <w:spacing w:line="276" w:lineRule="auto"/>
        <w:jc w:val="center"/>
        <w:rPr>
          <w:rFonts w:ascii="Times New Roman" w:hAnsi="Times New Roman" w:cs="Times New Roman"/>
          <w:sz w:val="32"/>
          <w:szCs w:val="24"/>
        </w:rPr>
      </w:pPr>
    </w:p>
    <w:p w14:paraId="3763B797" w14:textId="77777777" w:rsidR="00487DB6" w:rsidRPr="00950125" w:rsidRDefault="00487DB6" w:rsidP="00D46E36">
      <w:pPr>
        <w:spacing w:line="276" w:lineRule="auto"/>
        <w:jc w:val="center"/>
        <w:rPr>
          <w:rFonts w:ascii="Times New Roman" w:hAnsi="Times New Roman" w:cs="Times New Roman"/>
          <w:sz w:val="32"/>
          <w:szCs w:val="24"/>
        </w:rPr>
      </w:pPr>
      <w:r w:rsidRPr="00950125">
        <w:rPr>
          <w:rFonts w:ascii="Times New Roman" w:hAnsi="Times New Roman" w:cs="Times New Roman"/>
          <w:sz w:val="32"/>
          <w:szCs w:val="24"/>
        </w:rPr>
        <w:tab/>
      </w:r>
    </w:p>
    <w:p w14:paraId="7E8BBA92" w14:textId="2A5E2FAA" w:rsidR="00AB01B3" w:rsidRPr="00950125" w:rsidRDefault="00AB01B3" w:rsidP="00D46E36">
      <w:pPr>
        <w:spacing w:line="276" w:lineRule="auto"/>
        <w:rPr>
          <w:rFonts w:ascii="Times New Roman" w:hAnsi="Times New Roman" w:cs="Times New Roman"/>
          <w:sz w:val="32"/>
          <w:szCs w:val="24"/>
        </w:rPr>
      </w:pPr>
    </w:p>
    <w:p w14:paraId="2A015F4E" w14:textId="32CDC692" w:rsidR="00487DB6" w:rsidRDefault="00487DB6" w:rsidP="00D46E36">
      <w:pPr>
        <w:spacing w:line="276" w:lineRule="auto"/>
        <w:jc w:val="center"/>
        <w:rPr>
          <w:rFonts w:ascii="Times New Roman" w:hAnsi="Times New Roman" w:cs="Times New Roman"/>
          <w:sz w:val="32"/>
          <w:szCs w:val="24"/>
        </w:rPr>
      </w:pPr>
    </w:p>
    <w:p w14:paraId="1B479D7E" w14:textId="2571A512" w:rsidR="0093193A" w:rsidRDefault="0093193A" w:rsidP="00D46E36">
      <w:pPr>
        <w:spacing w:line="276" w:lineRule="auto"/>
        <w:jc w:val="center"/>
        <w:rPr>
          <w:rFonts w:ascii="Times New Roman" w:hAnsi="Times New Roman" w:cs="Times New Roman"/>
          <w:sz w:val="32"/>
          <w:szCs w:val="24"/>
        </w:rPr>
      </w:pPr>
    </w:p>
    <w:p w14:paraId="13D66328" w14:textId="77777777" w:rsidR="0093193A" w:rsidRPr="00950125" w:rsidRDefault="0093193A" w:rsidP="00D46E36">
      <w:pPr>
        <w:spacing w:line="276" w:lineRule="auto"/>
        <w:jc w:val="center"/>
        <w:rPr>
          <w:rFonts w:ascii="Times New Roman" w:hAnsi="Times New Roman" w:cs="Times New Roman"/>
          <w:sz w:val="32"/>
          <w:szCs w:val="24"/>
        </w:rPr>
      </w:pPr>
    </w:p>
    <w:p w14:paraId="6E0E26B2" w14:textId="77777777" w:rsidR="00AB01B3" w:rsidRPr="0093193A" w:rsidRDefault="00AB01B3" w:rsidP="00D46E36">
      <w:pPr>
        <w:spacing w:line="276" w:lineRule="auto"/>
        <w:jc w:val="center"/>
        <w:rPr>
          <w:rFonts w:ascii="Times New Roman" w:hAnsi="Times New Roman" w:cs="Times New Roman"/>
          <w:sz w:val="32"/>
          <w:szCs w:val="24"/>
        </w:rPr>
      </w:pPr>
    </w:p>
    <w:p w14:paraId="3FA1FDD8" w14:textId="7879FB20" w:rsidR="00AB01B3" w:rsidRPr="00950125" w:rsidRDefault="006E250D" w:rsidP="00D46E36">
      <w:pPr>
        <w:spacing w:line="276" w:lineRule="auto"/>
        <w:jc w:val="center"/>
        <w:rPr>
          <w:rFonts w:ascii="Times New Roman" w:hAnsi="Times New Roman" w:cs="Times New Roman"/>
          <w:sz w:val="32"/>
          <w:szCs w:val="24"/>
        </w:rPr>
      </w:pPr>
      <w:bookmarkStart w:id="0" w:name="_GoBack"/>
      <w:r w:rsidRPr="0093193A">
        <w:rPr>
          <w:rFonts w:ascii="Times New Roman" w:hAnsi="Times New Roman" w:cs="Times New Roman"/>
          <w:sz w:val="44"/>
          <w:szCs w:val="24"/>
        </w:rPr>
        <w:t>Empowering Sustainable Development: The Impact of Institutional Quality, Information and Communication Technology, and Economic Freedom on Clean Energy (SDG 7) and Climate Action (SDG 13)</w:t>
      </w:r>
      <w:bookmarkEnd w:id="0"/>
      <w:r w:rsidR="00AB01B3" w:rsidRPr="00950125">
        <w:rPr>
          <w:rFonts w:ascii="Times New Roman" w:hAnsi="Times New Roman" w:cs="Times New Roman"/>
          <w:sz w:val="32"/>
          <w:szCs w:val="24"/>
        </w:rPr>
        <w:br w:type="page"/>
      </w:r>
    </w:p>
    <w:p w14:paraId="02EB3892" w14:textId="29211EBB" w:rsidR="00AB01B3" w:rsidRPr="00950125" w:rsidRDefault="0069438D" w:rsidP="00D46E36">
      <w:pPr>
        <w:spacing w:line="276" w:lineRule="auto"/>
        <w:jc w:val="center"/>
        <w:rPr>
          <w:rFonts w:ascii="Times New Roman" w:hAnsi="Times New Roman" w:cs="Times New Roman"/>
          <w:sz w:val="32"/>
        </w:rPr>
      </w:pPr>
      <w:r>
        <w:rPr>
          <w:rFonts w:ascii="Times New Roman" w:hAnsi="Times New Roman" w:cs="Times New Roman"/>
          <w:sz w:val="32"/>
        </w:rPr>
        <w:lastRenderedPageBreak/>
        <w:pict w14:anchorId="58A527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95pt;height:207.15pt">
            <v:imagedata r:id="rId8" o:title="uiu logo"/>
          </v:shape>
        </w:pict>
      </w:r>
    </w:p>
    <w:p w14:paraId="41851774" w14:textId="35FB4DF1" w:rsidR="00AB01B3" w:rsidRPr="00BA0AAA" w:rsidRDefault="006E250D" w:rsidP="00D46E36">
      <w:pPr>
        <w:spacing w:after="0" w:line="276" w:lineRule="auto"/>
        <w:jc w:val="center"/>
        <w:rPr>
          <w:rFonts w:ascii="Times New Roman" w:eastAsia="Times New Roman" w:hAnsi="Times New Roman" w:cs="Times New Roman"/>
          <w:b/>
          <w:bCs/>
          <w:color w:val="000000"/>
          <w:sz w:val="30"/>
          <w:szCs w:val="30"/>
        </w:rPr>
      </w:pPr>
      <w:r w:rsidRPr="00BA0AAA">
        <w:rPr>
          <w:rFonts w:ascii="Times New Roman" w:eastAsia="Times New Roman" w:hAnsi="Times New Roman" w:cs="Times New Roman"/>
          <w:b/>
          <w:bCs/>
          <w:color w:val="000000"/>
          <w:sz w:val="30"/>
          <w:szCs w:val="30"/>
        </w:rPr>
        <w:t>Empowering Sustainable Development: The Impact of Institutional Quality, Information and Communication Technology, and Economic Freedom on Clean Energy (SDG 7) and Climate Action (SDG 13)</w:t>
      </w:r>
    </w:p>
    <w:p w14:paraId="1C6A8D01" w14:textId="5755145A" w:rsidR="006E250D" w:rsidRPr="00950125" w:rsidRDefault="006E250D" w:rsidP="00D46E36">
      <w:pPr>
        <w:spacing w:after="0" w:line="276" w:lineRule="auto"/>
        <w:rPr>
          <w:rFonts w:ascii="Times New Roman" w:eastAsia="Times New Roman" w:hAnsi="Times New Roman" w:cs="Times New Roman"/>
          <w:b/>
          <w:bCs/>
          <w:color w:val="000000"/>
          <w:sz w:val="30"/>
          <w:szCs w:val="28"/>
        </w:rPr>
      </w:pPr>
    </w:p>
    <w:p w14:paraId="5E000BE5" w14:textId="04E9E7B4" w:rsidR="00AB01B3" w:rsidRPr="00BA0AAA" w:rsidRDefault="00AB01B3" w:rsidP="00D46E36">
      <w:pPr>
        <w:spacing w:after="0" w:line="276" w:lineRule="auto"/>
        <w:jc w:val="center"/>
        <w:rPr>
          <w:rFonts w:ascii="Times New Roman" w:eastAsia="Times New Roman" w:hAnsi="Times New Roman" w:cs="Times New Roman"/>
          <w:sz w:val="30"/>
          <w:szCs w:val="30"/>
        </w:rPr>
      </w:pPr>
      <w:r w:rsidRPr="00BA0AAA">
        <w:rPr>
          <w:rFonts w:ascii="Times New Roman" w:eastAsia="Times New Roman" w:hAnsi="Times New Roman" w:cs="Times New Roman"/>
          <w:b/>
          <w:bCs/>
          <w:color w:val="000000"/>
          <w:sz w:val="30"/>
          <w:szCs w:val="30"/>
        </w:rPr>
        <w:t>Submitted to,</w:t>
      </w:r>
    </w:p>
    <w:p w14:paraId="42D53199" w14:textId="324E0284" w:rsidR="00AB01B3" w:rsidRPr="00BA0AAA" w:rsidRDefault="00AB01B3" w:rsidP="00D46E36">
      <w:pPr>
        <w:spacing w:after="0" w:line="276" w:lineRule="auto"/>
        <w:jc w:val="center"/>
        <w:rPr>
          <w:rFonts w:ascii="Times New Roman" w:eastAsia="Times New Roman" w:hAnsi="Times New Roman" w:cs="Times New Roman"/>
          <w:sz w:val="28"/>
          <w:szCs w:val="24"/>
        </w:rPr>
      </w:pPr>
      <w:r w:rsidRPr="00BA0AAA">
        <w:rPr>
          <w:rFonts w:ascii="Times New Roman" w:eastAsia="Times New Roman" w:hAnsi="Times New Roman" w:cs="Times New Roman"/>
          <w:bCs/>
          <w:color w:val="000000"/>
          <w:sz w:val="28"/>
          <w:szCs w:val="28"/>
        </w:rPr>
        <w:t>Dr. Md. Qamruzzaman</w:t>
      </w:r>
    </w:p>
    <w:p w14:paraId="7CD4D934" w14:textId="3EBF3090" w:rsidR="00AB01B3" w:rsidRPr="00BA0AAA" w:rsidRDefault="00AB01B3" w:rsidP="00D46E36">
      <w:pPr>
        <w:spacing w:after="0" w:line="276" w:lineRule="auto"/>
        <w:jc w:val="center"/>
        <w:rPr>
          <w:rFonts w:ascii="Times New Roman" w:eastAsia="Times New Roman" w:hAnsi="Times New Roman" w:cs="Times New Roman"/>
          <w:bCs/>
          <w:color w:val="000000"/>
          <w:sz w:val="28"/>
          <w:szCs w:val="28"/>
        </w:rPr>
      </w:pPr>
      <w:r w:rsidRPr="00BA0AAA">
        <w:rPr>
          <w:rFonts w:ascii="Times New Roman" w:eastAsia="Times New Roman" w:hAnsi="Times New Roman" w:cs="Times New Roman"/>
          <w:bCs/>
          <w:color w:val="000000"/>
          <w:sz w:val="28"/>
          <w:szCs w:val="28"/>
        </w:rPr>
        <w:t>Professor</w:t>
      </w:r>
    </w:p>
    <w:p w14:paraId="2F034596" w14:textId="411526E0" w:rsidR="00AB01B3" w:rsidRPr="00BA0AAA" w:rsidRDefault="00AB01B3" w:rsidP="00D46E36">
      <w:pPr>
        <w:spacing w:after="0" w:line="276" w:lineRule="auto"/>
        <w:jc w:val="center"/>
        <w:rPr>
          <w:rFonts w:ascii="Times New Roman" w:eastAsia="Times New Roman" w:hAnsi="Times New Roman" w:cs="Times New Roman"/>
          <w:bCs/>
          <w:color w:val="000000"/>
          <w:sz w:val="28"/>
          <w:szCs w:val="28"/>
        </w:rPr>
      </w:pPr>
      <w:r w:rsidRPr="00BA0AAA">
        <w:rPr>
          <w:rFonts w:ascii="Times New Roman" w:eastAsia="Times New Roman" w:hAnsi="Times New Roman" w:cs="Times New Roman"/>
          <w:bCs/>
          <w:color w:val="000000"/>
          <w:sz w:val="28"/>
          <w:szCs w:val="28"/>
        </w:rPr>
        <w:t>School of Business &amp;Economics</w:t>
      </w:r>
    </w:p>
    <w:p w14:paraId="57631F23" w14:textId="3917F08C" w:rsidR="00AB01B3" w:rsidRPr="00BA0AAA" w:rsidRDefault="00AB01B3" w:rsidP="00D46E36">
      <w:pPr>
        <w:spacing w:after="0" w:line="276" w:lineRule="auto"/>
        <w:jc w:val="center"/>
        <w:rPr>
          <w:rFonts w:ascii="Times New Roman" w:eastAsia="Times New Roman" w:hAnsi="Times New Roman" w:cs="Times New Roman"/>
          <w:bCs/>
          <w:color w:val="000000"/>
          <w:sz w:val="28"/>
          <w:szCs w:val="28"/>
        </w:rPr>
      </w:pPr>
      <w:r w:rsidRPr="00BA0AAA">
        <w:rPr>
          <w:rFonts w:ascii="Times New Roman" w:eastAsia="Times New Roman" w:hAnsi="Times New Roman" w:cs="Times New Roman"/>
          <w:bCs/>
          <w:color w:val="000000"/>
          <w:sz w:val="28"/>
          <w:szCs w:val="28"/>
        </w:rPr>
        <w:t>United International University</w:t>
      </w:r>
    </w:p>
    <w:p w14:paraId="108B35BC" w14:textId="2B493CF5" w:rsidR="00AB01B3" w:rsidRPr="00950125" w:rsidRDefault="00AB01B3" w:rsidP="00D46E36">
      <w:pPr>
        <w:spacing w:after="0" w:line="276" w:lineRule="auto"/>
        <w:rPr>
          <w:rFonts w:ascii="Times New Roman" w:eastAsia="Times New Roman" w:hAnsi="Times New Roman" w:cs="Times New Roman"/>
          <w:b/>
          <w:bCs/>
          <w:color w:val="000000"/>
          <w:sz w:val="32"/>
          <w:szCs w:val="28"/>
        </w:rPr>
      </w:pPr>
    </w:p>
    <w:p w14:paraId="58855DDC" w14:textId="578D1889" w:rsidR="00AB01B3" w:rsidRPr="00BA0AAA" w:rsidRDefault="00AB01B3" w:rsidP="00D46E36">
      <w:pPr>
        <w:spacing w:after="0" w:line="276" w:lineRule="auto"/>
        <w:jc w:val="center"/>
        <w:rPr>
          <w:rFonts w:ascii="Times New Roman" w:eastAsia="Times New Roman" w:hAnsi="Times New Roman" w:cs="Times New Roman"/>
          <w:b/>
          <w:bCs/>
          <w:color w:val="000000"/>
          <w:sz w:val="30"/>
          <w:szCs w:val="30"/>
        </w:rPr>
      </w:pPr>
      <w:r w:rsidRPr="00BA0AAA">
        <w:rPr>
          <w:rFonts w:ascii="Times New Roman" w:eastAsia="Times New Roman" w:hAnsi="Times New Roman" w:cs="Times New Roman"/>
          <w:b/>
          <w:bCs/>
          <w:color w:val="000000"/>
          <w:sz w:val="30"/>
          <w:szCs w:val="30"/>
        </w:rPr>
        <w:t>Submitted by,</w:t>
      </w:r>
    </w:p>
    <w:p w14:paraId="5AF31D0E" w14:textId="31FCF3B5" w:rsidR="00AB01B3" w:rsidRPr="00BA0AAA" w:rsidRDefault="00AB01B3" w:rsidP="00D46E36">
      <w:pPr>
        <w:spacing w:after="0" w:line="276" w:lineRule="auto"/>
        <w:jc w:val="center"/>
        <w:rPr>
          <w:rFonts w:ascii="Times New Roman" w:eastAsia="Times New Roman" w:hAnsi="Times New Roman" w:cs="Times New Roman"/>
          <w:bCs/>
          <w:color w:val="000000"/>
          <w:sz w:val="28"/>
          <w:szCs w:val="28"/>
        </w:rPr>
      </w:pPr>
      <w:r w:rsidRPr="00BA0AAA">
        <w:rPr>
          <w:rFonts w:ascii="Times New Roman" w:eastAsia="Times New Roman" w:hAnsi="Times New Roman" w:cs="Times New Roman"/>
          <w:bCs/>
          <w:color w:val="000000"/>
          <w:sz w:val="28"/>
          <w:szCs w:val="28"/>
        </w:rPr>
        <w:t>Tasnim Haque Rania</w:t>
      </w:r>
    </w:p>
    <w:p w14:paraId="501E4683" w14:textId="4C5C4C41" w:rsidR="00AB01B3" w:rsidRPr="00BA0AAA" w:rsidRDefault="00AB01B3" w:rsidP="00D46E36">
      <w:pPr>
        <w:spacing w:after="0" w:line="276" w:lineRule="auto"/>
        <w:jc w:val="center"/>
        <w:rPr>
          <w:rFonts w:ascii="Times New Roman" w:eastAsia="Times New Roman" w:hAnsi="Times New Roman" w:cs="Times New Roman"/>
          <w:bCs/>
          <w:color w:val="000000"/>
          <w:sz w:val="28"/>
          <w:szCs w:val="28"/>
        </w:rPr>
      </w:pPr>
      <w:r w:rsidRPr="00BA0AAA">
        <w:rPr>
          <w:rFonts w:ascii="Times New Roman" w:eastAsia="Times New Roman" w:hAnsi="Times New Roman" w:cs="Times New Roman"/>
          <w:bCs/>
          <w:color w:val="000000"/>
          <w:sz w:val="28"/>
          <w:szCs w:val="28"/>
        </w:rPr>
        <w:t>ID: 111213098</w:t>
      </w:r>
    </w:p>
    <w:p w14:paraId="0BE63242" w14:textId="0F1AAE4C" w:rsidR="00AB01B3" w:rsidRPr="00BA0AAA" w:rsidRDefault="00AB01B3" w:rsidP="00D46E36">
      <w:pPr>
        <w:spacing w:after="0" w:line="276" w:lineRule="auto"/>
        <w:jc w:val="center"/>
        <w:rPr>
          <w:rFonts w:ascii="Times New Roman" w:eastAsia="Times New Roman" w:hAnsi="Times New Roman" w:cs="Times New Roman"/>
          <w:bCs/>
          <w:color w:val="000000"/>
          <w:sz w:val="28"/>
          <w:szCs w:val="28"/>
        </w:rPr>
      </w:pPr>
      <w:r w:rsidRPr="00BA0AAA">
        <w:rPr>
          <w:rFonts w:ascii="Times New Roman" w:eastAsia="Times New Roman" w:hAnsi="Times New Roman" w:cs="Times New Roman"/>
          <w:bCs/>
          <w:color w:val="000000"/>
          <w:sz w:val="28"/>
          <w:szCs w:val="28"/>
        </w:rPr>
        <w:t>Major: Finance and Financial Technology</w:t>
      </w:r>
    </w:p>
    <w:p w14:paraId="0D9D5D59" w14:textId="0AFC6C1F" w:rsidR="00AB01B3" w:rsidRPr="00BA0AAA" w:rsidRDefault="00AB01B3" w:rsidP="00D46E36">
      <w:pPr>
        <w:spacing w:after="0" w:line="276" w:lineRule="auto"/>
        <w:jc w:val="center"/>
        <w:rPr>
          <w:rFonts w:ascii="Times New Roman" w:eastAsia="Times New Roman" w:hAnsi="Times New Roman" w:cs="Times New Roman"/>
          <w:bCs/>
          <w:color w:val="000000"/>
          <w:sz w:val="28"/>
          <w:szCs w:val="28"/>
          <w:vertAlign w:val="superscript"/>
        </w:rPr>
      </w:pPr>
      <w:r w:rsidRPr="00BA0AAA">
        <w:rPr>
          <w:rFonts w:ascii="Times New Roman" w:eastAsia="Times New Roman" w:hAnsi="Times New Roman" w:cs="Times New Roman"/>
          <w:bCs/>
          <w:color w:val="000000"/>
          <w:sz w:val="28"/>
          <w:szCs w:val="28"/>
        </w:rPr>
        <w:t>Trimester: 11</w:t>
      </w:r>
      <w:r w:rsidRPr="00BA0AAA">
        <w:rPr>
          <w:rFonts w:ascii="Times New Roman" w:eastAsia="Times New Roman" w:hAnsi="Times New Roman" w:cs="Times New Roman"/>
          <w:bCs/>
          <w:color w:val="000000"/>
          <w:sz w:val="28"/>
          <w:szCs w:val="28"/>
          <w:vertAlign w:val="superscript"/>
        </w:rPr>
        <w:t>th</w:t>
      </w:r>
    </w:p>
    <w:p w14:paraId="15B78E9B" w14:textId="77777777" w:rsidR="00AB01B3" w:rsidRPr="00950125" w:rsidRDefault="00AB01B3" w:rsidP="00D46E36">
      <w:pPr>
        <w:spacing w:after="0" w:line="276" w:lineRule="auto"/>
        <w:rPr>
          <w:rFonts w:ascii="Times New Roman" w:eastAsia="Times New Roman" w:hAnsi="Times New Roman" w:cs="Times New Roman"/>
          <w:b/>
          <w:bCs/>
          <w:color w:val="000000"/>
          <w:sz w:val="28"/>
          <w:szCs w:val="28"/>
        </w:rPr>
      </w:pPr>
    </w:p>
    <w:p w14:paraId="6E697B61" w14:textId="6728F0BC" w:rsidR="00FE3D65" w:rsidRPr="00BA0AAA" w:rsidRDefault="00AB01B3" w:rsidP="00D46E36">
      <w:pPr>
        <w:pBdr>
          <w:top w:val="single" w:sz="4" w:space="1" w:color="auto"/>
        </w:pBdr>
        <w:tabs>
          <w:tab w:val="left" w:pos="3232"/>
        </w:tabs>
        <w:spacing w:line="276" w:lineRule="auto"/>
        <w:jc w:val="center"/>
        <w:rPr>
          <w:rFonts w:ascii="Times New Roman" w:hAnsi="Times New Roman" w:cs="Times New Roman"/>
          <w:b/>
          <w:sz w:val="30"/>
          <w:szCs w:val="30"/>
          <w:vertAlign w:val="superscript"/>
        </w:rPr>
      </w:pPr>
      <w:r w:rsidRPr="00BA0AAA">
        <w:rPr>
          <w:rFonts w:ascii="Times New Roman" w:hAnsi="Times New Roman" w:cs="Times New Roman"/>
          <w:b/>
          <w:sz w:val="30"/>
          <w:szCs w:val="30"/>
        </w:rPr>
        <w:t>Date of Submission: 1</w:t>
      </w:r>
      <w:r w:rsidRPr="00BA0AAA">
        <w:rPr>
          <w:rFonts w:ascii="Times New Roman" w:hAnsi="Times New Roman" w:cs="Times New Roman"/>
          <w:b/>
          <w:sz w:val="30"/>
          <w:szCs w:val="30"/>
          <w:vertAlign w:val="superscript"/>
        </w:rPr>
        <w:t>st</w:t>
      </w:r>
      <w:r w:rsidRPr="00BA0AAA">
        <w:rPr>
          <w:rFonts w:ascii="Times New Roman" w:hAnsi="Times New Roman" w:cs="Times New Roman"/>
          <w:b/>
          <w:sz w:val="30"/>
          <w:szCs w:val="30"/>
        </w:rPr>
        <w:t xml:space="preserve"> August, 2025</w:t>
      </w:r>
    </w:p>
    <w:p w14:paraId="0A112EE9" w14:textId="77777777" w:rsidR="005204D5" w:rsidRDefault="005204D5">
      <w:pPr>
        <w:rPr>
          <w:rFonts w:ascii="Times New Roman" w:hAnsi="Times New Roman" w:cs="Times New Roman"/>
          <w:b/>
          <w:bCs/>
          <w:color w:val="2E74B5"/>
          <w:sz w:val="32"/>
          <w:szCs w:val="32"/>
        </w:rPr>
      </w:pPr>
      <w:r>
        <w:rPr>
          <w:rFonts w:ascii="Times New Roman" w:hAnsi="Times New Roman" w:cs="Times New Roman"/>
          <w:b/>
          <w:bCs/>
          <w:color w:val="2E74B5"/>
          <w:sz w:val="32"/>
          <w:szCs w:val="32"/>
        </w:rPr>
        <w:br w:type="page"/>
      </w:r>
    </w:p>
    <w:p w14:paraId="5FAF209D" w14:textId="1681BBE0" w:rsidR="00FE3D65" w:rsidRPr="00950125" w:rsidRDefault="00FE3D65" w:rsidP="00D46E36">
      <w:pPr>
        <w:spacing w:line="276" w:lineRule="auto"/>
        <w:ind w:left="-5" w:right="383"/>
        <w:jc w:val="center"/>
        <w:rPr>
          <w:rFonts w:ascii="Times New Roman" w:hAnsi="Times New Roman" w:cs="Times New Roman"/>
          <w:sz w:val="32"/>
          <w:szCs w:val="24"/>
        </w:rPr>
      </w:pPr>
      <w:r w:rsidRPr="00950125">
        <w:rPr>
          <w:rFonts w:ascii="Times New Roman" w:hAnsi="Times New Roman" w:cs="Times New Roman"/>
          <w:b/>
          <w:bCs/>
          <w:color w:val="2E74B5"/>
          <w:sz w:val="32"/>
          <w:szCs w:val="32"/>
        </w:rPr>
        <w:lastRenderedPageBreak/>
        <w:t>Letter of Transmittal</w:t>
      </w:r>
    </w:p>
    <w:p w14:paraId="5C8301EC" w14:textId="77777777" w:rsidR="000C7B61" w:rsidRPr="00950125" w:rsidRDefault="000C7B61"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Dr. Md. Qamruzzaman </w:t>
      </w:r>
    </w:p>
    <w:p w14:paraId="28EDA13D" w14:textId="77777777" w:rsidR="001F4A37" w:rsidRPr="00950125" w:rsidRDefault="000C7B61"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Professor</w:t>
      </w:r>
    </w:p>
    <w:p w14:paraId="3F4F6738" w14:textId="77777777" w:rsidR="000C7B61" w:rsidRPr="00950125" w:rsidRDefault="000C7B61"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United International University </w:t>
      </w:r>
    </w:p>
    <w:p w14:paraId="6437A2D0" w14:textId="77777777" w:rsidR="000C7B61" w:rsidRPr="00950125" w:rsidRDefault="000C7B61"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United City, Madani Avenue, Badda  </w:t>
      </w:r>
    </w:p>
    <w:p w14:paraId="251FED12" w14:textId="0967133B" w:rsidR="000C7B61" w:rsidRPr="00950125" w:rsidRDefault="000C7B61" w:rsidP="00D46E36">
      <w:pPr>
        <w:spacing w:after="169" w:line="276" w:lineRule="auto"/>
        <w:ind w:left="-5" w:right="383" w:hanging="10"/>
        <w:jc w:val="both"/>
        <w:rPr>
          <w:rFonts w:ascii="Times New Roman" w:hAnsi="Times New Roman" w:cs="Times New Roman"/>
          <w:sz w:val="24"/>
        </w:rPr>
      </w:pPr>
      <w:r w:rsidRPr="00950125">
        <w:rPr>
          <w:rFonts w:ascii="Times New Roman" w:hAnsi="Times New Roman" w:cs="Times New Roman"/>
          <w:sz w:val="24"/>
        </w:rPr>
        <w:t xml:space="preserve">Dhaka 1212, Bangladesh </w:t>
      </w:r>
    </w:p>
    <w:p w14:paraId="54D6A048" w14:textId="77777777" w:rsidR="000C7B61" w:rsidRPr="00950125" w:rsidRDefault="000C7B61"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Dear Sir, </w:t>
      </w:r>
    </w:p>
    <w:p w14:paraId="48CFD4B4" w14:textId="60A83589" w:rsidR="000C7B61" w:rsidRPr="00950125" w:rsidRDefault="000C7B61" w:rsidP="00D46E36">
      <w:pPr>
        <w:spacing w:after="240" w:line="276" w:lineRule="auto"/>
        <w:jc w:val="both"/>
        <w:rPr>
          <w:rFonts w:ascii="Times New Roman" w:hAnsi="Times New Roman" w:cs="Times New Roman"/>
          <w:sz w:val="24"/>
        </w:rPr>
      </w:pPr>
      <w:r w:rsidRPr="00950125">
        <w:rPr>
          <w:rFonts w:ascii="Times New Roman" w:hAnsi="Times New Roman" w:cs="Times New Roman"/>
          <w:sz w:val="24"/>
        </w:rPr>
        <w:t>I am happy to submit my research thesis paper, "</w:t>
      </w:r>
      <w:r w:rsidR="006E250D" w:rsidRPr="00950125">
        <w:rPr>
          <w:rFonts w:ascii="Times New Roman" w:hAnsi="Times New Roman" w:cs="Times New Roman"/>
          <w:sz w:val="24"/>
        </w:rPr>
        <w:t xml:space="preserve"> Empowering Sustainable Development: The Impact of Institutional Quality, Information and Communication Technology, and Economic Freedom on Clean Energy (SDG 7) and Climate Action (SDG 13)</w:t>
      </w:r>
      <w:r w:rsidRPr="00950125">
        <w:rPr>
          <w:rFonts w:ascii="Times New Roman" w:hAnsi="Times New Roman" w:cs="Times New Roman"/>
          <w:sz w:val="24"/>
        </w:rPr>
        <w:t xml:space="preserve">", to fulfil the requirements of graduation from United International University. </w:t>
      </w:r>
      <w:r w:rsidR="006E2D20" w:rsidRPr="00950125">
        <w:rPr>
          <w:rFonts w:ascii="Times New Roman" w:eastAsia="Times New Roman" w:hAnsi="Times New Roman" w:cs="Times New Roman"/>
          <w:sz w:val="24"/>
          <w:szCs w:val="24"/>
        </w:rPr>
        <w:t xml:space="preserve">This dissertation shows the results of a whole study effort that took several months to </w:t>
      </w:r>
      <w:r w:rsidR="006E2D20" w:rsidRPr="00950125">
        <w:rPr>
          <w:rFonts w:ascii="Times New Roman" w:hAnsi="Times New Roman" w:cs="Times New Roman"/>
          <w:sz w:val="24"/>
        </w:rPr>
        <w:t xml:space="preserve">complete and was focused on bringing about peace and prosperity for everyone. </w:t>
      </w:r>
    </w:p>
    <w:p w14:paraId="681FE277" w14:textId="08452856" w:rsidR="000C7B61" w:rsidRPr="00950125" w:rsidRDefault="006E2D20" w:rsidP="00D46E36">
      <w:pPr>
        <w:spacing w:line="276" w:lineRule="auto"/>
        <w:jc w:val="both"/>
        <w:rPr>
          <w:rFonts w:ascii="Times New Roman" w:hAnsi="Times New Roman" w:cs="Times New Roman"/>
          <w:sz w:val="24"/>
        </w:rPr>
      </w:pPr>
      <w:r w:rsidRPr="00950125">
        <w:rPr>
          <w:rFonts w:ascii="Times New Roman" w:hAnsi="Times New Roman" w:cs="Times New Roman"/>
          <w:sz w:val="24"/>
        </w:rPr>
        <w:t>With the help of Professor Dr. Md Qamruzzaman</w:t>
      </w:r>
      <w:r w:rsidR="000C7B61" w:rsidRPr="00950125">
        <w:rPr>
          <w:rFonts w:ascii="Times New Roman" w:hAnsi="Times New Roman" w:cs="Times New Roman"/>
          <w:sz w:val="24"/>
        </w:rPr>
        <w:t xml:space="preserve">, I examined the effect of Institutional quality, ICT, Economic freedom on SDG 7 &amp; 13. I owe special thanks to Dr. Qamruzzaman, whose guidance helped me structure the research framework, crystallise the technical approach, and ensure analytical rigour during the study. </w:t>
      </w:r>
    </w:p>
    <w:p w14:paraId="2A3FF0B5" w14:textId="77777777" w:rsidR="000C7B61" w:rsidRPr="00950125" w:rsidRDefault="000C7B61" w:rsidP="00D46E36">
      <w:pPr>
        <w:spacing w:line="276" w:lineRule="auto"/>
        <w:ind w:left="-5" w:right="1"/>
        <w:jc w:val="both"/>
        <w:rPr>
          <w:rFonts w:ascii="Times New Roman" w:hAnsi="Times New Roman" w:cs="Times New Roman"/>
          <w:sz w:val="24"/>
        </w:rPr>
      </w:pPr>
      <w:r w:rsidRPr="00950125">
        <w:rPr>
          <w:rFonts w:ascii="Times New Roman" w:hAnsi="Times New Roman" w:cs="Times New Roman"/>
          <w:sz w:val="24"/>
        </w:rPr>
        <w:t xml:space="preserve">I thank United International University for providing the necessary resources and support to complete this thesis. Finally, I would also like to thank the international organisations and data providers for their valuable contributions, which provided the necessary data for this research. </w:t>
      </w:r>
    </w:p>
    <w:p w14:paraId="720224CB" w14:textId="77777777" w:rsidR="000C7B61" w:rsidRPr="00950125" w:rsidRDefault="000C7B61" w:rsidP="00D46E36">
      <w:pPr>
        <w:spacing w:line="276" w:lineRule="auto"/>
        <w:ind w:left="-5" w:right="1"/>
        <w:jc w:val="both"/>
        <w:rPr>
          <w:rFonts w:ascii="Times New Roman" w:hAnsi="Times New Roman" w:cs="Times New Roman"/>
          <w:sz w:val="24"/>
        </w:rPr>
      </w:pPr>
      <w:r w:rsidRPr="00950125">
        <w:rPr>
          <w:rFonts w:ascii="Times New Roman" w:hAnsi="Times New Roman" w:cs="Times New Roman"/>
          <w:sz w:val="24"/>
        </w:rPr>
        <w:t xml:space="preserve">Realizing my work would not be possible without the constant support and motivation from my family, friends, and colleagues. I am deeply thankful to everyone for helping me overcome all the hurdles while remaining focused on the research's aim and objectives. </w:t>
      </w:r>
    </w:p>
    <w:p w14:paraId="574A862B" w14:textId="77777777" w:rsidR="000C7B61" w:rsidRPr="00950125" w:rsidRDefault="000C7B61" w:rsidP="00D46E36">
      <w:pPr>
        <w:spacing w:line="276" w:lineRule="auto"/>
        <w:ind w:left="-5" w:right="3"/>
        <w:jc w:val="both"/>
        <w:rPr>
          <w:rFonts w:ascii="Times New Roman" w:hAnsi="Times New Roman" w:cs="Times New Roman"/>
          <w:sz w:val="24"/>
        </w:rPr>
      </w:pPr>
      <w:r w:rsidRPr="00950125">
        <w:rPr>
          <w:rFonts w:ascii="Times New Roman" w:hAnsi="Times New Roman" w:cs="Times New Roman"/>
          <w:sz w:val="24"/>
        </w:rPr>
        <w:t xml:space="preserve">The implications of these findings and policy recommendations highlighted throughout this thesis provide avenues for practical directions that governments, development agencies, and other policymakers can take towards integrated sustainable development. </w:t>
      </w:r>
    </w:p>
    <w:p w14:paraId="6109F45D" w14:textId="77777777" w:rsidR="000C7B61" w:rsidRPr="00950125" w:rsidRDefault="000C7B61" w:rsidP="00D46E36">
      <w:pPr>
        <w:spacing w:line="276" w:lineRule="auto"/>
        <w:ind w:left="-5"/>
        <w:jc w:val="both"/>
        <w:rPr>
          <w:rFonts w:ascii="Times New Roman" w:hAnsi="Times New Roman" w:cs="Times New Roman"/>
          <w:sz w:val="24"/>
        </w:rPr>
      </w:pPr>
      <w:r w:rsidRPr="00950125">
        <w:rPr>
          <w:rFonts w:ascii="Times New Roman" w:hAnsi="Times New Roman" w:cs="Times New Roman"/>
          <w:sz w:val="24"/>
        </w:rPr>
        <w:t xml:space="preserve">Thank you for being willing to evaluate my thesis. I'm excited to explore its conclusions and potential impact. </w:t>
      </w:r>
    </w:p>
    <w:p w14:paraId="55F07E55" w14:textId="77777777" w:rsidR="000C7B61" w:rsidRPr="00950125" w:rsidRDefault="000C7B61" w:rsidP="00D46E36">
      <w:pPr>
        <w:spacing w:after="158" w:line="276" w:lineRule="auto"/>
        <w:jc w:val="both"/>
        <w:rPr>
          <w:rFonts w:ascii="Times New Roman" w:hAnsi="Times New Roman" w:cs="Times New Roman"/>
          <w:sz w:val="24"/>
        </w:rPr>
      </w:pPr>
      <w:r w:rsidRPr="00950125">
        <w:rPr>
          <w:rFonts w:ascii="Times New Roman" w:hAnsi="Times New Roman" w:cs="Times New Roman"/>
          <w:sz w:val="24"/>
        </w:rPr>
        <w:t xml:space="preserve"> </w:t>
      </w:r>
    </w:p>
    <w:p w14:paraId="062B67F6" w14:textId="77777777" w:rsidR="000C7B61" w:rsidRPr="00950125" w:rsidRDefault="000C7B61"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Sincerely,   </w:t>
      </w:r>
    </w:p>
    <w:p w14:paraId="4A3FFD1E" w14:textId="77777777" w:rsidR="000C7B61" w:rsidRPr="00950125" w:rsidRDefault="000C7B61"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Tasnim Haque Rania</w:t>
      </w:r>
    </w:p>
    <w:p w14:paraId="13DE3CF2" w14:textId="77777777" w:rsidR="000C7B61" w:rsidRPr="00950125" w:rsidRDefault="000C7B61" w:rsidP="00D46E36">
      <w:pPr>
        <w:spacing w:after="158" w:line="276" w:lineRule="auto"/>
        <w:rPr>
          <w:rFonts w:ascii="Times New Roman" w:hAnsi="Times New Roman" w:cs="Times New Roman"/>
        </w:rPr>
      </w:pPr>
      <w:r w:rsidRPr="00950125">
        <w:rPr>
          <w:rFonts w:ascii="Times New Roman" w:hAnsi="Times New Roman" w:cs="Times New Roman"/>
        </w:rPr>
        <w:t xml:space="preserve"> </w:t>
      </w:r>
    </w:p>
    <w:p w14:paraId="4FD4C99C" w14:textId="77777777" w:rsidR="000C7B61" w:rsidRPr="00950125" w:rsidRDefault="000C7B61" w:rsidP="00D46E36">
      <w:pPr>
        <w:spacing w:after="158" w:line="276" w:lineRule="auto"/>
        <w:rPr>
          <w:rFonts w:ascii="Times New Roman" w:hAnsi="Times New Roman" w:cs="Times New Roman"/>
        </w:rPr>
      </w:pPr>
      <w:r w:rsidRPr="00950125">
        <w:rPr>
          <w:rFonts w:ascii="Times New Roman" w:hAnsi="Times New Roman" w:cs="Times New Roman"/>
        </w:rPr>
        <w:lastRenderedPageBreak/>
        <w:t xml:space="preserve"> </w:t>
      </w:r>
    </w:p>
    <w:p w14:paraId="31473A44" w14:textId="77777777" w:rsidR="000C7B61" w:rsidRPr="00950125" w:rsidRDefault="000C7B61" w:rsidP="00D46E36">
      <w:pPr>
        <w:spacing w:line="276" w:lineRule="auto"/>
        <w:rPr>
          <w:rFonts w:ascii="Times New Roman" w:hAnsi="Times New Roman" w:cs="Times New Roman"/>
          <w:sz w:val="32"/>
          <w:szCs w:val="24"/>
        </w:rPr>
      </w:pPr>
      <w:bookmarkStart w:id="1" w:name="_Toc111772"/>
    </w:p>
    <w:p w14:paraId="14931F51" w14:textId="77777777" w:rsidR="000C7B61" w:rsidRPr="00950125" w:rsidRDefault="000C7B61" w:rsidP="00D46E36">
      <w:pPr>
        <w:spacing w:line="276" w:lineRule="auto"/>
        <w:rPr>
          <w:rFonts w:ascii="Times New Roman" w:hAnsi="Times New Roman" w:cs="Times New Roman"/>
        </w:rPr>
      </w:pPr>
    </w:p>
    <w:p w14:paraId="6B252D61" w14:textId="77777777" w:rsidR="000C7B61" w:rsidRPr="00950125" w:rsidRDefault="000C7B61" w:rsidP="00D46E36">
      <w:pPr>
        <w:spacing w:line="276" w:lineRule="auto"/>
        <w:rPr>
          <w:rFonts w:ascii="Times New Roman" w:hAnsi="Times New Roman" w:cs="Times New Roman"/>
        </w:rPr>
      </w:pPr>
    </w:p>
    <w:p w14:paraId="0C4AE2F8" w14:textId="77777777" w:rsidR="000C7B61" w:rsidRPr="00950125" w:rsidRDefault="000C7B61" w:rsidP="00D46E36">
      <w:pPr>
        <w:spacing w:line="276" w:lineRule="auto"/>
        <w:rPr>
          <w:rFonts w:ascii="Times New Roman" w:hAnsi="Times New Roman" w:cs="Times New Roman"/>
        </w:rPr>
      </w:pPr>
    </w:p>
    <w:p w14:paraId="2FF1F9F8" w14:textId="34F8B418" w:rsidR="000C7B61" w:rsidRDefault="000C7B61" w:rsidP="00D46E36">
      <w:pPr>
        <w:spacing w:line="276" w:lineRule="auto"/>
        <w:rPr>
          <w:rFonts w:ascii="Times New Roman" w:hAnsi="Times New Roman" w:cs="Times New Roman"/>
        </w:rPr>
      </w:pPr>
    </w:p>
    <w:p w14:paraId="4421DAC1" w14:textId="61D1F661" w:rsidR="005204D5" w:rsidRDefault="005204D5" w:rsidP="00D46E36">
      <w:pPr>
        <w:spacing w:line="276" w:lineRule="auto"/>
        <w:rPr>
          <w:rFonts w:ascii="Times New Roman" w:hAnsi="Times New Roman" w:cs="Times New Roman"/>
        </w:rPr>
      </w:pPr>
    </w:p>
    <w:p w14:paraId="4EE5C007" w14:textId="5F04AFBF" w:rsidR="005204D5" w:rsidRDefault="005204D5" w:rsidP="00D46E36">
      <w:pPr>
        <w:spacing w:line="276" w:lineRule="auto"/>
        <w:rPr>
          <w:rFonts w:ascii="Times New Roman" w:hAnsi="Times New Roman" w:cs="Times New Roman"/>
        </w:rPr>
      </w:pPr>
    </w:p>
    <w:p w14:paraId="51D71F1B" w14:textId="44D13E27" w:rsidR="005204D5" w:rsidRDefault="005204D5" w:rsidP="00D46E36">
      <w:pPr>
        <w:spacing w:line="276" w:lineRule="auto"/>
        <w:rPr>
          <w:rFonts w:ascii="Times New Roman" w:hAnsi="Times New Roman" w:cs="Times New Roman"/>
        </w:rPr>
      </w:pPr>
    </w:p>
    <w:p w14:paraId="2A4A34DD" w14:textId="7BDABBD4" w:rsidR="005204D5" w:rsidRDefault="005204D5" w:rsidP="00D46E36">
      <w:pPr>
        <w:spacing w:line="276" w:lineRule="auto"/>
        <w:rPr>
          <w:rFonts w:ascii="Times New Roman" w:hAnsi="Times New Roman" w:cs="Times New Roman"/>
        </w:rPr>
      </w:pPr>
    </w:p>
    <w:p w14:paraId="1164A10A" w14:textId="77777777" w:rsidR="005204D5" w:rsidRPr="00950125" w:rsidRDefault="005204D5" w:rsidP="00D46E36">
      <w:pPr>
        <w:spacing w:line="276" w:lineRule="auto"/>
        <w:rPr>
          <w:rFonts w:ascii="Times New Roman" w:hAnsi="Times New Roman" w:cs="Times New Roman"/>
        </w:rPr>
      </w:pPr>
    </w:p>
    <w:p w14:paraId="1E312804" w14:textId="37023171" w:rsidR="000C7B61" w:rsidRPr="00950125" w:rsidRDefault="000C7B61" w:rsidP="00D46E36">
      <w:pPr>
        <w:spacing w:line="276" w:lineRule="auto"/>
        <w:rPr>
          <w:rFonts w:ascii="Times New Roman" w:hAnsi="Times New Roman" w:cs="Times New Roman"/>
        </w:rPr>
      </w:pPr>
    </w:p>
    <w:p w14:paraId="5CBD7091" w14:textId="1406E17A" w:rsidR="006D4212" w:rsidRPr="00950125" w:rsidRDefault="006D4212" w:rsidP="00D46E36">
      <w:pPr>
        <w:spacing w:line="276" w:lineRule="auto"/>
        <w:rPr>
          <w:rFonts w:ascii="Times New Roman" w:hAnsi="Times New Roman" w:cs="Times New Roman"/>
        </w:rPr>
      </w:pPr>
    </w:p>
    <w:p w14:paraId="0B124F7F" w14:textId="77777777" w:rsidR="000C7B61" w:rsidRPr="0093193A" w:rsidRDefault="000C7B61" w:rsidP="0093193A">
      <w:pPr>
        <w:pStyle w:val="Heading1"/>
        <w:pBdr>
          <w:top w:val="single" w:sz="4" w:space="1" w:color="auto"/>
          <w:bottom w:val="single" w:sz="4" w:space="1" w:color="auto"/>
        </w:pBdr>
        <w:spacing w:line="276" w:lineRule="auto"/>
        <w:jc w:val="center"/>
        <w:rPr>
          <w:rFonts w:ascii="Times New Roman" w:hAnsi="Times New Roman" w:cs="Times New Roman"/>
          <w:b/>
          <w:color w:val="auto"/>
          <w:sz w:val="40"/>
        </w:rPr>
      </w:pPr>
      <w:bookmarkStart w:id="2" w:name="_Toc204723872"/>
      <w:r w:rsidRPr="0093193A">
        <w:rPr>
          <w:rFonts w:ascii="Times New Roman" w:hAnsi="Times New Roman" w:cs="Times New Roman"/>
          <w:b/>
          <w:color w:val="auto"/>
          <w:sz w:val="40"/>
        </w:rPr>
        <w:t>Certification of Similarity Index</w:t>
      </w:r>
      <w:bookmarkEnd w:id="1"/>
      <w:bookmarkEnd w:id="2"/>
    </w:p>
    <w:p w14:paraId="58807B0D" w14:textId="77777777" w:rsidR="002F6AD8" w:rsidRPr="00950125" w:rsidRDefault="002F6AD8" w:rsidP="00D46E36">
      <w:pPr>
        <w:spacing w:line="276" w:lineRule="auto"/>
        <w:rPr>
          <w:rFonts w:ascii="Times New Roman" w:hAnsi="Times New Roman" w:cs="Times New Roman"/>
          <w:sz w:val="32"/>
          <w:szCs w:val="24"/>
        </w:rPr>
      </w:pPr>
    </w:p>
    <w:p w14:paraId="53FD793D" w14:textId="77777777" w:rsidR="000C7B61" w:rsidRPr="00950125" w:rsidRDefault="000C7B61" w:rsidP="00D46E36">
      <w:pPr>
        <w:pStyle w:val="Heading1"/>
        <w:spacing w:line="276" w:lineRule="auto"/>
        <w:jc w:val="center"/>
        <w:rPr>
          <w:rFonts w:ascii="Times New Roman" w:eastAsiaTheme="minorHAnsi" w:hAnsi="Times New Roman" w:cs="Times New Roman"/>
          <w:color w:val="1F4E79" w:themeColor="accent1" w:themeShade="80"/>
          <w:sz w:val="36"/>
          <w:szCs w:val="24"/>
          <w:u w:val="single"/>
        </w:rPr>
      </w:pPr>
      <w:r w:rsidRPr="00950125">
        <w:rPr>
          <w:rFonts w:ascii="Times New Roman" w:eastAsiaTheme="minorHAnsi" w:hAnsi="Times New Roman" w:cs="Times New Roman"/>
          <w:color w:val="1F4E79" w:themeColor="accent1" w:themeShade="80"/>
          <w:sz w:val="36"/>
          <w:szCs w:val="24"/>
          <w:u w:val="single"/>
        </w:rPr>
        <w:br w:type="page"/>
      </w:r>
      <w:bookmarkStart w:id="3" w:name="_Toc111773"/>
    </w:p>
    <w:p w14:paraId="3E20F8FE" w14:textId="77777777" w:rsidR="000C7B61" w:rsidRPr="00950125" w:rsidRDefault="000C7B61" w:rsidP="00D46E36">
      <w:pPr>
        <w:pStyle w:val="Heading1"/>
        <w:spacing w:line="276" w:lineRule="auto"/>
        <w:jc w:val="center"/>
        <w:rPr>
          <w:rFonts w:ascii="Times New Roman" w:hAnsi="Times New Roman" w:cs="Times New Roman"/>
          <w:b/>
          <w:sz w:val="40"/>
        </w:rPr>
      </w:pPr>
    </w:p>
    <w:p w14:paraId="11FD0E54" w14:textId="77777777" w:rsidR="000C7B61" w:rsidRPr="00950125" w:rsidRDefault="000C7B61" w:rsidP="00D46E36">
      <w:pPr>
        <w:pStyle w:val="Heading1"/>
        <w:spacing w:line="276" w:lineRule="auto"/>
        <w:jc w:val="center"/>
        <w:rPr>
          <w:rFonts w:ascii="Times New Roman" w:hAnsi="Times New Roman" w:cs="Times New Roman"/>
          <w:b/>
          <w:sz w:val="40"/>
        </w:rPr>
      </w:pPr>
    </w:p>
    <w:p w14:paraId="341B6F21" w14:textId="4300FF47" w:rsidR="000C7B61" w:rsidRDefault="000C7B61" w:rsidP="00D46E36">
      <w:pPr>
        <w:pStyle w:val="Heading1"/>
        <w:spacing w:line="276" w:lineRule="auto"/>
        <w:jc w:val="center"/>
        <w:rPr>
          <w:rFonts w:ascii="Times New Roman" w:hAnsi="Times New Roman" w:cs="Times New Roman"/>
          <w:b/>
          <w:sz w:val="40"/>
        </w:rPr>
      </w:pPr>
    </w:p>
    <w:p w14:paraId="184E2282" w14:textId="77777777" w:rsidR="00BA0AAA" w:rsidRPr="00BA0AAA" w:rsidRDefault="00BA0AAA" w:rsidP="00D46E36">
      <w:pPr>
        <w:spacing w:line="276" w:lineRule="auto"/>
      </w:pPr>
    </w:p>
    <w:p w14:paraId="37F6CF9A" w14:textId="6A2F8CE5" w:rsidR="000C7B61" w:rsidRDefault="000C7B61" w:rsidP="00D46E36">
      <w:pPr>
        <w:pStyle w:val="Heading1"/>
        <w:spacing w:line="276" w:lineRule="auto"/>
        <w:rPr>
          <w:rFonts w:ascii="Times New Roman" w:hAnsi="Times New Roman" w:cs="Times New Roman"/>
          <w:b/>
          <w:sz w:val="40"/>
        </w:rPr>
      </w:pPr>
    </w:p>
    <w:p w14:paraId="3D3D2D05" w14:textId="77777777" w:rsidR="00BA0AAA" w:rsidRPr="00BA0AAA" w:rsidRDefault="00BA0AAA" w:rsidP="00D46E36">
      <w:pPr>
        <w:spacing w:line="276" w:lineRule="auto"/>
      </w:pPr>
    </w:p>
    <w:p w14:paraId="12872642" w14:textId="6C054F73" w:rsidR="000C7B61" w:rsidRDefault="000C7B61" w:rsidP="00D46E36">
      <w:pPr>
        <w:pStyle w:val="Heading1"/>
        <w:spacing w:line="276" w:lineRule="auto"/>
        <w:jc w:val="center"/>
        <w:rPr>
          <w:rFonts w:ascii="Times New Roman" w:hAnsi="Times New Roman" w:cs="Times New Roman"/>
          <w:b/>
          <w:sz w:val="40"/>
        </w:rPr>
      </w:pPr>
    </w:p>
    <w:p w14:paraId="22C5DBCD" w14:textId="77777777" w:rsidR="0093193A" w:rsidRPr="0093193A" w:rsidRDefault="0093193A" w:rsidP="0093193A"/>
    <w:p w14:paraId="366D74E7" w14:textId="6A711899" w:rsidR="006D4212" w:rsidRDefault="006D4212" w:rsidP="006D4212"/>
    <w:p w14:paraId="0FC989FD" w14:textId="77777777" w:rsidR="006D4212" w:rsidRPr="006D4212" w:rsidRDefault="006D4212" w:rsidP="006D4212"/>
    <w:p w14:paraId="65D36740" w14:textId="77777777" w:rsidR="001140A6" w:rsidRPr="0093193A" w:rsidRDefault="000C7B61" w:rsidP="0093193A">
      <w:pPr>
        <w:pStyle w:val="Heading1"/>
        <w:pBdr>
          <w:top w:val="single" w:sz="4" w:space="1" w:color="auto"/>
          <w:bottom w:val="single" w:sz="4" w:space="1" w:color="auto"/>
        </w:pBdr>
        <w:spacing w:line="276" w:lineRule="auto"/>
        <w:jc w:val="center"/>
        <w:rPr>
          <w:rFonts w:ascii="Times New Roman" w:hAnsi="Times New Roman" w:cs="Times New Roman"/>
          <w:b/>
          <w:color w:val="auto"/>
          <w:sz w:val="40"/>
        </w:rPr>
      </w:pPr>
      <w:bookmarkStart w:id="4" w:name="_Toc204723873"/>
      <w:r w:rsidRPr="0093193A">
        <w:rPr>
          <w:rFonts w:ascii="Times New Roman" w:hAnsi="Times New Roman" w:cs="Times New Roman"/>
          <w:b/>
          <w:color w:val="auto"/>
          <w:sz w:val="40"/>
        </w:rPr>
        <w:t>Declaration of the student</w:t>
      </w:r>
      <w:bookmarkEnd w:id="3"/>
      <w:bookmarkEnd w:id="4"/>
    </w:p>
    <w:p w14:paraId="7A2CE1B5" w14:textId="77777777" w:rsidR="001140A6" w:rsidRPr="00950125" w:rsidRDefault="001140A6" w:rsidP="00D46E36">
      <w:pPr>
        <w:spacing w:line="276" w:lineRule="auto"/>
        <w:rPr>
          <w:rFonts w:ascii="Times New Roman" w:eastAsiaTheme="majorEastAsia" w:hAnsi="Times New Roman" w:cs="Times New Roman"/>
          <w:b/>
          <w:color w:val="2E74B5" w:themeColor="accent1" w:themeShade="BF"/>
          <w:sz w:val="40"/>
          <w:szCs w:val="32"/>
        </w:rPr>
      </w:pPr>
      <w:r w:rsidRPr="00950125">
        <w:rPr>
          <w:rFonts w:ascii="Times New Roman" w:hAnsi="Times New Roman" w:cs="Times New Roman"/>
          <w:b/>
          <w:sz w:val="40"/>
        </w:rPr>
        <w:br w:type="page"/>
      </w:r>
    </w:p>
    <w:p w14:paraId="26DBC654" w14:textId="77777777" w:rsidR="001140A6" w:rsidRPr="00950125" w:rsidRDefault="001140A6" w:rsidP="00D46E36">
      <w:pPr>
        <w:pStyle w:val="Heading1"/>
        <w:spacing w:line="276" w:lineRule="auto"/>
        <w:ind w:right="4"/>
        <w:jc w:val="center"/>
        <w:rPr>
          <w:rFonts w:ascii="Times New Roman" w:hAnsi="Times New Roman" w:cs="Times New Roman"/>
          <w:b/>
          <w:sz w:val="40"/>
        </w:rPr>
      </w:pPr>
      <w:bookmarkStart w:id="5" w:name="_Toc204723874"/>
      <w:r w:rsidRPr="00950125">
        <w:rPr>
          <w:rFonts w:ascii="Times New Roman" w:hAnsi="Times New Roman" w:cs="Times New Roman"/>
          <w:b/>
          <w:sz w:val="40"/>
        </w:rPr>
        <w:lastRenderedPageBreak/>
        <w:t>Acknowledgement</w:t>
      </w:r>
      <w:bookmarkEnd w:id="5"/>
    </w:p>
    <w:p w14:paraId="58545BCE" w14:textId="77777777" w:rsidR="001140A6" w:rsidRPr="00950125" w:rsidRDefault="001140A6" w:rsidP="00D46E36">
      <w:pPr>
        <w:spacing w:line="276" w:lineRule="auto"/>
        <w:rPr>
          <w:rFonts w:ascii="Times New Roman" w:hAnsi="Times New Roman" w:cs="Times New Roman"/>
        </w:rPr>
      </w:pPr>
      <w:r w:rsidRPr="00950125">
        <w:rPr>
          <w:rFonts w:ascii="Times New Roman" w:hAnsi="Times New Roman" w:cs="Times New Roman"/>
        </w:rPr>
        <w:t xml:space="preserve"> </w:t>
      </w:r>
    </w:p>
    <w:p w14:paraId="3752DF21" w14:textId="77777777" w:rsidR="001140A6" w:rsidRPr="00950125" w:rsidRDefault="001140A6" w:rsidP="00D46E36">
      <w:pPr>
        <w:spacing w:line="276" w:lineRule="auto"/>
        <w:ind w:left="-5" w:right="7"/>
        <w:jc w:val="both"/>
        <w:rPr>
          <w:rFonts w:ascii="Times New Roman" w:hAnsi="Times New Roman" w:cs="Times New Roman"/>
          <w:sz w:val="24"/>
        </w:rPr>
      </w:pPr>
      <w:r w:rsidRPr="00950125">
        <w:rPr>
          <w:rFonts w:ascii="Times New Roman" w:hAnsi="Times New Roman" w:cs="Times New Roman"/>
          <w:sz w:val="24"/>
        </w:rPr>
        <w:t xml:space="preserve">I would like to express my deepest gratitude to Allah for giving me strength, wisdom and perseverance to finish this research. Always inspiring every part of this journey with his guiding light and blessings. </w:t>
      </w:r>
    </w:p>
    <w:p w14:paraId="0146C10B" w14:textId="77777777" w:rsidR="001140A6" w:rsidRPr="00950125" w:rsidRDefault="001140A6" w:rsidP="00D46E36">
      <w:pPr>
        <w:spacing w:line="276" w:lineRule="auto"/>
        <w:ind w:left="-5" w:right="1"/>
        <w:jc w:val="both"/>
        <w:rPr>
          <w:rFonts w:ascii="Times New Roman" w:hAnsi="Times New Roman" w:cs="Times New Roman"/>
          <w:sz w:val="24"/>
        </w:rPr>
      </w:pPr>
      <w:r w:rsidRPr="00950125">
        <w:rPr>
          <w:rFonts w:ascii="Times New Roman" w:hAnsi="Times New Roman" w:cs="Times New Roman"/>
          <w:sz w:val="24"/>
        </w:rPr>
        <w:t xml:space="preserve">I would like to convey my kind regards to my research supervisor, Professor Dr. Md Qamruzzaman, for his continued support, timely guidance, and expertise. He provided essential feedback and guidance that shaped the direction and depth of this thesis. I am sincerely grateful for his effort in shaping me as a better scholar and for creating an overall high-quality research culture. </w:t>
      </w:r>
    </w:p>
    <w:p w14:paraId="1268847D" w14:textId="77777777" w:rsidR="001140A6" w:rsidRPr="00950125" w:rsidRDefault="001140A6" w:rsidP="00D46E36">
      <w:pPr>
        <w:spacing w:line="276" w:lineRule="auto"/>
        <w:ind w:left="-5" w:right="2"/>
        <w:jc w:val="both"/>
        <w:rPr>
          <w:rFonts w:ascii="Times New Roman" w:hAnsi="Times New Roman" w:cs="Times New Roman"/>
          <w:sz w:val="24"/>
        </w:rPr>
      </w:pPr>
      <w:r w:rsidRPr="00950125">
        <w:rPr>
          <w:rFonts w:ascii="Times New Roman" w:hAnsi="Times New Roman" w:cs="Times New Roman"/>
          <w:sz w:val="24"/>
        </w:rPr>
        <w:t xml:space="preserve">I also wish to express my gratitude to United International University for providing the required resources for completing this study successfully. The university had many resources around me, so I could conduct in-depth research with the libraries, databases, and research materials it provided to enhance my research experience. </w:t>
      </w:r>
    </w:p>
    <w:p w14:paraId="4EAF5972" w14:textId="77777777" w:rsidR="001140A6" w:rsidRPr="00950125" w:rsidRDefault="001140A6" w:rsidP="00D46E36">
      <w:pPr>
        <w:spacing w:line="276" w:lineRule="auto"/>
        <w:ind w:left="-5"/>
        <w:jc w:val="both"/>
        <w:rPr>
          <w:rFonts w:ascii="Times New Roman" w:hAnsi="Times New Roman" w:cs="Times New Roman"/>
          <w:sz w:val="24"/>
        </w:rPr>
      </w:pPr>
      <w:r w:rsidRPr="00950125">
        <w:rPr>
          <w:rFonts w:ascii="Times New Roman" w:hAnsi="Times New Roman" w:cs="Times New Roman"/>
          <w:sz w:val="24"/>
        </w:rPr>
        <w:t xml:space="preserve">I wholeheartedly thank the responders and agencies that enabled access to the secondary data necessary for this research. Their input made a big difference in gaining more in-depth and valuable insights on the topic. </w:t>
      </w:r>
    </w:p>
    <w:p w14:paraId="38074BEF" w14:textId="77777777" w:rsidR="001140A6" w:rsidRPr="00950125" w:rsidRDefault="001140A6" w:rsidP="00D46E36">
      <w:pPr>
        <w:spacing w:after="165" w:line="276" w:lineRule="auto"/>
        <w:jc w:val="both"/>
        <w:rPr>
          <w:rFonts w:ascii="Times New Roman" w:hAnsi="Times New Roman" w:cs="Times New Roman"/>
          <w:sz w:val="24"/>
        </w:rPr>
      </w:pPr>
      <w:r w:rsidRPr="00950125">
        <w:rPr>
          <w:rFonts w:ascii="Times New Roman" w:hAnsi="Times New Roman" w:cs="Times New Roman"/>
          <w:sz w:val="24"/>
        </w:rPr>
        <w:t xml:space="preserve">My family and friends have stood by my side with unfailing support, patience, and encouragement throughout this endeavour. Their confidence and trust gave me the necessary strength to chase my dreams. </w:t>
      </w:r>
    </w:p>
    <w:p w14:paraId="0AF8E5FF" w14:textId="77777777" w:rsidR="001140A6" w:rsidRPr="00950125" w:rsidRDefault="001140A6" w:rsidP="00D46E36">
      <w:pPr>
        <w:spacing w:line="276" w:lineRule="auto"/>
        <w:ind w:left="-5" w:right="3"/>
        <w:jc w:val="both"/>
        <w:rPr>
          <w:rFonts w:ascii="Times New Roman" w:hAnsi="Times New Roman" w:cs="Times New Roman"/>
          <w:sz w:val="24"/>
        </w:rPr>
      </w:pPr>
      <w:r w:rsidRPr="00950125">
        <w:rPr>
          <w:rFonts w:ascii="Times New Roman" w:hAnsi="Times New Roman" w:cs="Times New Roman"/>
          <w:sz w:val="24"/>
        </w:rPr>
        <w:t xml:space="preserve">Finally, I am immensely thankful for all those who have helped me in different ways with this research. This work would never have been completed without the guidance, encouragement, and assistance from everything and everyone, and in many ways, it embodies the cooperative and supportive efforts of many people and organisations. </w:t>
      </w:r>
    </w:p>
    <w:p w14:paraId="099C16C5" w14:textId="77777777" w:rsidR="001140A6" w:rsidRPr="00950125" w:rsidRDefault="001140A6" w:rsidP="00D46E36">
      <w:pPr>
        <w:spacing w:after="158" w:line="276" w:lineRule="auto"/>
        <w:jc w:val="both"/>
        <w:rPr>
          <w:rFonts w:ascii="Times New Roman" w:hAnsi="Times New Roman" w:cs="Times New Roman"/>
          <w:sz w:val="24"/>
        </w:rPr>
      </w:pPr>
      <w:r w:rsidRPr="00950125">
        <w:rPr>
          <w:rFonts w:ascii="Times New Roman" w:hAnsi="Times New Roman" w:cs="Times New Roman"/>
          <w:sz w:val="24"/>
        </w:rPr>
        <w:t xml:space="preserve"> </w:t>
      </w:r>
    </w:p>
    <w:p w14:paraId="442240B5" w14:textId="0E68B937" w:rsidR="006B5C4A" w:rsidRPr="00950125" w:rsidRDefault="001140A6" w:rsidP="00D46E36">
      <w:pPr>
        <w:spacing w:after="169" w:line="276" w:lineRule="auto"/>
        <w:ind w:left="-5" w:right="383" w:hanging="10"/>
        <w:jc w:val="both"/>
        <w:rPr>
          <w:rFonts w:ascii="Times New Roman" w:hAnsi="Times New Roman" w:cs="Times New Roman"/>
          <w:sz w:val="24"/>
        </w:rPr>
      </w:pPr>
      <w:r w:rsidRPr="00950125">
        <w:rPr>
          <w:rFonts w:ascii="Times New Roman" w:hAnsi="Times New Roman" w:cs="Times New Roman"/>
          <w:sz w:val="24"/>
        </w:rPr>
        <w:t xml:space="preserve">Thank you all for your invaluable contributions to this journey. </w:t>
      </w:r>
    </w:p>
    <w:p w14:paraId="6296233C" w14:textId="77777777" w:rsidR="006B5C4A" w:rsidRPr="00950125" w:rsidRDefault="006B5C4A" w:rsidP="00D46E36">
      <w:pPr>
        <w:spacing w:line="276" w:lineRule="auto"/>
        <w:rPr>
          <w:rFonts w:ascii="Times New Roman" w:hAnsi="Times New Roman" w:cs="Times New Roman"/>
          <w:sz w:val="24"/>
        </w:rPr>
      </w:pPr>
      <w:r w:rsidRPr="00950125">
        <w:rPr>
          <w:rFonts w:ascii="Times New Roman" w:hAnsi="Times New Roman" w:cs="Times New Roman"/>
          <w:sz w:val="24"/>
        </w:rPr>
        <w:br w:type="page"/>
      </w:r>
    </w:p>
    <w:p w14:paraId="6710E687" w14:textId="13B3B9DD" w:rsidR="001140A6" w:rsidRPr="00950125" w:rsidRDefault="006B5C4A" w:rsidP="00D46E36">
      <w:pPr>
        <w:pStyle w:val="Heading1"/>
        <w:spacing w:line="276" w:lineRule="auto"/>
        <w:jc w:val="center"/>
        <w:rPr>
          <w:rFonts w:ascii="Times New Roman" w:hAnsi="Times New Roman" w:cs="Times New Roman"/>
          <w:b/>
          <w:sz w:val="40"/>
        </w:rPr>
      </w:pPr>
      <w:bookmarkStart w:id="6" w:name="_Toc204723875"/>
      <w:r w:rsidRPr="00950125">
        <w:rPr>
          <w:rFonts w:ascii="Times New Roman" w:hAnsi="Times New Roman" w:cs="Times New Roman"/>
          <w:b/>
          <w:sz w:val="40"/>
        </w:rPr>
        <w:lastRenderedPageBreak/>
        <w:t>Abstract</w:t>
      </w:r>
      <w:bookmarkEnd w:id="6"/>
    </w:p>
    <w:p w14:paraId="6032D1BA" w14:textId="77777777" w:rsidR="00770207" w:rsidRPr="00770207" w:rsidRDefault="00770207" w:rsidP="00D46E36">
      <w:pPr>
        <w:shd w:val="clear" w:color="auto" w:fill="FFFFFF"/>
        <w:spacing w:before="100" w:beforeAutospacing="1" w:after="0" w:line="276" w:lineRule="auto"/>
        <w:jc w:val="both"/>
        <w:rPr>
          <w:rFonts w:ascii="Times New Roman" w:eastAsia="Times New Roman" w:hAnsi="Times New Roman" w:cs="Times New Roman"/>
          <w:bCs/>
          <w:color w:val="1A1C1E"/>
          <w:sz w:val="24"/>
          <w:szCs w:val="24"/>
        </w:rPr>
      </w:pPr>
      <w:r w:rsidRPr="00770207">
        <w:rPr>
          <w:rFonts w:ascii="Times New Roman" w:eastAsia="Times New Roman" w:hAnsi="Times New Roman" w:cs="Times New Roman"/>
          <w:bCs/>
          <w:color w:val="1A1C1E"/>
          <w:sz w:val="24"/>
          <w:szCs w:val="24"/>
        </w:rPr>
        <w:t>One of the most difficult problems of the 21st century is the global commitment to fight climate change and make sure everyone has access to clean energy. This is what the Sustainable Development Goals (SDGs) are all about.  Two of the most important goals are SDG 7 (Affordable and Clean Energy) and SDG 13 (Climate Action). While technological advancements in renewable energy are essential, there is an urgent need for a more profound comprehension of the fundamental socio-economic and governance factors that either promote or obstruct the energy transition. This study empirically examines the dynamic and long-term effects of three fundamental components of a nation's enabling environment: Institutional Quality (IQ), Information and Communication Technology (ICT), and Economic Freedom (EF). The research analyzes their impact on two principal dependent variables: Renewable Energy Consumption (REC) and Carbon Emissions (CO2). The primary hypothesis asserts that these elements are not distinct, autonomous influences but rather form a synergistic triad, wherein advancements in one domain enhance the efficacy of the others, thereby establishing a virtuous cycle crucial for cultivating a sustainable energy future.</w:t>
      </w:r>
    </w:p>
    <w:p w14:paraId="03878E2B" w14:textId="315F7931" w:rsidR="00770207" w:rsidRPr="00770207" w:rsidRDefault="00770207" w:rsidP="00D46E36">
      <w:pPr>
        <w:shd w:val="clear" w:color="auto" w:fill="FFFFFF"/>
        <w:spacing w:before="100" w:beforeAutospacing="1" w:after="0" w:line="276" w:lineRule="auto"/>
        <w:jc w:val="both"/>
        <w:rPr>
          <w:rFonts w:ascii="Times New Roman" w:eastAsia="Times New Roman" w:hAnsi="Times New Roman" w:cs="Times New Roman"/>
          <w:bCs/>
          <w:color w:val="1A1C1E"/>
          <w:sz w:val="24"/>
          <w:szCs w:val="24"/>
        </w:rPr>
      </w:pPr>
      <w:r w:rsidRPr="00770207">
        <w:rPr>
          <w:rFonts w:ascii="Times New Roman" w:eastAsia="Times New Roman" w:hAnsi="Times New Roman" w:cs="Times New Roman"/>
          <w:bCs/>
          <w:color w:val="1A1C1E"/>
          <w:sz w:val="24"/>
          <w:szCs w:val="24"/>
        </w:rPr>
        <w:t>This study utilizes a stringent, sequential econometric methodology on an extensive panel dataset. The analysis commences by validating substantial cross-sectional dependency (CSD), thereby requiring the application of second-generation methodologies. Panel unit root tests show that all of the variables are integrated of order one, I(1). After that, advanced cointegration tests that are strong against CSD confirm that there is a stable long-run equilibrium. Dynamic panel methods are then used to estimate the long-run and short-run coefficients for both the Renewable Energy Consumption and CO2 emissions models. These methods deal with problems of endogeneity and cross-sectional dependence, which m</w:t>
      </w:r>
      <w:r>
        <w:rPr>
          <w:rFonts w:ascii="Times New Roman" w:eastAsia="Times New Roman" w:hAnsi="Times New Roman" w:cs="Times New Roman"/>
          <w:bCs/>
          <w:color w:val="1A1C1E"/>
          <w:sz w:val="24"/>
          <w:szCs w:val="24"/>
        </w:rPr>
        <w:t xml:space="preserve">akes the results more reliable. </w:t>
      </w:r>
      <w:r w:rsidRPr="00770207">
        <w:rPr>
          <w:rFonts w:ascii="Times New Roman" w:eastAsia="Times New Roman" w:hAnsi="Times New Roman" w:cs="Times New Roman"/>
          <w:bCs/>
          <w:color w:val="1A1C1E"/>
          <w:sz w:val="24"/>
          <w:szCs w:val="24"/>
        </w:rPr>
        <w:t xml:space="preserve">The empirical findings present a profound and persuasive narrative. Over time, Institutional Quality, ICT, and Economic Freedom have all been shown to be important factors in both increasing the use of renewable energy and lowering carbon emissions. For the SDG 7 model, Economic Freedom is a very strong driver. A 1% increase in Economic Freedom leads to a 0.106% increase in REC. This shows how important free and competitive markets are for encouraging new ideas and lowering the cost of renewable energy. IQ and ICT also have important positive effects, raising REC by 0.067% and 0.086% for every 1% improvement. This shows that a stable governance environment and advanced technological infrastructure are necessary for progress. The results for the SDG 13 model are just as important. A 1% increase in ICT and Economic Freedom leads to long-term reductions of 0.158% and 0.150% in CO2 emissions, respectively. This shows that digitalization and market-based efficiencies are strong forces for decarbonizing the whole economy, not just the energy sector. On the other hand, the analysis consistently shows that a higher reliance on Natural Resource Rents makes it much harder to use renewables and at the same time raises emissions. This gives strong evidence for the "resource curse" and "carbon lock-in" theories in the context of the modern energy transition. The Error Correction Term (ECT) is also negative and very significant in both models (about -0.12). This confirms that there is a stable long-run relationship </w:t>
      </w:r>
      <w:r w:rsidRPr="00770207">
        <w:rPr>
          <w:rFonts w:ascii="Times New Roman" w:eastAsia="Times New Roman" w:hAnsi="Times New Roman" w:cs="Times New Roman"/>
          <w:bCs/>
          <w:color w:val="1A1C1E"/>
          <w:sz w:val="24"/>
          <w:szCs w:val="24"/>
        </w:rPr>
        <w:lastRenderedPageBreak/>
        <w:t>and shows that the speed of adjustment back to equilibrium is about 12% per year after any short-run shock.</w:t>
      </w:r>
    </w:p>
    <w:p w14:paraId="6F4DC9A8" w14:textId="0265BDB9" w:rsidR="00235FEA" w:rsidRPr="00950125" w:rsidRDefault="00770207" w:rsidP="00D46E36">
      <w:pPr>
        <w:shd w:val="clear" w:color="auto" w:fill="FFFFFF"/>
        <w:spacing w:before="100" w:beforeAutospacing="1" w:after="0" w:line="276" w:lineRule="auto"/>
        <w:jc w:val="both"/>
        <w:rPr>
          <w:rFonts w:ascii="Times New Roman" w:eastAsia="Times New Roman" w:hAnsi="Times New Roman" w:cs="Times New Roman"/>
          <w:bCs/>
          <w:color w:val="1A1C1E"/>
          <w:sz w:val="24"/>
          <w:szCs w:val="24"/>
        </w:rPr>
      </w:pPr>
      <w:r w:rsidRPr="00770207">
        <w:rPr>
          <w:rFonts w:ascii="Times New Roman" w:eastAsia="Times New Roman" w:hAnsi="Times New Roman" w:cs="Times New Roman"/>
          <w:bCs/>
          <w:color w:val="1A1C1E"/>
          <w:sz w:val="24"/>
          <w:szCs w:val="24"/>
        </w:rPr>
        <w:t>This study enhances the literature by transcending single-factor analyses to comprehensively examine the synergistic and evolving influence of institutional, technological, and economic drivers on sustainability outcomes. It gives a more detailed picture of the long-term structural changes needed for a successful energy transition. The paper ends with a list of policy suggestions that are all related to each other and are meant to create an environment where sustainable energy systems can thrive. These include: (1) promoting green investment by reducing financial risk and creating markets for green bonds; (2) putting in place effective carbon pricing systems that take social equity into account; and (3) making basic changes to improve the quality of institutions, take advantage of the transformative power of ICT, and increase economic freedom, especially by getting rid of fossil fuel subsidies. This study offers substantial macro-level insights and reveals a significant direction for future research. It emphasizes the necessity to decompose the composite indices employed for Institutional Quality, ICT, and Economic Freedom to yield more detailed and implementable policy recommendations. This more detailed approach would help find the best policy tools to speed up the transition to cleaner energy. Ultimately, this thesis underscores that genuine advancement in climate and energy objectives necessitates not merely the adoption of new technologies, but also profound, enduring structural reforms that foster innovation, cultivate trust in institutions, and guarantee that the transition is both efficient and just for all stakeholders.</w:t>
      </w:r>
    </w:p>
    <w:p w14:paraId="43B0C1AB" w14:textId="0F5B9FED" w:rsidR="00D46E36" w:rsidRPr="00D46E36" w:rsidRDefault="006B5C4A" w:rsidP="00D46E36">
      <w:pPr>
        <w:shd w:val="clear" w:color="auto" w:fill="FFFFFF"/>
        <w:spacing w:before="100" w:beforeAutospacing="1" w:after="0" w:line="276" w:lineRule="auto"/>
        <w:jc w:val="both"/>
        <w:rPr>
          <w:rFonts w:ascii="Times New Roman" w:hAnsi="Times New Roman" w:cs="Times New Roman"/>
          <w:b/>
          <w:sz w:val="40"/>
          <w:u w:val="single"/>
        </w:rPr>
      </w:pPr>
      <w:r w:rsidRPr="00950125">
        <w:rPr>
          <w:rFonts w:ascii="Times New Roman" w:eastAsia="Times New Roman" w:hAnsi="Times New Roman" w:cs="Times New Roman"/>
          <w:b/>
          <w:bCs/>
          <w:color w:val="1A1C1E"/>
          <w:sz w:val="24"/>
          <w:szCs w:val="24"/>
        </w:rPr>
        <w:t>Keywords:</w:t>
      </w:r>
      <w:r w:rsidR="006E250D" w:rsidRPr="00950125">
        <w:rPr>
          <w:rFonts w:ascii="Times New Roman" w:eastAsia="Times New Roman" w:hAnsi="Times New Roman" w:cs="Times New Roman"/>
          <w:color w:val="1A1C1E"/>
          <w:sz w:val="24"/>
          <w:szCs w:val="24"/>
        </w:rPr>
        <w:t> </w:t>
      </w:r>
      <w:r w:rsidR="006E250D" w:rsidRPr="00950125">
        <w:rPr>
          <w:rFonts w:ascii="Times New Roman" w:eastAsia="Times New Roman" w:hAnsi="Times New Roman" w:cs="Times New Roman"/>
          <w:b/>
          <w:color w:val="1A1C1E"/>
          <w:sz w:val="24"/>
          <w:szCs w:val="24"/>
        </w:rPr>
        <w:t>Affordable and Clean Energy, Climate Action</w:t>
      </w:r>
      <w:r w:rsidRPr="00950125">
        <w:rPr>
          <w:rFonts w:ascii="Times New Roman" w:eastAsia="Times New Roman" w:hAnsi="Times New Roman" w:cs="Times New Roman"/>
          <w:b/>
          <w:color w:val="1A1C1E"/>
          <w:sz w:val="24"/>
          <w:szCs w:val="24"/>
        </w:rPr>
        <w:t>, Renewable Energy Consumption, Carbon Emissions, Institutional Qualit</w:t>
      </w:r>
      <w:r w:rsidR="006E2D20" w:rsidRPr="00950125">
        <w:rPr>
          <w:rFonts w:ascii="Times New Roman" w:eastAsia="Times New Roman" w:hAnsi="Times New Roman" w:cs="Times New Roman"/>
          <w:b/>
          <w:color w:val="1A1C1E"/>
          <w:sz w:val="24"/>
          <w:szCs w:val="24"/>
        </w:rPr>
        <w:t>y, ICT, Economic Freedom</w:t>
      </w:r>
      <w:r w:rsidR="00BA0AAA">
        <w:rPr>
          <w:rFonts w:ascii="Times New Roman" w:hAnsi="Times New Roman" w:cs="Times New Roman"/>
        </w:rPr>
        <w:br w:type="page"/>
      </w:r>
    </w:p>
    <w:sdt>
      <w:sdtPr>
        <w:rPr>
          <w:rFonts w:asciiTheme="minorHAnsi" w:eastAsiaTheme="minorHAnsi" w:hAnsiTheme="minorHAnsi" w:cstheme="minorBidi"/>
          <w:color w:val="auto"/>
          <w:sz w:val="22"/>
          <w:szCs w:val="22"/>
        </w:rPr>
        <w:id w:val="-100258441"/>
        <w:docPartObj>
          <w:docPartGallery w:val="Table of Contents"/>
          <w:docPartUnique/>
        </w:docPartObj>
      </w:sdtPr>
      <w:sdtEndPr>
        <w:rPr>
          <w:b/>
          <w:bCs/>
          <w:noProof/>
        </w:rPr>
      </w:sdtEndPr>
      <w:sdtContent>
        <w:p w14:paraId="6F02922A" w14:textId="447AE424" w:rsidR="00D46E36" w:rsidRPr="00D46E36" w:rsidRDefault="00D46E36" w:rsidP="00D46E36">
          <w:pPr>
            <w:pStyle w:val="TOCHeading"/>
            <w:spacing w:line="276" w:lineRule="auto"/>
            <w:jc w:val="center"/>
            <w:rPr>
              <w:b/>
              <w:u w:val="single"/>
            </w:rPr>
          </w:pPr>
          <w:r w:rsidRPr="00D46E36">
            <w:rPr>
              <w:b/>
              <w:u w:val="single"/>
            </w:rPr>
            <w:t>Table of Contents</w:t>
          </w:r>
        </w:p>
        <w:p w14:paraId="7244A640" w14:textId="6476C2EA" w:rsidR="0093193A" w:rsidRDefault="00D46E36">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04723872" w:history="1">
            <w:r w:rsidR="0093193A" w:rsidRPr="006D5CB2">
              <w:rPr>
                <w:rStyle w:val="Hyperlink"/>
                <w:rFonts w:ascii="Times New Roman" w:hAnsi="Times New Roman" w:cs="Times New Roman"/>
                <w:b/>
                <w:noProof/>
              </w:rPr>
              <w:t>Certification of Similarity Index</w:t>
            </w:r>
            <w:r w:rsidR="0093193A">
              <w:rPr>
                <w:noProof/>
                <w:webHidden/>
              </w:rPr>
              <w:tab/>
            </w:r>
            <w:r w:rsidR="0093193A">
              <w:rPr>
                <w:noProof/>
                <w:webHidden/>
              </w:rPr>
              <w:fldChar w:fldCharType="begin"/>
            </w:r>
            <w:r w:rsidR="0093193A">
              <w:rPr>
                <w:noProof/>
                <w:webHidden/>
              </w:rPr>
              <w:instrText xml:space="preserve"> PAGEREF _Toc204723872 \h </w:instrText>
            </w:r>
            <w:r w:rsidR="0093193A">
              <w:rPr>
                <w:noProof/>
                <w:webHidden/>
              </w:rPr>
            </w:r>
            <w:r w:rsidR="0093193A">
              <w:rPr>
                <w:noProof/>
                <w:webHidden/>
              </w:rPr>
              <w:fldChar w:fldCharType="separate"/>
            </w:r>
            <w:r w:rsidR="003F2868">
              <w:rPr>
                <w:noProof/>
                <w:webHidden/>
              </w:rPr>
              <w:t>4</w:t>
            </w:r>
            <w:r w:rsidR="0093193A">
              <w:rPr>
                <w:noProof/>
                <w:webHidden/>
              </w:rPr>
              <w:fldChar w:fldCharType="end"/>
            </w:r>
          </w:hyperlink>
        </w:p>
        <w:p w14:paraId="4EAAEC32" w14:textId="7731E78F" w:rsidR="0093193A" w:rsidRDefault="0029645F">
          <w:pPr>
            <w:pStyle w:val="TOC1"/>
            <w:tabs>
              <w:tab w:val="right" w:leader="dot" w:pos="9350"/>
            </w:tabs>
            <w:rPr>
              <w:rFonts w:eastAsiaTheme="minorEastAsia"/>
              <w:noProof/>
            </w:rPr>
          </w:pPr>
          <w:hyperlink w:anchor="_Toc204723873" w:history="1">
            <w:r w:rsidR="0093193A" w:rsidRPr="006D5CB2">
              <w:rPr>
                <w:rStyle w:val="Hyperlink"/>
                <w:rFonts w:ascii="Times New Roman" w:hAnsi="Times New Roman" w:cs="Times New Roman"/>
                <w:b/>
                <w:noProof/>
              </w:rPr>
              <w:t>Declaration of the student</w:t>
            </w:r>
            <w:r w:rsidR="0093193A">
              <w:rPr>
                <w:noProof/>
                <w:webHidden/>
              </w:rPr>
              <w:tab/>
            </w:r>
            <w:r w:rsidR="0093193A">
              <w:rPr>
                <w:noProof/>
                <w:webHidden/>
              </w:rPr>
              <w:fldChar w:fldCharType="begin"/>
            </w:r>
            <w:r w:rsidR="0093193A">
              <w:rPr>
                <w:noProof/>
                <w:webHidden/>
              </w:rPr>
              <w:instrText xml:space="preserve"> PAGEREF _Toc204723873 \h </w:instrText>
            </w:r>
            <w:r w:rsidR="0093193A">
              <w:rPr>
                <w:noProof/>
                <w:webHidden/>
              </w:rPr>
            </w:r>
            <w:r w:rsidR="0093193A">
              <w:rPr>
                <w:noProof/>
                <w:webHidden/>
              </w:rPr>
              <w:fldChar w:fldCharType="separate"/>
            </w:r>
            <w:r w:rsidR="003F2868">
              <w:rPr>
                <w:noProof/>
                <w:webHidden/>
              </w:rPr>
              <w:t>5</w:t>
            </w:r>
            <w:r w:rsidR="0093193A">
              <w:rPr>
                <w:noProof/>
                <w:webHidden/>
              </w:rPr>
              <w:fldChar w:fldCharType="end"/>
            </w:r>
          </w:hyperlink>
        </w:p>
        <w:p w14:paraId="0E3424CA" w14:textId="5837CF35" w:rsidR="0093193A" w:rsidRDefault="0029645F">
          <w:pPr>
            <w:pStyle w:val="TOC1"/>
            <w:tabs>
              <w:tab w:val="right" w:leader="dot" w:pos="9350"/>
            </w:tabs>
            <w:rPr>
              <w:rFonts w:eastAsiaTheme="minorEastAsia"/>
              <w:noProof/>
            </w:rPr>
          </w:pPr>
          <w:hyperlink w:anchor="_Toc204723874" w:history="1">
            <w:r w:rsidR="0093193A" w:rsidRPr="006D5CB2">
              <w:rPr>
                <w:rStyle w:val="Hyperlink"/>
                <w:rFonts w:ascii="Times New Roman" w:hAnsi="Times New Roman" w:cs="Times New Roman"/>
                <w:b/>
                <w:noProof/>
              </w:rPr>
              <w:t>Acknowledgement</w:t>
            </w:r>
            <w:r w:rsidR="0093193A">
              <w:rPr>
                <w:noProof/>
                <w:webHidden/>
              </w:rPr>
              <w:tab/>
            </w:r>
            <w:r w:rsidR="0093193A">
              <w:rPr>
                <w:noProof/>
                <w:webHidden/>
              </w:rPr>
              <w:fldChar w:fldCharType="begin"/>
            </w:r>
            <w:r w:rsidR="0093193A">
              <w:rPr>
                <w:noProof/>
                <w:webHidden/>
              </w:rPr>
              <w:instrText xml:space="preserve"> PAGEREF _Toc204723874 \h </w:instrText>
            </w:r>
            <w:r w:rsidR="0093193A">
              <w:rPr>
                <w:noProof/>
                <w:webHidden/>
              </w:rPr>
            </w:r>
            <w:r w:rsidR="0093193A">
              <w:rPr>
                <w:noProof/>
                <w:webHidden/>
              </w:rPr>
              <w:fldChar w:fldCharType="separate"/>
            </w:r>
            <w:r w:rsidR="003F2868">
              <w:rPr>
                <w:noProof/>
                <w:webHidden/>
              </w:rPr>
              <w:t>6</w:t>
            </w:r>
            <w:r w:rsidR="0093193A">
              <w:rPr>
                <w:noProof/>
                <w:webHidden/>
              </w:rPr>
              <w:fldChar w:fldCharType="end"/>
            </w:r>
          </w:hyperlink>
        </w:p>
        <w:p w14:paraId="01741F12" w14:textId="747261B3" w:rsidR="0093193A" w:rsidRDefault="0029645F">
          <w:pPr>
            <w:pStyle w:val="TOC1"/>
            <w:tabs>
              <w:tab w:val="right" w:leader="dot" w:pos="9350"/>
            </w:tabs>
            <w:rPr>
              <w:rFonts w:eastAsiaTheme="minorEastAsia"/>
              <w:noProof/>
            </w:rPr>
          </w:pPr>
          <w:hyperlink w:anchor="_Toc204723875" w:history="1">
            <w:r w:rsidR="0093193A" w:rsidRPr="006D5CB2">
              <w:rPr>
                <w:rStyle w:val="Hyperlink"/>
                <w:rFonts w:ascii="Times New Roman" w:hAnsi="Times New Roman" w:cs="Times New Roman"/>
                <w:b/>
                <w:noProof/>
              </w:rPr>
              <w:t>Abstract</w:t>
            </w:r>
            <w:r w:rsidR="0093193A">
              <w:rPr>
                <w:noProof/>
                <w:webHidden/>
              </w:rPr>
              <w:tab/>
            </w:r>
            <w:r w:rsidR="0093193A">
              <w:rPr>
                <w:noProof/>
                <w:webHidden/>
              </w:rPr>
              <w:fldChar w:fldCharType="begin"/>
            </w:r>
            <w:r w:rsidR="0093193A">
              <w:rPr>
                <w:noProof/>
                <w:webHidden/>
              </w:rPr>
              <w:instrText xml:space="preserve"> PAGEREF _Toc204723875 \h </w:instrText>
            </w:r>
            <w:r w:rsidR="0093193A">
              <w:rPr>
                <w:noProof/>
                <w:webHidden/>
              </w:rPr>
            </w:r>
            <w:r w:rsidR="0093193A">
              <w:rPr>
                <w:noProof/>
                <w:webHidden/>
              </w:rPr>
              <w:fldChar w:fldCharType="separate"/>
            </w:r>
            <w:r w:rsidR="003F2868">
              <w:rPr>
                <w:noProof/>
                <w:webHidden/>
              </w:rPr>
              <w:t>7</w:t>
            </w:r>
            <w:r w:rsidR="0093193A">
              <w:rPr>
                <w:noProof/>
                <w:webHidden/>
              </w:rPr>
              <w:fldChar w:fldCharType="end"/>
            </w:r>
          </w:hyperlink>
        </w:p>
        <w:p w14:paraId="5ED8A62A" w14:textId="2180EB37" w:rsidR="0093193A" w:rsidRDefault="0029645F">
          <w:pPr>
            <w:pStyle w:val="TOC1"/>
            <w:tabs>
              <w:tab w:val="right" w:leader="dot" w:pos="9350"/>
            </w:tabs>
            <w:rPr>
              <w:rFonts w:eastAsiaTheme="minorEastAsia"/>
              <w:noProof/>
            </w:rPr>
          </w:pPr>
          <w:hyperlink w:anchor="_Toc204723876" w:history="1">
            <w:r w:rsidR="0093193A" w:rsidRPr="006D5CB2">
              <w:rPr>
                <w:rStyle w:val="Hyperlink"/>
                <w:rFonts w:ascii="Times New Roman" w:hAnsi="Times New Roman" w:cs="Times New Roman"/>
                <w:b/>
                <w:noProof/>
              </w:rPr>
              <w:t>List of Tables</w:t>
            </w:r>
            <w:r w:rsidR="0093193A">
              <w:rPr>
                <w:noProof/>
                <w:webHidden/>
              </w:rPr>
              <w:tab/>
            </w:r>
            <w:r w:rsidR="0093193A">
              <w:rPr>
                <w:noProof/>
                <w:webHidden/>
              </w:rPr>
              <w:fldChar w:fldCharType="begin"/>
            </w:r>
            <w:r w:rsidR="0093193A">
              <w:rPr>
                <w:noProof/>
                <w:webHidden/>
              </w:rPr>
              <w:instrText xml:space="preserve"> PAGEREF _Toc204723876 \h </w:instrText>
            </w:r>
            <w:r w:rsidR="0093193A">
              <w:rPr>
                <w:noProof/>
                <w:webHidden/>
              </w:rPr>
            </w:r>
            <w:r w:rsidR="0093193A">
              <w:rPr>
                <w:noProof/>
                <w:webHidden/>
              </w:rPr>
              <w:fldChar w:fldCharType="separate"/>
            </w:r>
            <w:r w:rsidR="003F2868">
              <w:rPr>
                <w:noProof/>
                <w:webHidden/>
              </w:rPr>
              <w:t>10</w:t>
            </w:r>
            <w:r w:rsidR="0093193A">
              <w:rPr>
                <w:noProof/>
                <w:webHidden/>
              </w:rPr>
              <w:fldChar w:fldCharType="end"/>
            </w:r>
          </w:hyperlink>
        </w:p>
        <w:p w14:paraId="386B950B" w14:textId="617BE48A" w:rsidR="0093193A" w:rsidRDefault="0029645F">
          <w:pPr>
            <w:pStyle w:val="TOC1"/>
            <w:tabs>
              <w:tab w:val="right" w:leader="dot" w:pos="9350"/>
            </w:tabs>
            <w:rPr>
              <w:rFonts w:eastAsiaTheme="minorEastAsia"/>
              <w:noProof/>
            </w:rPr>
          </w:pPr>
          <w:hyperlink w:anchor="_Toc204723877" w:history="1">
            <w:r w:rsidR="0093193A" w:rsidRPr="006D5CB2">
              <w:rPr>
                <w:rStyle w:val="Hyperlink"/>
                <w:rFonts w:ascii="Times New Roman" w:hAnsi="Times New Roman" w:cs="Times New Roman"/>
                <w:b/>
                <w:noProof/>
              </w:rPr>
              <w:t>Chapter 1: Introduction</w:t>
            </w:r>
            <w:r w:rsidR="0093193A">
              <w:rPr>
                <w:noProof/>
                <w:webHidden/>
              </w:rPr>
              <w:tab/>
            </w:r>
            <w:r w:rsidR="0093193A">
              <w:rPr>
                <w:noProof/>
                <w:webHidden/>
              </w:rPr>
              <w:fldChar w:fldCharType="begin"/>
            </w:r>
            <w:r w:rsidR="0093193A">
              <w:rPr>
                <w:noProof/>
                <w:webHidden/>
              </w:rPr>
              <w:instrText xml:space="preserve"> PAGEREF _Toc204723877 \h </w:instrText>
            </w:r>
            <w:r w:rsidR="0093193A">
              <w:rPr>
                <w:noProof/>
                <w:webHidden/>
              </w:rPr>
            </w:r>
            <w:r w:rsidR="0093193A">
              <w:rPr>
                <w:noProof/>
                <w:webHidden/>
              </w:rPr>
              <w:fldChar w:fldCharType="separate"/>
            </w:r>
            <w:r w:rsidR="003F2868">
              <w:rPr>
                <w:noProof/>
                <w:webHidden/>
              </w:rPr>
              <w:t>1</w:t>
            </w:r>
            <w:r w:rsidR="0093193A">
              <w:rPr>
                <w:noProof/>
                <w:webHidden/>
              </w:rPr>
              <w:fldChar w:fldCharType="end"/>
            </w:r>
          </w:hyperlink>
        </w:p>
        <w:p w14:paraId="124188A3" w14:textId="123460E5" w:rsidR="0093193A" w:rsidRDefault="0029645F">
          <w:pPr>
            <w:pStyle w:val="TOC2"/>
            <w:tabs>
              <w:tab w:val="left" w:pos="880"/>
              <w:tab w:val="right" w:leader="dot" w:pos="9350"/>
            </w:tabs>
            <w:rPr>
              <w:rFonts w:eastAsiaTheme="minorEastAsia"/>
              <w:noProof/>
            </w:rPr>
          </w:pPr>
          <w:hyperlink w:anchor="_Toc204723878" w:history="1">
            <w:r w:rsidR="0093193A" w:rsidRPr="006D5CB2">
              <w:rPr>
                <w:rStyle w:val="Hyperlink"/>
                <w:rFonts w:ascii="Times New Roman" w:hAnsi="Times New Roman" w:cs="Times New Roman"/>
                <w:b/>
                <w:noProof/>
              </w:rPr>
              <w:t>1.1</w:t>
            </w:r>
            <w:r w:rsidR="0093193A">
              <w:rPr>
                <w:rFonts w:eastAsiaTheme="minorEastAsia"/>
                <w:noProof/>
              </w:rPr>
              <w:tab/>
            </w:r>
            <w:r w:rsidR="0093193A" w:rsidRPr="006D5CB2">
              <w:rPr>
                <w:rStyle w:val="Hyperlink"/>
                <w:rFonts w:ascii="Times New Roman" w:hAnsi="Times New Roman" w:cs="Times New Roman"/>
                <w:b/>
                <w:noProof/>
              </w:rPr>
              <w:t>Background of the study</w:t>
            </w:r>
            <w:r w:rsidR="0093193A">
              <w:rPr>
                <w:noProof/>
                <w:webHidden/>
              </w:rPr>
              <w:tab/>
            </w:r>
            <w:r w:rsidR="0093193A">
              <w:rPr>
                <w:noProof/>
                <w:webHidden/>
              </w:rPr>
              <w:fldChar w:fldCharType="begin"/>
            </w:r>
            <w:r w:rsidR="0093193A">
              <w:rPr>
                <w:noProof/>
                <w:webHidden/>
              </w:rPr>
              <w:instrText xml:space="preserve"> PAGEREF _Toc204723878 \h </w:instrText>
            </w:r>
            <w:r w:rsidR="0093193A">
              <w:rPr>
                <w:noProof/>
                <w:webHidden/>
              </w:rPr>
            </w:r>
            <w:r w:rsidR="0093193A">
              <w:rPr>
                <w:noProof/>
                <w:webHidden/>
              </w:rPr>
              <w:fldChar w:fldCharType="separate"/>
            </w:r>
            <w:r w:rsidR="003F2868">
              <w:rPr>
                <w:noProof/>
                <w:webHidden/>
              </w:rPr>
              <w:t>1</w:t>
            </w:r>
            <w:r w:rsidR="0093193A">
              <w:rPr>
                <w:noProof/>
                <w:webHidden/>
              </w:rPr>
              <w:fldChar w:fldCharType="end"/>
            </w:r>
          </w:hyperlink>
        </w:p>
        <w:p w14:paraId="77238D2F" w14:textId="0B5C6B19" w:rsidR="0093193A" w:rsidRDefault="0029645F">
          <w:pPr>
            <w:pStyle w:val="TOC2"/>
            <w:tabs>
              <w:tab w:val="left" w:pos="880"/>
              <w:tab w:val="right" w:leader="dot" w:pos="9350"/>
            </w:tabs>
            <w:rPr>
              <w:rFonts w:eastAsiaTheme="minorEastAsia"/>
              <w:noProof/>
            </w:rPr>
          </w:pPr>
          <w:hyperlink w:anchor="_Toc204723879" w:history="1">
            <w:r w:rsidR="0093193A" w:rsidRPr="006D5CB2">
              <w:rPr>
                <w:rStyle w:val="Hyperlink"/>
                <w:b/>
                <w:noProof/>
              </w:rPr>
              <w:t>1.2</w:t>
            </w:r>
            <w:r w:rsidR="0093193A">
              <w:rPr>
                <w:rFonts w:eastAsiaTheme="minorEastAsia"/>
                <w:noProof/>
              </w:rPr>
              <w:tab/>
            </w:r>
            <w:r w:rsidR="0093193A" w:rsidRPr="006D5CB2">
              <w:rPr>
                <w:rStyle w:val="Hyperlink"/>
                <w:b/>
                <w:noProof/>
              </w:rPr>
              <w:t>Motivation of the Study</w:t>
            </w:r>
            <w:r w:rsidR="0093193A">
              <w:rPr>
                <w:noProof/>
                <w:webHidden/>
              </w:rPr>
              <w:tab/>
            </w:r>
            <w:r w:rsidR="0093193A">
              <w:rPr>
                <w:noProof/>
                <w:webHidden/>
              </w:rPr>
              <w:fldChar w:fldCharType="begin"/>
            </w:r>
            <w:r w:rsidR="0093193A">
              <w:rPr>
                <w:noProof/>
                <w:webHidden/>
              </w:rPr>
              <w:instrText xml:space="preserve"> PAGEREF _Toc204723879 \h </w:instrText>
            </w:r>
            <w:r w:rsidR="0093193A">
              <w:rPr>
                <w:noProof/>
                <w:webHidden/>
              </w:rPr>
            </w:r>
            <w:r w:rsidR="0093193A">
              <w:rPr>
                <w:noProof/>
                <w:webHidden/>
              </w:rPr>
              <w:fldChar w:fldCharType="separate"/>
            </w:r>
            <w:r w:rsidR="003F2868">
              <w:rPr>
                <w:noProof/>
                <w:webHidden/>
              </w:rPr>
              <w:t>8</w:t>
            </w:r>
            <w:r w:rsidR="0093193A">
              <w:rPr>
                <w:noProof/>
                <w:webHidden/>
              </w:rPr>
              <w:fldChar w:fldCharType="end"/>
            </w:r>
          </w:hyperlink>
        </w:p>
        <w:p w14:paraId="29EC3837" w14:textId="5EDB527F" w:rsidR="0093193A" w:rsidRDefault="0029645F">
          <w:pPr>
            <w:pStyle w:val="TOC2"/>
            <w:tabs>
              <w:tab w:val="left" w:pos="880"/>
              <w:tab w:val="right" w:leader="dot" w:pos="9350"/>
            </w:tabs>
            <w:rPr>
              <w:rFonts w:eastAsiaTheme="minorEastAsia"/>
              <w:noProof/>
            </w:rPr>
          </w:pPr>
          <w:hyperlink w:anchor="_Toc204723880" w:history="1">
            <w:r w:rsidR="0093193A" w:rsidRPr="006D5CB2">
              <w:rPr>
                <w:rStyle w:val="Hyperlink"/>
                <w:rFonts w:ascii="Times New Roman" w:hAnsi="Times New Roman" w:cs="Times New Roman"/>
                <w:b/>
                <w:noProof/>
              </w:rPr>
              <w:t>1.3</w:t>
            </w:r>
            <w:r w:rsidR="0093193A">
              <w:rPr>
                <w:rFonts w:eastAsiaTheme="minorEastAsia"/>
                <w:noProof/>
              </w:rPr>
              <w:tab/>
            </w:r>
            <w:r w:rsidR="0093193A" w:rsidRPr="006D5CB2">
              <w:rPr>
                <w:rStyle w:val="Hyperlink"/>
                <w:rFonts w:ascii="Times New Roman" w:hAnsi="Times New Roman" w:cs="Times New Roman"/>
                <w:b/>
                <w:noProof/>
              </w:rPr>
              <w:t>Objective of the Study</w:t>
            </w:r>
            <w:r w:rsidR="0093193A">
              <w:rPr>
                <w:noProof/>
                <w:webHidden/>
              </w:rPr>
              <w:tab/>
            </w:r>
            <w:r w:rsidR="0093193A">
              <w:rPr>
                <w:noProof/>
                <w:webHidden/>
              </w:rPr>
              <w:fldChar w:fldCharType="begin"/>
            </w:r>
            <w:r w:rsidR="0093193A">
              <w:rPr>
                <w:noProof/>
                <w:webHidden/>
              </w:rPr>
              <w:instrText xml:space="preserve"> PAGEREF _Toc204723880 \h </w:instrText>
            </w:r>
            <w:r w:rsidR="0093193A">
              <w:rPr>
                <w:noProof/>
                <w:webHidden/>
              </w:rPr>
            </w:r>
            <w:r w:rsidR="0093193A">
              <w:rPr>
                <w:noProof/>
                <w:webHidden/>
              </w:rPr>
              <w:fldChar w:fldCharType="separate"/>
            </w:r>
            <w:r w:rsidR="003F2868">
              <w:rPr>
                <w:noProof/>
                <w:webHidden/>
              </w:rPr>
              <w:t>9</w:t>
            </w:r>
            <w:r w:rsidR="0093193A">
              <w:rPr>
                <w:noProof/>
                <w:webHidden/>
              </w:rPr>
              <w:fldChar w:fldCharType="end"/>
            </w:r>
          </w:hyperlink>
        </w:p>
        <w:p w14:paraId="66355E6F" w14:textId="4693D45A" w:rsidR="0093193A" w:rsidRDefault="0029645F">
          <w:pPr>
            <w:pStyle w:val="TOC2"/>
            <w:tabs>
              <w:tab w:val="left" w:pos="880"/>
              <w:tab w:val="right" w:leader="dot" w:pos="9350"/>
            </w:tabs>
            <w:rPr>
              <w:rFonts w:eastAsiaTheme="minorEastAsia"/>
              <w:noProof/>
            </w:rPr>
          </w:pPr>
          <w:hyperlink w:anchor="_Toc204723881" w:history="1">
            <w:r w:rsidR="0093193A" w:rsidRPr="006D5CB2">
              <w:rPr>
                <w:rStyle w:val="Hyperlink"/>
                <w:rFonts w:ascii="Times New Roman" w:hAnsi="Times New Roman" w:cs="Times New Roman"/>
                <w:b/>
                <w:noProof/>
              </w:rPr>
              <w:t>1.4</w:t>
            </w:r>
            <w:r w:rsidR="0093193A">
              <w:rPr>
                <w:rFonts w:eastAsiaTheme="minorEastAsia"/>
                <w:noProof/>
              </w:rPr>
              <w:tab/>
            </w:r>
            <w:r w:rsidR="0093193A" w:rsidRPr="006D5CB2">
              <w:rPr>
                <w:rStyle w:val="Hyperlink"/>
                <w:rFonts w:ascii="Times New Roman" w:hAnsi="Times New Roman" w:cs="Times New Roman"/>
                <w:b/>
                <w:noProof/>
              </w:rPr>
              <w:t>Contribution of the study</w:t>
            </w:r>
            <w:r w:rsidR="0093193A">
              <w:rPr>
                <w:noProof/>
                <w:webHidden/>
              </w:rPr>
              <w:tab/>
            </w:r>
            <w:r w:rsidR="0093193A">
              <w:rPr>
                <w:noProof/>
                <w:webHidden/>
              </w:rPr>
              <w:fldChar w:fldCharType="begin"/>
            </w:r>
            <w:r w:rsidR="0093193A">
              <w:rPr>
                <w:noProof/>
                <w:webHidden/>
              </w:rPr>
              <w:instrText xml:space="preserve"> PAGEREF _Toc204723881 \h </w:instrText>
            </w:r>
            <w:r w:rsidR="0093193A">
              <w:rPr>
                <w:noProof/>
                <w:webHidden/>
              </w:rPr>
            </w:r>
            <w:r w:rsidR="0093193A">
              <w:rPr>
                <w:noProof/>
                <w:webHidden/>
              </w:rPr>
              <w:fldChar w:fldCharType="separate"/>
            </w:r>
            <w:r w:rsidR="003F2868">
              <w:rPr>
                <w:noProof/>
                <w:webHidden/>
              </w:rPr>
              <w:t>10</w:t>
            </w:r>
            <w:r w:rsidR="0093193A">
              <w:rPr>
                <w:noProof/>
                <w:webHidden/>
              </w:rPr>
              <w:fldChar w:fldCharType="end"/>
            </w:r>
          </w:hyperlink>
        </w:p>
        <w:p w14:paraId="2874BAF7" w14:textId="1690457F" w:rsidR="0093193A" w:rsidRDefault="0029645F">
          <w:pPr>
            <w:pStyle w:val="TOC1"/>
            <w:tabs>
              <w:tab w:val="right" w:leader="dot" w:pos="9350"/>
            </w:tabs>
            <w:rPr>
              <w:rFonts w:eastAsiaTheme="minorEastAsia"/>
              <w:noProof/>
            </w:rPr>
          </w:pPr>
          <w:hyperlink w:anchor="_Toc204723882" w:history="1">
            <w:r w:rsidR="0093193A" w:rsidRPr="006D5CB2">
              <w:rPr>
                <w:rStyle w:val="Hyperlink"/>
                <w:rFonts w:ascii="Times New Roman" w:hAnsi="Times New Roman" w:cs="Times New Roman"/>
                <w:b/>
                <w:noProof/>
              </w:rPr>
              <w:t>Chapter 2: Theoretical and Empirical review</w:t>
            </w:r>
            <w:r w:rsidR="0093193A">
              <w:rPr>
                <w:noProof/>
                <w:webHidden/>
              </w:rPr>
              <w:tab/>
            </w:r>
            <w:r w:rsidR="0093193A">
              <w:rPr>
                <w:noProof/>
                <w:webHidden/>
              </w:rPr>
              <w:fldChar w:fldCharType="begin"/>
            </w:r>
            <w:r w:rsidR="0093193A">
              <w:rPr>
                <w:noProof/>
                <w:webHidden/>
              </w:rPr>
              <w:instrText xml:space="preserve"> PAGEREF _Toc204723882 \h </w:instrText>
            </w:r>
            <w:r w:rsidR="0093193A">
              <w:rPr>
                <w:noProof/>
                <w:webHidden/>
              </w:rPr>
            </w:r>
            <w:r w:rsidR="0093193A">
              <w:rPr>
                <w:noProof/>
                <w:webHidden/>
              </w:rPr>
              <w:fldChar w:fldCharType="separate"/>
            </w:r>
            <w:r w:rsidR="003F2868">
              <w:rPr>
                <w:noProof/>
                <w:webHidden/>
              </w:rPr>
              <w:t>11</w:t>
            </w:r>
            <w:r w:rsidR="0093193A">
              <w:rPr>
                <w:noProof/>
                <w:webHidden/>
              </w:rPr>
              <w:fldChar w:fldCharType="end"/>
            </w:r>
          </w:hyperlink>
        </w:p>
        <w:p w14:paraId="21356C20" w14:textId="60E9719A" w:rsidR="0093193A" w:rsidRDefault="0029645F">
          <w:pPr>
            <w:pStyle w:val="TOC2"/>
            <w:tabs>
              <w:tab w:val="left" w:pos="880"/>
              <w:tab w:val="right" w:leader="dot" w:pos="9350"/>
            </w:tabs>
            <w:rPr>
              <w:rFonts w:eastAsiaTheme="minorEastAsia"/>
              <w:noProof/>
            </w:rPr>
          </w:pPr>
          <w:hyperlink w:anchor="_Toc204723883" w:history="1">
            <w:r w:rsidR="0093193A" w:rsidRPr="006D5CB2">
              <w:rPr>
                <w:rStyle w:val="Hyperlink"/>
                <w:rFonts w:ascii="Times New Roman" w:hAnsi="Times New Roman" w:cs="Times New Roman"/>
                <w:b/>
                <w:noProof/>
              </w:rPr>
              <w:t>2.1</w:t>
            </w:r>
            <w:r w:rsidR="0093193A">
              <w:rPr>
                <w:rFonts w:eastAsiaTheme="minorEastAsia"/>
                <w:noProof/>
              </w:rPr>
              <w:tab/>
            </w:r>
            <w:r w:rsidR="0093193A" w:rsidRPr="006D5CB2">
              <w:rPr>
                <w:rStyle w:val="Hyperlink"/>
                <w:rFonts w:ascii="Times New Roman" w:hAnsi="Times New Roman" w:cs="Times New Roman"/>
                <w:b/>
                <w:noProof/>
              </w:rPr>
              <w:t>Theoretical &amp; Conceptual Review</w:t>
            </w:r>
            <w:r w:rsidR="0093193A">
              <w:rPr>
                <w:noProof/>
                <w:webHidden/>
              </w:rPr>
              <w:tab/>
            </w:r>
            <w:r w:rsidR="0093193A">
              <w:rPr>
                <w:noProof/>
                <w:webHidden/>
              </w:rPr>
              <w:fldChar w:fldCharType="begin"/>
            </w:r>
            <w:r w:rsidR="0093193A">
              <w:rPr>
                <w:noProof/>
                <w:webHidden/>
              </w:rPr>
              <w:instrText xml:space="preserve"> PAGEREF _Toc204723883 \h </w:instrText>
            </w:r>
            <w:r w:rsidR="0093193A">
              <w:rPr>
                <w:noProof/>
                <w:webHidden/>
              </w:rPr>
            </w:r>
            <w:r w:rsidR="0093193A">
              <w:rPr>
                <w:noProof/>
                <w:webHidden/>
              </w:rPr>
              <w:fldChar w:fldCharType="separate"/>
            </w:r>
            <w:r w:rsidR="003F2868">
              <w:rPr>
                <w:noProof/>
                <w:webHidden/>
              </w:rPr>
              <w:t>11</w:t>
            </w:r>
            <w:r w:rsidR="0093193A">
              <w:rPr>
                <w:noProof/>
                <w:webHidden/>
              </w:rPr>
              <w:fldChar w:fldCharType="end"/>
            </w:r>
          </w:hyperlink>
        </w:p>
        <w:p w14:paraId="1981CBAA" w14:textId="0D786789" w:rsidR="0093193A" w:rsidRDefault="0029645F">
          <w:pPr>
            <w:pStyle w:val="TOC3"/>
            <w:tabs>
              <w:tab w:val="right" w:leader="dot" w:pos="9350"/>
            </w:tabs>
            <w:rPr>
              <w:rFonts w:eastAsiaTheme="minorEastAsia"/>
              <w:noProof/>
            </w:rPr>
          </w:pPr>
          <w:hyperlink w:anchor="_Toc204723884" w:history="1">
            <w:r w:rsidR="0093193A" w:rsidRPr="006D5CB2">
              <w:rPr>
                <w:rStyle w:val="Hyperlink"/>
                <w:rFonts w:ascii="Times New Roman" w:hAnsi="Times New Roman" w:cs="Times New Roman"/>
                <w:b/>
                <w:noProof/>
              </w:rPr>
              <w:t>Technology Acceptance Model (TAM)</w:t>
            </w:r>
            <w:r w:rsidR="0093193A">
              <w:rPr>
                <w:noProof/>
                <w:webHidden/>
              </w:rPr>
              <w:tab/>
            </w:r>
            <w:r w:rsidR="0093193A">
              <w:rPr>
                <w:noProof/>
                <w:webHidden/>
              </w:rPr>
              <w:fldChar w:fldCharType="begin"/>
            </w:r>
            <w:r w:rsidR="0093193A">
              <w:rPr>
                <w:noProof/>
                <w:webHidden/>
              </w:rPr>
              <w:instrText xml:space="preserve"> PAGEREF _Toc204723884 \h </w:instrText>
            </w:r>
            <w:r w:rsidR="0093193A">
              <w:rPr>
                <w:noProof/>
                <w:webHidden/>
              </w:rPr>
            </w:r>
            <w:r w:rsidR="0093193A">
              <w:rPr>
                <w:noProof/>
                <w:webHidden/>
              </w:rPr>
              <w:fldChar w:fldCharType="separate"/>
            </w:r>
            <w:r w:rsidR="003F2868">
              <w:rPr>
                <w:noProof/>
                <w:webHidden/>
              </w:rPr>
              <w:t>11</w:t>
            </w:r>
            <w:r w:rsidR="0093193A">
              <w:rPr>
                <w:noProof/>
                <w:webHidden/>
              </w:rPr>
              <w:fldChar w:fldCharType="end"/>
            </w:r>
          </w:hyperlink>
        </w:p>
        <w:p w14:paraId="236EE98A" w14:textId="37F6F41C" w:rsidR="0093193A" w:rsidRDefault="0029645F">
          <w:pPr>
            <w:pStyle w:val="TOC3"/>
            <w:tabs>
              <w:tab w:val="right" w:leader="dot" w:pos="9350"/>
            </w:tabs>
            <w:rPr>
              <w:rFonts w:eastAsiaTheme="minorEastAsia"/>
              <w:noProof/>
            </w:rPr>
          </w:pPr>
          <w:hyperlink w:anchor="_Toc204723885" w:history="1">
            <w:r w:rsidR="0093193A" w:rsidRPr="006D5CB2">
              <w:rPr>
                <w:rStyle w:val="Hyperlink"/>
                <w:rFonts w:ascii="Times New Roman" w:hAnsi="Times New Roman" w:cs="Times New Roman"/>
                <w:b/>
                <w:noProof/>
              </w:rPr>
              <w:t>Resource Curse and Institutional Quality</w:t>
            </w:r>
            <w:r w:rsidR="0093193A">
              <w:rPr>
                <w:noProof/>
                <w:webHidden/>
              </w:rPr>
              <w:tab/>
            </w:r>
            <w:r w:rsidR="0093193A">
              <w:rPr>
                <w:noProof/>
                <w:webHidden/>
              </w:rPr>
              <w:fldChar w:fldCharType="begin"/>
            </w:r>
            <w:r w:rsidR="0093193A">
              <w:rPr>
                <w:noProof/>
                <w:webHidden/>
              </w:rPr>
              <w:instrText xml:space="preserve"> PAGEREF _Toc204723885 \h </w:instrText>
            </w:r>
            <w:r w:rsidR="0093193A">
              <w:rPr>
                <w:noProof/>
                <w:webHidden/>
              </w:rPr>
            </w:r>
            <w:r w:rsidR="0093193A">
              <w:rPr>
                <w:noProof/>
                <w:webHidden/>
              </w:rPr>
              <w:fldChar w:fldCharType="separate"/>
            </w:r>
            <w:r w:rsidR="003F2868">
              <w:rPr>
                <w:noProof/>
                <w:webHidden/>
              </w:rPr>
              <w:t>11</w:t>
            </w:r>
            <w:r w:rsidR="0093193A">
              <w:rPr>
                <w:noProof/>
                <w:webHidden/>
              </w:rPr>
              <w:fldChar w:fldCharType="end"/>
            </w:r>
          </w:hyperlink>
        </w:p>
        <w:p w14:paraId="7102101F" w14:textId="435B9F70" w:rsidR="0093193A" w:rsidRDefault="0029645F">
          <w:pPr>
            <w:pStyle w:val="TOC3"/>
            <w:tabs>
              <w:tab w:val="right" w:leader="dot" w:pos="9350"/>
            </w:tabs>
            <w:rPr>
              <w:rFonts w:eastAsiaTheme="minorEastAsia"/>
              <w:noProof/>
            </w:rPr>
          </w:pPr>
          <w:hyperlink w:anchor="_Toc204723886" w:history="1">
            <w:r w:rsidR="0093193A" w:rsidRPr="006D5CB2">
              <w:rPr>
                <w:rStyle w:val="Hyperlink"/>
                <w:rFonts w:ascii="Times New Roman" w:eastAsia="Times New Roman" w:hAnsi="Times New Roman" w:cs="Times New Roman"/>
                <w:b/>
                <w:noProof/>
              </w:rPr>
              <w:t>The Load Capacity Factor (LCF)</w:t>
            </w:r>
            <w:r w:rsidR="0093193A">
              <w:rPr>
                <w:noProof/>
                <w:webHidden/>
              </w:rPr>
              <w:tab/>
            </w:r>
            <w:r w:rsidR="0093193A">
              <w:rPr>
                <w:noProof/>
                <w:webHidden/>
              </w:rPr>
              <w:fldChar w:fldCharType="begin"/>
            </w:r>
            <w:r w:rsidR="0093193A">
              <w:rPr>
                <w:noProof/>
                <w:webHidden/>
              </w:rPr>
              <w:instrText xml:space="preserve"> PAGEREF _Toc204723886 \h </w:instrText>
            </w:r>
            <w:r w:rsidR="0093193A">
              <w:rPr>
                <w:noProof/>
                <w:webHidden/>
              </w:rPr>
            </w:r>
            <w:r w:rsidR="0093193A">
              <w:rPr>
                <w:noProof/>
                <w:webHidden/>
              </w:rPr>
              <w:fldChar w:fldCharType="separate"/>
            </w:r>
            <w:r w:rsidR="003F2868">
              <w:rPr>
                <w:noProof/>
                <w:webHidden/>
              </w:rPr>
              <w:t>12</w:t>
            </w:r>
            <w:r w:rsidR="0093193A">
              <w:rPr>
                <w:noProof/>
                <w:webHidden/>
              </w:rPr>
              <w:fldChar w:fldCharType="end"/>
            </w:r>
          </w:hyperlink>
        </w:p>
        <w:p w14:paraId="77316FEB" w14:textId="05C7A0C0" w:rsidR="0093193A" w:rsidRDefault="0029645F">
          <w:pPr>
            <w:pStyle w:val="TOC3"/>
            <w:tabs>
              <w:tab w:val="right" w:leader="dot" w:pos="9350"/>
            </w:tabs>
            <w:rPr>
              <w:rFonts w:eastAsiaTheme="minorEastAsia"/>
              <w:noProof/>
            </w:rPr>
          </w:pPr>
          <w:hyperlink w:anchor="_Toc204723887" w:history="1">
            <w:r w:rsidR="0093193A" w:rsidRPr="006D5CB2">
              <w:rPr>
                <w:rStyle w:val="Hyperlink"/>
                <w:rFonts w:ascii="Times New Roman" w:eastAsia="Times New Roman" w:hAnsi="Times New Roman" w:cs="Times New Roman"/>
                <w:b/>
                <w:noProof/>
              </w:rPr>
              <w:t>The Resource-Based Theory (RBT)</w:t>
            </w:r>
            <w:r w:rsidR="0093193A">
              <w:rPr>
                <w:noProof/>
                <w:webHidden/>
              </w:rPr>
              <w:tab/>
            </w:r>
            <w:r w:rsidR="0093193A">
              <w:rPr>
                <w:noProof/>
                <w:webHidden/>
              </w:rPr>
              <w:fldChar w:fldCharType="begin"/>
            </w:r>
            <w:r w:rsidR="0093193A">
              <w:rPr>
                <w:noProof/>
                <w:webHidden/>
              </w:rPr>
              <w:instrText xml:space="preserve"> PAGEREF _Toc204723887 \h </w:instrText>
            </w:r>
            <w:r w:rsidR="0093193A">
              <w:rPr>
                <w:noProof/>
                <w:webHidden/>
              </w:rPr>
            </w:r>
            <w:r w:rsidR="0093193A">
              <w:rPr>
                <w:noProof/>
                <w:webHidden/>
              </w:rPr>
              <w:fldChar w:fldCharType="separate"/>
            </w:r>
            <w:r w:rsidR="003F2868">
              <w:rPr>
                <w:noProof/>
                <w:webHidden/>
              </w:rPr>
              <w:t>13</w:t>
            </w:r>
            <w:r w:rsidR="0093193A">
              <w:rPr>
                <w:noProof/>
                <w:webHidden/>
              </w:rPr>
              <w:fldChar w:fldCharType="end"/>
            </w:r>
          </w:hyperlink>
        </w:p>
        <w:p w14:paraId="3E9F718C" w14:textId="6B8BDCA7" w:rsidR="0093193A" w:rsidRDefault="0029645F">
          <w:pPr>
            <w:pStyle w:val="TOC3"/>
            <w:tabs>
              <w:tab w:val="right" w:leader="dot" w:pos="9350"/>
            </w:tabs>
            <w:rPr>
              <w:rFonts w:eastAsiaTheme="minorEastAsia"/>
              <w:noProof/>
            </w:rPr>
          </w:pPr>
          <w:hyperlink w:anchor="_Toc204723888" w:history="1">
            <w:r w:rsidR="0093193A" w:rsidRPr="006D5CB2">
              <w:rPr>
                <w:rStyle w:val="Hyperlink"/>
                <w:rFonts w:ascii="Times New Roman" w:eastAsia="Times New Roman" w:hAnsi="Times New Roman" w:cs="Times New Roman"/>
                <w:b/>
                <w:noProof/>
              </w:rPr>
              <w:t>Environmental Kuznets Curve (EKC)</w:t>
            </w:r>
            <w:r w:rsidR="0093193A">
              <w:rPr>
                <w:noProof/>
                <w:webHidden/>
              </w:rPr>
              <w:tab/>
            </w:r>
            <w:r w:rsidR="0093193A">
              <w:rPr>
                <w:noProof/>
                <w:webHidden/>
              </w:rPr>
              <w:fldChar w:fldCharType="begin"/>
            </w:r>
            <w:r w:rsidR="0093193A">
              <w:rPr>
                <w:noProof/>
                <w:webHidden/>
              </w:rPr>
              <w:instrText xml:space="preserve"> PAGEREF _Toc204723888 \h </w:instrText>
            </w:r>
            <w:r w:rsidR="0093193A">
              <w:rPr>
                <w:noProof/>
                <w:webHidden/>
              </w:rPr>
            </w:r>
            <w:r w:rsidR="0093193A">
              <w:rPr>
                <w:noProof/>
                <w:webHidden/>
              </w:rPr>
              <w:fldChar w:fldCharType="separate"/>
            </w:r>
            <w:r w:rsidR="003F2868">
              <w:rPr>
                <w:noProof/>
                <w:webHidden/>
              </w:rPr>
              <w:t>13</w:t>
            </w:r>
            <w:r w:rsidR="0093193A">
              <w:rPr>
                <w:noProof/>
                <w:webHidden/>
              </w:rPr>
              <w:fldChar w:fldCharType="end"/>
            </w:r>
          </w:hyperlink>
        </w:p>
        <w:p w14:paraId="05D3E659" w14:textId="7385A21A" w:rsidR="0093193A" w:rsidRDefault="0029645F">
          <w:pPr>
            <w:pStyle w:val="TOC2"/>
            <w:tabs>
              <w:tab w:val="left" w:pos="880"/>
              <w:tab w:val="right" w:leader="dot" w:pos="9350"/>
            </w:tabs>
            <w:rPr>
              <w:rFonts w:eastAsiaTheme="minorEastAsia"/>
              <w:noProof/>
            </w:rPr>
          </w:pPr>
          <w:hyperlink w:anchor="_Toc204723889" w:history="1">
            <w:r w:rsidR="0093193A" w:rsidRPr="006D5CB2">
              <w:rPr>
                <w:rStyle w:val="Hyperlink"/>
                <w:rFonts w:ascii="Times New Roman" w:hAnsi="Times New Roman" w:cs="Times New Roman"/>
                <w:b/>
                <w:noProof/>
              </w:rPr>
              <w:t>2.2</w:t>
            </w:r>
            <w:r w:rsidR="0093193A">
              <w:rPr>
                <w:rFonts w:eastAsiaTheme="minorEastAsia"/>
                <w:noProof/>
              </w:rPr>
              <w:tab/>
            </w:r>
            <w:r w:rsidR="0093193A" w:rsidRPr="006D5CB2">
              <w:rPr>
                <w:rStyle w:val="Hyperlink"/>
                <w:rFonts w:ascii="Times New Roman" w:hAnsi="Times New Roman" w:cs="Times New Roman"/>
                <w:b/>
                <w:noProof/>
              </w:rPr>
              <w:t>Empirical review</w:t>
            </w:r>
            <w:r w:rsidR="0093193A">
              <w:rPr>
                <w:noProof/>
                <w:webHidden/>
              </w:rPr>
              <w:tab/>
            </w:r>
            <w:r w:rsidR="0093193A">
              <w:rPr>
                <w:noProof/>
                <w:webHidden/>
              </w:rPr>
              <w:fldChar w:fldCharType="begin"/>
            </w:r>
            <w:r w:rsidR="0093193A">
              <w:rPr>
                <w:noProof/>
                <w:webHidden/>
              </w:rPr>
              <w:instrText xml:space="preserve"> PAGEREF _Toc204723889 \h </w:instrText>
            </w:r>
            <w:r w:rsidR="0093193A">
              <w:rPr>
                <w:noProof/>
                <w:webHidden/>
              </w:rPr>
            </w:r>
            <w:r w:rsidR="0093193A">
              <w:rPr>
                <w:noProof/>
                <w:webHidden/>
              </w:rPr>
              <w:fldChar w:fldCharType="separate"/>
            </w:r>
            <w:r w:rsidR="003F2868">
              <w:rPr>
                <w:noProof/>
                <w:webHidden/>
              </w:rPr>
              <w:t>14</w:t>
            </w:r>
            <w:r w:rsidR="0093193A">
              <w:rPr>
                <w:noProof/>
                <w:webHidden/>
              </w:rPr>
              <w:fldChar w:fldCharType="end"/>
            </w:r>
          </w:hyperlink>
        </w:p>
        <w:p w14:paraId="2D3899AF" w14:textId="28CDC318" w:rsidR="0093193A" w:rsidRDefault="0029645F">
          <w:pPr>
            <w:pStyle w:val="TOC2"/>
            <w:tabs>
              <w:tab w:val="left" w:pos="880"/>
              <w:tab w:val="right" w:leader="dot" w:pos="9350"/>
            </w:tabs>
            <w:rPr>
              <w:rFonts w:eastAsiaTheme="minorEastAsia"/>
              <w:noProof/>
            </w:rPr>
          </w:pPr>
          <w:hyperlink w:anchor="_Toc204723890" w:history="1">
            <w:r w:rsidR="0093193A" w:rsidRPr="006D5CB2">
              <w:rPr>
                <w:rStyle w:val="Hyperlink"/>
                <w:rFonts w:ascii="Times New Roman" w:hAnsi="Times New Roman" w:cs="Times New Roman"/>
                <w:b/>
                <w:noProof/>
              </w:rPr>
              <w:t>2.3</w:t>
            </w:r>
            <w:r w:rsidR="0093193A">
              <w:rPr>
                <w:rFonts w:eastAsiaTheme="minorEastAsia"/>
                <w:noProof/>
              </w:rPr>
              <w:tab/>
            </w:r>
            <w:r w:rsidR="0093193A" w:rsidRPr="006D5CB2">
              <w:rPr>
                <w:rStyle w:val="Hyperlink"/>
                <w:rFonts w:ascii="Times New Roman" w:hAnsi="Times New Roman" w:cs="Times New Roman"/>
                <w:b/>
                <w:noProof/>
              </w:rPr>
              <w:t>Literature Gap</w:t>
            </w:r>
            <w:r w:rsidR="0093193A">
              <w:rPr>
                <w:noProof/>
                <w:webHidden/>
              </w:rPr>
              <w:tab/>
            </w:r>
            <w:r w:rsidR="0093193A">
              <w:rPr>
                <w:noProof/>
                <w:webHidden/>
              </w:rPr>
              <w:fldChar w:fldCharType="begin"/>
            </w:r>
            <w:r w:rsidR="0093193A">
              <w:rPr>
                <w:noProof/>
                <w:webHidden/>
              </w:rPr>
              <w:instrText xml:space="preserve"> PAGEREF _Toc204723890 \h </w:instrText>
            </w:r>
            <w:r w:rsidR="0093193A">
              <w:rPr>
                <w:noProof/>
                <w:webHidden/>
              </w:rPr>
            </w:r>
            <w:r w:rsidR="0093193A">
              <w:rPr>
                <w:noProof/>
                <w:webHidden/>
              </w:rPr>
              <w:fldChar w:fldCharType="separate"/>
            </w:r>
            <w:r w:rsidR="003F2868">
              <w:rPr>
                <w:noProof/>
                <w:webHidden/>
              </w:rPr>
              <w:t>23</w:t>
            </w:r>
            <w:r w:rsidR="0093193A">
              <w:rPr>
                <w:noProof/>
                <w:webHidden/>
              </w:rPr>
              <w:fldChar w:fldCharType="end"/>
            </w:r>
          </w:hyperlink>
        </w:p>
        <w:p w14:paraId="6F6C8EA3" w14:textId="4D2B8B8C" w:rsidR="0093193A" w:rsidRDefault="0029645F">
          <w:pPr>
            <w:pStyle w:val="TOC1"/>
            <w:tabs>
              <w:tab w:val="right" w:leader="dot" w:pos="9350"/>
            </w:tabs>
            <w:rPr>
              <w:rFonts w:eastAsiaTheme="minorEastAsia"/>
              <w:noProof/>
            </w:rPr>
          </w:pPr>
          <w:hyperlink w:anchor="_Toc204723891" w:history="1">
            <w:r w:rsidR="0093193A" w:rsidRPr="006D5CB2">
              <w:rPr>
                <w:rStyle w:val="Hyperlink"/>
                <w:rFonts w:ascii="Times New Roman" w:hAnsi="Times New Roman" w:cs="Times New Roman"/>
                <w:b/>
                <w:noProof/>
              </w:rPr>
              <w:t>Chapter 3: Data and Methodology of the Study</w:t>
            </w:r>
            <w:r w:rsidR="0093193A">
              <w:rPr>
                <w:noProof/>
                <w:webHidden/>
              </w:rPr>
              <w:tab/>
            </w:r>
            <w:r w:rsidR="0093193A">
              <w:rPr>
                <w:noProof/>
                <w:webHidden/>
              </w:rPr>
              <w:fldChar w:fldCharType="begin"/>
            </w:r>
            <w:r w:rsidR="0093193A">
              <w:rPr>
                <w:noProof/>
                <w:webHidden/>
              </w:rPr>
              <w:instrText xml:space="preserve"> PAGEREF _Toc204723891 \h </w:instrText>
            </w:r>
            <w:r w:rsidR="0093193A">
              <w:rPr>
                <w:noProof/>
                <w:webHidden/>
              </w:rPr>
            </w:r>
            <w:r w:rsidR="0093193A">
              <w:rPr>
                <w:noProof/>
                <w:webHidden/>
              </w:rPr>
              <w:fldChar w:fldCharType="separate"/>
            </w:r>
            <w:r w:rsidR="003F2868">
              <w:rPr>
                <w:noProof/>
                <w:webHidden/>
              </w:rPr>
              <w:t>25</w:t>
            </w:r>
            <w:r w:rsidR="0093193A">
              <w:rPr>
                <w:noProof/>
                <w:webHidden/>
              </w:rPr>
              <w:fldChar w:fldCharType="end"/>
            </w:r>
          </w:hyperlink>
        </w:p>
        <w:p w14:paraId="32A8E8AB" w14:textId="6F95F63A" w:rsidR="0093193A" w:rsidRDefault="0029645F">
          <w:pPr>
            <w:pStyle w:val="TOC2"/>
            <w:tabs>
              <w:tab w:val="left" w:pos="880"/>
              <w:tab w:val="right" w:leader="dot" w:pos="9350"/>
            </w:tabs>
            <w:rPr>
              <w:rFonts w:eastAsiaTheme="minorEastAsia"/>
              <w:noProof/>
            </w:rPr>
          </w:pPr>
          <w:hyperlink w:anchor="_Toc204723892" w:history="1">
            <w:r w:rsidR="0093193A" w:rsidRPr="006D5CB2">
              <w:rPr>
                <w:rStyle w:val="Hyperlink"/>
                <w:rFonts w:ascii="Times New Roman" w:hAnsi="Times New Roman" w:cs="Times New Roman"/>
                <w:b/>
                <w:noProof/>
              </w:rPr>
              <w:t>3.1</w:t>
            </w:r>
            <w:r w:rsidR="0093193A">
              <w:rPr>
                <w:rFonts w:eastAsiaTheme="minorEastAsia"/>
                <w:noProof/>
              </w:rPr>
              <w:tab/>
            </w:r>
            <w:r w:rsidR="0093193A" w:rsidRPr="006D5CB2">
              <w:rPr>
                <w:rStyle w:val="Hyperlink"/>
                <w:rFonts w:ascii="Times New Roman" w:hAnsi="Times New Roman" w:cs="Times New Roman"/>
                <w:b/>
                <w:noProof/>
              </w:rPr>
              <w:t>Model specification</w:t>
            </w:r>
            <w:r w:rsidR="0093193A">
              <w:rPr>
                <w:noProof/>
                <w:webHidden/>
              </w:rPr>
              <w:tab/>
            </w:r>
            <w:r w:rsidR="0093193A">
              <w:rPr>
                <w:noProof/>
                <w:webHidden/>
              </w:rPr>
              <w:fldChar w:fldCharType="begin"/>
            </w:r>
            <w:r w:rsidR="0093193A">
              <w:rPr>
                <w:noProof/>
                <w:webHidden/>
              </w:rPr>
              <w:instrText xml:space="preserve"> PAGEREF _Toc204723892 \h </w:instrText>
            </w:r>
            <w:r w:rsidR="0093193A">
              <w:rPr>
                <w:noProof/>
                <w:webHidden/>
              </w:rPr>
            </w:r>
            <w:r w:rsidR="0093193A">
              <w:rPr>
                <w:noProof/>
                <w:webHidden/>
              </w:rPr>
              <w:fldChar w:fldCharType="separate"/>
            </w:r>
            <w:r w:rsidR="003F2868">
              <w:rPr>
                <w:noProof/>
                <w:webHidden/>
              </w:rPr>
              <w:t>25</w:t>
            </w:r>
            <w:r w:rsidR="0093193A">
              <w:rPr>
                <w:noProof/>
                <w:webHidden/>
              </w:rPr>
              <w:fldChar w:fldCharType="end"/>
            </w:r>
          </w:hyperlink>
        </w:p>
        <w:p w14:paraId="14F2BFDD" w14:textId="0880B7D6" w:rsidR="0093193A" w:rsidRDefault="0029645F">
          <w:pPr>
            <w:pStyle w:val="TOC2"/>
            <w:tabs>
              <w:tab w:val="left" w:pos="880"/>
              <w:tab w:val="right" w:leader="dot" w:pos="9350"/>
            </w:tabs>
            <w:rPr>
              <w:rFonts w:eastAsiaTheme="minorEastAsia"/>
              <w:noProof/>
            </w:rPr>
          </w:pPr>
          <w:hyperlink w:anchor="_Toc204723893" w:history="1">
            <w:r w:rsidR="0093193A" w:rsidRPr="006D5CB2">
              <w:rPr>
                <w:rStyle w:val="Hyperlink"/>
                <w:rFonts w:ascii="Times New Roman" w:hAnsi="Times New Roman" w:cs="Times New Roman"/>
                <w:b/>
                <w:noProof/>
              </w:rPr>
              <w:t>3.2</w:t>
            </w:r>
            <w:r w:rsidR="0093193A">
              <w:rPr>
                <w:rFonts w:eastAsiaTheme="minorEastAsia"/>
                <w:noProof/>
              </w:rPr>
              <w:tab/>
            </w:r>
            <w:r w:rsidR="0093193A" w:rsidRPr="006D5CB2">
              <w:rPr>
                <w:rStyle w:val="Hyperlink"/>
                <w:rFonts w:ascii="Times New Roman" w:hAnsi="Times New Roman" w:cs="Times New Roman"/>
                <w:b/>
                <w:noProof/>
              </w:rPr>
              <w:t>Variables definition and proxy</w:t>
            </w:r>
            <w:r w:rsidR="0093193A">
              <w:rPr>
                <w:noProof/>
                <w:webHidden/>
              </w:rPr>
              <w:tab/>
            </w:r>
            <w:r w:rsidR="0093193A">
              <w:rPr>
                <w:noProof/>
                <w:webHidden/>
              </w:rPr>
              <w:fldChar w:fldCharType="begin"/>
            </w:r>
            <w:r w:rsidR="0093193A">
              <w:rPr>
                <w:noProof/>
                <w:webHidden/>
              </w:rPr>
              <w:instrText xml:space="preserve"> PAGEREF _Toc204723893 \h </w:instrText>
            </w:r>
            <w:r w:rsidR="0093193A">
              <w:rPr>
                <w:noProof/>
                <w:webHidden/>
              </w:rPr>
            </w:r>
            <w:r w:rsidR="0093193A">
              <w:rPr>
                <w:noProof/>
                <w:webHidden/>
              </w:rPr>
              <w:fldChar w:fldCharType="separate"/>
            </w:r>
            <w:r w:rsidR="003F2868">
              <w:rPr>
                <w:noProof/>
                <w:webHidden/>
              </w:rPr>
              <w:t>25</w:t>
            </w:r>
            <w:r w:rsidR="0093193A">
              <w:rPr>
                <w:noProof/>
                <w:webHidden/>
              </w:rPr>
              <w:fldChar w:fldCharType="end"/>
            </w:r>
          </w:hyperlink>
        </w:p>
        <w:p w14:paraId="3FB74FA9" w14:textId="5A51B214" w:rsidR="0093193A" w:rsidRDefault="0029645F">
          <w:pPr>
            <w:pStyle w:val="TOC2"/>
            <w:tabs>
              <w:tab w:val="left" w:pos="880"/>
              <w:tab w:val="right" w:leader="dot" w:pos="9350"/>
            </w:tabs>
            <w:rPr>
              <w:rFonts w:eastAsiaTheme="minorEastAsia"/>
              <w:noProof/>
            </w:rPr>
          </w:pPr>
          <w:hyperlink w:anchor="_Toc204723894" w:history="1">
            <w:r w:rsidR="0093193A" w:rsidRPr="006D5CB2">
              <w:rPr>
                <w:rStyle w:val="Hyperlink"/>
                <w:rFonts w:ascii="Times New Roman" w:hAnsi="Times New Roman" w:cs="Times New Roman"/>
                <w:b/>
                <w:noProof/>
              </w:rPr>
              <w:t>3.3</w:t>
            </w:r>
            <w:r w:rsidR="0093193A">
              <w:rPr>
                <w:rFonts w:eastAsiaTheme="minorEastAsia"/>
                <w:noProof/>
              </w:rPr>
              <w:tab/>
            </w:r>
            <w:r w:rsidR="0093193A" w:rsidRPr="006D5CB2">
              <w:rPr>
                <w:rStyle w:val="Hyperlink"/>
                <w:rFonts w:ascii="Times New Roman" w:hAnsi="Times New Roman" w:cs="Times New Roman"/>
                <w:b/>
                <w:noProof/>
              </w:rPr>
              <w:t>Expected Sign of Each Coefficient with Literature Justification</w:t>
            </w:r>
            <w:r w:rsidR="0093193A">
              <w:rPr>
                <w:noProof/>
                <w:webHidden/>
              </w:rPr>
              <w:tab/>
            </w:r>
            <w:r w:rsidR="0093193A">
              <w:rPr>
                <w:noProof/>
                <w:webHidden/>
              </w:rPr>
              <w:fldChar w:fldCharType="begin"/>
            </w:r>
            <w:r w:rsidR="0093193A">
              <w:rPr>
                <w:noProof/>
                <w:webHidden/>
              </w:rPr>
              <w:instrText xml:space="preserve"> PAGEREF _Toc204723894 \h </w:instrText>
            </w:r>
            <w:r w:rsidR="0093193A">
              <w:rPr>
                <w:noProof/>
                <w:webHidden/>
              </w:rPr>
            </w:r>
            <w:r w:rsidR="0093193A">
              <w:rPr>
                <w:noProof/>
                <w:webHidden/>
              </w:rPr>
              <w:fldChar w:fldCharType="separate"/>
            </w:r>
            <w:r w:rsidR="003F2868">
              <w:rPr>
                <w:noProof/>
                <w:webHidden/>
              </w:rPr>
              <w:t>29</w:t>
            </w:r>
            <w:r w:rsidR="0093193A">
              <w:rPr>
                <w:noProof/>
                <w:webHidden/>
              </w:rPr>
              <w:fldChar w:fldCharType="end"/>
            </w:r>
          </w:hyperlink>
        </w:p>
        <w:p w14:paraId="7677E015" w14:textId="544F40B1" w:rsidR="0093193A" w:rsidRDefault="0029645F">
          <w:pPr>
            <w:pStyle w:val="TOC3"/>
            <w:tabs>
              <w:tab w:val="right" w:leader="dot" w:pos="9350"/>
            </w:tabs>
            <w:rPr>
              <w:rFonts w:eastAsiaTheme="minorEastAsia"/>
              <w:noProof/>
            </w:rPr>
          </w:pPr>
          <w:hyperlink w:anchor="_Toc204723895" w:history="1">
            <w:r w:rsidR="0093193A" w:rsidRPr="006D5CB2">
              <w:rPr>
                <w:rStyle w:val="Hyperlink"/>
                <w:rFonts w:ascii="Times New Roman" w:hAnsi="Times New Roman" w:cs="Times New Roman"/>
                <w:b/>
                <w:noProof/>
              </w:rPr>
              <w:t>Equation 1: Renewable Energy Consumption (REC)</w:t>
            </w:r>
            <w:r w:rsidR="0093193A">
              <w:rPr>
                <w:noProof/>
                <w:webHidden/>
              </w:rPr>
              <w:tab/>
            </w:r>
            <w:r w:rsidR="0093193A">
              <w:rPr>
                <w:noProof/>
                <w:webHidden/>
              </w:rPr>
              <w:fldChar w:fldCharType="begin"/>
            </w:r>
            <w:r w:rsidR="0093193A">
              <w:rPr>
                <w:noProof/>
                <w:webHidden/>
              </w:rPr>
              <w:instrText xml:space="preserve"> PAGEREF _Toc204723895 \h </w:instrText>
            </w:r>
            <w:r w:rsidR="0093193A">
              <w:rPr>
                <w:noProof/>
                <w:webHidden/>
              </w:rPr>
            </w:r>
            <w:r w:rsidR="0093193A">
              <w:rPr>
                <w:noProof/>
                <w:webHidden/>
              </w:rPr>
              <w:fldChar w:fldCharType="separate"/>
            </w:r>
            <w:r w:rsidR="003F2868">
              <w:rPr>
                <w:noProof/>
                <w:webHidden/>
              </w:rPr>
              <w:t>29</w:t>
            </w:r>
            <w:r w:rsidR="0093193A">
              <w:rPr>
                <w:noProof/>
                <w:webHidden/>
              </w:rPr>
              <w:fldChar w:fldCharType="end"/>
            </w:r>
          </w:hyperlink>
        </w:p>
        <w:p w14:paraId="6FDC6FBA" w14:textId="4846D227" w:rsidR="0093193A" w:rsidRDefault="0029645F">
          <w:pPr>
            <w:pStyle w:val="TOC3"/>
            <w:tabs>
              <w:tab w:val="right" w:leader="dot" w:pos="9350"/>
            </w:tabs>
            <w:rPr>
              <w:rFonts w:eastAsiaTheme="minorEastAsia"/>
              <w:noProof/>
            </w:rPr>
          </w:pPr>
          <w:hyperlink w:anchor="_Toc204723896" w:history="1">
            <w:r w:rsidR="0093193A" w:rsidRPr="006D5CB2">
              <w:rPr>
                <w:rStyle w:val="Hyperlink"/>
                <w:rFonts w:ascii="Times New Roman" w:hAnsi="Times New Roman" w:cs="Times New Roman"/>
                <w:b/>
                <w:noProof/>
              </w:rPr>
              <w:t>Equation 2: CO2 Emissions (CO2)</w:t>
            </w:r>
            <w:r w:rsidR="0093193A">
              <w:rPr>
                <w:noProof/>
                <w:webHidden/>
              </w:rPr>
              <w:tab/>
            </w:r>
            <w:r w:rsidR="0093193A">
              <w:rPr>
                <w:noProof/>
                <w:webHidden/>
              </w:rPr>
              <w:fldChar w:fldCharType="begin"/>
            </w:r>
            <w:r w:rsidR="0093193A">
              <w:rPr>
                <w:noProof/>
                <w:webHidden/>
              </w:rPr>
              <w:instrText xml:space="preserve"> PAGEREF _Toc204723896 \h </w:instrText>
            </w:r>
            <w:r w:rsidR="0093193A">
              <w:rPr>
                <w:noProof/>
                <w:webHidden/>
              </w:rPr>
            </w:r>
            <w:r w:rsidR="0093193A">
              <w:rPr>
                <w:noProof/>
                <w:webHidden/>
              </w:rPr>
              <w:fldChar w:fldCharType="separate"/>
            </w:r>
            <w:r w:rsidR="003F2868">
              <w:rPr>
                <w:noProof/>
                <w:webHidden/>
              </w:rPr>
              <w:t>31</w:t>
            </w:r>
            <w:r w:rsidR="0093193A">
              <w:rPr>
                <w:noProof/>
                <w:webHidden/>
              </w:rPr>
              <w:fldChar w:fldCharType="end"/>
            </w:r>
          </w:hyperlink>
        </w:p>
        <w:p w14:paraId="76B71433" w14:textId="6B8D058E" w:rsidR="0093193A" w:rsidRDefault="0029645F">
          <w:pPr>
            <w:pStyle w:val="TOC2"/>
            <w:tabs>
              <w:tab w:val="left" w:pos="880"/>
              <w:tab w:val="right" w:leader="dot" w:pos="9350"/>
            </w:tabs>
            <w:rPr>
              <w:rFonts w:eastAsiaTheme="minorEastAsia"/>
              <w:noProof/>
            </w:rPr>
          </w:pPr>
          <w:hyperlink w:anchor="_Toc204723897" w:history="1">
            <w:r w:rsidR="0093193A" w:rsidRPr="006D5CB2">
              <w:rPr>
                <w:rStyle w:val="Hyperlink"/>
                <w:rFonts w:ascii="Times New Roman" w:hAnsi="Times New Roman" w:cs="Times New Roman"/>
                <w:b/>
                <w:noProof/>
              </w:rPr>
              <w:t>3.4</w:t>
            </w:r>
            <w:r w:rsidR="0093193A">
              <w:rPr>
                <w:rFonts w:eastAsiaTheme="minorEastAsia"/>
                <w:noProof/>
              </w:rPr>
              <w:tab/>
            </w:r>
            <w:r w:rsidR="0093193A" w:rsidRPr="006D5CB2">
              <w:rPr>
                <w:rStyle w:val="Hyperlink"/>
                <w:rFonts w:ascii="Times New Roman" w:hAnsi="Times New Roman" w:cs="Times New Roman"/>
                <w:b/>
                <w:noProof/>
              </w:rPr>
              <w:t>Estimation strategies</w:t>
            </w:r>
            <w:r w:rsidR="0093193A">
              <w:rPr>
                <w:noProof/>
                <w:webHidden/>
              </w:rPr>
              <w:tab/>
            </w:r>
            <w:r w:rsidR="0093193A">
              <w:rPr>
                <w:noProof/>
                <w:webHidden/>
              </w:rPr>
              <w:fldChar w:fldCharType="begin"/>
            </w:r>
            <w:r w:rsidR="0093193A">
              <w:rPr>
                <w:noProof/>
                <w:webHidden/>
              </w:rPr>
              <w:instrText xml:space="preserve"> PAGEREF _Toc204723897 \h </w:instrText>
            </w:r>
            <w:r w:rsidR="0093193A">
              <w:rPr>
                <w:noProof/>
                <w:webHidden/>
              </w:rPr>
            </w:r>
            <w:r w:rsidR="0093193A">
              <w:rPr>
                <w:noProof/>
                <w:webHidden/>
              </w:rPr>
              <w:fldChar w:fldCharType="separate"/>
            </w:r>
            <w:r w:rsidR="003F2868">
              <w:rPr>
                <w:noProof/>
                <w:webHidden/>
              </w:rPr>
              <w:t>32</w:t>
            </w:r>
            <w:r w:rsidR="0093193A">
              <w:rPr>
                <w:noProof/>
                <w:webHidden/>
              </w:rPr>
              <w:fldChar w:fldCharType="end"/>
            </w:r>
          </w:hyperlink>
        </w:p>
        <w:p w14:paraId="688EDC70" w14:textId="53F7ED22" w:rsidR="0093193A" w:rsidRDefault="0029645F">
          <w:pPr>
            <w:pStyle w:val="TOC3"/>
            <w:tabs>
              <w:tab w:val="right" w:leader="dot" w:pos="9350"/>
            </w:tabs>
            <w:rPr>
              <w:rFonts w:eastAsiaTheme="minorEastAsia"/>
              <w:noProof/>
            </w:rPr>
          </w:pPr>
          <w:hyperlink w:anchor="_Toc204723898" w:history="1">
            <w:r w:rsidR="0093193A" w:rsidRPr="006D5CB2">
              <w:rPr>
                <w:rStyle w:val="Hyperlink"/>
                <w:rFonts w:ascii="Times New Roman" w:eastAsia="Times New Roman" w:hAnsi="Times New Roman" w:cs="Times New Roman"/>
                <w:noProof/>
              </w:rPr>
              <w:t>Cross-Section Dependence (CSD) &amp; Slope Homogeneity Analysis</w:t>
            </w:r>
            <w:r w:rsidR="0093193A">
              <w:rPr>
                <w:noProof/>
                <w:webHidden/>
              </w:rPr>
              <w:tab/>
            </w:r>
            <w:r w:rsidR="0093193A">
              <w:rPr>
                <w:noProof/>
                <w:webHidden/>
              </w:rPr>
              <w:fldChar w:fldCharType="begin"/>
            </w:r>
            <w:r w:rsidR="0093193A">
              <w:rPr>
                <w:noProof/>
                <w:webHidden/>
              </w:rPr>
              <w:instrText xml:space="preserve"> PAGEREF _Toc204723898 \h </w:instrText>
            </w:r>
            <w:r w:rsidR="0093193A">
              <w:rPr>
                <w:noProof/>
                <w:webHidden/>
              </w:rPr>
            </w:r>
            <w:r w:rsidR="0093193A">
              <w:rPr>
                <w:noProof/>
                <w:webHidden/>
              </w:rPr>
              <w:fldChar w:fldCharType="separate"/>
            </w:r>
            <w:r w:rsidR="003F2868">
              <w:rPr>
                <w:noProof/>
                <w:webHidden/>
              </w:rPr>
              <w:t>32</w:t>
            </w:r>
            <w:r w:rsidR="0093193A">
              <w:rPr>
                <w:noProof/>
                <w:webHidden/>
              </w:rPr>
              <w:fldChar w:fldCharType="end"/>
            </w:r>
          </w:hyperlink>
        </w:p>
        <w:p w14:paraId="4BABB4E4" w14:textId="65AE4264" w:rsidR="0093193A" w:rsidRDefault="0029645F">
          <w:pPr>
            <w:pStyle w:val="TOC3"/>
            <w:tabs>
              <w:tab w:val="right" w:leader="dot" w:pos="9350"/>
            </w:tabs>
            <w:rPr>
              <w:rFonts w:eastAsiaTheme="minorEastAsia"/>
              <w:noProof/>
            </w:rPr>
          </w:pPr>
          <w:hyperlink w:anchor="_Toc204723899" w:history="1">
            <w:r w:rsidR="0093193A" w:rsidRPr="006D5CB2">
              <w:rPr>
                <w:rStyle w:val="Hyperlink"/>
                <w:rFonts w:ascii="Times New Roman" w:eastAsia="Times New Roman" w:hAnsi="Times New Roman" w:cs="Times New Roman"/>
                <w:noProof/>
              </w:rPr>
              <w:t>Unit Root Analysis</w:t>
            </w:r>
            <w:r w:rsidR="0093193A">
              <w:rPr>
                <w:noProof/>
                <w:webHidden/>
              </w:rPr>
              <w:tab/>
            </w:r>
            <w:r w:rsidR="0093193A">
              <w:rPr>
                <w:noProof/>
                <w:webHidden/>
              </w:rPr>
              <w:fldChar w:fldCharType="begin"/>
            </w:r>
            <w:r w:rsidR="0093193A">
              <w:rPr>
                <w:noProof/>
                <w:webHidden/>
              </w:rPr>
              <w:instrText xml:space="preserve"> PAGEREF _Toc204723899 \h </w:instrText>
            </w:r>
            <w:r w:rsidR="0093193A">
              <w:rPr>
                <w:noProof/>
                <w:webHidden/>
              </w:rPr>
            </w:r>
            <w:r w:rsidR="0093193A">
              <w:rPr>
                <w:noProof/>
                <w:webHidden/>
              </w:rPr>
              <w:fldChar w:fldCharType="separate"/>
            </w:r>
            <w:r w:rsidR="003F2868">
              <w:rPr>
                <w:noProof/>
                <w:webHidden/>
              </w:rPr>
              <w:t>33</w:t>
            </w:r>
            <w:r w:rsidR="0093193A">
              <w:rPr>
                <w:noProof/>
                <w:webHidden/>
              </w:rPr>
              <w:fldChar w:fldCharType="end"/>
            </w:r>
          </w:hyperlink>
        </w:p>
        <w:p w14:paraId="15476081" w14:textId="55E67516" w:rsidR="0093193A" w:rsidRDefault="0029645F">
          <w:pPr>
            <w:pStyle w:val="TOC3"/>
            <w:tabs>
              <w:tab w:val="right" w:leader="dot" w:pos="9350"/>
            </w:tabs>
            <w:rPr>
              <w:rFonts w:eastAsiaTheme="minorEastAsia"/>
              <w:noProof/>
            </w:rPr>
          </w:pPr>
          <w:hyperlink w:anchor="_Toc204723900" w:history="1">
            <w:r w:rsidR="0093193A" w:rsidRPr="006D5CB2">
              <w:rPr>
                <w:rStyle w:val="Hyperlink"/>
                <w:rFonts w:ascii="Times New Roman" w:eastAsia="Times New Roman" w:hAnsi="Times New Roman" w:cs="Times New Roman"/>
                <w:noProof/>
              </w:rPr>
              <w:t>Cointegration Analysis</w:t>
            </w:r>
            <w:r w:rsidR="0093193A">
              <w:rPr>
                <w:noProof/>
                <w:webHidden/>
              </w:rPr>
              <w:tab/>
            </w:r>
            <w:r w:rsidR="0093193A">
              <w:rPr>
                <w:noProof/>
                <w:webHidden/>
              </w:rPr>
              <w:fldChar w:fldCharType="begin"/>
            </w:r>
            <w:r w:rsidR="0093193A">
              <w:rPr>
                <w:noProof/>
                <w:webHidden/>
              </w:rPr>
              <w:instrText xml:space="preserve"> PAGEREF _Toc204723900 \h </w:instrText>
            </w:r>
            <w:r w:rsidR="0093193A">
              <w:rPr>
                <w:noProof/>
                <w:webHidden/>
              </w:rPr>
            </w:r>
            <w:r w:rsidR="0093193A">
              <w:rPr>
                <w:noProof/>
                <w:webHidden/>
              </w:rPr>
              <w:fldChar w:fldCharType="separate"/>
            </w:r>
            <w:r w:rsidR="003F2868">
              <w:rPr>
                <w:noProof/>
                <w:webHidden/>
              </w:rPr>
              <w:t>34</w:t>
            </w:r>
            <w:r w:rsidR="0093193A">
              <w:rPr>
                <w:noProof/>
                <w:webHidden/>
              </w:rPr>
              <w:fldChar w:fldCharType="end"/>
            </w:r>
          </w:hyperlink>
        </w:p>
        <w:p w14:paraId="6E4DE7E3" w14:textId="38AF95F9" w:rsidR="0093193A" w:rsidRDefault="0029645F">
          <w:pPr>
            <w:pStyle w:val="TOC3"/>
            <w:tabs>
              <w:tab w:val="right" w:leader="dot" w:pos="9350"/>
            </w:tabs>
            <w:rPr>
              <w:rFonts w:eastAsiaTheme="minorEastAsia"/>
              <w:noProof/>
            </w:rPr>
          </w:pPr>
          <w:hyperlink w:anchor="_Toc204723901" w:history="1">
            <w:r w:rsidR="0093193A" w:rsidRPr="006D5CB2">
              <w:rPr>
                <w:rStyle w:val="Hyperlink"/>
                <w:rFonts w:ascii="Times New Roman" w:eastAsia="Times New Roman" w:hAnsi="Times New Roman" w:cs="Times New Roman"/>
                <w:noProof/>
              </w:rPr>
              <w:t>Long-run Analysis</w:t>
            </w:r>
            <w:r w:rsidR="0093193A">
              <w:rPr>
                <w:noProof/>
                <w:webHidden/>
              </w:rPr>
              <w:tab/>
            </w:r>
            <w:r w:rsidR="0093193A">
              <w:rPr>
                <w:noProof/>
                <w:webHidden/>
              </w:rPr>
              <w:fldChar w:fldCharType="begin"/>
            </w:r>
            <w:r w:rsidR="0093193A">
              <w:rPr>
                <w:noProof/>
                <w:webHidden/>
              </w:rPr>
              <w:instrText xml:space="preserve"> PAGEREF _Toc204723901 \h </w:instrText>
            </w:r>
            <w:r w:rsidR="0093193A">
              <w:rPr>
                <w:noProof/>
                <w:webHidden/>
              </w:rPr>
            </w:r>
            <w:r w:rsidR="0093193A">
              <w:rPr>
                <w:noProof/>
                <w:webHidden/>
              </w:rPr>
              <w:fldChar w:fldCharType="separate"/>
            </w:r>
            <w:r w:rsidR="003F2868">
              <w:rPr>
                <w:noProof/>
                <w:webHidden/>
              </w:rPr>
              <w:t>35</w:t>
            </w:r>
            <w:r w:rsidR="0093193A">
              <w:rPr>
                <w:noProof/>
                <w:webHidden/>
              </w:rPr>
              <w:fldChar w:fldCharType="end"/>
            </w:r>
          </w:hyperlink>
        </w:p>
        <w:p w14:paraId="3DC5E40E" w14:textId="396AF6D0" w:rsidR="0093193A" w:rsidRDefault="0029645F">
          <w:pPr>
            <w:pStyle w:val="TOC3"/>
            <w:tabs>
              <w:tab w:val="right" w:leader="dot" w:pos="9350"/>
            </w:tabs>
            <w:rPr>
              <w:rFonts w:eastAsiaTheme="minorEastAsia"/>
              <w:noProof/>
            </w:rPr>
          </w:pPr>
          <w:hyperlink w:anchor="_Toc204723902" w:history="1">
            <w:r w:rsidR="0093193A" w:rsidRPr="006D5CB2">
              <w:rPr>
                <w:rStyle w:val="Hyperlink"/>
                <w:rFonts w:ascii="Times New Roman" w:eastAsia="Times New Roman" w:hAnsi="Times New Roman" w:cs="Times New Roman"/>
                <w:noProof/>
              </w:rPr>
              <w:t>Causality Analysis</w:t>
            </w:r>
            <w:r w:rsidR="0093193A">
              <w:rPr>
                <w:noProof/>
                <w:webHidden/>
              </w:rPr>
              <w:tab/>
            </w:r>
            <w:r w:rsidR="0093193A">
              <w:rPr>
                <w:noProof/>
                <w:webHidden/>
              </w:rPr>
              <w:fldChar w:fldCharType="begin"/>
            </w:r>
            <w:r w:rsidR="0093193A">
              <w:rPr>
                <w:noProof/>
                <w:webHidden/>
              </w:rPr>
              <w:instrText xml:space="preserve"> PAGEREF _Toc204723902 \h </w:instrText>
            </w:r>
            <w:r w:rsidR="0093193A">
              <w:rPr>
                <w:noProof/>
                <w:webHidden/>
              </w:rPr>
            </w:r>
            <w:r w:rsidR="0093193A">
              <w:rPr>
                <w:noProof/>
                <w:webHidden/>
              </w:rPr>
              <w:fldChar w:fldCharType="separate"/>
            </w:r>
            <w:r w:rsidR="003F2868">
              <w:rPr>
                <w:noProof/>
                <w:webHidden/>
              </w:rPr>
              <w:t>37</w:t>
            </w:r>
            <w:r w:rsidR="0093193A">
              <w:rPr>
                <w:noProof/>
                <w:webHidden/>
              </w:rPr>
              <w:fldChar w:fldCharType="end"/>
            </w:r>
          </w:hyperlink>
        </w:p>
        <w:p w14:paraId="6BCAB8D6" w14:textId="178B6DF3" w:rsidR="0093193A" w:rsidRDefault="0029645F">
          <w:pPr>
            <w:pStyle w:val="TOC3"/>
            <w:tabs>
              <w:tab w:val="right" w:leader="dot" w:pos="9350"/>
            </w:tabs>
            <w:rPr>
              <w:rFonts w:eastAsiaTheme="minorEastAsia"/>
              <w:noProof/>
            </w:rPr>
          </w:pPr>
          <w:hyperlink w:anchor="_Toc204723903" w:history="1">
            <w:r w:rsidR="0093193A" w:rsidRPr="006D5CB2">
              <w:rPr>
                <w:rStyle w:val="Hyperlink"/>
                <w:rFonts w:ascii="Times New Roman" w:eastAsia="Times New Roman" w:hAnsi="Times New Roman" w:cs="Times New Roman"/>
                <w:noProof/>
              </w:rPr>
              <w:t>Robustness</w:t>
            </w:r>
            <w:r w:rsidR="0093193A">
              <w:rPr>
                <w:noProof/>
                <w:webHidden/>
              </w:rPr>
              <w:tab/>
            </w:r>
            <w:r w:rsidR="0093193A">
              <w:rPr>
                <w:noProof/>
                <w:webHidden/>
              </w:rPr>
              <w:fldChar w:fldCharType="begin"/>
            </w:r>
            <w:r w:rsidR="0093193A">
              <w:rPr>
                <w:noProof/>
                <w:webHidden/>
              </w:rPr>
              <w:instrText xml:space="preserve"> PAGEREF _Toc204723903 \h </w:instrText>
            </w:r>
            <w:r w:rsidR="0093193A">
              <w:rPr>
                <w:noProof/>
                <w:webHidden/>
              </w:rPr>
            </w:r>
            <w:r w:rsidR="0093193A">
              <w:rPr>
                <w:noProof/>
                <w:webHidden/>
              </w:rPr>
              <w:fldChar w:fldCharType="separate"/>
            </w:r>
            <w:r w:rsidR="003F2868">
              <w:rPr>
                <w:noProof/>
                <w:webHidden/>
              </w:rPr>
              <w:t>37</w:t>
            </w:r>
            <w:r w:rsidR="0093193A">
              <w:rPr>
                <w:noProof/>
                <w:webHidden/>
              </w:rPr>
              <w:fldChar w:fldCharType="end"/>
            </w:r>
          </w:hyperlink>
        </w:p>
        <w:p w14:paraId="5B21DC15" w14:textId="0612B259" w:rsidR="0093193A" w:rsidRDefault="0029645F">
          <w:pPr>
            <w:pStyle w:val="TOC1"/>
            <w:tabs>
              <w:tab w:val="right" w:leader="dot" w:pos="9350"/>
            </w:tabs>
            <w:rPr>
              <w:rFonts w:eastAsiaTheme="minorEastAsia"/>
              <w:noProof/>
            </w:rPr>
          </w:pPr>
          <w:hyperlink w:anchor="_Toc204723904" w:history="1">
            <w:r w:rsidR="0093193A" w:rsidRPr="006D5CB2">
              <w:rPr>
                <w:rStyle w:val="Hyperlink"/>
                <w:rFonts w:ascii="Times New Roman" w:hAnsi="Times New Roman" w:cs="Times New Roman"/>
                <w:b/>
                <w:noProof/>
              </w:rPr>
              <w:t>Chapter 4: Estimation and Interpretation</w:t>
            </w:r>
            <w:r w:rsidR="0093193A">
              <w:rPr>
                <w:noProof/>
                <w:webHidden/>
              </w:rPr>
              <w:tab/>
            </w:r>
            <w:r w:rsidR="0093193A">
              <w:rPr>
                <w:noProof/>
                <w:webHidden/>
              </w:rPr>
              <w:fldChar w:fldCharType="begin"/>
            </w:r>
            <w:r w:rsidR="0093193A">
              <w:rPr>
                <w:noProof/>
                <w:webHidden/>
              </w:rPr>
              <w:instrText xml:space="preserve"> PAGEREF _Toc204723904 \h </w:instrText>
            </w:r>
            <w:r w:rsidR="0093193A">
              <w:rPr>
                <w:noProof/>
                <w:webHidden/>
              </w:rPr>
            </w:r>
            <w:r w:rsidR="0093193A">
              <w:rPr>
                <w:noProof/>
                <w:webHidden/>
              </w:rPr>
              <w:fldChar w:fldCharType="separate"/>
            </w:r>
            <w:r w:rsidR="003F2868">
              <w:rPr>
                <w:noProof/>
                <w:webHidden/>
              </w:rPr>
              <w:t>39</w:t>
            </w:r>
            <w:r w:rsidR="0093193A">
              <w:rPr>
                <w:noProof/>
                <w:webHidden/>
              </w:rPr>
              <w:fldChar w:fldCharType="end"/>
            </w:r>
          </w:hyperlink>
        </w:p>
        <w:p w14:paraId="3D04F2A9" w14:textId="31E6742C" w:rsidR="0093193A" w:rsidRDefault="0029645F">
          <w:pPr>
            <w:pStyle w:val="TOC2"/>
            <w:tabs>
              <w:tab w:val="left" w:pos="880"/>
              <w:tab w:val="right" w:leader="dot" w:pos="9350"/>
            </w:tabs>
            <w:rPr>
              <w:rFonts w:eastAsiaTheme="minorEastAsia"/>
              <w:noProof/>
            </w:rPr>
          </w:pPr>
          <w:hyperlink w:anchor="_Toc204723905" w:history="1">
            <w:r w:rsidR="0093193A" w:rsidRPr="006D5CB2">
              <w:rPr>
                <w:rStyle w:val="Hyperlink"/>
                <w:rFonts w:ascii="Times New Roman" w:hAnsi="Times New Roman" w:cs="Times New Roman"/>
                <w:b/>
                <w:noProof/>
              </w:rPr>
              <w:t>4.1</w:t>
            </w:r>
            <w:r w:rsidR="0093193A">
              <w:rPr>
                <w:rFonts w:eastAsiaTheme="minorEastAsia"/>
                <w:noProof/>
              </w:rPr>
              <w:tab/>
            </w:r>
            <w:r w:rsidR="0093193A" w:rsidRPr="006D5CB2">
              <w:rPr>
                <w:rStyle w:val="Hyperlink"/>
                <w:rFonts w:ascii="Times New Roman" w:hAnsi="Times New Roman" w:cs="Times New Roman"/>
                <w:b/>
                <w:noProof/>
              </w:rPr>
              <w:t>Cross-Sectional Dependency (CSD) Test Results</w:t>
            </w:r>
            <w:r w:rsidR="0093193A">
              <w:rPr>
                <w:noProof/>
                <w:webHidden/>
              </w:rPr>
              <w:tab/>
            </w:r>
            <w:r w:rsidR="0093193A">
              <w:rPr>
                <w:noProof/>
                <w:webHidden/>
              </w:rPr>
              <w:fldChar w:fldCharType="begin"/>
            </w:r>
            <w:r w:rsidR="0093193A">
              <w:rPr>
                <w:noProof/>
                <w:webHidden/>
              </w:rPr>
              <w:instrText xml:space="preserve"> PAGEREF _Toc204723905 \h </w:instrText>
            </w:r>
            <w:r w:rsidR="0093193A">
              <w:rPr>
                <w:noProof/>
                <w:webHidden/>
              </w:rPr>
            </w:r>
            <w:r w:rsidR="0093193A">
              <w:rPr>
                <w:noProof/>
                <w:webHidden/>
              </w:rPr>
              <w:fldChar w:fldCharType="separate"/>
            </w:r>
            <w:r w:rsidR="003F2868">
              <w:rPr>
                <w:noProof/>
                <w:webHidden/>
              </w:rPr>
              <w:t>39</w:t>
            </w:r>
            <w:r w:rsidR="0093193A">
              <w:rPr>
                <w:noProof/>
                <w:webHidden/>
              </w:rPr>
              <w:fldChar w:fldCharType="end"/>
            </w:r>
          </w:hyperlink>
        </w:p>
        <w:p w14:paraId="01DE1FDB" w14:textId="3132F5DA" w:rsidR="0093193A" w:rsidRDefault="0029645F">
          <w:pPr>
            <w:pStyle w:val="TOC2"/>
            <w:tabs>
              <w:tab w:val="left" w:pos="880"/>
              <w:tab w:val="right" w:leader="dot" w:pos="9350"/>
            </w:tabs>
            <w:rPr>
              <w:rFonts w:eastAsiaTheme="minorEastAsia"/>
              <w:noProof/>
            </w:rPr>
          </w:pPr>
          <w:hyperlink w:anchor="_Toc204723906" w:history="1">
            <w:r w:rsidR="0093193A" w:rsidRPr="006D5CB2">
              <w:rPr>
                <w:rStyle w:val="Hyperlink"/>
                <w:rFonts w:ascii="Times New Roman" w:hAnsi="Times New Roman" w:cs="Times New Roman"/>
                <w:b/>
                <w:noProof/>
              </w:rPr>
              <w:t>4.2</w:t>
            </w:r>
            <w:r w:rsidR="0093193A">
              <w:rPr>
                <w:rFonts w:eastAsiaTheme="minorEastAsia"/>
                <w:noProof/>
              </w:rPr>
              <w:tab/>
            </w:r>
            <w:r w:rsidR="0093193A" w:rsidRPr="006D5CB2">
              <w:rPr>
                <w:rStyle w:val="Hyperlink"/>
                <w:rFonts w:ascii="Times New Roman" w:hAnsi="Times New Roman" w:cs="Times New Roman"/>
                <w:b/>
                <w:noProof/>
              </w:rPr>
              <w:t>Panel Unit Root Test Results</w:t>
            </w:r>
            <w:r w:rsidR="0093193A">
              <w:rPr>
                <w:noProof/>
                <w:webHidden/>
              </w:rPr>
              <w:tab/>
            </w:r>
            <w:r w:rsidR="0093193A">
              <w:rPr>
                <w:noProof/>
                <w:webHidden/>
              </w:rPr>
              <w:fldChar w:fldCharType="begin"/>
            </w:r>
            <w:r w:rsidR="0093193A">
              <w:rPr>
                <w:noProof/>
                <w:webHidden/>
              </w:rPr>
              <w:instrText xml:space="preserve"> PAGEREF _Toc204723906 \h </w:instrText>
            </w:r>
            <w:r w:rsidR="0093193A">
              <w:rPr>
                <w:noProof/>
                <w:webHidden/>
              </w:rPr>
            </w:r>
            <w:r w:rsidR="0093193A">
              <w:rPr>
                <w:noProof/>
                <w:webHidden/>
              </w:rPr>
              <w:fldChar w:fldCharType="separate"/>
            </w:r>
            <w:r w:rsidR="003F2868">
              <w:rPr>
                <w:noProof/>
                <w:webHidden/>
              </w:rPr>
              <w:t>40</w:t>
            </w:r>
            <w:r w:rsidR="0093193A">
              <w:rPr>
                <w:noProof/>
                <w:webHidden/>
              </w:rPr>
              <w:fldChar w:fldCharType="end"/>
            </w:r>
          </w:hyperlink>
        </w:p>
        <w:p w14:paraId="4178BB99" w14:textId="45C8E97F" w:rsidR="0093193A" w:rsidRDefault="0029645F">
          <w:pPr>
            <w:pStyle w:val="TOC2"/>
            <w:tabs>
              <w:tab w:val="left" w:pos="880"/>
              <w:tab w:val="right" w:leader="dot" w:pos="9350"/>
            </w:tabs>
            <w:rPr>
              <w:rFonts w:eastAsiaTheme="minorEastAsia"/>
              <w:noProof/>
            </w:rPr>
          </w:pPr>
          <w:hyperlink w:anchor="_Toc204723907" w:history="1">
            <w:r w:rsidR="0093193A" w:rsidRPr="006D5CB2">
              <w:rPr>
                <w:rStyle w:val="Hyperlink"/>
                <w:rFonts w:ascii="Times New Roman" w:hAnsi="Times New Roman" w:cs="Times New Roman"/>
                <w:b/>
                <w:noProof/>
              </w:rPr>
              <w:t>4.3</w:t>
            </w:r>
            <w:r w:rsidR="0093193A">
              <w:rPr>
                <w:rFonts w:eastAsiaTheme="minorEastAsia"/>
                <w:noProof/>
              </w:rPr>
              <w:tab/>
            </w:r>
            <w:r w:rsidR="0093193A" w:rsidRPr="006D5CB2">
              <w:rPr>
                <w:rStyle w:val="Hyperlink"/>
                <w:rFonts w:ascii="Times New Roman" w:hAnsi="Times New Roman" w:cs="Times New Roman"/>
                <w:b/>
                <w:noProof/>
              </w:rPr>
              <w:t>Panel Cointegration Test Results</w:t>
            </w:r>
            <w:r w:rsidR="0093193A">
              <w:rPr>
                <w:noProof/>
                <w:webHidden/>
              </w:rPr>
              <w:tab/>
            </w:r>
            <w:r w:rsidR="0093193A">
              <w:rPr>
                <w:noProof/>
                <w:webHidden/>
              </w:rPr>
              <w:fldChar w:fldCharType="begin"/>
            </w:r>
            <w:r w:rsidR="0093193A">
              <w:rPr>
                <w:noProof/>
                <w:webHidden/>
              </w:rPr>
              <w:instrText xml:space="preserve"> PAGEREF _Toc204723907 \h </w:instrText>
            </w:r>
            <w:r w:rsidR="0093193A">
              <w:rPr>
                <w:noProof/>
                <w:webHidden/>
              </w:rPr>
            </w:r>
            <w:r w:rsidR="0093193A">
              <w:rPr>
                <w:noProof/>
                <w:webHidden/>
              </w:rPr>
              <w:fldChar w:fldCharType="separate"/>
            </w:r>
            <w:r w:rsidR="003F2868">
              <w:rPr>
                <w:noProof/>
                <w:webHidden/>
              </w:rPr>
              <w:t>41</w:t>
            </w:r>
            <w:r w:rsidR="0093193A">
              <w:rPr>
                <w:noProof/>
                <w:webHidden/>
              </w:rPr>
              <w:fldChar w:fldCharType="end"/>
            </w:r>
          </w:hyperlink>
        </w:p>
        <w:p w14:paraId="4FC1A869" w14:textId="256FC7D3" w:rsidR="0093193A" w:rsidRDefault="0029645F">
          <w:pPr>
            <w:pStyle w:val="TOC2"/>
            <w:tabs>
              <w:tab w:val="left" w:pos="880"/>
              <w:tab w:val="right" w:leader="dot" w:pos="9350"/>
            </w:tabs>
            <w:rPr>
              <w:rFonts w:eastAsiaTheme="minorEastAsia"/>
              <w:noProof/>
            </w:rPr>
          </w:pPr>
          <w:hyperlink w:anchor="_Toc204723908" w:history="1">
            <w:r w:rsidR="0093193A" w:rsidRPr="006D5CB2">
              <w:rPr>
                <w:rStyle w:val="Hyperlink"/>
                <w:rFonts w:ascii="Times New Roman" w:hAnsi="Times New Roman" w:cs="Times New Roman"/>
                <w:b/>
                <w:noProof/>
              </w:rPr>
              <w:t>4.4</w:t>
            </w:r>
            <w:r w:rsidR="0093193A">
              <w:rPr>
                <w:rFonts w:eastAsiaTheme="minorEastAsia"/>
                <w:noProof/>
              </w:rPr>
              <w:tab/>
            </w:r>
            <w:r w:rsidR="0093193A" w:rsidRPr="006D5CB2">
              <w:rPr>
                <w:rStyle w:val="Hyperlink"/>
                <w:rFonts w:ascii="Times New Roman" w:hAnsi="Times New Roman" w:cs="Times New Roman"/>
                <w:b/>
                <w:noProof/>
              </w:rPr>
              <w:t>Empirical mode with SGD 13</w:t>
            </w:r>
            <w:r w:rsidR="0093193A">
              <w:rPr>
                <w:noProof/>
                <w:webHidden/>
              </w:rPr>
              <w:tab/>
            </w:r>
            <w:r w:rsidR="0093193A">
              <w:rPr>
                <w:noProof/>
                <w:webHidden/>
              </w:rPr>
              <w:fldChar w:fldCharType="begin"/>
            </w:r>
            <w:r w:rsidR="0093193A">
              <w:rPr>
                <w:noProof/>
                <w:webHidden/>
              </w:rPr>
              <w:instrText xml:space="preserve"> PAGEREF _Toc204723908 \h </w:instrText>
            </w:r>
            <w:r w:rsidR="0093193A">
              <w:rPr>
                <w:noProof/>
                <w:webHidden/>
              </w:rPr>
            </w:r>
            <w:r w:rsidR="0093193A">
              <w:rPr>
                <w:noProof/>
                <w:webHidden/>
              </w:rPr>
              <w:fldChar w:fldCharType="separate"/>
            </w:r>
            <w:r w:rsidR="003F2868">
              <w:rPr>
                <w:noProof/>
                <w:webHidden/>
              </w:rPr>
              <w:t>42</w:t>
            </w:r>
            <w:r w:rsidR="0093193A">
              <w:rPr>
                <w:noProof/>
                <w:webHidden/>
              </w:rPr>
              <w:fldChar w:fldCharType="end"/>
            </w:r>
          </w:hyperlink>
        </w:p>
        <w:p w14:paraId="5366AE18" w14:textId="7439334F" w:rsidR="0093193A" w:rsidRDefault="0029645F">
          <w:pPr>
            <w:pStyle w:val="TOC2"/>
            <w:tabs>
              <w:tab w:val="left" w:pos="880"/>
              <w:tab w:val="right" w:leader="dot" w:pos="9350"/>
            </w:tabs>
            <w:rPr>
              <w:rFonts w:eastAsiaTheme="minorEastAsia"/>
              <w:noProof/>
            </w:rPr>
          </w:pPr>
          <w:hyperlink w:anchor="_Toc204723909" w:history="1">
            <w:r w:rsidR="0093193A" w:rsidRPr="006D5CB2">
              <w:rPr>
                <w:rStyle w:val="Hyperlink"/>
                <w:rFonts w:ascii="Times New Roman" w:hAnsi="Times New Roman" w:cs="Times New Roman"/>
                <w:b/>
                <w:noProof/>
              </w:rPr>
              <w:t>4.5</w:t>
            </w:r>
            <w:r w:rsidR="0093193A">
              <w:rPr>
                <w:rFonts w:eastAsiaTheme="minorEastAsia"/>
                <w:noProof/>
              </w:rPr>
              <w:tab/>
            </w:r>
            <w:r w:rsidR="0093193A" w:rsidRPr="006D5CB2">
              <w:rPr>
                <w:rStyle w:val="Hyperlink"/>
                <w:rFonts w:ascii="Times New Roman" w:hAnsi="Times New Roman" w:cs="Times New Roman"/>
                <w:b/>
                <w:noProof/>
              </w:rPr>
              <w:t>Empirical mode with SGD 7</w:t>
            </w:r>
            <w:r w:rsidR="0093193A">
              <w:rPr>
                <w:noProof/>
                <w:webHidden/>
              </w:rPr>
              <w:tab/>
            </w:r>
            <w:r w:rsidR="0093193A">
              <w:rPr>
                <w:noProof/>
                <w:webHidden/>
              </w:rPr>
              <w:fldChar w:fldCharType="begin"/>
            </w:r>
            <w:r w:rsidR="0093193A">
              <w:rPr>
                <w:noProof/>
                <w:webHidden/>
              </w:rPr>
              <w:instrText xml:space="preserve"> PAGEREF _Toc204723909 \h </w:instrText>
            </w:r>
            <w:r w:rsidR="0093193A">
              <w:rPr>
                <w:noProof/>
                <w:webHidden/>
              </w:rPr>
            </w:r>
            <w:r w:rsidR="0093193A">
              <w:rPr>
                <w:noProof/>
                <w:webHidden/>
              </w:rPr>
              <w:fldChar w:fldCharType="separate"/>
            </w:r>
            <w:r w:rsidR="003F2868">
              <w:rPr>
                <w:noProof/>
                <w:webHidden/>
              </w:rPr>
              <w:t>45</w:t>
            </w:r>
            <w:r w:rsidR="0093193A">
              <w:rPr>
                <w:noProof/>
                <w:webHidden/>
              </w:rPr>
              <w:fldChar w:fldCharType="end"/>
            </w:r>
          </w:hyperlink>
        </w:p>
        <w:p w14:paraId="2531A26A" w14:textId="2B277D10" w:rsidR="0093193A" w:rsidRDefault="0029645F">
          <w:pPr>
            <w:pStyle w:val="TOC1"/>
            <w:tabs>
              <w:tab w:val="right" w:leader="dot" w:pos="9350"/>
            </w:tabs>
            <w:rPr>
              <w:rFonts w:eastAsiaTheme="minorEastAsia"/>
              <w:noProof/>
            </w:rPr>
          </w:pPr>
          <w:hyperlink w:anchor="_Toc204723910" w:history="1">
            <w:r w:rsidR="0093193A" w:rsidRPr="006D5CB2">
              <w:rPr>
                <w:rStyle w:val="Hyperlink"/>
                <w:rFonts w:ascii="Times New Roman" w:hAnsi="Times New Roman" w:cs="Times New Roman"/>
                <w:b/>
                <w:noProof/>
              </w:rPr>
              <w:t>Chapter 5: Discussion</w:t>
            </w:r>
            <w:r w:rsidR="0093193A">
              <w:rPr>
                <w:noProof/>
                <w:webHidden/>
              </w:rPr>
              <w:tab/>
            </w:r>
            <w:r w:rsidR="0093193A">
              <w:rPr>
                <w:noProof/>
                <w:webHidden/>
              </w:rPr>
              <w:fldChar w:fldCharType="begin"/>
            </w:r>
            <w:r w:rsidR="0093193A">
              <w:rPr>
                <w:noProof/>
                <w:webHidden/>
              </w:rPr>
              <w:instrText xml:space="preserve"> PAGEREF _Toc204723910 \h </w:instrText>
            </w:r>
            <w:r w:rsidR="0093193A">
              <w:rPr>
                <w:noProof/>
                <w:webHidden/>
              </w:rPr>
            </w:r>
            <w:r w:rsidR="0093193A">
              <w:rPr>
                <w:noProof/>
                <w:webHidden/>
              </w:rPr>
              <w:fldChar w:fldCharType="separate"/>
            </w:r>
            <w:r w:rsidR="003F2868">
              <w:rPr>
                <w:noProof/>
                <w:webHidden/>
              </w:rPr>
              <w:t>48</w:t>
            </w:r>
            <w:r w:rsidR="0093193A">
              <w:rPr>
                <w:noProof/>
                <w:webHidden/>
              </w:rPr>
              <w:fldChar w:fldCharType="end"/>
            </w:r>
          </w:hyperlink>
        </w:p>
        <w:p w14:paraId="7C309239" w14:textId="7E4E4C1B" w:rsidR="0093193A" w:rsidRDefault="0029645F">
          <w:pPr>
            <w:pStyle w:val="TOC1"/>
            <w:tabs>
              <w:tab w:val="right" w:leader="dot" w:pos="9350"/>
            </w:tabs>
            <w:rPr>
              <w:rFonts w:eastAsiaTheme="minorEastAsia"/>
              <w:noProof/>
            </w:rPr>
          </w:pPr>
          <w:hyperlink w:anchor="_Toc204723911" w:history="1">
            <w:r w:rsidR="0093193A" w:rsidRPr="006D5CB2">
              <w:rPr>
                <w:rStyle w:val="Hyperlink"/>
                <w:rFonts w:ascii="Times New Roman" w:hAnsi="Times New Roman" w:cs="Times New Roman"/>
                <w:b/>
                <w:noProof/>
              </w:rPr>
              <w:t>Chapter 6: Conclusion, Policy Suggestion and Future Study</w:t>
            </w:r>
            <w:r w:rsidR="0093193A">
              <w:rPr>
                <w:noProof/>
                <w:webHidden/>
              </w:rPr>
              <w:tab/>
            </w:r>
            <w:r w:rsidR="0093193A">
              <w:rPr>
                <w:noProof/>
                <w:webHidden/>
              </w:rPr>
              <w:fldChar w:fldCharType="begin"/>
            </w:r>
            <w:r w:rsidR="0093193A">
              <w:rPr>
                <w:noProof/>
                <w:webHidden/>
              </w:rPr>
              <w:instrText xml:space="preserve"> PAGEREF _Toc204723911 \h </w:instrText>
            </w:r>
            <w:r w:rsidR="0093193A">
              <w:rPr>
                <w:noProof/>
                <w:webHidden/>
              </w:rPr>
            </w:r>
            <w:r w:rsidR="0093193A">
              <w:rPr>
                <w:noProof/>
                <w:webHidden/>
              </w:rPr>
              <w:fldChar w:fldCharType="separate"/>
            </w:r>
            <w:r w:rsidR="003F2868">
              <w:rPr>
                <w:noProof/>
                <w:webHidden/>
              </w:rPr>
              <w:t>53</w:t>
            </w:r>
            <w:r w:rsidR="0093193A">
              <w:rPr>
                <w:noProof/>
                <w:webHidden/>
              </w:rPr>
              <w:fldChar w:fldCharType="end"/>
            </w:r>
          </w:hyperlink>
        </w:p>
        <w:p w14:paraId="6E668D1D" w14:textId="24407C90" w:rsidR="0093193A" w:rsidRDefault="0029645F">
          <w:pPr>
            <w:pStyle w:val="TOC2"/>
            <w:tabs>
              <w:tab w:val="left" w:pos="880"/>
              <w:tab w:val="right" w:leader="dot" w:pos="9350"/>
            </w:tabs>
            <w:rPr>
              <w:rFonts w:eastAsiaTheme="minorEastAsia"/>
              <w:noProof/>
            </w:rPr>
          </w:pPr>
          <w:hyperlink w:anchor="_Toc204723912" w:history="1">
            <w:r w:rsidR="0093193A" w:rsidRPr="006D5CB2">
              <w:rPr>
                <w:rStyle w:val="Hyperlink"/>
                <w:rFonts w:ascii="Times New Roman" w:hAnsi="Times New Roman" w:cs="Times New Roman"/>
                <w:b/>
                <w:noProof/>
              </w:rPr>
              <w:t>6.1</w:t>
            </w:r>
            <w:r w:rsidR="0093193A">
              <w:rPr>
                <w:rFonts w:eastAsiaTheme="minorEastAsia"/>
                <w:noProof/>
              </w:rPr>
              <w:tab/>
            </w:r>
            <w:r w:rsidR="0093193A" w:rsidRPr="006D5CB2">
              <w:rPr>
                <w:rStyle w:val="Hyperlink"/>
                <w:rFonts w:ascii="Times New Roman" w:hAnsi="Times New Roman" w:cs="Times New Roman"/>
                <w:b/>
                <w:noProof/>
              </w:rPr>
              <w:t>Conclusion</w:t>
            </w:r>
            <w:r w:rsidR="0093193A">
              <w:rPr>
                <w:noProof/>
                <w:webHidden/>
              </w:rPr>
              <w:tab/>
            </w:r>
            <w:r w:rsidR="0093193A">
              <w:rPr>
                <w:noProof/>
                <w:webHidden/>
              </w:rPr>
              <w:fldChar w:fldCharType="begin"/>
            </w:r>
            <w:r w:rsidR="0093193A">
              <w:rPr>
                <w:noProof/>
                <w:webHidden/>
              </w:rPr>
              <w:instrText xml:space="preserve"> PAGEREF _Toc204723912 \h </w:instrText>
            </w:r>
            <w:r w:rsidR="0093193A">
              <w:rPr>
                <w:noProof/>
                <w:webHidden/>
              </w:rPr>
            </w:r>
            <w:r w:rsidR="0093193A">
              <w:rPr>
                <w:noProof/>
                <w:webHidden/>
              </w:rPr>
              <w:fldChar w:fldCharType="separate"/>
            </w:r>
            <w:r w:rsidR="003F2868">
              <w:rPr>
                <w:noProof/>
                <w:webHidden/>
              </w:rPr>
              <w:t>53</w:t>
            </w:r>
            <w:r w:rsidR="0093193A">
              <w:rPr>
                <w:noProof/>
                <w:webHidden/>
              </w:rPr>
              <w:fldChar w:fldCharType="end"/>
            </w:r>
          </w:hyperlink>
        </w:p>
        <w:p w14:paraId="6F408DD7" w14:textId="2558C6E8" w:rsidR="0093193A" w:rsidRDefault="0029645F">
          <w:pPr>
            <w:pStyle w:val="TOC2"/>
            <w:tabs>
              <w:tab w:val="left" w:pos="880"/>
              <w:tab w:val="right" w:leader="dot" w:pos="9350"/>
            </w:tabs>
            <w:rPr>
              <w:rFonts w:eastAsiaTheme="minorEastAsia"/>
              <w:noProof/>
            </w:rPr>
          </w:pPr>
          <w:hyperlink w:anchor="_Toc204723913" w:history="1">
            <w:r w:rsidR="0093193A" w:rsidRPr="006D5CB2">
              <w:rPr>
                <w:rStyle w:val="Hyperlink"/>
                <w:rFonts w:ascii="Times New Roman" w:hAnsi="Times New Roman" w:cs="Times New Roman"/>
                <w:b/>
                <w:noProof/>
              </w:rPr>
              <w:t>6.2</w:t>
            </w:r>
            <w:r w:rsidR="0093193A">
              <w:rPr>
                <w:rFonts w:eastAsiaTheme="minorEastAsia"/>
                <w:noProof/>
              </w:rPr>
              <w:tab/>
            </w:r>
            <w:r w:rsidR="0093193A" w:rsidRPr="006D5CB2">
              <w:rPr>
                <w:rStyle w:val="Hyperlink"/>
                <w:rFonts w:ascii="Times New Roman" w:hAnsi="Times New Roman" w:cs="Times New Roman"/>
                <w:b/>
                <w:noProof/>
              </w:rPr>
              <w:t>Policy Suggestions</w:t>
            </w:r>
            <w:r w:rsidR="0093193A">
              <w:rPr>
                <w:noProof/>
                <w:webHidden/>
              </w:rPr>
              <w:tab/>
            </w:r>
            <w:r w:rsidR="0093193A">
              <w:rPr>
                <w:noProof/>
                <w:webHidden/>
              </w:rPr>
              <w:fldChar w:fldCharType="begin"/>
            </w:r>
            <w:r w:rsidR="0093193A">
              <w:rPr>
                <w:noProof/>
                <w:webHidden/>
              </w:rPr>
              <w:instrText xml:space="preserve"> PAGEREF _Toc204723913 \h </w:instrText>
            </w:r>
            <w:r w:rsidR="0093193A">
              <w:rPr>
                <w:noProof/>
                <w:webHidden/>
              </w:rPr>
            </w:r>
            <w:r w:rsidR="0093193A">
              <w:rPr>
                <w:noProof/>
                <w:webHidden/>
              </w:rPr>
              <w:fldChar w:fldCharType="separate"/>
            </w:r>
            <w:r w:rsidR="003F2868">
              <w:rPr>
                <w:noProof/>
                <w:webHidden/>
              </w:rPr>
              <w:t>55</w:t>
            </w:r>
            <w:r w:rsidR="0093193A">
              <w:rPr>
                <w:noProof/>
                <w:webHidden/>
              </w:rPr>
              <w:fldChar w:fldCharType="end"/>
            </w:r>
          </w:hyperlink>
        </w:p>
        <w:p w14:paraId="1A8E5822" w14:textId="2251C2D8" w:rsidR="0093193A" w:rsidRDefault="0029645F">
          <w:pPr>
            <w:pStyle w:val="TOC3"/>
            <w:tabs>
              <w:tab w:val="left" w:pos="880"/>
              <w:tab w:val="right" w:leader="dot" w:pos="9350"/>
            </w:tabs>
            <w:rPr>
              <w:rFonts w:eastAsiaTheme="minorEastAsia"/>
              <w:noProof/>
            </w:rPr>
          </w:pPr>
          <w:hyperlink w:anchor="_Toc204723914" w:history="1">
            <w:r w:rsidR="0093193A" w:rsidRPr="006D5CB2">
              <w:rPr>
                <w:rStyle w:val="Hyperlink"/>
                <w:rFonts w:ascii="Times New Roman" w:hAnsi="Times New Roman" w:cs="Times New Roman"/>
                <w:b/>
                <w:noProof/>
              </w:rPr>
              <w:t>1.</w:t>
            </w:r>
            <w:r w:rsidR="0093193A">
              <w:rPr>
                <w:rFonts w:eastAsiaTheme="minorEastAsia"/>
                <w:noProof/>
              </w:rPr>
              <w:tab/>
            </w:r>
            <w:r w:rsidR="0093193A" w:rsidRPr="006D5CB2">
              <w:rPr>
                <w:rStyle w:val="Hyperlink"/>
                <w:rFonts w:ascii="Times New Roman" w:hAnsi="Times New Roman" w:cs="Times New Roman"/>
                <w:b/>
                <w:noProof/>
              </w:rPr>
              <w:t>Encourage Green Investment and Financing</w:t>
            </w:r>
            <w:r w:rsidR="0093193A">
              <w:rPr>
                <w:noProof/>
                <w:webHidden/>
              </w:rPr>
              <w:tab/>
            </w:r>
            <w:r w:rsidR="0093193A">
              <w:rPr>
                <w:noProof/>
                <w:webHidden/>
              </w:rPr>
              <w:fldChar w:fldCharType="begin"/>
            </w:r>
            <w:r w:rsidR="0093193A">
              <w:rPr>
                <w:noProof/>
                <w:webHidden/>
              </w:rPr>
              <w:instrText xml:space="preserve"> PAGEREF _Toc204723914 \h </w:instrText>
            </w:r>
            <w:r w:rsidR="0093193A">
              <w:rPr>
                <w:noProof/>
                <w:webHidden/>
              </w:rPr>
            </w:r>
            <w:r w:rsidR="0093193A">
              <w:rPr>
                <w:noProof/>
                <w:webHidden/>
              </w:rPr>
              <w:fldChar w:fldCharType="separate"/>
            </w:r>
            <w:r w:rsidR="003F2868">
              <w:rPr>
                <w:noProof/>
                <w:webHidden/>
              </w:rPr>
              <w:t>55</w:t>
            </w:r>
            <w:r w:rsidR="0093193A">
              <w:rPr>
                <w:noProof/>
                <w:webHidden/>
              </w:rPr>
              <w:fldChar w:fldCharType="end"/>
            </w:r>
          </w:hyperlink>
        </w:p>
        <w:p w14:paraId="61D7E0E6" w14:textId="38A9A744" w:rsidR="0093193A" w:rsidRDefault="0029645F">
          <w:pPr>
            <w:pStyle w:val="TOC3"/>
            <w:tabs>
              <w:tab w:val="left" w:pos="880"/>
              <w:tab w:val="right" w:leader="dot" w:pos="9350"/>
            </w:tabs>
            <w:rPr>
              <w:rFonts w:eastAsiaTheme="minorEastAsia"/>
              <w:noProof/>
            </w:rPr>
          </w:pPr>
          <w:hyperlink w:anchor="_Toc204723915" w:history="1">
            <w:r w:rsidR="0093193A" w:rsidRPr="006D5CB2">
              <w:rPr>
                <w:rStyle w:val="Hyperlink"/>
                <w:rFonts w:ascii="Times New Roman" w:hAnsi="Times New Roman" w:cs="Times New Roman"/>
                <w:b/>
                <w:noProof/>
              </w:rPr>
              <w:t>2.</w:t>
            </w:r>
            <w:r w:rsidR="0093193A">
              <w:rPr>
                <w:rFonts w:eastAsiaTheme="minorEastAsia"/>
                <w:noProof/>
              </w:rPr>
              <w:tab/>
            </w:r>
            <w:r w:rsidR="0093193A" w:rsidRPr="006D5CB2">
              <w:rPr>
                <w:rStyle w:val="Hyperlink"/>
                <w:rFonts w:ascii="Times New Roman" w:hAnsi="Times New Roman" w:cs="Times New Roman"/>
                <w:b/>
                <w:noProof/>
              </w:rPr>
              <w:t>Implement Carbon Pricing Mechanisms</w:t>
            </w:r>
            <w:r w:rsidR="0093193A">
              <w:rPr>
                <w:noProof/>
                <w:webHidden/>
              </w:rPr>
              <w:tab/>
            </w:r>
            <w:r w:rsidR="0093193A">
              <w:rPr>
                <w:noProof/>
                <w:webHidden/>
              </w:rPr>
              <w:fldChar w:fldCharType="begin"/>
            </w:r>
            <w:r w:rsidR="0093193A">
              <w:rPr>
                <w:noProof/>
                <w:webHidden/>
              </w:rPr>
              <w:instrText xml:space="preserve"> PAGEREF _Toc204723915 \h </w:instrText>
            </w:r>
            <w:r w:rsidR="0093193A">
              <w:rPr>
                <w:noProof/>
                <w:webHidden/>
              </w:rPr>
            </w:r>
            <w:r w:rsidR="0093193A">
              <w:rPr>
                <w:noProof/>
                <w:webHidden/>
              </w:rPr>
              <w:fldChar w:fldCharType="separate"/>
            </w:r>
            <w:r w:rsidR="003F2868">
              <w:rPr>
                <w:noProof/>
                <w:webHidden/>
              </w:rPr>
              <w:t>55</w:t>
            </w:r>
            <w:r w:rsidR="0093193A">
              <w:rPr>
                <w:noProof/>
                <w:webHidden/>
              </w:rPr>
              <w:fldChar w:fldCharType="end"/>
            </w:r>
          </w:hyperlink>
        </w:p>
        <w:p w14:paraId="31DBBB83" w14:textId="340B4C36" w:rsidR="0093193A" w:rsidRDefault="0029645F">
          <w:pPr>
            <w:pStyle w:val="TOC3"/>
            <w:tabs>
              <w:tab w:val="left" w:pos="880"/>
              <w:tab w:val="right" w:leader="dot" w:pos="9350"/>
            </w:tabs>
            <w:rPr>
              <w:rFonts w:eastAsiaTheme="minorEastAsia"/>
              <w:noProof/>
            </w:rPr>
          </w:pPr>
          <w:hyperlink w:anchor="_Toc204723916" w:history="1">
            <w:r w:rsidR="0093193A" w:rsidRPr="006D5CB2">
              <w:rPr>
                <w:rStyle w:val="Hyperlink"/>
                <w:rFonts w:ascii="Times New Roman" w:hAnsi="Times New Roman" w:cs="Times New Roman"/>
                <w:b/>
                <w:noProof/>
              </w:rPr>
              <w:t>3.</w:t>
            </w:r>
            <w:r w:rsidR="0093193A">
              <w:rPr>
                <w:rFonts w:eastAsiaTheme="minorEastAsia"/>
                <w:noProof/>
              </w:rPr>
              <w:tab/>
            </w:r>
            <w:r w:rsidR="0093193A" w:rsidRPr="006D5CB2">
              <w:rPr>
                <w:rStyle w:val="Hyperlink"/>
                <w:rFonts w:ascii="Times New Roman" w:hAnsi="Times New Roman" w:cs="Times New Roman"/>
                <w:b/>
                <w:noProof/>
              </w:rPr>
              <w:t>Implement Foundational Reforms</w:t>
            </w:r>
            <w:r w:rsidR="0093193A">
              <w:rPr>
                <w:noProof/>
                <w:webHidden/>
              </w:rPr>
              <w:tab/>
            </w:r>
            <w:r w:rsidR="0093193A">
              <w:rPr>
                <w:noProof/>
                <w:webHidden/>
              </w:rPr>
              <w:fldChar w:fldCharType="begin"/>
            </w:r>
            <w:r w:rsidR="0093193A">
              <w:rPr>
                <w:noProof/>
                <w:webHidden/>
              </w:rPr>
              <w:instrText xml:space="preserve"> PAGEREF _Toc204723916 \h </w:instrText>
            </w:r>
            <w:r w:rsidR="0093193A">
              <w:rPr>
                <w:noProof/>
                <w:webHidden/>
              </w:rPr>
            </w:r>
            <w:r w:rsidR="0093193A">
              <w:rPr>
                <w:noProof/>
                <w:webHidden/>
              </w:rPr>
              <w:fldChar w:fldCharType="separate"/>
            </w:r>
            <w:r w:rsidR="003F2868">
              <w:rPr>
                <w:noProof/>
                <w:webHidden/>
              </w:rPr>
              <w:t>56</w:t>
            </w:r>
            <w:r w:rsidR="0093193A">
              <w:rPr>
                <w:noProof/>
                <w:webHidden/>
              </w:rPr>
              <w:fldChar w:fldCharType="end"/>
            </w:r>
          </w:hyperlink>
        </w:p>
        <w:p w14:paraId="55B54FE7" w14:textId="76802767" w:rsidR="0093193A" w:rsidRDefault="0029645F">
          <w:pPr>
            <w:pStyle w:val="TOC2"/>
            <w:tabs>
              <w:tab w:val="left" w:pos="880"/>
              <w:tab w:val="right" w:leader="dot" w:pos="9350"/>
            </w:tabs>
            <w:rPr>
              <w:rFonts w:eastAsiaTheme="minorEastAsia"/>
              <w:noProof/>
            </w:rPr>
          </w:pPr>
          <w:hyperlink w:anchor="_Toc204723917" w:history="1">
            <w:r w:rsidR="0093193A" w:rsidRPr="006D5CB2">
              <w:rPr>
                <w:rStyle w:val="Hyperlink"/>
                <w:rFonts w:ascii="Times New Roman" w:hAnsi="Times New Roman" w:cs="Times New Roman"/>
                <w:b/>
                <w:iCs/>
                <w:noProof/>
              </w:rPr>
              <w:t>6.3</w:t>
            </w:r>
            <w:r w:rsidR="0093193A">
              <w:rPr>
                <w:rFonts w:eastAsiaTheme="minorEastAsia"/>
                <w:noProof/>
              </w:rPr>
              <w:tab/>
            </w:r>
            <w:r w:rsidR="0093193A" w:rsidRPr="006D5CB2">
              <w:rPr>
                <w:rStyle w:val="Hyperlink"/>
                <w:rFonts w:ascii="Times New Roman" w:hAnsi="Times New Roman" w:cs="Times New Roman"/>
                <w:b/>
                <w:iCs/>
                <w:noProof/>
              </w:rPr>
              <w:t>Recommendations for Future Study</w:t>
            </w:r>
            <w:r w:rsidR="0093193A">
              <w:rPr>
                <w:noProof/>
                <w:webHidden/>
              </w:rPr>
              <w:tab/>
            </w:r>
            <w:r w:rsidR="0093193A">
              <w:rPr>
                <w:noProof/>
                <w:webHidden/>
              </w:rPr>
              <w:fldChar w:fldCharType="begin"/>
            </w:r>
            <w:r w:rsidR="0093193A">
              <w:rPr>
                <w:noProof/>
                <w:webHidden/>
              </w:rPr>
              <w:instrText xml:space="preserve"> PAGEREF _Toc204723917 \h </w:instrText>
            </w:r>
            <w:r w:rsidR="0093193A">
              <w:rPr>
                <w:noProof/>
                <w:webHidden/>
              </w:rPr>
            </w:r>
            <w:r w:rsidR="0093193A">
              <w:rPr>
                <w:noProof/>
                <w:webHidden/>
              </w:rPr>
              <w:fldChar w:fldCharType="separate"/>
            </w:r>
            <w:r w:rsidR="003F2868">
              <w:rPr>
                <w:noProof/>
                <w:webHidden/>
              </w:rPr>
              <w:t>58</w:t>
            </w:r>
            <w:r w:rsidR="0093193A">
              <w:rPr>
                <w:noProof/>
                <w:webHidden/>
              </w:rPr>
              <w:fldChar w:fldCharType="end"/>
            </w:r>
          </w:hyperlink>
        </w:p>
        <w:p w14:paraId="27C73D6A" w14:textId="6E95E956" w:rsidR="0093193A" w:rsidRDefault="0029645F">
          <w:pPr>
            <w:pStyle w:val="TOC3"/>
            <w:tabs>
              <w:tab w:val="left" w:pos="880"/>
              <w:tab w:val="right" w:leader="dot" w:pos="9350"/>
            </w:tabs>
            <w:rPr>
              <w:rFonts w:eastAsiaTheme="minorEastAsia"/>
              <w:noProof/>
            </w:rPr>
          </w:pPr>
          <w:hyperlink w:anchor="_Toc204723918" w:history="1">
            <w:r w:rsidR="0093193A" w:rsidRPr="006D5CB2">
              <w:rPr>
                <w:rStyle w:val="Hyperlink"/>
                <w:rFonts w:ascii="Times New Roman" w:hAnsi="Times New Roman" w:cs="Times New Roman"/>
                <w:b/>
                <w:noProof/>
              </w:rPr>
              <w:t>1.</w:t>
            </w:r>
            <w:r w:rsidR="0093193A">
              <w:rPr>
                <w:rFonts w:eastAsiaTheme="minorEastAsia"/>
                <w:noProof/>
              </w:rPr>
              <w:tab/>
            </w:r>
            <w:r w:rsidR="0093193A" w:rsidRPr="006D5CB2">
              <w:rPr>
                <w:rStyle w:val="Hyperlink"/>
                <w:rFonts w:ascii="Times New Roman" w:hAnsi="Times New Roman" w:cs="Times New Roman"/>
                <w:b/>
                <w:noProof/>
              </w:rPr>
              <w:t>Disaggregation of Core Determinants:</w:t>
            </w:r>
            <w:r w:rsidR="0093193A">
              <w:rPr>
                <w:noProof/>
                <w:webHidden/>
              </w:rPr>
              <w:tab/>
            </w:r>
            <w:r w:rsidR="0093193A">
              <w:rPr>
                <w:noProof/>
                <w:webHidden/>
              </w:rPr>
              <w:fldChar w:fldCharType="begin"/>
            </w:r>
            <w:r w:rsidR="0093193A">
              <w:rPr>
                <w:noProof/>
                <w:webHidden/>
              </w:rPr>
              <w:instrText xml:space="preserve"> PAGEREF _Toc204723918 \h </w:instrText>
            </w:r>
            <w:r w:rsidR="0093193A">
              <w:rPr>
                <w:noProof/>
                <w:webHidden/>
              </w:rPr>
            </w:r>
            <w:r w:rsidR="0093193A">
              <w:rPr>
                <w:noProof/>
                <w:webHidden/>
              </w:rPr>
              <w:fldChar w:fldCharType="separate"/>
            </w:r>
            <w:r w:rsidR="003F2868">
              <w:rPr>
                <w:noProof/>
                <w:webHidden/>
              </w:rPr>
              <w:t>58</w:t>
            </w:r>
            <w:r w:rsidR="0093193A">
              <w:rPr>
                <w:noProof/>
                <w:webHidden/>
              </w:rPr>
              <w:fldChar w:fldCharType="end"/>
            </w:r>
          </w:hyperlink>
        </w:p>
        <w:p w14:paraId="218BE5F3" w14:textId="1ECB9EF6" w:rsidR="0093193A" w:rsidRDefault="0029645F">
          <w:pPr>
            <w:pStyle w:val="TOC3"/>
            <w:tabs>
              <w:tab w:val="left" w:pos="880"/>
              <w:tab w:val="right" w:leader="dot" w:pos="9350"/>
            </w:tabs>
            <w:rPr>
              <w:rFonts w:eastAsiaTheme="minorEastAsia"/>
              <w:noProof/>
            </w:rPr>
          </w:pPr>
          <w:hyperlink w:anchor="_Toc204723919" w:history="1">
            <w:r w:rsidR="0093193A" w:rsidRPr="006D5CB2">
              <w:rPr>
                <w:rStyle w:val="Hyperlink"/>
                <w:rFonts w:ascii="Times New Roman" w:hAnsi="Times New Roman" w:cs="Times New Roman"/>
                <w:b/>
                <w:noProof/>
              </w:rPr>
              <w:t>2.</w:t>
            </w:r>
            <w:r w:rsidR="0093193A">
              <w:rPr>
                <w:rFonts w:eastAsiaTheme="minorEastAsia"/>
                <w:noProof/>
              </w:rPr>
              <w:tab/>
            </w:r>
            <w:r w:rsidR="0093193A" w:rsidRPr="006D5CB2">
              <w:rPr>
                <w:rStyle w:val="Hyperlink"/>
                <w:rFonts w:ascii="Times New Roman" w:hAnsi="Times New Roman" w:cs="Times New Roman"/>
                <w:b/>
                <w:noProof/>
              </w:rPr>
              <w:t>Investigating Cross-Country Heterogeneity and Non-Linear Relationships:</w:t>
            </w:r>
            <w:r w:rsidR="0093193A">
              <w:rPr>
                <w:noProof/>
                <w:webHidden/>
              </w:rPr>
              <w:tab/>
            </w:r>
            <w:r w:rsidR="0093193A">
              <w:rPr>
                <w:noProof/>
                <w:webHidden/>
              </w:rPr>
              <w:fldChar w:fldCharType="begin"/>
            </w:r>
            <w:r w:rsidR="0093193A">
              <w:rPr>
                <w:noProof/>
                <w:webHidden/>
              </w:rPr>
              <w:instrText xml:space="preserve"> PAGEREF _Toc204723919 \h </w:instrText>
            </w:r>
            <w:r w:rsidR="0093193A">
              <w:rPr>
                <w:noProof/>
                <w:webHidden/>
              </w:rPr>
            </w:r>
            <w:r w:rsidR="0093193A">
              <w:rPr>
                <w:noProof/>
                <w:webHidden/>
              </w:rPr>
              <w:fldChar w:fldCharType="separate"/>
            </w:r>
            <w:r w:rsidR="003F2868">
              <w:rPr>
                <w:noProof/>
                <w:webHidden/>
              </w:rPr>
              <w:t>58</w:t>
            </w:r>
            <w:r w:rsidR="0093193A">
              <w:rPr>
                <w:noProof/>
                <w:webHidden/>
              </w:rPr>
              <w:fldChar w:fldCharType="end"/>
            </w:r>
          </w:hyperlink>
        </w:p>
        <w:p w14:paraId="0F0157F9" w14:textId="3B052ECA" w:rsidR="0093193A" w:rsidRDefault="0029645F">
          <w:pPr>
            <w:pStyle w:val="TOC3"/>
            <w:tabs>
              <w:tab w:val="left" w:pos="880"/>
              <w:tab w:val="right" w:leader="dot" w:pos="9350"/>
            </w:tabs>
            <w:rPr>
              <w:rFonts w:eastAsiaTheme="minorEastAsia"/>
              <w:noProof/>
            </w:rPr>
          </w:pPr>
          <w:hyperlink w:anchor="_Toc204723920" w:history="1">
            <w:r w:rsidR="0093193A" w:rsidRPr="006D5CB2">
              <w:rPr>
                <w:rStyle w:val="Hyperlink"/>
                <w:rFonts w:ascii="Times New Roman" w:hAnsi="Times New Roman" w:cs="Times New Roman"/>
                <w:b/>
                <w:noProof/>
              </w:rPr>
              <w:t>4.</w:t>
            </w:r>
            <w:r w:rsidR="0093193A">
              <w:rPr>
                <w:rFonts w:eastAsiaTheme="minorEastAsia"/>
                <w:noProof/>
              </w:rPr>
              <w:tab/>
            </w:r>
            <w:r w:rsidR="0093193A" w:rsidRPr="006D5CB2">
              <w:rPr>
                <w:rStyle w:val="Hyperlink"/>
                <w:rFonts w:ascii="Times New Roman" w:hAnsi="Times New Roman" w:cs="Times New Roman"/>
                <w:b/>
                <w:noProof/>
              </w:rPr>
              <w:t>Granular Analysis at the Sectoral and Technological Level:</w:t>
            </w:r>
            <w:r w:rsidR="0093193A">
              <w:rPr>
                <w:noProof/>
                <w:webHidden/>
              </w:rPr>
              <w:tab/>
            </w:r>
            <w:r w:rsidR="0093193A">
              <w:rPr>
                <w:noProof/>
                <w:webHidden/>
              </w:rPr>
              <w:fldChar w:fldCharType="begin"/>
            </w:r>
            <w:r w:rsidR="0093193A">
              <w:rPr>
                <w:noProof/>
                <w:webHidden/>
              </w:rPr>
              <w:instrText xml:space="preserve"> PAGEREF _Toc204723920 \h </w:instrText>
            </w:r>
            <w:r w:rsidR="0093193A">
              <w:rPr>
                <w:noProof/>
                <w:webHidden/>
              </w:rPr>
            </w:r>
            <w:r w:rsidR="0093193A">
              <w:rPr>
                <w:noProof/>
                <w:webHidden/>
              </w:rPr>
              <w:fldChar w:fldCharType="separate"/>
            </w:r>
            <w:r w:rsidR="003F2868">
              <w:rPr>
                <w:noProof/>
                <w:webHidden/>
              </w:rPr>
              <w:t>59</w:t>
            </w:r>
            <w:r w:rsidR="0093193A">
              <w:rPr>
                <w:noProof/>
                <w:webHidden/>
              </w:rPr>
              <w:fldChar w:fldCharType="end"/>
            </w:r>
          </w:hyperlink>
        </w:p>
        <w:p w14:paraId="4198A3E1" w14:textId="59A63CCE" w:rsidR="0093193A" w:rsidRDefault="0029645F">
          <w:pPr>
            <w:pStyle w:val="TOC1"/>
            <w:tabs>
              <w:tab w:val="right" w:leader="dot" w:pos="9350"/>
            </w:tabs>
            <w:rPr>
              <w:rFonts w:eastAsiaTheme="minorEastAsia"/>
              <w:noProof/>
            </w:rPr>
          </w:pPr>
          <w:hyperlink w:anchor="_Toc204723921" w:history="1">
            <w:r w:rsidR="0093193A" w:rsidRPr="006D5CB2">
              <w:rPr>
                <w:rStyle w:val="Hyperlink"/>
                <w:rFonts w:ascii="Times New Roman" w:hAnsi="Times New Roman" w:cs="Times New Roman"/>
                <w:b/>
                <w:noProof/>
              </w:rPr>
              <w:t>References</w:t>
            </w:r>
            <w:r w:rsidR="0093193A">
              <w:rPr>
                <w:noProof/>
                <w:webHidden/>
              </w:rPr>
              <w:tab/>
            </w:r>
            <w:r w:rsidR="0093193A">
              <w:rPr>
                <w:noProof/>
                <w:webHidden/>
              </w:rPr>
              <w:fldChar w:fldCharType="begin"/>
            </w:r>
            <w:r w:rsidR="0093193A">
              <w:rPr>
                <w:noProof/>
                <w:webHidden/>
              </w:rPr>
              <w:instrText xml:space="preserve"> PAGEREF _Toc204723921 \h </w:instrText>
            </w:r>
            <w:r w:rsidR="0093193A">
              <w:rPr>
                <w:noProof/>
                <w:webHidden/>
              </w:rPr>
            </w:r>
            <w:r w:rsidR="0093193A">
              <w:rPr>
                <w:noProof/>
                <w:webHidden/>
              </w:rPr>
              <w:fldChar w:fldCharType="separate"/>
            </w:r>
            <w:r w:rsidR="003F2868">
              <w:rPr>
                <w:noProof/>
                <w:webHidden/>
              </w:rPr>
              <w:t>60</w:t>
            </w:r>
            <w:r w:rsidR="0093193A">
              <w:rPr>
                <w:noProof/>
                <w:webHidden/>
              </w:rPr>
              <w:fldChar w:fldCharType="end"/>
            </w:r>
          </w:hyperlink>
        </w:p>
        <w:p w14:paraId="5E2D0211" w14:textId="00A26D38" w:rsidR="006D4212" w:rsidRPr="006D4212" w:rsidRDefault="00D46E36" w:rsidP="006D4212">
          <w:pPr>
            <w:spacing w:line="276" w:lineRule="auto"/>
          </w:pPr>
          <w:r>
            <w:rPr>
              <w:b/>
              <w:bCs/>
              <w:noProof/>
            </w:rPr>
            <w:fldChar w:fldCharType="end"/>
          </w:r>
        </w:p>
      </w:sdtContent>
    </w:sdt>
    <w:p w14:paraId="170667B1" w14:textId="4F46C0C0" w:rsidR="006D4212" w:rsidRDefault="006D4212" w:rsidP="006D4212"/>
    <w:p w14:paraId="685D5985" w14:textId="11AE2ABC" w:rsidR="006D4212" w:rsidRPr="0093193A" w:rsidRDefault="006D4212" w:rsidP="006D4212">
      <w:pPr>
        <w:pStyle w:val="Heading1"/>
        <w:jc w:val="center"/>
        <w:rPr>
          <w:rFonts w:ascii="Times New Roman" w:hAnsi="Times New Roman" w:cs="Times New Roman"/>
          <w:b/>
          <w:color w:val="auto"/>
        </w:rPr>
      </w:pPr>
      <w:bookmarkStart w:id="7" w:name="_Toc204723876"/>
      <w:r w:rsidRPr="0093193A">
        <w:rPr>
          <w:rFonts w:ascii="Times New Roman" w:hAnsi="Times New Roman" w:cs="Times New Roman"/>
          <w:b/>
          <w:color w:val="auto"/>
        </w:rPr>
        <w:t>List of Tables</w:t>
      </w:r>
      <w:bookmarkEnd w:id="7"/>
    </w:p>
    <w:p w14:paraId="408D5EDD" w14:textId="695C822F" w:rsidR="006D4212" w:rsidRDefault="006D4212">
      <w:pPr>
        <w:pStyle w:val="TableofFigures"/>
        <w:tabs>
          <w:tab w:val="right" w:leader="dot" w:pos="9350"/>
        </w:tabs>
        <w:rPr>
          <w:rFonts w:asciiTheme="minorHAnsi" w:eastAsiaTheme="minorEastAsia" w:hAnsiTheme="minorHAnsi"/>
          <w:noProof/>
          <w:sz w:val="22"/>
        </w:rPr>
      </w:pPr>
      <w:r>
        <w:rPr>
          <w:b/>
        </w:rPr>
        <w:fldChar w:fldCharType="begin"/>
      </w:r>
      <w:r>
        <w:rPr>
          <w:b/>
        </w:rPr>
        <w:instrText xml:space="preserve"> TOC \h \z \c "Table" </w:instrText>
      </w:r>
      <w:r>
        <w:rPr>
          <w:b/>
        </w:rPr>
        <w:fldChar w:fldCharType="separate"/>
      </w:r>
      <w:hyperlink w:anchor="_Toc204723231" w:history="1">
        <w:r w:rsidRPr="00C1779E">
          <w:rPr>
            <w:rStyle w:val="Hyperlink"/>
            <w:noProof/>
          </w:rPr>
          <w:t>Table 1</w:t>
        </w:r>
        <w:r w:rsidRPr="00C1779E">
          <w:rPr>
            <w:rStyle w:val="Hyperlink"/>
            <w:rFonts w:eastAsia="Calibri" w:cs="Times New Roman"/>
            <w:b/>
            <w:noProof/>
          </w:rPr>
          <w:t>: Summary Literature</w:t>
        </w:r>
        <w:r>
          <w:rPr>
            <w:noProof/>
            <w:webHidden/>
          </w:rPr>
          <w:tab/>
        </w:r>
        <w:r>
          <w:rPr>
            <w:noProof/>
            <w:webHidden/>
          </w:rPr>
          <w:fldChar w:fldCharType="begin"/>
        </w:r>
        <w:r>
          <w:rPr>
            <w:noProof/>
            <w:webHidden/>
          </w:rPr>
          <w:instrText xml:space="preserve"> PAGEREF _Toc204723231 \h </w:instrText>
        </w:r>
        <w:r>
          <w:rPr>
            <w:noProof/>
            <w:webHidden/>
          </w:rPr>
        </w:r>
        <w:r>
          <w:rPr>
            <w:noProof/>
            <w:webHidden/>
          </w:rPr>
          <w:fldChar w:fldCharType="separate"/>
        </w:r>
        <w:r w:rsidR="003F2868">
          <w:rPr>
            <w:noProof/>
            <w:webHidden/>
          </w:rPr>
          <w:t>19</w:t>
        </w:r>
        <w:r>
          <w:rPr>
            <w:noProof/>
            <w:webHidden/>
          </w:rPr>
          <w:fldChar w:fldCharType="end"/>
        </w:r>
      </w:hyperlink>
    </w:p>
    <w:p w14:paraId="0A7D2B8A" w14:textId="6C30A266" w:rsidR="006D4212" w:rsidRDefault="0029645F">
      <w:pPr>
        <w:pStyle w:val="TableofFigures"/>
        <w:tabs>
          <w:tab w:val="right" w:leader="dot" w:pos="9350"/>
        </w:tabs>
        <w:rPr>
          <w:rFonts w:asciiTheme="minorHAnsi" w:eastAsiaTheme="minorEastAsia" w:hAnsiTheme="minorHAnsi"/>
          <w:noProof/>
          <w:sz w:val="22"/>
        </w:rPr>
      </w:pPr>
      <w:hyperlink w:anchor="_Toc204723232" w:history="1">
        <w:r w:rsidR="006D4212" w:rsidRPr="00C1779E">
          <w:rPr>
            <w:rStyle w:val="Hyperlink"/>
            <w:noProof/>
          </w:rPr>
          <w:t xml:space="preserve">Table 2: </w:t>
        </w:r>
        <w:r w:rsidR="006D4212" w:rsidRPr="00C1779E">
          <w:rPr>
            <w:rStyle w:val="Hyperlink"/>
            <w:rFonts w:eastAsia="Calibri" w:cs="Times New Roman"/>
            <w:b/>
            <w:noProof/>
          </w:rPr>
          <w:t>Summary Literature</w:t>
        </w:r>
        <w:r w:rsidR="006D4212">
          <w:rPr>
            <w:noProof/>
            <w:webHidden/>
          </w:rPr>
          <w:tab/>
        </w:r>
        <w:r w:rsidR="006D4212">
          <w:rPr>
            <w:noProof/>
            <w:webHidden/>
          </w:rPr>
          <w:fldChar w:fldCharType="begin"/>
        </w:r>
        <w:r w:rsidR="006D4212">
          <w:rPr>
            <w:noProof/>
            <w:webHidden/>
          </w:rPr>
          <w:instrText xml:space="preserve"> PAGEREF _Toc204723232 \h </w:instrText>
        </w:r>
        <w:r w:rsidR="006D4212">
          <w:rPr>
            <w:noProof/>
            <w:webHidden/>
          </w:rPr>
        </w:r>
        <w:r w:rsidR="006D4212">
          <w:rPr>
            <w:noProof/>
            <w:webHidden/>
          </w:rPr>
          <w:fldChar w:fldCharType="separate"/>
        </w:r>
        <w:r w:rsidR="003F2868">
          <w:rPr>
            <w:noProof/>
            <w:webHidden/>
          </w:rPr>
          <w:t>21</w:t>
        </w:r>
        <w:r w:rsidR="006D4212">
          <w:rPr>
            <w:noProof/>
            <w:webHidden/>
          </w:rPr>
          <w:fldChar w:fldCharType="end"/>
        </w:r>
      </w:hyperlink>
    </w:p>
    <w:p w14:paraId="7EFC0C25" w14:textId="5A566243" w:rsidR="006D4212" w:rsidRDefault="0029645F">
      <w:pPr>
        <w:pStyle w:val="TableofFigures"/>
        <w:tabs>
          <w:tab w:val="right" w:leader="dot" w:pos="9350"/>
        </w:tabs>
        <w:rPr>
          <w:rFonts w:asciiTheme="minorHAnsi" w:eastAsiaTheme="minorEastAsia" w:hAnsiTheme="minorHAnsi"/>
          <w:noProof/>
          <w:sz w:val="22"/>
        </w:rPr>
      </w:pPr>
      <w:hyperlink w:anchor="_Toc204723233" w:history="1">
        <w:r w:rsidR="006D4212" w:rsidRPr="00C1779E">
          <w:rPr>
            <w:rStyle w:val="Hyperlink"/>
            <w:noProof/>
          </w:rPr>
          <w:t>Table 3</w:t>
        </w:r>
        <w:r w:rsidR="006D4212" w:rsidRPr="00C1779E">
          <w:rPr>
            <w:rStyle w:val="Hyperlink"/>
            <w:rFonts w:cs="Times New Roman"/>
            <w:b/>
            <w:noProof/>
          </w:rPr>
          <w:t>: Measurement of IQ</w:t>
        </w:r>
        <w:r w:rsidR="006D4212">
          <w:rPr>
            <w:noProof/>
            <w:webHidden/>
          </w:rPr>
          <w:tab/>
        </w:r>
        <w:r w:rsidR="006D4212">
          <w:rPr>
            <w:noProof/>
            <w:webHidden/>
          </w:rPr>
          <w:fldChar w:fldCharType="begin"/>
        </w:r>
        <w:r w:rsidR="006D4212">
          <w:rPr>
            <w:noProof/>
            <w:webHidden/>
          </w:rPr>
          <w:instrText xml:space="preserve"> PAGEREF _Toc204723233 \h </w:instrText>
        </w:r>
        <w:r w:rsidR="006D4212">
          <w:rPr>
            <w:noProof/>
            <w:webHidden/>
          </w:rPr>
        </w:r>
        <w:r w:rsidR="006D4212">
          <w:rPr>
            <w:noProof/>
            <w:webHidden/>
          </w:rPr>
          <w:fldChar w:fldCharType="separate"/>
        </w:r>
        <w:r w:rsidR="003F2868">
          <w:rPr>
            <w:noProof/>
            <w:webHidden/>
          </w:rPr>
          <w:t>25</w:t>
        </w:r>
        <w:r w:rsidR="006D4212">
          <w:rPr>
            <w:noProof/>
            <w:webHidden/>
          </w:rPr>
          <w:fldChar w:fldCharType="end"/>
        </w:r>
      </w:hyperlink>
    </w:p>
    <w:p w14:paraId="266ADE6E" w14:textId="2E1B31D6" w:rsidR="006D4212" w:rsidRDefault="0029645F">
      <w:pPr>
        <w:pStyle w:val="TableofFigures"/>
        <w:tabs>
          <w:tab w:val="right" w:leader="dot" w:pos="9350"/>
        </w:tabs>
        <w:rPr>
          <w:rFonts w:asciiTheme="minorHAnsi" w:eastAsiaTheme="minorEastAsia" w:hAnsiTheme="minorHAnsi"/>
          <w:noProof/>
          <w:sz w:val="22"/>
        </w:rPr>
      </w:pPr>
      <w:hyperlink w:anchor="_Toc204723234" w:history="1">
        <w:r w:rsidR="006D4212" w:rsidRPr="00C1779E">
          <w:rPr>
            <w:rStyle w:val="Hyperlink"/>
            <w:noProof/>
          </w:rPr>
          <w:t>Table 4</w:t>
        </w:r>
        <w:r w:rsidR="006D4212" w:rsidRPr="00C1779E">
          <w:rPr>
            <w:rStyle w:val="Hyperlink"/>
            <w:rFonts w:cs="Times New Roman"/>
            <w:b/>
            <w:noProof/>
          </w:rPr>
          <w:t>: Measurement of ICT</w:t>
        </w:r>
        <w:r w:rsidR="006D4212">
          <w:rPr>
            <w:noProof/>
            <w:webHidden/>
          </w:rPr>
          <w:tab/>
        </w:r>
        <w:r w:rsidR="006D4212">
          <w:rPr>
            <w:noProof/>
            <w:webHidden/>
          </w:rPr>
          <w:fldChar w:fldCharType="begin"/>
        </w:r>
        <w:r w:rsidR="006D4212">
          <w:rPr>
            <w:noProof/>
            <w:webHidden/>
          </w:rPr>
          <w:instrText xml:space="preserve"> PAGEREF _Toc204723234 \h </w:instrText>
        </w:r>
        <w:r w:rsidR="006D4212">
          <w:rPr>
            <w:noProof/>
            <w:webHidden/>
          </w:rPr>
        </w:r>
        <w:r w:rsidR="006D4212">
          <w:rPr>
            <w:noProof/>
            <w:webHidden/>
          </w:rPr>
          <w:fldChar w:fldCharType="separate"/>
        </w:r>
        <w:r w:rsidR="003F2868">
          <w:rPr>
            <w:noProof/>
            <w:webHidden/>
          </w:rPr>
          <w:t>27</w:t>
        </w:r>
        <w:r w:rsidR="006D4212">
          <w:rPr>
            <w:noProof/>
            <w:webHidden/>
          </w:rPr>
          <w:fldChar w:fldCharType="end"/>
        </w:r>
      </w:hyperlink>
    </w:p>
    <w:p w14:paraId="6CE3E685" w14:textId="78D4B535" w:rsidR="006D4212" w:rsidRDefault="0029645F">
      <w:pPr>
        <w:pStyle w:val="TableofFigures"/>
        <w:tabs>
          <w:tab w:val="right" w:leader="dot" w:pos="9350"/>
        </w:tabs>
        <w:rPr>
          <w:rFonts w:asciiTheme="minorHAnsi" w:eastAsiaTheme="minorEastAsia" w:hAnsiTheme="minorHAnsi"/>
          <w:noProof/>
          <w:sz w:val="22"/>
        </w:rPr>
      </w:pPr>
      <w:hyperlink w:anchor="_Toc204723235" w:history="1">
        <w:r w:rsidR="006D4212" w:rsidRPr="00C1779E">
          <w:rPr>
            <w:rStyle w:val="Hyperlink"/>
            <w:noProof/>
          </w:rPr>
          <w:t>Table 5</w:t>
        </w:r>
        <w:r w:rsidR="006D4212" w:rsidRPr="00C1779E">
          <w:rPr>
            <w:rStyle w:val="Hyperlink"/>
            <w:rFonts w:cs="Times New Roman"/>
            <w:b/>
            <w:noProof/>
          </w:rPr>
          <w:t>: Measurement of EF</w:t>
        </w:r>
        <w:r w:rsidR="006D4212">
          <w:rPr>
            <w:noProof/>
            <w:webHidden/>
          </w:rPr>
          <w:tab/>
        </w:r>
        <w:r w:rsidR="006D4212">
          <w:rPr>
            <w:noProof/>
            <w:webHidden/>
          </w:rPr>
          <w:fldChar w:fldCharType="begin"/>
        </w:r>
        <w:r w:rsidR="006D4212">
          <w:rPr>
            <w:noProof/>
            <w:webHidden/>
          </w:rPr>
          <w:instrText xml:space="preserve"> PAGEREF _Toc204723235 \h </w:instrText>
        </w:r>
        <w:r w:rsidR="006D4212">
          <w:rPr>
            <w:noProof/>
            <w:webHidden/>
          </w:rPr>
        </w:r>
        <w:r w:rsidR="006D4212">
          <w:rPr>
            <w:noProof/>
            <w:webHidden/>
          </w:rPr>
          <w:fldChar w:fldCharType="separate"/>
        </w:r>
        <w:r w:rsidR="003F2868">
          <w:rPr>
            <w:noProof/>
            <w:webHidden/>
          </w:rPr>
          <w:t>28</w:t>
        </w:r>
        <w:r w:rsidR="006D4212">
          <w:rPr>
            <w:noProof/>
            <w:webHidden/>
          </w:rPr>
          <w:fldChar w:fldCharType="end"/>
        </w:r>
      </w:hyperlink>
    </w:p>
    <w:p w14:paraId="7E0F5DDF" w14:textId="7DDE89CE" w:rsidR="006D4212" w:rsidRDefault="0029645F">
      <w:pPr>
        <w:pStyle w:val="TableofFigures"/>
        <w:tabs>
          <w:tab w:val="right" w:leader="dot" w:pos="9350"/>
        </w:tabs>
        <w:rPr>
          <w:rFonts w:asciiTheme="minorHAnsi" w:eastAsiaTheme="minorEastAsia" w:hAnsiTheme="minorHAnsi"/>
          <w:noProof/>
          <w:sz w:val="22"/>
        </w:rPr>
      </w:pPr>
      <w:hyperlink w:anchor="_Toc204723236" w:history="1">
        <w:r w:rsidR="006D4212" w:rsidRPr="00C1779E">
          <w:rPr>
            <w:rStyle w:val="Hyperlink"/>
            <w:noProof/>
          </w:rPr>
          <w:t>Table 6</w:t>
        </w:r>
        <w:r w:rsidR="006D4212" w:rsidRPr="00C1779E">
          <w:rPr>
            <w:rStyle w:val="Hyperlink"/>
            <w:rFonts w:cs="Times New Roman"/>
            <w:b/>
            <w:noProof/>
          </w:rPr>
          <w:t>: Output of cross-sectional dependency test</w:t>
        </w:r>
        <w:r w:rsidR="006D4212">
          <w:rPr>
            <w:noProof/>
            <w:webHidden/>
          </w:rPr>
          <w:tab/>
        </w:r>
        <w:r w:rsidR="006D4212">
          <w:rPr>
            <w:noProof/>
            <w:webHidden/>
          </w:rPr>
          <w:fldChar w:fldCharType="begin"/>
        </w:r>
        <w:r w:rsidR="006D4212">
          <w:rPr>
            <w:noProof/>
            <w:webHidden/>
          </w:rPr>
          <w:instrText xml:space="preserve"> PAGEREF _Toc204723236 \h </w:instrText>
        </w:r>
        <w:r w:rsidR="006D4212">
          <w:rPr>
            <w:noProof/>
            <w:webHidden/>
          </w:rPr>
        </w:r>
        <w:r w:rsidR="006D4212">
          <w:rPr>
            <w:noProof/>
            <w:webHidden/>
          </w:rPr>
          <w:fldChar w:fldCharType="separate"/>
        </w:r>
        <w:r w:rsidR="003F2868">
          <w:rPr>
            <w:noProof/>
            <w:webHidden/>
          </w:rPr>
          <w:t>39</w:t>
        </w:r>
        <w:r w:rsidR="006D4212">
          <w:rPr>
            <w:noProof/>
            <w:webHidden/>
          </w:rPr>
          <w:fldChar w:fldCharType="end"/>
        </w:r>
      </w:hyperlink>
    </w:p>
    <w:p w14:paraId="2E912109" w14:textId="5463F507" w:rsidR="006D4212" w:rsidRDefault="0029645F">
      <w:pPr>
        <w:pStyle w:val="TableofFigures"/>
        <w:tabs>
          <w:tab w:val="right" w:leader="dot" w:pos="9350"/>
        </w:tabs>
        <w:rPr>
          <w:rFonts w:asciiTheme="minorHAnsi" w:eastAsiaTheme="minorEastAsia" w:hAnsiTheme="minorHAnsi"/>
          <w:noProof/>
          <w:sz w:val="22"/>
        </w:rPr>
      </w:pPr>
      <w:hyperlink w:anchor="_Toc204723237" w:history="1">
        <w:r w:rsidR="006D4212" w:rsidRPr="00C1779E">
          <w:rPr>
            <w:rStyle w:val="Hyperlink"/>
            <w:noProof/>
          </w:rPr>
          <w:t>Table 7</w:t>
        </w:r>
        <w:r w:rsidR="006D4212" w:rsidRPr="00C1779E">
          <w:rPr>
            <w:rStyle w:val="Hyperlink"/>
            <w:rFonts w:cs="Times New Roman"/>
            <w:b/>
            <w:noProof/>
          </w:rPr>
          <w:t>: Output of unit root test</w:t>
        </w:r>
        <w:r w:rsidR="006D4212">
          <w:rPr>
            <w:noProof/>
            <w:webHidden/>
          </w:rPr>
          <w:tab/>
        </w:r>
        <w:r w:rsidR="006D4212">
          <w:rPr>
            <w:noProof/>
            <w:webHidden/>
          </w:rPr>
          <w:fldChar w:fldCharType="begin"/>
        </w:r>
        <w:r w:rsidR="006D4212">
          <w:rPr>
            <w:noProof/>
            <w:webHidden/>
          </w:rPr>
          <w:instrText xml:space="preserve"> PAGEREF _Toc204723237 \h </w:instrText>
        </w:r>
        <w:r w:rsidR="006D4212">
          <w:rPr>
            <w:noProof/>
            <w:webHidden/>
          </w:rPr>
        </w:r>
        <w:r w:rsidR="006D4212">
          <w:rPr>
            <w:noProof/>
            <w:webHidden/>
          </w:rPr>
          <w:fldChar w:fldCharType="separate"/>
        </w:r>
        <w:r w:rsidR="003F2868">
          <w:rPr>
            <w:noProof/>
            <w:webHidden/>
          </w:rPr>
          <w:t>40</w:t>
        </w:r>
        <w:r w:rsidR="006D4212">
          <w:rPr>
            <w:noProof/>
            <w:webHidden/>
          </w:rPr>
          <w:fldChar w:fldCharType="end"/>
        </w:r>
      </w:hyperlink>
    </w:p>
    <w:p w14:paraId="10AD14D6" w14:textId="5CBBDD54" w:rsidR="006D4212" w:rsidRDefault="0029645F">
      <w:pPr>
        <w:pStyle w:val="TableofFigures"/>
        <w:tabs>
          <w:tab w:val="right" w:leader="dot" w:pos="9350"/>
        </w:tabs>
        <w:rPr>
          <w:rFonts w:asciiTheme="minorHAnsi" w:eastAsiaTheme="minorEastAsia" w:hAnsiTheme="minorHAnsi"/>
          <w:noProof/>
          <w:sz w:val="22"/>
        </w:rPr>
      </w:pPr>
      <w:hyperlink w:anchor="_Toc204723238" w:history="1">
        <w:r w:rsidR="006D4212" w:rsidRPr="00C1779E">
          <w:rPr>
            <w:rStyle w:val="Hyperlink"/>
            <w:noProof/>
          </w:rPr>
          <w:t>Table 8</w:t>
        </w:r>
        <w:r w:rsidR="006D4212" w:rsidRPr="00C1779E">
          <w:rPr>
            <w:rStyle w:val="Hyperlink"/>
            <w:rFonts w:cs="Times New Roman"/>
            <w:b/>
            <w:noProof/>
          </w:rPr>
          <w:t>: Output of cointegration test</w:t>
        </w:r>
        <w:r w:rsidR="006D4212">
          <w:rPr>
            <w:noProof/>
            <w:webHidden/>
          </w:rPr>
          <w:tab/>
        </w:r>
        <w:r w:rsidR="006D4212">
          <w:rPr>
            <w:noProof/>
            <w:webHidden/>
          </w:rPr>
          <w:fldChar w:fldCharType="begin"/>
        </w:r>
        <w:r w:rsidR="006D4212">
          <w:rPr>
            <w:noProof/>
            <w:webHidden/>
          </w:rPr>
          <w:instrText xml:space="preserve"> PAGEREF _Toc204723238 \h </w:instrText>
        </w:r>
        <w:r w:rsidR="006D4212">
          <w:rPr>
            <w:noProof/>
            <w:webHidden/>
          </w:rPr>
        </w:r>
        <w:r w:rsidR="006D4212">
          <w:rPr>
            <w:noProof/>
            <w:webHidden/>
          </w:rPr>
          <w:fldChar w:fldCharType="separate"/>
        </w:r>
        <w:r w:rsidR="003F2868">
          <w:rPr>
            <w:noProof/>
            <w:webHidden/>
          </w:rPr>
          <w:t>41</w:t>
        </w:r>
        <w:r w:rsidR="006D4212">
          <w:rPr>
            <w:noProof/>
            <w:webHidden/>
          </w:rPr>
          <w:fldChar w:fldCharType="end"/>
        </w:r>
      </w:hyperlink>
    </w:p>
    <w:p w14:paraId="5B0522EB" w14:textId="1E990A1F" w:rsidR="006D4212" w:rsidRDefault="0029645F">
      <w:pPr>
        <w:pStyle w:val="TableofFigures"/>
        <w:tabs>
          <w:tab w:val="right" w:leader="dot" w:pos="9350"/>
        </w:tabs>
        <w:rPr>
          <w:rFonts w:asciiTheme="minorHAnsi" w:eastAsiaTheme="minorEastAsia" w:hAnsiTheme="minorHAnsi"/>
          <w:noProof/>
          <w:sz w:val="22"/>
        </w:rPr>
      </w:pPr>
      <w:hyperlink w:anchor="_Toc204723239" w:history="1">
        <w:r w:rsidR="006D4212" w:rsidRPr="00C1779E">
          <w:rPr>
            <w:rStyle w:val="Hyperlink"/>
            <w:noProof/>
          </w:rPr>
          <w:t>Table 9</w:t>
        </w:r>
        <w:r w:rsidR="006D4212" w:rsidRPr="00C1779E">
          <w:rPr>
            <w:rStyle w:val="Hyperlink"/>
            <w:b/>
            <w:noProof/>
          </w:rPr>
          <w:t>: Empirical mode with SDG 13</w:t>
        </w:r>
        <w:r w:rsidR="006D4212">
          <w:rPr>
            <w:noProof/>
            <w:webHidden/>
          </w:rPr>
          <w:tab/>
        </w:r>
        <w:r w:rsidR="006D4212">
          <w:rPr>
            <w:noProof/>
            <w:webHidden/>
          </w:rPr>
          <w:fldChar w:fldCharType="begin"/>
        </w:r>
        <w:r w:rsidR="006D4212">
          <w:rPr>
            <w:noProof/>
            <w:webHidden/>
          </w:rPr>
          <w:instrText xml:space="preserve"> PAGEREF _Toc204723239 \h </w:instrText>
        </w:r>
        <w:r w:rsidR="006D4212">
          <w:rPr>
            <w:noProof/>
            <w:webHidden/>
          </w:rPr>
        </w:r>
        <w:r w:rsidR="006D4212">
          <w:rPr>
            <w:noProof/>
            <w:webHidden/>
          </w:rPr>
          <w:fldChar w:fldCharType="separate"/>
        </w:r>
        <w:r w:rsidR="003F2868">
          <w:rPr>
            <w:noProof/>
            <w:webHidden/>
          </w:rPr>
          <w:t>42</w:t>
        </w:r>
        <w:r w:rsidR="006D4212">
          <w:rPr>
            <w:noProof/>
            <w:webHidden/>
          </w:rPr>
          <w:fldChar w:fldCharType="end"/>
        </w:r>
      </w:hyperlink>
    </w:p>
    <w:p w14:paraId="6F196EA7" w14:textId="7DDA01C4" w:rsidR="006D4212" w:rsidRDefault="0029645F">
      <w:pPr>
        <w:pStyle w:val="TableofFigures"/>
        <w:tabs>
          <w:tab w:val="right" w:leader="dot" w:pos="9350"/>
        </w:tabs>
        <w:rPr>
          <w:rFonts w:asciiTheme="minorHAnsi" w:eastAsiaTheme="minorEastAsia" w:hAnsiTheme="minorHAnsi"/>
          <w:noProof/>
          <w:sz w:val="22"/>
        </w:rPr>
      </w:pPr>
      <w:hyperlink w:anchor="_Toc204723240" w:history="1">
        <w:r w:rsidR="006D4212" w:rsidRPr="00C1779E">
          <w:rPr>
            <w:rStyle w:val="Hyperlink"/>
            <w:noProof/>
          </w:rPr>
          <w:t>Table 10</w:t>
        </w:r>
        <w:r w:rsidR="006D4212" w:rsidRPr="00C1779E">
          <w:rPr>
            <w:rStyle w:val="Hyperlink"/>
            <w:b/>
            <w:noProof/>
          </w:rPr>
          <w:t>: Empirical mode with SDG 7</w:t>
        </w:r>
        <w:r w:rsidR="006D4212">
          <w:rPr>
            <w:noProof/>
            <w:webHidden/>
          </w:rPr>
          <w:tab/>
        </w:r>
        <w:r w:rsidR="006D4212">
          <w:rPr>
            <w:noProof/>
            <w:webHidden/>
          </w:rPr>
          <w:fldChar w:fldCharType="begin"/>
        </w:r>
        <w:r w:rsidR="006D4212">
          <w:rPr>
            <w:noProof/>
            <w:webHidden/>
          </w:rPr>
          <w:instrText xml:space="preserve"> PAGEREF _Toc204723240 \h </w:instrText>
        </w:r>
        <w:r w:rsidR="006D4212">
          <w:rPr>
            <w:noProof/>
            <w:webHidden/>
          </w:rPr>
        </w:r>
        <w:r w:rsidR="006D4212">
          <w:rPr>
            <w:noProof/>
            <w:webHidden/>
          </w:rPr>
          <w:fldChar w:fldCharType="separate"/>
        </w:r>
        <w:r w:rsidR="003F2868">
          <w:rPr>
            <w:noProof/>
            <w:webHidden/>
          </w:rPr>
          <w:t>45</w:t>
        </w:r>
        <w:r w:rsidR="006D4212">
          <w:rPr>
            <w:noProof/>
            <w:webHidden/>
          </w:rPr>
          <w:fldChar w:fldCharType="end"/>
        </w:r>
      </w:hyperlink>
    </w:p>
    <w:p w14:paraId="61A22C82" w14:textId="2309D935" w:rsidR="006D4212" w:rsidRPr="006D4212" w:rsidRDefault="006D4212" w:rsidP="006D4212">
      <w:pPr>
        <w:rPr>
          <w:b/>
        </w:rPr>
        <w:sectPr w:rsidR="006D4212" w:rsidRPr="006D4212">
          <w:pgSz w:w="12240" w:h="15840"/>
          <w:pgMar w:top="1440" w:right="1440" w:bottom="1440" w:left="1440" w:header="720" w:footer="720" w:gutter="0"/>
          <w:cols w:space="720"/>
          <w:docGrid w:linePitch="360"/>
        </w:sectPr>
      </w:pPr>
      <w:r>
        <w:rPr>
          <w:b/>
        </w:rPr>
        <w:lastRenderedPageBreak/>
        <w:fldChar w:fldCharType="end"/>
      </w:r>
    </w:p>
    <w:p w14:paraId="4A5AF218" w14:textId="77777777" w:rsidR="00487DB6" w:rsidRPr="00950125" w:rsidRDefault="00487DB6" w:rsidP="00D46E36">
      <w:pPr>
        <w:pStyle w:val="Heading1"/>
        <w:spacing w:line="276" w:lineRule="auto"/>
        <w:jc w:val="center"/>
        <w:rPr>
          <w:rFonts w:ascii="Times New Roman" w:hAnsi="Times New Roman" w:cs="Times New Roman"/>
          <w:b/>
          <w:sz w:val="40"/>
          <w:u w:val="single"/>
        </w:rPr>
      </w:pPr>
      <w:bookmarkStart w:id="8" w:name="_Toc204723877"/>
      <w:r w:rsidRPr="00950125">
        <w:rPr>
          <w:rFonts w:ascii="Times New Roman" w:hAnsi="Times New Roman" w:cs="Times New Roman"/>
          <w:b/>
          <w:sz w:val="40"/>
          <w:u w:val="single"/>
        </w:rPr>
        <w:lastRenderedPageBreak/>
        <w:t>Chapter 1: Introduction</w:t>
      </w:r>
      <w:bookmarkEnd w:id="8"/>
      <w:r w:rsidRPr="00950125">
        <w:rPr>
          <w:rFonts w:ascii="Times New Roman" w:hAnsi="Times New Roman" w:cs="Times New Roman"/>
          <w:b/>
          <w:sz w:val="40"/>
          <w:u w:val="single"/>
        </w:rPr>
        <w:t xml:space="preserve"> </w:t>
      </w:r>
    </w:p>
    <w:p w14:paraId="1E0668D9" w14:textId="77777777" w:rsidR="00807619" w:rsidRPr="00950125" w:rsidRDefault="00807619" w:rsidP="00D46E36">
      <w:pPr>
        <w:spacing w:line="276" w:lineRule="auto"/>
        <w:rPr>
          <w:rFonts w:ascii="Times New Roman" w:hAnsi="Times New Roman" w:cs="Times New Roman"/>
        </w:rPr>
      </w:pPr>
    </w:p>
    <w:p w14:paraId="76F11669" w14:textId="0670649C" w:rsidR="00487DB6" w:rsidRPr="00D46E36" w:rsidRDefault="00D46E36" w:rsidP="00D46E36">
      <w:pPr>
        <w:pStyle w:val="Heading2"/>
        <w:numPr>
          <w:ilvl w:val="0"/>
          <w:numId w:val="1"/>
        </w:numPr>
        <w:spacing w:line="276" w:lineRule="auto"/>
        <w:rPr>
          <w:rFonts w:ascii="Times New Roman" w:hAnsi="Times New Roman" w:cs="Times New Roman"/>
          <w:b/>
          <w:sz w:val="28"/>
          <w:u w:val="single"/>
        </w:rPr>
      </w:pPr>
      <w:r>
        <w:rPr>
          <w:rFonts w:ascii="Times New Roman" w:hAnsi="Times New Roman" w:cs="Times New Roman"/>
          <w:b/>
          <w:sz w:val="28"/>
          <w:u w:val="single"/>
        </w:rPr>
        <w:t xml:space="preserve"> </w:t>
      </w:r>
      <w:bookmarkStart w:id="9" w:name="_Toc204723878"/>
      <w:r w:rsidR="00D36694" w:rsidRPr="00D46E36">
        <w:rPr>
          <w:rFonts w:ascii="Times New Roman" w:hAnsi="Times New Roman" w:cs="Times New Roman"/>
          <w:b/>
          <w:sz w:val="28"/>
          <w:u w:val="single"/>
        </w:rPr>
        <w:t>Background of the study</w:t>
      </w:r>
      <w:bookmarkEnd w:id="9"/>
    </w:p>
    <w:p w14:paraId="19F5A239" w14:textId="18322144" w:rsidR="00807619" w:rsidRPr="00950125" w:rsidRDefault="00B41A20" w:rsidP="00D46E36">
      <w:pPr>
        <w:spacing w:line="276" w:lineRule="auto"/>
        <w:jc w:val="both"/>
        <w:rPr>
          <w:rFonts w:ascii="Times New Roman" w:hAnsi="Times New Roman" w:cs="Times New Roman"/>
          <w:sz w:val="24"/>
          <w:szCs w:val="24"/>
        </w:rPr>
      </w:pPr>
      <w:r w:rsidRPr="00950125">
        <w:rPr>
          <w:rFonts w:ascii="Times New Roman" w:hAnsi="Times New Roman" w:cs="Times New Roman"/>
          <w:sz w:val="24"/>
          <w:szCs w:val="24"/>
        </w:rPr>
        <w:t xml:space="preserve">The world is facing an abundance of challenges currently that are all connected and may impact the environment, society, and the economy. The need for sustainable development has never been more clear, from rising poverty and inequality to the worsening climate crisis. The idea of sustainable development is to find a way to meet the needs of the present while also making sure that future generations can meet their own needs. The World Commission on Environment and Development (WCED) published the Brundtland Report in 1987, which made the term known around the world. At its core, sustainable development is about meeting the needs of the present without making it harder for future generations to meet their own needs </w:t>
      </w:r>
      <w:r w:rsidRPr="00950125">
        <w:rPr>
          <w:rFonts w:ascii="Times New Roman" w:hAnsi="Times New Roman" w:cs="Times New Roman"/>
          <w:sz w:val="24"/>
          <w:szCs w:val="24"/>
        </w:rPr>
        <w:fldChar w:fldCharType="begin"/>
      </w:r>
      <w:r w:rsidRPr="00950125">
        <w:rPr>
          <w:rFonts w:ascii="Times New Roman" w:hAnsi="Times New Roman" w:cs="Times New Roman"/>
          <w:sz w:val="24"/>
          <w:szCs w:val="24"/>
        </w:rPr>
        <w:instrText xml:space="preserve"> ADDIN ZOTERO_ITEM CSL_CITATION {"citationID":"vJC86bRs","properties":{"formattedCitation":"(\\uc0\\u8220{}Evolution of the Concept of Sustainability. From Brundtland Report to Sustainable Development Goals,\\uc0\\u8221{} 2021)","plainCitation":"(“Evolution of the Concept of Sustainability. From Brundtland Report to Sustainable Development Goals,” 2021)","noteIndex":0},"citationItems":[{"id":86,"uris":["http://zotero.org/users/local/dRmf8XHr/items/LVCFFADL"],"itemData":{"id":86,"type":"chapter","container-title":"Sustainable Resource Management","ISBN":"978-0-12-824342-8","language":"en","license":"https://www.elsevier.com/tdm/userlicense/1.0/","note":"DOI: 10.1016/b978-0-12-824342-8.00018-3","page":"1-24","publisher":"Elsevier","source":"Crossref","title":"Evolution of the concept of sustainability. From Brundtland Report to sustainable development goals","URL":"https://linkinghub.elsevier.com/retrieve/pii/B9780128243428000183","container-author":[{"family":"Hajian","given":"Mohammadhadi"},{"family":"Jangchi Kashani","given":"Somayeh"}],"accessed":{"date-parts":[["2025",7,22]]},"issued":{"date-parts":[["2021"]]}}}],"schema":"https://github.com/citation-style-language/schema/raw/master/csl-citation.json"} </w:instrText>
      </w:r>
      <w:r w:rsidRPr="00950125">
        <w:rPr>
          <w:rFonts w:ascii="Times New Roman" w:hAnsi="Times New Roman" w:cs="Times New Roman"/>
          <w:sz w:val="24"/>
          <w:szCs w:val="24"/>
        </w:rPr>
        <w:fldChar w:fldCharType="separate"/>
      </w:r>
      <w:r w:rsidRPr="00950125">
        <w:rPr>
          <w:rFonts w:ascii="Times New Roman" w:hAnsi="Times New Roman" w:cs="Times New Roman"/>
          <w:sz w:val="24"/>
          <w:szCs w:val="24"/>
        </w:rPr>
        <w:t>(“Evolution of the Concept of Sustainability. From Brundtland Report to Sustainable Development Goals,” 2021)</w:t>
      </w:r>
      <w:r w:rsidRPr="00950125">
        <w:rPr>
          <w:rFonts w:ascii="Times New Roman" w:hAnsi="Times New Roman" w:cs="Times New Roman"/>
          <w:sz w:val="24"/>
          <w:szCs w:val="24"/>
        </w:rPr>
        <w:fldChar w:fldCharType="end"/>
      </w:r>
      <w:r w:rsidRPr="00950125">
        <w:rPr>
          <w:rFonts w:ascii="Times New Roman" w:hAnsi="Times New Roman" w:cs="Times New Roman"/>
          <w:sz w:val="24"/>
          <w:szCs w:val="24"/>
        </w:rPr>
        <w:t>. This idea of development includes economic growth, social inclusion, and protecting the environment, all while keeping the natural environment safe, which is the basis for all life on Earth</w:t>
      </w:r>
      <w:r w:rsidR="00807619" w:rsidRPr="00950125">
        <w:rPr>
          <w:rFonts w:ascii="Times New Roman" w:hAnsi="Times New Roman" w:cs="Times New Roman"/>
          <w:sz w:val="24"/>
          <w:szCs w:val="24"/>
        </w:rPr>
        <w:t xml:space="preserve">. </w:t>
      </w:r>
    </w:p>
    <w:p w14:paraId="7F5D23B8" w14:textId="05E6DB7B" w:rsidR="00807619" w:rsidRPr="00950125" w:rsidRDefault="00807619" w:rsidP="00D46E36">
      <w:pPr>
        <w:spacing w:line="276" w:lineRule="auto"/>
        <w:jc w:val="both"/>
        <w:rPr>
          <w:rFonts w:ascii="Times New Roman" w:hAnsi="Times New Roman" w:cs="Times New Roman"/>
          <w:sz w:val="24"/>
          <w:szCs w:val="24"/>
        </w:rPr>
      </w:pPr>
      <w:r w:rsidRPr="00950125">
        <w:rPr>
          <w:rFonts w:ascii="Times New Roman" w:hAnsi="Times New Roman" w:cs="Times New Roman"/>
          <w:sz w:val="24"/>
          <w:szCs w:val="24"/>
        </w:rPr>
        <w:t xml:space="preserve">Recognizing the global scale of these challenges, </w:t>
      </w:r>
      <w:r w:rsidR="00801775" w:rsidRPr="00950125">
        <w:rPr>
          <w:rFonts w:ascii="Times New Roman" w:hAnsi="Times New Roman" w:cs="Times New Roman"/>
          <w:sz w:val="24"/>
          <w:szCs w:val="24"/>
        </w:rPr>
        <w:t xml:space="preserve">The United Nations (UN) came up with the Sustainable Development Goals (SDGs) in 2015 as part of the 2030 Agenda for Sustainable Development </w:t>
      </w:r>
      <w:r w:rsidR="00801775" w:rsidRPr="00950125">
        <w:rPr>
          <w:rFonts w:ascii="Times New Roman" w:hAnsi="Times New Roman" w:cs="Times New Roman"/>
          <w:sz w:val="24"/>
          <w:szCs w:val="24"/>
        </w:rPr>
        <w:fldChar w:fldCharType="begin"/>
      </w:r>
      <w:r w:rsidR="00801775" w:rsidRPr="00950125">
        <w:rPr>
          <w:rFonts w:ascii="Times New Roman" w:hAnsi="Times New Roman" w:cs="Times New Roman"/>
          <w:sz w:val="24"/>
          <w:szCs w:val="24"/>
        </w:rPr>
        <w:instrText xml:space="preserve"> ADDIN ZOTERO_ITEM CSL_CITATION {"citationID":"cR5jTZVn","properties":{"formattedCitation":"({\\i{}Transforming Our World: The 2030 Agenda for Sustainable Development | Department of Economic and Social Affairs}, n.d.)","plainCitation":"(Transforming Our World: The 2030 Agenda for Sustainable Development | Department of Economic and Social Affairs, n.d.)","noteIndex":0},"citationItems":[{"id":89,"uris":["http://zotero.org/users/local/dRmf8XHr/items/RZP7AT3J"],"itemData":{"id":89,"type":"webpage","title":"Transforming our world: the 2030 Agenda for Sustainable Development | Department of Economic and Social Affairs","URL":"https://sdgs.un.org/2030agenda","accessed":{"date-parts":[["2025",7,22]]}}}],"schema":"https://github.com/citation-style-language/schema/raw/master/csl-citation.json"} </w:instrText>
      </w:r>
      <w:r w:rsidR="00801775" w:rsidRPr="00950125">
        <w:rPr>
          <w:rFonts w:ascii="Times New Roman" w:hAnsi="Times New Roman" w:cs="Times New Roman"/>
          <w:sz w:val="24"/>
          <w:szCs w:val="24"/>
        </w:rPr>
        <w:fldChar w:fldCharType="separate"/>
      </w:r>
      <w:r w:rsidR="00801775" w:rsidRPr="00950125">
        <w:rPr>
          <w:rFonts w:ascii="Times New Roman" w:hAnsi="Times New Roman" w:cs="Times New Roman"/>
          <w:sz w:val="24"/>
          <w:szCs w:val="24"/>
        </w:rPr>
        <w:t>(</w:t>
      </w:r>
      <w:r w:rsidR="00801775" w:rsidRPr="00950125">
        <w:rPr>
          <w:rFonts w:ascii="Times New Roman" w:hAnsi="Times New Roman" w:cs="Times New Roman"/>
          <w:i/>
          <w:iCs/>
          <w:sz w:val="24"/>
          <w:szCs w:val="24"/>
        </w:rPr>
        <w:t>Transforming Our World: The 2030 Agenda for Sustainable Development | Department of Economic and Social Affairs</w:t>
      </w:r>
      <w:r w:rsidR="00801775" w:rsidRPr="00950125">
        <w:rPr>
          <w:rFonts w:ascii="Times New Roman" w:hAnsi="Times New Roman" w:cs="Times New Roman"/>
          <w:sz w:val="24"/>
          <w:szCs w:val="24"/>
        </w:rPr>
        <w:t>, n.d.)</w:t>
      </w:r>
      <w:r w:rsidR="00801775" w:rsidRPr="00950125">
        <w:rPr>
          <w:rFonts w:ascii="Times New Roman" w:hAnsi="Times New Roman" w:cs="Times New Roman"/>
          <w:sz w:val="24"/>
          <w:szCs w:val="24"/>
        </w:rPr>
        <w:fldChar w:fldCharType="end"/>
      </w:r>
      <w:r w:rsidR="00801775" w:rsidRPr="00950125">
        <w:rPr>
          <w:rFonts w:ascii="Times New Roman" w:hAnsi="Times New Roman" w:cs="Times New Roman"/>
          <w:sz w:val="24"/>
          <w:szCs w:val="24"/>
        </w:rPr>
        <w:t xml:space="preserve"> </w:t>
      </w:r>
      <w:r w:rsidR="00801775" w:rsidRPr="00950125">
        <w:rPr>
          <w:rFonts w:ascii="Times New Roman" w:hAnsi="Times New Roman" w:cs="Times New Roman"/>
          <w:sz w:val="24"/>
          <w:szCs w:val="24"/>
        </w:rPr>
        <w:fldChar w:fldCharType="begin"/>
      </w:r>
      <w:r w:rsidR="00801775" w:rsidRPr="00950125">
        <w:rPr>
          <w:rFonts w:ascii="Times New Roman" w:hAnsi="Times New Roman" w:cs="Times New Roman"/>
          <w:sz w:val="24"/>
          <w:szCs w:val="24"/>
        </w:rPr>
        <w:instrText xml:space="preserve"> ADDIN ZOTERO_ITEM CSL_CITATION {"citationID":"4ftyxrjH","properties":{"formattedCitation":"(Bexell &amp; J\\uc0\\u246{}nsson, 2017)","plainCitation":"(Bexell &amp; Jönsson, 2017)","noteIndex":0},"citationItems":[{"id":87,"uris":["http://zotero.org/users/local/dRmf8XHr/items/M6EVQAN2"],"itemData":{"id":87,"type":"article-journal","container-title":"Forum for Development Studies","DOI":"10.1080/08039410.2016.1252424","ISSN":"0803-9410, 1891-1765","issue":"1","language":"en","license":"http://creativecommons.org/licenses/by-nc-nd/4.0/","note":"publisher: Informa UK Limited","page":"13-29","source":"Crossref","title":"Responsibility and the United Nations’ Sustainable Development Goals","volume":"44","author":[{"family":"Bexell","given":"Magdalena"},{"family":"Jönsson","given":"Kristina"}],"issued":{"date-parts":[["2017",1,2]]}}}],"schema":"https://github.com/citation-style-language/schema/raw/master/csl-citation.json"} </w:instrText>
      </w:r>
      <w:r w:rsidR="00801775" w:rsidRPr="00950125">
        <w:rPr>
          <w:rFonts w:ascii="Times New Roman" w:hAnsi="Times New Roman" w:cs="Times New Roman"/>
          <w:sz w:val="24"/>
          <w:szCs w:val="24"/>
        </w:rPr>
        <w:fldChar w:fldCharType="separate"/>
      </w:r>
      <w:r w:rsidR="00801775" w:rsidRPr="00950125">
        <w:rPr>
          <w:rFonts w:ascii="Times New Roman" w:hAnsi="Times New Roman" w:cs="Times New Roman"/>
          <w:sz w:val="24"/>
          <w:szCs w:val="24"/>
        </w:rPr>
        <w:t>(Bexell &amp; Jönsson, 2017)</w:t>
      </w:r>
      <w:r w:rsidR="00801775" w:rsidRPr="00950125">
        <w:rPr>
          <w:rFonts w:ascii="Times New Roman" w:hAnsi="Times New Roman" w:cs="Times New Roman"/>
          <w:sz w:val="24"/>
          <w:szCs w:val="24"/>
        </w:rPr>
        <w:fldChar w:fldCharType="end"/>
      </w:r>
      <w:r w:rsidR="00801775" w:rsidRPr="00950125">
        <w:rPr>
          <w:rFonts w:ascii="Times New Roman" w:hAnsi="Times New Roman" w:cs="Times New Roman"/>
          <w:sz w:val="24"/>
          <w:szCs w:val="24"/>
        </w:rPr>
        <w:t xml:space="preserve">. These 17 goals are all connected and apply to everyone. They give a complete plan for how to deal with the world's most important problems. SDG 7 (Affordable and Clean Energy) and SDG 13 (Climate Action) are two of the most important goals for building a future that is both sustainable and strong. </w:t>
      </w:r>
    </w:p>
    <w:p w14:paraId="333040D5" w14:textId="77777777" w:rsidR="0095264E" w:rsidRPr="00950125" w:rsidRDefault="0095264E" w:rsidP="00D46E36">
      <w:pPr>
        <w:spacing w:line="276" w:lineRule="auto"/>
        <w:jc w:val="both"/>
        <w:rPr>
          <w:rFonts w:ascii="Times New Roman" w:eastAsia="Times New Roman" w:hAnsi="Times New Roman" w:cs="Times New Roman"/>
          <w:sz w:val="24"/>
          <w:szCs w:val="24"/>
        </w:rPr>
      </w:pPr>
      <w:r w:rsidRPr="00950125">
        <w:rPr>
          <w:rFonts w:ascii="Times New Roman" w:hAnsi="Times New Roman" w:cs="Times New Roman"/>
          <w:sz w:val="24"/>
          <w:szCs w:val="24"/>
        </w:rPr>
        <w:t xml:space="preserve">Sustainable Development Goal (SDG) 7 aims to ensure universal access to affordable, reliable, and sustainable energy by 2030. Its core targets include: achieving universal access to modern energy services (7.1), </w:t>
      </w:r>
      <w:r w:rsidRPr="00950125">
        <w:rPr>
          <w:rFonts w:ascii="Times New Roman" w:eastAsia="Times New Roman" w:hAnsi="Times New Roman" w:cs="Times New Roman"/>
          <w:sz w:val="24"/>
          <w:szCs w:val="24"/>
        </w:rPr>
        <w:t>increasing the share of renewable energy globally (7.2), and doubling the rate of energy efficiency improvements (7.3). It also emphasizes enhancing international cooperation for clean energy research, technology, and infrastructure investments (7.A) and upgrading energy systems in developing and vulnerable countries (7.B)</w:t>
      </w:r>
      <w:r w:rsidR="0019663B" w:rsidRPr="00950125">
        <w:rPr>
          <w:rFonts w:ascii="Times New Roman" w:eastAsia="Times New Roman" w:hAnsi="Times New Roman" w:cs="Times New Roman"/>
          <w:sz w:val="24"/>
          <w:szCs w:val="24"/>
        </w:rPr>
        <w:fldChar w:fldCharType="begin"/>
      </w:r>
      <w:r w:rsidR="0019663B" w:rsidRPr="00950125">
        <w:rPr>
          <w:rFonts w:ascii="Times New Roman" w:eastAsia="Times New Roman" w:hAnsi="Times New Roman" w:cs="Times New Roman"/>
          <w:sz w:val="24"/>
          <w:szCs w:val="24"/>
        </w:rPr>
        <w:instrText xml:space="preserve"> ADDIN ZOTERO_ITEM CSL_CITATION {"citationID":"aFCG2xaD","properties":{"formattedCitation":"({\\i{}Transforming Our World: The 2030 Agenda for Sustainable Development | Department of Economic and Social Affairs}, n.d.)","plainCitation":"(Transforming Our World: The 2030 Agenda for Sustainable Development | Department of Economic and Social Affairs, n.d.)","noteIndex":0},"citationItems":[{"id":89,"uris":["http://zotero.org/users/local/dRmf8XHr/items/RZP7AT3J"],"itemData":{"id":89,"type":"webpage","title":"Transforming our world: the 2030 Agenda for Sustainable Development | Department of Economic and Social Affairs","URL":"https://sdgs.un.org/2030agenda","accessed":{"date-parts":[["2025",7,22]]}}}],"schema":"https://github.com/citation-style-language/schema/raw/master/csl-citation.json"} </w:instrText>
      </w:r>
      <w:r w:rsidR="0019663B" w:rsidRPr="00950125">
        <w:rPr>
          <w:rFonts w:ascii="Times New Roman" w:eastAsia="Times New Roman" w:hAnsi="Times New Roman" w:cs="Times New Roman"/>
          <w:sz w:val="24"/>
          <w:szCs w:val="24"/>
        </w:rPr>
        <w:fldChar w:fldCharType="separate"/>
      </w:r>
      <w:r w:rsidR="0019663B" w:rsidRPr="00950125">
        <w:rPr>
          <w:rFonts w:ascii="Times New Roman" w:hAnsi="Times New Roman" w:cs="Times New Roman"/>
          <w:sz w:val="24"/>
          <w:szCs w:val="24"/>
        </w:rPr>
        <w:t>(</w:t>
      </w:r>
      <w:r w:rsidR="0019663B" w:rsidRPr="00950125">
        <w:rPr>
          <w:rFonts w:ascii="Times New Roman" w:hAnsi="Times New Roman" w:cs="Times New Roman"/>
          <w:i/>
          <w:iCs/>
          <w:sz w:val="24"/>
          <w:szCs w:val="24"/>
        </w:rPr>
        <w:t>Transforming Our World: The 2030 Agenda for Sustainable Development | Department of Economic and Social Affairs</w:t>
      </w:r>
      <w:r w:rsidR="0019663B" w:rsidRPr="00950125">
        <w:rPr>
          <w:rFonts w:ascii="Times New Roman" w:hAnsi="Times New Roman" w:cs="Times New Roman"/>
          <w:sz w:val="24"/>
          <w:szCs w:val="24"/>
        </w:rPr>
        <w:t>, n.d.)</w:t>
      </w:r>
      <w:r w:rsidR="0019663B"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w:t>
      </w:r>
      <w:r w:rsidR="00AA10B0" w:rsidRPr="00950125">
        <w:rPr>
          <w:rFonts w:ascii="Times New Roman" w:eastAsia="Times New Roman" w:hAnsi="Times New Roman" w:cs="Times New Roman"/>
          <w:sz w:val="24"/>
          <w:szCs w:val="24"/>
        </w:rPr>
        <w:t xml:space="preserve"> </w:t>
      </w:r>
    </w:p>
    <w:p w14:paraId="22B5624C" w14:textId="77777777" w:rsidR="00193FEC" w:rsidRPr="00950125" w:rsidRDefault="00193FEC" w:rsidP="00D46E36">
      <w:pPr>
        <w:pStyle w:val="NormalWeb"/>
        <w:spacing w:line="276" w:lineRule="auto"/>
        <w:jc w:val="both"/>
      </w:pPr>
      <w:r w:rsidRPr="00950125">
        <w:t xml:space="preserve">Energy is a key factor in economic growth, development, and social progress because it makes important services like healthcare, education, clean water, and communication possible. But a lot of communities, especially in developing countries, still have a lot of trouble getting to energy. Poor access to reliable and cheap energy sources is still a major obstacle to ending poverty and reaching other social and economic development goals. We have made some progress toward reaching Sustainable Development Goal (SDG) 7: Affordable and Clean Energy, but the pace of change is not fast enough. About 733 million people, or about one in ten people in the world, still don't have access to electricity as of 2021. Access to electricity around the world grew from 73% in 1998 to 90% in 2020, but there are still big differences between regions </w:t>
      </w:r>
      <w:r w:rsidRPr="00950125">
        <w:fldChar w:fldCharType="begin"/>
      </w:r>
      <w:r w:rsidRPr="00950125">
        <w:instrText xml:space="preserve"> ADDIN ZOTERO_ITEM CSL_CITATION {"citationID":"dfaQHG76","properties":{"formattedCitation":"({\\i{}\\uc0\\u8212{} SDG Indicators}, n.d.)","plainCitation":"(— SDG Indicators, n.d.)","noteIndex":0},"citationItems":[{"id":155,"uris":["http://zotero.org/users/local/dRmf8XHr/items/6HSVY8I7"],"itemData":{"id":155,"type":"webpage","title":"— SDG Indicators","URL":"https://unstats.un.org/sdgs/report/2023/goal-07/","accessed":{"date-parts":[["2025",7,29]]}}}],"schema":"https://github.com/citation-style-language/schema/raw/master/csl-citation.json"} </w:instrText>
      </w:r>
      <w:r w:rsidRPr="00950125">
        <w:fldChar w:fldCharType="separate"/>
      </w:r>
      <w:r w:rsidRPr="00950125">
        <w:t>(</w:t>
      </w:r>
      <w:r w:rsidRPr="00950125">
        <w:rPr>
          <w:i/>
          <w:iCs/>
        </w:rPr>
        <w:t>— SDG Indicators</w:t>
      </w:r>
      <w:r w:rsidRPr="00950125">
        <w:t xml:space="preserve">, </w:t>
      </w:r>
      <w:r w:rsidRPr="00950125">
        <w:lastRenderedPageBreak/>
        <w:t>n.d.)</w:t>
      </w:r>
      <w:r w:rsidRPr="00950125">
        <w:fldChar w:fldCharType="end"/>
      </w:r>
      <w:r w:rsidRPr="00950125">
        <w:t>. Energy access is still very low in sub-Saharan Africa and Least Developed Countries (LDCs), leaving millions of people without reliable energy services. 675 million people still don't have electricity, and 2.3 billion people still use wood, charcoal, and kerosene as cooking fuels, which are dangerous and bad for the environment. This dependence on polluted fuels causes a lot of health problems, especially for women and children, who are more likely to get respiratory diseases.</w:t>
      </w:r>
    </w:p>
    <w:p w14:paraId="5D33EFF0" w14:textId="7EE6D901" w:rsidR="00A46CA9" w:rsidRPr="00950125" w:rsidRDefault="00193FEC" w:rsidP="00D46E36">
      <w:pPr>
        <w:pStyle w:val="NormalWeb"/>
        <w:spacing w:line="276" w:lineRule="auto"/>
        <w:jc w:val="both"/>
      </w:pPr>
      <w:r w:rsidRPr="00950125">
        <w:t xml:space="preserve">The slow pace of building infrastructure makes it even harder to make sure that everyone has access to energy by 2030. It is thought that the US needs $35 billion to $40 billion every year to reach its goals for universal electricity access between 2021 and 2030, even though efforts are being made to make energy more available. It will be hard to reach these ambitious goals, especially in rural and remote areas, without a lot of money going into energy infrastructure. World Bank data shows that about 91% of people around the world had access to electricity in 2021. In some countries, though, only 19 percent of people could get to it. But more access to electricity has led to more greenhouse gas emissions. It's clear that having more access to electricity has made life better, but it has also had some negative effects on the environment. Fossil fuels, such as coal, natural gas, and oil, have mostly driven the growth of electricity generation. These fuels are still the main sources of energy, especially in developing economies. Because of this, the quick growth of access to electricity in some parts of the world has led to more greenhouse gas emissions and climate change. </w:t>
      </w:r>
    </w:p>
    <w:p w14:paraId="123184E6" w14:textId="77777777" w:rsidR="00DB5667" w:rsidRPr="00950125" w:rsidRDefault="00310B7C"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Sustainable Development Goal 13 (SDG 13</w:t>
      </w:r>
      <w:r w:rsidR="00DB5667" w:rsidRPr="00950125">
        <w:rPr>
          <w:rFonts w:ascii="Times New Roman" w:eastAsia="Times New Roman" w:hAnsi="Times New Roman" w:cs="Times New Roman"/>
          <w:sz w:val="24"/>
          <w:szCs w:val="24"/>
        </w:rPr>
        <w:t xml:space="preserve">) focuses on urgent actions to combat climate change and its impacts. Key targets include strengthening resilience to climate-related disasters (Target 13.1), integrating climate change into national policies and planning (Target 13.2), and building capacity through education and training (Target 13.3). Additionally, it emphasizes the implementation of the </w:t>
      </w:r>
      <w:r w:rsidR="00DB5667" w:rsidRPr="00950125">
        <w:rPr>
          <w:rFonts w:ascii="Times New Roman" w:eastAsia="Times New Roman" w:hAnsi="Times New Roman" w:cs="Times New Roman"/>
          <w:bCs/>
          <w:sz w:val="24"/>
          <w:szCs w:val="24"/>
        </w:rPr>
        <w:t>UN Framework Convention on Climate Change (UNFCCC)</w:t>
      </w:r>
      <w:r w:rsidR="00DB5667" w:rsidRPr="00950125">
        <w:rPr>
          <w:rFonts w:ascii="Times New Roman" w:eastAsia="Times New Roman" w:hAnsi="Times New Roman" w:cs="Times New Roman"/>
          <w:sz w:val="24"/>
          <w:szCs w:val="24"/>
        </w:rPr>
        <w:t xml:space="preserve"> (Target 13.a) and promoting mechanisms for enhancing climate change planning and management, especially in developing countries (Target 13.b). </w:t>
      </w:r>
      <w:r w:rsidRPr="00950125">
        <w:rPr>
          <w:rFonts w:ascii="Times New Roman" w:eastAsia="Times New Roman" w:hAnsi="Times New Roman" w:cs="Times New Roman"/>
          <w:sz w:val="24"/>
          <w:szCs w:val="24"/>
        </w:rPr>
        <w:t>The official mission statement of this goal is to "</w:t>
      </w:r>
      <w:hyperlink r:id="rId9" w:tooltip="Climate action" w:history="1">
        <w:r w:rsidRPr="00950125">
          <w:rPr>
            <w:rFonts w:ascii="Times New Roman" w:eastAsia="Times New Roman" w:hAnsi="Times New Roman" w:cs="Times New Roman"/>
            <w:sz w:val="24"/>
            <w:szCs w:val="24"/>
          </w:rPr>
          <w:t>Take urgent action</w:t>
        </w:r>
      </w:hyperlink>
      <w:r w:rsidRPr="00950125">
        <w:rPr>
          <w:rFonts w:ascii="Times New Roman" w:eastAsia="Times New Roman" w:hAnsi="Times New Roman" w:cs="Times New Roman"/>
          <w:sz w:val="24"/>
          <w:szCs w:val="24"/>
        </w:rPr>
        <w:t> to combat climate change and its </w:t>
      </w:r>
      <w:hyperlink r:id="rId10" w:tooltip="Effects of climate change" w:history="1">
        <w:r w:rsidRPr="00950125">
          <w:rPr>
            <w:rFonts w:ascii="Times New Roman" w:eastAsia="Times New Roman" w:hAnsi="Times New Roman" w:cs="Times New Roman"/>
            <w:sz w:val="24"/>
            <w:szCs w:val="24"/>
          </w:rPr>
          <w:t>impacts</w:t>
        </w:r>
      </w:hyperlink>
      <w:r w:rsidRPr="00950125">
        <w:rPr>
          <w:rFonts w:ascii="Times New Roman" w:eastAsia="Times New Roman" w:hAnsi="Times New Roman" w:cs="Times New Roman"/>
          <w:sz w:val="24"/>
          <w:szCs w:val="24"/>
        </w:rPr>
        <w:t>"</w:t>
      </w:r>
      <w:r w:rsidR="0019663B" w:rsidRPr="00950125">
        <w:rPr>
          <w:rFonts w:ascii="Times New Roman" w:eastAsia="Times New Roman" w:hAnsi="Times New Roman" w:cs="Times New Roman"/>
          <w:sz w:val="24"/>
          <w:szCs w:val="24"/>
        </w:rPr>
        <w:t xml:space="preserve"> </w:t>
      </w:r>
      <w:r w:rsidR="0019663B" w:rsidRPr="00950125">
        <w:rPr>
          <w:rFonts w:ascii="Times New Roman" w:eastAsia="Times New Roman" w:hAnsi="Times New Roman" w:cs="Times New Roman"/>
          <w:sz w:val="24"/>
          <w:szCs w:val="24"/>
        </w:rPr>
        <w:fldChar w:fldCharType="begin"/>
      </w:r>
      <w:r w:rsidR="0019663B" w:rsidRPr="00950125">
        <w:rPr>
          <w:rFonts w:ascii="Times New Roman" w:eastAsia="Times New Roman" w:hAnsi="Times New Roman" w:cs="Times New Roman"/>
          <w:sz w:val="24"/>
          <w:szCs w:val="24"/>
        </w:rPr>
        <w:instrText xml:space="preserve"> ADDIN ZOTERO_ITEM CSL_CITATION {"citationID":"0n5nIZhz","properties":{"formattedCitation":"({\\i{}Transforming Our World: The 2030 Agenda for Sustainable Development | Department of Economic and Social Affairs}, n.d.)","plainCitation":"(Transforming Our World: The 2030 Agenda for Sustainable Development | Department of Economic and Social Affairs, n.d.)","noteIndex":0},"citationItems":[{"id":89,"uris":["http://zotero.org/users/local/dRmf8XHr/items/RZP7AT3J"],"itemData":{"id":89,"type":"webpage","title":"Transforming our world: the 2030 Agenda for Sustainable Development | Department of Economic and Social Affairs","URL":"https://sdgs.un.org/2030agenda","accessed":{"date-parts":[["2025",7,22]]}}}],"schema":"https://github.com/citation-style-language/schema/raw/master/csl-citation.json"} </w:instrText>
      </w:r>
      <w:r w:rsidR="0019663B" w:rsidRPr="00950125">
        <w:rPr>
          <w:rFonts w:ascii="Times New Roman" w:eastAsia="Times New Roman" w:hAnsi="Times New Roman" w:cs="Times New Roman"/>
          <w:sz w:val="24"/>
          <w:szCs w:val="24"/>
        </w:rPr>
        <w:fldChar w:fldCharType="separate"/>
      </w:r>
      <w:r w:rsidR="0019663B" w:rsidRPr="00950125">
        <w:rPr>
          <w:rFonts w:ascii="Times New Roman" w:hAnsi="Times New Roman" w:cs="Times New Roman"/>
          <w:sz w:val="24"/>
          <w:szCs w:val="24"/>
        </w:rPr>
        <w:t>(</w:t>
      </w:r>
      <w:r w:rsidR="0019663B" w:rsidRPr="00950125">
        <w:rPr>
          <w:rFonts w:ascii="Times New Roman" w:hAnsi="Times New Roman" w:cs="Times New Roman"/>
          <w:i/>
          <w:iCs/>
          <w:sz w:val="24"/>
          <w:szCs w:val="24"/>
        </w:rPr>
        <w:t>Transforming Our World: The 2030 Agenda for Sustainable Development | Department of Economic and Social Affairs</w:t>
      </w:r>
      <w:r w:rsidR="0019663B" w:rsidRPr="00950125">
        <w:rPr>
          <w:rFonts w:ascii="Times New Roman" w:hAnsi="Times New Roman" w:cs="Times New Roman"/>
          <w:sz w:val="24"/>
          <w:szCs w:val="24"/>
        </w:rPr>
        <w:t>, n.d.)</w:t>
      </w:r>
      <w:r w:rsidR="0019663B"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w:t>
      </w:r>
      <w:r w:rsidR="00DB5667" w:rsidRPr="00950125">
        <w:rPr>
          <w:rFonts w:ascii="Times New Roman" w:eastAsia="Times New Roman" w:hAnsi="Times New Roman" w:cs="Times New Roman"/>
          <w:sz w:val="24"/>
          <w:szCs w:val="24"/>
        </w:rPr>
        <w:t xml:space="preserve"> </w:t>
      </w:r>
    </w:p>
    <w:p w14:paraId="10C41C1D" w14:textId="3286DDCC" w:rsidR="00DB5667" w:rsidRPr="00950125" w:rsidRDefault="00EC2453"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Climate change is already causing significant global impacts, and the need for coordinated global action has never been more critical. In 2023, global carbon dioxide (CO₂) levels reached approximately </w:t>
      </w:r>
      <w:r w:rsidRPr="00950125">
        <w:rPr>
          <w:rFonts w:ascii="Times New Roman" w:eastAsia="Times New Roman" w:hAnsi="Times New Roman" w:cs="Times New Roman"/>
          <w:bCs/>
          <w:sz w:val="24"/>
          <w:szCs w:val="24"/>
        </w:rPr>
        <w:t>150% above pre-industrial levels</w:t>
      </w:r>
      <w:r w:rsidRPr="00950125">
        <w:rPr>
          <w:rFonts w:ascii="Times New Roman" w:eastAsia="Times New Roman" w:hAnsi="Times New Roman" w:cs="Times New Roman"/>
          <w:sz w:val="24"/>
          <w:szCs w:val="24"/>
        </w:rPr>
        <w:t xml:space="preserve">. Despite efforts to reduce emissions, global emissions rose by </w:t>
      </w:r>
      <w:r w:rsidRPr="00950125">
        <w:rPr>
          <w:rFonts w:ascii="Times New Roman" w:eastAsia="Times New Roman" w:hAnsi="Times New Roman" w:cs="Times New Roman"/>
          <w:bCs/>
          <w:sz w:val="24"/>
          <w:szCs w:val="24"/>
        </w:rPr>
        <w:t>1.3%</w:t>
      </w:r>
      <w:r w:rsidRPr="00950125">
        <w:rPr>
          <w:rFonts w:ascii="Times New Roman" w:eastAsia="Times New Roman" w:hAnsi="Times New Roman" w:cs="Times New Roman"/>
          <w:sz w:val="24"/>
          <w:szCs w:val="24"/>
        </w:rPr>
        <w:t xml:space="preserve"> in 2023, reaching </w:t>
      </w:r>
      <w:r w:rsidRPr="00950125">
        <w:rPr>
          <w:rFonts w:ascii="Times New Roman" w:eastAsia="Times New Roman" w:hAnsi="Times New Roman" w:cs="Times New Roman"/>
          <w:bCs/>
          <w:sz w:val="24"/>
          <w:szCs w:val="24"/>
        </w:rPr>
        <w:t>57.1 gigatonnes of CO₂ equivalent</w:t>
      </w:r>
      <w:r w:rsidRPr="00950125">
        <w:rPr>
          <w:rFonts w:ascii="Times New Roman" w:eastAsia="Times New Roman" w:hAnsi="Times New Roman" w:cs="Times New Roman"/>
          <w:sz w:val="24"/>
          <w:szCs w:val="24"/>
        </w:rPr>
        <w:t>, continuing an upward trajectory. The gap between current emis</w:t>
      </w:r>
      <w:r w:rsidR="0083287D"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t xml:space="preserve">sion reduction pledges and the levels required to limit global temperature rise remains large. Current policies put the world on a path toward a temperature increase of approximately </w:t>
      </w:r>
      <w:r w:rsidRPr="00950125">
        <w:rPr>
          <w:rFonts w:ascii="Times New Roman" w:eastAsia="Times New Roman" w:hAnsi="Times New Roman" w:cs="Times New Roman"/>
          <w:bCs/>
          <w:sz w:val="24"/>
          <w:szCs w:val="24"/>
        </w:rPr>
        <w:t>3.1°C</w:t>
      </w:r>
      <w:r w:rsidRPr="00950125">
        <w:rPr>
          <w:rFonts w:ascii="Times New Roman" w:eastAsia="Times New Roman" w:hAnsi="Times New Roman" w:cs="Times New Roman"/>
          <w:sz w:val="24"/>
          <w:szCs w:val="24"/>
        </w:rPr>
        <w:t xml:space="preserve"> by the end of the century, far beyond the 1.5°C limit set by the Paris Agreement. Extreme heatwaves have become more frequent and intense. In 2023 alone, heatwaves affected over </w:t>
      </w:r>
      <w:r w:rsidRPr="00950125">
        <w:rPr>
          <w:rFonts w:ascii="Times New Roman" w:eastAsia="Times New Roman" w:hAnsi="Times New Roman" w:cs="Times New Roman"/>
          <w:bCs/>
          <w:sz w:val="24"/>
          <w:szCs w:val="24"/>
        </w:rPr>
        <w:t>3.5 billion people</w:t>
      </w:r>
      <w:r w:rsidRPr="00950125">
        <w:rPr>
          <w:rFonts w:ascii="Times New Roman" w:eastAsia="Times New Roman" w:hAnsi="Times New Roman" w:cs="Times New Roman"/>
          <w:sz w:val="24"/>
          <w:szCs w:val="24"/>
        </w:rPr>
        <w:t xml:space="preserve"> worldwide, contributing to an increase in heat-related mortality and putting additional stress on healthcare systems and agriculture. </w:t>
      </w:r>
      <w:r w:rsidR="00193FEC" w:rsidRPr="00950125">
        <w:rPr>
          <w:rFonts w:ascii="Times New Roman" w:eastAsia="Times New Roman" w:hAnsi="Times New Roman" w:cs="Times New Roman"/>
          <w:sz w:val="24"/>
          <w:szCs w:val="24"/>
        </w:rPr>
        <w:t xml:space="preserve">The costs of </w:t>
      </w:r>
      <w:r w:rsidR="00193FEC" w:rsidRPr="00950125">
        <w:rPr>
          <w:rFonts w:ascii="Times New Roman" w:eastAsia="Times New Roman" w:hAnsi="Times New Roman" w:cs="Times New Roman"/>
          <w:sz w:val="24"/>
          <w:szCs w:val="24"/>
        </w:rPr>
        <w:lastRenderedPageBreak/>
        <w:t>climate change to the economy are going up. In 2020, disasters caused by climate change cost the world $210 billion. Depending on how much the Earth warms up, the annual cost of climate change could be anywhere from $1.5 trillion to $3.5 trillion by 2050. Natural disasters like hurricanes, floods, and droughts are getting worse. There were twice as many extreme weather events in 2020 as there were in the 1970s. By 2050, disasters caused by climate change could affect more than 200 million people every year. Disruptions to farming are making food insecurity worse, especially in developing areas. Climate change could make up to 25% more people hungry by 2050. As ice caps melt and seawater expands because of heat, sea levels rise, which puts coastal areas all over the world at risk. Since 1993, the average rise in sea level has been 3.3 millimeters per year. In low-lying coastal and island areas, sea levels could rise by as much as 1 meter by 2100, forcing millions of people to move. The loss of biodiversity is getting worse because of climate change. Changing temperatures, loss of habitat, and acidification of the oceans could kill off up to 1 million species. As temperatures rise, ecosystems are going past their tipping points, which threatens biodiversity around the world. Climate change has a bigger effect on countries with low incomes. For instance, sub-Saharan Africa only puts out 4% of the world's carbon emissions, but it is likely to suffer some of the worst effects of climate change, such as higher temperatures and extreme weather events. These countries also have fewer resources and infrastructure to deal with climate-related risks.</w:t>
      </w:r>
    </w:p>
    <w:p w14:paraId="0BF3FF4E" w14:textId="1DA76CD3" w:rsidR="00193FEC" w:rsidRPr="00950125" w:rsidRDefault="00310B7C" w:rsidP="00D46E36">
      <w:pPr>
        <w:pStyle w:val="NormalWeb"/>
        <w:spacing w:line="276" w:lineRule="auto"/>
        <w:jc w:val="both"/>
      </w:pPr>
      <w:r w:rsidRPr="00950125">
        <w:t>SDG 13 and </w:t>
      </w:r>
      <w:hyperlink r:id="rId11" w:tooltip="Sustainable Development Goal 7" w:history="1">
        <w:r w:rsidRPr="00950125">
          <w:t>SDG 7</w:t>
        </w:r>
      </w:hyperlink>
      <w:r w:rsidRPr="00950125">
        <w:t> on </w:t>
      </w:r>
      <w:hyperlink r:id="rId12" w:tooltip="Sustainable energy" w:history="1">
        <w:r w:rsidRPr="00950125">
          <w:t>clean energy</w:t>
        </w:r>
      </w:hyperlink>
      <w:r w:rsidRPr="00950125">
        <w:t> are closely related and complementary</w:t>
      </w:r>
      <w:r w:rsidR="00DB5667" w:rsidRPr="00950125">
        <w:t xml:space="preserve">. </w:t>
      </w:r>
      <w:r w:rsidR="009C0B6D" w:rsidRPr="00950125">
        <w:t xml:space="preserve">Transitioning to clean and renewable energy systems helps </w:t>
      </w:r>
      <w:r w:rsidR="009C0B6D" w:rsidRPr="00950125">
        <w:rPr>
          <w:rStyle w:val="Strong"/>
          <w:b w:val="0"/>
        </w:rPr>
        <w:t>mitigate climate change</w:t>
      </w:r>
      <w:r w:rsidR="009C0B6D" w:rsidRPr="00950125">
        <w:t xml:space="preserve">. </w:t>
      </w:r>
      <w:r w:rsidR="009C0B6D" w:rsidRPr="00950125">
        <w:rPr>
          <w:rStyle w:val="relative"/>
        </w:rPr>
        <w:t>The expansion of renewable energy sources contributes to reducing greenhouse gas emissions, aligning with the objectives of SDG 13.</w:t>
      </w:r>
      <w:r w:rsidR="00127366" w:rsidRPr="00950125">
        <w:t xml:space="preserve"> Energy-efficient solutions, like energy-saving technologies in homes and industries, directly reduce the demand for fossil fuels, cutting down on </w:t>
      </w:r>
      <w:r w:rsidR="00127366" w:rsidRPr="00950125">
        <w:rPr>
          <w:rStyle w:val="Strong"/>
          <w:b w:val="0"/>
        </w:rPr>
        <w:t>emissions</w:t>
      </w:r>
      <w:r w:rsidR="00127366" w:rsidRPr="00950125">
        <w:t xml:space="preserve"> and helping both energy access and climate goals. Increased investment in </w:t>
      </w:r>
      <w:r w:rsidR="00127366" w:rsidRPr="00950125">
        <w:rPr>
          <w:bCs/>
        </w:rPr>
        <w:t>clean energy technologies</w:t>
      </w:r>
      <w:r w:rsidR="00127366" w:rsidRPr="00950125">
        <w:t xml:space="preserve"> addresses both </w:t>
      </w:r>
      <w:r w:rsidR="00127366" w:rsidRPr="00950125">
        <w:rPr>
          <w:bCs/>
        </w:rPr>
        <w:t>energy poverty</w:t>
      </w:r>
      <w:r w:rsidR="00127366" w:rsidRPr="00950125">
        <w:t xml:space="preserve"> and </w:t>
      </w:r>
      <w:r w:rsidR="00127366" w:rsidRPr="00950125">
        <w:rPr>
          <w:bCs/>
        </w:rPr>
        <w:t>climate change</w:t>
      </w:r>
      <w:r w:rsidR="00127366" w:rsidRPr="00950125">
        <w:t xml:space="preserve">, ensuring that vulnerable communities have access to modern, affordable, and </w:t>
      </w:r>
      <w:r w:rsidR="00127366" w:rsidRPr="00950125">
        <w:rPr>
          <w:bCs/>
        </w:rPr>
        <w:t>climate-friendly energy</w:t>
      </w:r>
      <w:r w:rsidR="00127366" w:rsidRPr="00950125">
        <w:t xml:space="preserve"> solutions, while also promoting climate resilience through </w:t>
      </w:r>
      <w:r w:rsidR="00127366" w:rsidRPr="00950125">
        <w:rPr>
          <w:bCs/>
        </w:rPr>
        <w:t>sustainable infrastructure</w:t>
      </w:r>
      <w:r w:rsidR="00127366" w:rsidRPr="00950125">
        <w:t xml:space="preserve">. </w:t>
      </w:r>
      <w:r w:rsidR="00127366" w:rsidRPr="00950125">
        <w:rPr>
          <w:rStyle w:val="Strong"/>
          <w:b w:val="0"/>
        </w:rPr>
        <w:t>Clean energy</w:t>
      </w:r>
      <w:r w:rsidR="00127366" w:rsidRPr="00950125">
        <w:t xml:space="preserve"> infrastructure boosts </w:t>
      </w:r>
      <w:r w:rsidR="00127366" w:rsidRPr="00950125">
        <w:rPr>
          <w:rStyle w:val="Strong"/>
          <w:b w:val="0"/>
        </w:rPr>
        <w:t>climate resilience</w:t>
      </w:r>
      <w:r w:rsidR="00127366" w:rsidRPr="00950125">
        <w:t xml:space="preserve">, especially in rural and off-grid communities, by ensuring access to sustainable energy sources that are vital for </w:t>
      </w:r>
      <w:r w:rsidR="00127366" w:rsidRPr="00950125">
        <w:rPr>
          <w:rStyle w:val="Strong"/>
          <w:b w:val="0"/>
        </w:rPr>
        <w:t>adapting</w:t>
      </w:r>
      <w:r w:rsidR="00127366" w:rsidRPr="00950125">
        <w:t xml:space="preserve"> to the adverse impacts of climate change, such as floods, droughts, and extreme temperatures. The development of clean energy infrastructure can create </w:t>
      </w:r>
      <w:r w:rsidR="00127366" w:rsidRPr="00950125">
        <w:rPr>
          <w:rStyle w:val="Strong"/>
          <w:b w:val="0"/>
        </w:rPr>
        <w:t>sustainable employment</w:t>
      </w:r>
      <w:r w:rsidR="00127366" w:rsidRPr="00950125">
        <w:t xml:space="preserve"> opportunities while promoting </w:t>
      </w:r>
      <w:r w:rsidR="00127366" w:rsidRPr="00950125">
        <w:rPr>
          <w:rStyle w:val="Strong"/>
          <w:b w:val="0"/>
        </w:rPr>
        <w:t>economic growth</w:t>
      </w:r>
      <w:r w:rsidR="00127366" w:rsidRPr="00950125">
        <w:t xml:space="preserve"> and helping </w:t>
      </w:r>
      <w:r w:rsidR="00127366" w:rsidRPr="00950125">
        <w:rPr>
          <w:rStyle w:val="Strong"/>
          <w:b w:val="0"/>
        </w:rPr>
        <w:t>developing economies</w:t>
      </w:r>
      <w:r w:rsidR="00127366" w:rsidRPr="00950125">
        <w:t xml:space="preserve"> transition to a green, low-carbon economy, creating a win-win situation for both energy access and climate action</w:t>
      </w:r>
      <w:r w:rsidR="0019663B" w:rsidRPr="00950125">
        <w:t xml:space="preserve"> </w:t>
      </w:r>
      <w:r w:rsidR="0019663B" w:rsidRPr="00950125">
        <w:fldChar w:fldCharType="begin"/>
      </w:r>
      <w:r w:rsidR="0019663B" w:rsidRPr="00950125">
        <w:instrText xml:space="preserve"> ADDIN ZOTERO_ITEM CSL_CITATION {"citationID":"pkSItCio","properties":{"formattedCitation":"(Solntsev &amp; Akshalova, 2021)","plainCitation":"(Solntsev &amp; Akshalova, 2021)","noteIndex":0},"citationItems":[{"id":91,"uris":["http://zotero.org/users/local/dRmf8XHr/items/EFKI7J43"],"itemData":{"id":91,"type":"chapter","abstract":"This article explores various ways to mutually achieve Sustainable Development Goals 7 “Ensure access to affordable, reliable, sustainable and modern energy for all” and Sustainable Development Goal 13 “Take urgent action to combat climate change and its impacts” for the most effective their implementation in the context of Industry 4.0. The methodological basis of the study involves a combination of general scientific (dialectical, historical, inductive, deductive, analytical, synthetic) and private scientific methods (formal legal, comparative legal, interpretative, statistical, procedural, and dynamic). According to the results of the study, the authors have identified the most important points of synergy interaction: It is necessary to increase investments (primarily through the Green Climate Fond) in the development of environmentally friendly technologies and energy efficiency technologies, climate change mitigation technologies; to facilitate access for developing countries and least developed countries. In conclusion, the authors come to the opinion that in the context of the COVID-19 pandemic and the fall in oil prices, and World Trade Organization Dispute Settlement Body cases on supporting the subsidies on renewable energy, the implementation of Sustainable Development Goal 7 and Sustainable Development Goal 13 can cause significant difficulties and be impeded.","container-title":"Industry 4.0 : Exploring the Consequences of Climate Change","event-place":"Cham","ISBN":"978-3-030-75405-1","language":"en","note":"DOI: 10.1007/978-3-030-75405-1_3","page":"23-32","publisher":"Springer International Publishing","publisher-place":"Cham","source":"Springer Link","title":"Sustainable Development Goal 7 and Sustainable Development Goal 13: Possible Ways of Interactions","title-short":"Sustainable Development Goal 7 and Sustainable Development Goal 13","URL":"https://doi.org/10.1007/978-3-030-75405-1_3","author":[{"family":"Solntsev","given":"Alexander M."},{"family":"Akshalova","given":"Roza D."}],"editor":[{"family":"Zavyalova","given":"Elena B."},{"family":"Popkova","given":"Elena G."}],"accessed":{"date-parts":[["2025",7,22]]},"issued":{"date-parts":[["2021"]]}}}],"schema":"https://github.com/citation-style-language/schema/raw/master/csl-citation.json"} </w:instrText>
      </w:r>
      <w:r w:rsidR="0019663B" w:rsidRPr="00950125">
        <w:fldChar w:fldCharType="separate"/>
      </w:r>
      <w:r w:rsidR="0019663B" w:rsidRPr="00950125">
        <w:t>(Solntsev &amp; Akshalova, 2021)</w:t>
      </w:r>
      <w:r w:rsidR="0019663B" w:rsidRPr="00950125">
        <w:fldChar w:fldCharType="end"/>
      </w:r>
      <w:r w:rsidR="00127366" w:rsidRPr="00950125">
        <w:t>.</w:t>
      </w:r>
    </w:p>
    <w:p w14:paraId="3B068CB4" w14:textId="7EAC2FB8" w:rsidR="00193FEC" w:rsidRPr="00950125" w:rsidRDefault="00193FEC" w:rsidP="00D46E36">
      <w:pPr>
        <w:pStyle w:val="NormalWeb"/>
        <w:spacing w:line="276" w:lineRule="auto"/>
        <w:jc w:val="both"/>
      </w:pPr>
      <w:r w:rsidRPr="00950125">
        <w:t xml:space="preserve">Energy is at the heart of the Sustainable Development Goals (SDGs) because it is necessary for security, economic growth, job creation, and empowering people. Access to energy has a direct effect on areas like business, education, healthcare, agriculture, and technology, which helps society move forward. Even though things are getting better, there are still a lot of problems, especially in developing areas. The number of people around the world who don't have access to electricity went down from 1.14 billion in 2010 to 675 million in 2021. Asia was the main reason </w:t>
      </w:r>
      <w:r w:rsidRPr="00950125">
        <w:lastRenderedPageBreak/>
        <w:t>for this decline. But Africa's unelectrified population only went down a little, from 591 million to 586 million. This is mostly because its population is growing so quickly. The 2023 Tracking SDG7 Report says that by 2030, 660 million people will still not have access to electricity. Most of these people will live in Sub-Saharan Africa. In 2021, 2.3 billion people still used unsafe cooking methods, which caused millions of deaths each year because of harmful household air pollution. By 2030, the world will be 30% short of the SDG target if clean cooking solutions don't speed up.</w:t>
      </w:r>
    </w:p>
    <w:p w14:paraId="476314D6" w14:textId="77777777" w:rsidR="00193FEC" w:rsidRPr="00950125" w:rsidRDefault="00193FEC" w:rsidP="00D46E36">
      <w:pPr>
        <w:pStyle w:val="NormalWeb"/>
        <w:spacing w:line="276" w:lineRule="auto"/>
        <w:jc w:val="both"/>
      </w:pPr>
      <w:r w:rsidRPr="00950125">
        <w:t>The rise in global electricity demand, along with the continued use of fossil fuels like coal, oil, and gas, has caused a lot of greenhouse gas emissions. These emissions are bad for the environment and public health and are making climate change worse. Using fossil fuels has made global warming worse, as well as health problems and damage to the environment. Also, countries that don't have reliable electricity can't run their economies or provide basic services like healthcare, education, and clean water. This energy gap hurts women and girls the most because they have to spend hours getting water when there isn't enough reliable energy. It also makes it harder for businesses and communities to grow.</w:t>
      </w:r>
    </w:p>
    <w:p w14:paraId="1783DB52" w14:textId="3F232624" w:rsidR="00193FEC" w:rsidRPr="00950125" w:rsidRDefault="00193FEC" w:rsidP="00D46E36">
      <w:pPr>
        <w:pStyle w:val="NormalWeb"/>
        <w:spacing w:line="276" w:lineRule="auto"/>
        <w:jc w:val="both"/>
      </w:pPr>
      <w:r w:rsidRPr="00950125">
        <w:t>The goal of SDG 7 (Affordable and Clean Energy) is to make sure that everyone has access to modern, clean, and sustainable energy sources by 2030. This means that the amount of renewable energy used around the world needs to go up and energy efficiency needs to get better. But to make sure that 2.3 billion people who still use dirty fuels can get to clean cooking solutions, focused efforts are needed. This will improve health and the environment. Not only is achieving SDG 7 important for energy access, but it is also important for economic growth, social well-being, and gender equality.</w:t>
      </w:r>
    </w:p>
    <w:p w14:paraId="01925E10" w14:textId="6E06D3B4" w:rsidR="00F957C2" w:rsidRPr="00950125" w:rsidRDefault="00F957C2" w:rsidP="00D46E36">
      <w:pPr>
        <w:pStyle w:val="NormalWeb"/>
        <w:spacing w:line="276" w:lineRule="auto"/>
        <w:jc w:val="both"/>
      </w:pPr>
      <w:r w:rsidRPr="00950125">
        <w:t xml:space="preserve">In parallel, </w:t>
      </w:r>
      <w:r w:rsidRPr="00950125">
        <w:rPr>
          <w:rStyle w:val="Strong"/>
          <w:b w:val="0"/>
        </w:rPr>
        <w:t>SDG 13 (Climate Action)</w:t>
      </w:r>
      <w:r w:rsidRPr="00950125">
        <w:t xml:space="preserve"> focuses on combating climate change and its impacts by reducing greenhouse gas emissions, protecting ecosystems, and building climate resilience. Climate change is one of the most pressing challenges of the 21st century. Despite efforts to reduce emissions, global CO₂ emissions rose by </w:t>
      </w:r>
      <w:r w:rsidRPr="00950125">
        <w:rPr>
          <w:bCs/>
        </w:rPr>
        <w:t>1.3%</w:t>
      </w:r>
      <w:r w:rsidR="009570B0" w:rsidRPr="00950125">
        <w:t xml:space="preserve"> in 2023 </w:t>
      </w:r>
      <w:r w:rsidR="009570B0" w:rsidRPr="00950125">
        <w:fldChar w:fldCharType="begin"/>
      </w:r>
      <w:r w:rsidR="009570B0" w:rsidRPr="00950125">
        <w:instrText xml:space="preserve"> ADDIN ZOTERO_ITEM CSL_CITATION {"citationID":"P16pOeXB","properties":{"formattedCitation":"({\\i{}AR6 Synthesis Report: Climate Change 2023}, n.d.)","plainCitation":"(AR6 Synthesis Report: Climate Change 2023, n.d.)","noteIndex":0},"citationItems":[{"id":156,"uris":["http://zotero.org/users/local/dRmf8XHr/items/8KK8G7KA"],"itemData":{"id":156,"type":"webpage","title":"AR6 Synthesis Report: Climate Change 2023","URL":"https://www.ipcc.ch/report/ar6/syr/","accessed":{"date-parts":[["2025",7,29]]}}}],"schema":"https://github.com/citation-style-language/schema/raw/master/csl-citation.json"} </w:instrText>
      </w:r>
      <w:r w:rsidR="009570B0" w:rsidRPr="00950125">
        <w:fldChar w:fldCharType="separate"/>
      </w:r>
      <w:r w:rsidR="009570B0" w:rsidRPr="00950125">
        <w:t>(</w:t>
      </w:r>
      <w:r w:rsidR="009570B0" w:rsidRPr="00950125">
        <w:rPr>
          <w:i/>
          <w:iCs/>
        </w:rPr>
        <w:t>AR6 Synthesis Report: Climate Change 2023</w:t>
      </w:r>
      <w:r w:rsidR="009570B0" w:rsidRPr="00950125">
        <w:t>, n.d.)</w:t>
      </w:r>
      <w:r w:rsidR="009570B0" w:rsidRPr="00950125">
        <w:fldChar w:fldCharType="end"/>
      </w:r>
      <w:r w:rsidRPr="00950125">
        <w:t xml:space="preserve">. </w:t>
      </w:r>
      <w:r w:rsidR="00193FEC" w:rsidRPr="00950125">
        <w:t>Ecosystems, economies, and people's lives are still at risk from rising global temperatures, melting ice caps, rising sea levels, and extreme weather events. Hurricanes, floods, and heat waves are happening more often and with more force. These things cause a lot of damage. These events cause problems with agriculture, fishing, tourism, and infrastructure, which makes it hard for people to get food, lose their jobs, and puts a strain on government resources. Extreme weather events cause millions of people to lose their homes every year, making life even harder for those who are already vulnerable. Climate change is hurting biodiversity and making people suffer. Up to 1 million species have already gone extinct because of rising temperatures and changing weather patterns. Ecosystems that provide important services like clean air, water, and</w:t>
      </w:r>
      <w:r w:rsidR="009570B0" w:rsidRPr="00950125">
        <w:t xml:space="preserve"> food have also been disrupted </w:t>
      </w:r>
      <w:r w:rsidR="009570B0" w:rsidRPr="00950125">
        <w:fldChar w:fldCharType="begin"/>
      </w:r>
      <w:r w:rsidR="009570B0" w:rsidRPr="00950125">
        <w:instrText xml:space="preserve"> ADDIN ZOTERO_ITEM CSL_CITATION {"citationID":"0ya5s2IL","properties":{"formattedCitation":"({\\i{}(PDF) SUMMARY FOR POLICYMAKERS OF THE IPBES ASSESSMENT REPORT ON INVASIVE ALIEN SPECIES AND THEIR CONTROL}, n.d.)","plainCitation":"((PDF) SUMMARY FOR POLICYMAKERS OF THE IPBES ASSESSMENT REPORT ON INVASIVE ALIEN SPECIES AND THEIR CONTROL, n.d.)","noteIndex":0},"citationItems":[{"id":159,"uris":["http://zotero.org/users/local/dRmf8XHr/items/DZ3G9JE6"],"itemData":{"id":159,"type":"webpage","title":"(PDF) SUMMARY FOR POLICYMAKERS OF THE IPBES ASSESSMENT REPORT ON INVASIVE ALIEN SPECIES AND THEIR CONTROL","URL":"https://www.researchgate.net/publication/375525735_SUMMARY_FOR_POLICYMAKERS_OF_THE_IPBES_ASSESSMENT_REPORT_ON_INVASIVE_ALIEN_SPECIES_AND_THEIR_CONTROL","accessed":{"date-parts":[["2025",7,29]]}}}],"schema":"https://github.com/citation-style-language/schema/raw/master/csl-citation.json"} </w:instrText>
      </w:r>
      <w:r w:rsidR="009570B0" w:rsidRPr="00950125">
        <w:fldChar w:fldCharType="separate"/>
      </w:r>
      <w:r w:rsidR="009570B0" w:rsidRPr="00950125">
        <w:t>(</w:t>
      </w:r>
      <w:r w:rsidR="009570B0" w:rsidRPr="00950125">
        <w:rPr>
          <w:i/>
          <w:iCs/>
        </w:rPr>
        <w:t>(PDF) SUMMARY FOR POLICYMAKERS OF THE IPBES ASSESSMENT REPORT ON INVASIVE ALIEN SPECIES AND THEIR CONTROL</w:t>
      </w:r>
      <w:r w:rsidR="009570B0" w:rsidRPr="00950125">
        <w:t>, n.d.)</w:t>
      </w:r>
      <w:r w:rsidR="009570B0" w:rsidRPr="00950125">
        <w:fldChar w:fldCharType="end"/>
      </w:r>
      <w:r w:rsidRPr="00950125">
        <w:t xml:space="preserve">. </w:t>
      </w:r>
      <w:r w:rsidR="009570B0" w:rsidRPr="00950125">
        <w:t xml:space="preserve">The loss of biodiversity directly affects the services that ecosystems provide, which puts human health and survival at risk. Climate change has a big impact on the economy. Sectors that depend a lot on the </w:t>
      </w:r>
      <w:r w:rsidR="009570B0" w:rsidRPr="00950125">
        <w:lastRenderedPageBreak/>
        <w:t>weather, like agriculture, tourism, and fishing, are becoming more and more vulnerable. Extreme weather events have also messed up global supply chains, hurt infrastructure, and cost governments billions of dollars to recover and rebuild. Investing in green technologies and renewable energy sources are examples of climate action policies that can help lower these economic risks. Moving to more environmentally friendly ways of doing things not only helps fight climate change, but it also opens up new business opportunities in green industries that are just starting out.</w:t>
      </w:r>
    </w:p>
    <w:p w14:paraId="41809564" w14:textId="7BBD2068" w:rsidR="007D3DBA" w:rsidRPr="00950125" w:rsidRDefault="007D3DBA" w:rsidP="00D46E36">
      <w:pPr>
        <w:pStyle w:val="NormalWeb"/>
        <w:spacing w:line="276" w:lineRule="auto"/>
        <w:jc w:val="both"/>
      </w:pPr>
      <w:r w:rsidRPr="00950125">
        <w:t>As the effects of climate change get worse, it becomes clearer that we need to take comprehensive climate action to deal with these problems and make sure we have a sustainable future. SDG 13 tells countries to come up with flexible plans and make themselves more resilient to climate-related disasters so that vulnerable people are safe. SDG 13 is not just about solving today's environmental problems; it's also about making sure that future generations can live on a planet that is healthy, strong, and full of life. Countries are working to protect both people and the planet's natural resources by committing to achieving SDG 13. This will make sure that future generations inherit a stable and thriving environment</w:t>
      </w:r>
      <w:r w:rsidR="00770207">
        <w:t>.</w:t>
      </w:r>
    </w:p>
    <w:p w14:paraId="337A01B1" w14:textId="3AA2FE2D" w:rsidR="007D3DBA" w:rsidRPr="00950125" w:rsidRDefault="007D3DBA" w:rsidP="00D46E36">
      <w:pPr>
        <w:pStyle w:val="NormalWeb"/>
        <w:spacing w:line="276" w:lineRule="auto"/>
        <w:jc w:val="both"/>
      </w:pPr>
      <w:r w:rsidRPr="00950125">
        <w:t>The achievement of SDG 7 and SDG 13 is influenced by a complex interplay of technological, economic, social, environmental, and political factors. To deal with these problems, countries need to work together, have strong policies, and share resources fairly. The world can make big steps toward a fair and sustainable future by encouraging new ideas, putting money into renewable energy, and making climate resilience a top priority. Not only do these goals help reduce climate risks, but they also boost the economy, lower poverty, and make life better for billions of people around the world.</w:t>
      </w:r>
    </w:p>
    <w:p w14:paraId="5A7A9268" w14:textId="38D1E52C" w:rsidR="00490BA8" w:rsidRPr="00950125" w:rsidRDefault="0069438D" w:rsidP="00D46E36">
      <w:pPr>
        <w:pStyle w:val="NormalWeb"/>
        <w:spacing w:line="276" w:lineRule="auto"/>
        <w:jc w:val="center"/>
      </w:pPr>
      <w:r>
        <w:pict w14:anchorId="42CDAC3C">
          <v:shape id="_x0000_i1026" type="#_x0000_t75" style="width:352.5pt;height:224.55pt">
            <v:imagedata r:id="rId13" o:title="White Green Modern Venn Diagrams Graph"/>
          </v:shape>
        </w:pict>
      </w:r>
    </w:p>
    <w:p w14:paraId="76F21894" w14:textId="77777777" w:rsidR="007D3DBA" w:rsidRPr="00950125" w:rsidRDefault="007D3DBA" w:rsidP="00D46E36">
      <w:pPr>
        <w:pStyle w:val="NormalWeb"/>
        <w:spacing w:line="276" w:lineRule="auto"/>
        <w:jc w:val="both"/>
      </w:pPr>
      <w:r w:rsidRPr="00950125">
        <w:rPr>
          <w:b/>
        </w:rPr>
        <w:lastRenderedPageBreak/>
        <w:t>Technological Factors:</w:t>
      </w:r>
      <w:r w:rsidRPr="00950125">
        <w:t xml:space="preserve"> Improvements in renewable energy technologies like solar panels, wind turbines, and energy storage systems are very important for reaching SDG 7 because they make clean energy easier to get and cheaper. Smart grids and IoT-enabled devices are examples of new technologies that make energy use more efficient. They help both goals by cutting down on energy waste. To help reduce greenhouse gas emissions, we need technologies like carbon capture and storage (CCS). This is directly related to SDG 13. Unfortunately, developing countries don't always have access to the latest technologies because they are too expensive and they don't have enough technical know-how. To close the technology gap, countries around the world need to work together and build their own skills.</w:t>
      </w:r>
    </w:p>
    <w:p w14:paraId="37462EE9" w14:textId="299DD733" w:rsidR="007D3DBA" w:rsidRPr="00950125" w:rsidRDefault="007D3DBA" w:rsidP="00D46E36">
      <w:pPr>
        <w:pStyle w:val="NormalWeb"/>
        <w:spacing w:line="276" w:lineRule="auto"/>
        <w:jc w:val="both"/>
      </w:pPr>
      <w:r w:rsidRPr="00950125">
        <w:rPr>
          <w:b/>
        </w:rPr>
        <w:t>Policy and Governance:</w:t>
      </w:r>
      <w:r w:rsidRPr="00950125">
        <w:t xml:space="preserve"> For both goals, it is important to have strong policies that support the use of renewable energy, energy efficiency, and lowering emissions. Clear and consistent rules make it easier for businesses to invest in renewable energy projects and ways to fight climate change. Not enforcing environmental rules well can make it harder to fight climate change and make clean energy more accessible. Political will at the national and international levels is what makes it possible to reach ambitious climate and energy goals. On the other hand, political instability or a lack of prioritization can slow progress, especially in developing countries.</w:t>
      </w:r>
    </w:p>
    <w:p w14:paraId="1A827637" w14:textId="77777777" w:rsidR="007D3DBA" w:rsidRPr="00950125" w:rsidRDefault="007D3DBA" w:rsidP="00D46E36">
      <w:pPr>
        <w:pStyle w:val="NormalWeb"/>
        <w:spacing w:line="276" w:lineRule="auto"/>
        <w:jc w:val="both"/>
      </w:pPr>
    </w:p>
    <w:p w14:paraId="3B8AB077" w14:textId="2B473EA7" w:rsidR="007D3DBA" w:rsidRPr="00950125" w:rsidRDefault="007D3DBA" w:rsidP="00D46E36">
      <w:pPr>
        <w:pStyle w:val="NormalWeb"/>
        <w:spacing w:line="276" w:lineRule="auto"/>
        <w:jc w:val="both"/>
      </w:pPr>
      <w:r w:rsidRPr="00950125">
        <w:rPr>
          <w:b/>
        </w:rPr>
        <w:t>Economic Factors:</w:t>
      </w:r>
      <w:r w:rsidRPr="00950125">
        <w:t xml:space="preserve"> To reach</w:t>
      </w:r>
      <w:r w:rsidR="003B6600" w:rsidRPr="00950125">
        <w:t xml:space="preserve"> SDG 7, we need to prioritize</w:t>
      </w:r>
      <w:r w:rsidRPr="00950125">
        <w:t xml:space="preserve"> investments in renewable energy infrastructure, like wind farms, solar parks, and places to store energy. To reach SDG 13, we need enough climate finance, especially in low-income countries that are hit harder by climate change than other countries. The Green Climate Fund (GCF) and other forms of international aid help countries that are more vulnerable put climate change mitigation and adaptation plans into action. The success of SDG 7 also depends on how affordable clean energy solutions are. If they are too expensive, people who are already on the fringes may not be able to get modern energy. Climate change has a bigger effect on poor and disadvantaged communities when there is economic inequality. This m</w:t>
      </w:r>
      <w:r w:rsidR="00CE569A" w:rsidRPr="00950125">
        <w:t>akes it harder to reach SDG 13.</w:t>
      </w:r>
    </w:p>
    <w:p w14:paraId="77D23DE5" w14:textId="66DA96B3" w:rsidR="007D3DBA" w:rsidRPr="00950125" w:rsidRDefault="007D3DBA" w:rsidP="00D46E36">
      <w:pPr>
        <w:pStyle w:val="NormalWeb"/>
        <w:spacing w:line="276" w:lineRule="auto"/>
        <w:jc w:val="both"/>
      </w:pPr>
      <w:r w:rsidRPr="00950125">
        <w:rPr>
          <w:b/>
        </w:rPr>
        <w:t>Social and Cultural Factors:</w:t>
      </w:r>
      <w:r w:rsidRPr="00950125">
        <w:t xml:space="preserve"> The way people in a culture act and the traditions they follow can affect how much energy they use and how open they are to new technologies that use renewable energy. In some places, people have always relied on fossil fuels or biomass for cooking and heating, which makes it hard to switch to clean energy. People and communities act differently when they know about the benefits of clean energy and the risks of climate change. Programs and campaigns that teach people about the environment and how to use energy in a way that doesn't harm it are good for the environment. Changing how people use energy and do things that are good for the environmen</w:t>
      </w:r>
      <w:r w:rsidR="00CE569A" w:rsidRPr="00950125">
        <w:t xml:space="preserve">t is important for both goals. </w:t>
      </w:r>
    </w:p>
    <w:p w14:paraId="50E2F5A0" w14:textId="69F30781" w:rsidR="007D3DBA" w:rsidRPr="00950125" w:rsidRDefault="007D3DBA" w:rsidP="00D46E36">
      <w:pPr>
        <w:pStyle w:val="NormalWeb"/>
        <w:spacing w:line="276" w:lineRule="auto"/>
        <w:jc w:val="both"/>
      </w:pPr>
      <w:r w:rsidRPr="00950125">
        <w:rPr>
          <w:b/>
        </w:rPr>
        <w:t>Environmental and Geographical Factors:</w:t>
      </w:r>
      <w:r w:rsidRPr="00950125">
        <w:t xml:space="preserve"> The availability of renewable energy sources like sunlight, wind, and water varies by region, which affects how likely it is that clean energy will be </w:t>
      </w:r>
      <w:r w:rsidRPr="00950125">
        <w:lastRenderedPageBreak/>
        <w:t>used. Regions with a lot of renewable energy resources are more likely to reach SDG 7. On the other hand, regions that don't have as many may have to pay more to switch to renewable energy. On the other hand, geographic factors like low-lying coastal areas and dry areas are more likely to be affected by climate change, which can cause things like rising sea levels and droughts. SDG 13 is harder to reach in countries that are heavily affected by climate change because they need to make a lot of changes to adapt. Forests and wetlands are examples of healthy ecosystems that help fight climate change by absorbing carbon. This is because deforestation, urbanization, and pollution damage ecosystems, which makes i</w:t>
      </w:r>
      <w:r w:rsidR="00CE569A" w:rsidRPr="00950125">
        <w:t>t harder to reach SDG 13.</w:t>
      </w:r>
    </w:p>
    <w:p w14:paraId="4C25ABD3" w14:textId="178A3C4C" w:rsidR="007D3DBA" w:rsidRPr="00950125" w:rsidRDefault="007D3DBA" w:rsidP="00D46E36">
      <w:pPr>
        <w:pStyle w:val="NormalWeb"/>
        <w:spacing w:line="276" w:lineRule="auto"/>
        <w:jc w:val="both"/>
      </w:pPr>
      <w:r w:rsidRPr="00950125">
        <w:rPr>
          <w:b/>
        </w:rPr>
        <w:t>Trade and Energy Markets:</w:t>
      </w:r>
      <w:r w:rsidRPr="00950125">
        <w:t xml:space="preserve"> The use of renewable energy technologies is affected by the global energy market. International trade has made solar and wind energy cheaper, which has sped up progress on SDG 7. But in some countries, relying on fossil fuel exports can make it harder to switch to clean energy and</w:t>
      </w:r>
      <w:r w:rsidR="00CE569A" w:rsidRPr="00950125">
        <w:t xml:space="preserve"> take action on climate change.</w:t>
      </w:r>
    </w:p>
    <w:p w14:paraId="403D41B7" w14:textId="5814A65D" w:rsidR="007D3DBA" w:rsidRPr="00950125" w:rsidRDefault="007D3DBA" w:rsidP="00D46E36">
      <w:pPr>
        <w:pStyle w:val="NormalWeb"/>
        <w:spacing w:line="276" w:lineRule="auto"/>
        <w:jc w:val="both"/>
      </w:pPr>
      <w:r w:rsidRPr="00950125">
        <w:rPr>
          <w:b/>
        </w:rPr>
        <w:t>Quality and Capacity of Institutions:</w:t>
      </w:r>
      <w:r w:rsidRPr="00950125">
        <w:t xml:space="preserve"> For energy and climate policies to work, institutions must be able to do their jobs well. Corruption and weak governance can make it harder to share resources and slow down pr</w:t>
      </w:r>
      <w:r w:rsidR="00CE569A" w:rsidRPr="00950125">
        <w:t>ogress toward SDG 7 and SDG 13.</w:t>
      </w:r>
    </w:p>
    <w:p w14:paraId="090EE319" w14:textId="474C3A00" w:rsidR="007D3DBA" w:rsidRPr="00950125" w:rsidRDefault="00CE569A" w:rsidP="00D46E36">
      <w:pPr>
        <w:pStyle w:val="NormalWeb"/>
        <w:spacing w:line="276" w:lineRule="auto"/>
        <w:jc w:val="both"/>
      </w:pPr>
      <w:r w:rsidRPr="00950125">
        <w:rPr>
          <w:b/>
        </w:rPr>
        <w:t>R&amp;D Investment:</w:t>
      </w:r>
      <w:r w:rsidRPr="00950125">
        <w:t xml:space="preserve"> </w:t>
      </w:r>
      <w:r w:rsidR="007D3DBA" w:rsidRPr="00950125">
        <w:t>Investments in research and development (R&amp;D) by governments and private companies lead to new ideas in renewable energy and technologies that help the environment. Low-income countries can't make progress toward these goals because they don't have enough money or time to do R&amp;D.</w:t>
      </w:r>
    </w:p>
    <w:p w14:paraId="1B2AF2DA" w14:textId="77777777" w:rsidR="007D3DBA" w:rsidRPr="00950125" w:rsidRDefault="007D3DBA" w:rsidP="00D46E36">
      <w:pPr>
        <w:pStyle w:val="NormalWeb"/>
        <w:spacing w:line="276" w:lineRule="auto"/>
        <w:jc w:val="both"/>
      </w:pPr>
    </w:p>
    <w:p w14:paraId="4FC0CB98" w14:textId="5F070549" w:rsidR="007D3DBA" w:rsidRPr="00950125" w:rsidRDefault="007D3DBA" w:rsidP="00D46E36">
      <w:pPr>
        <w:pStyle w:val="NormalWeb"/>
        <w:spacing w:line="276" w:lineRule="auto"/>
        <w:jc w:val="both"/>
      </w:pPr>
      <w:r w:rsidRPr="00950125">
        <w:rPr>
          <w:b/>
        </w:rPr>
        <w:t>Market incentives</w:t>
      </w:r>
      <w:r w:rsidRPr="00950125">
        <w:t>: Tax breaks, subsidies, and carbon credits are examples of market incentives that encourage people and businesses to use renewable energy and do things that are good for the environment. Market failures, like not taking into account the costs of protecting the environment, can make it harder to switch to sustainabl</w:t>
      </w:r>
      <w:r w:rsidR="00CE569A" w:rsidRPr="00950125">
        <w:t>e energy and climate solutions.</w:t>
      </w:r>
    </w:p>
    <w:p w14:paraId="6751AE49" w14:textId="324F5C8A" w:rsidR="007D3DBA" w:rsidRPr="00950125" w:rsidRDefault="007D3DBA" w:rsidP="00D46E36">
      <w:pPr>
        <w:pStyle w:val="NormalWeb"/>
        <w:spacing w:line="276" w:lineRule="auto"/>
        <w:jc w:val="both"/>
      </w:pPr>
      <w:r w:rsidRPr="00950125">
        <w:rPr>
          <w:b/>
        </w:rPr>
        <w:t>Infrastructure Problems in Developing Countries:</w:t>
      </w:r>
      <w:r w:rsidRPr="00950125">
        <w:t xml:space="preserve"> Even though the world is getting better, millions of people in developing countries still don't have access to reliable electricity, especially in rural areas. To make modern energy more available, a lot of money needs to be spent on infrastructure. To reach SDG 7 in remote areas, it is very important to have distributed renewable energy solutions like solar home systems and micro-grids. It costs more for developing countries to deal with the effects of climate change because they don't have as many resources or institutions that can help.</w:t>
      </w:r>
    </w:p>
    <w:p w14:paraId="2B4F8C47" w14:textId="66E1FAFE" w:rsidR="00A74EEE" w:rsidRPr="00D46E36" w:rsidRDefault="00D46E36" w:rsidP="00D46E36">
      <w:pPr>
        <w:pStyle w:val="Heading2"/>
        <w:numPr>
          <w:ilvl w:val="0"/>
          <w:numId w:val="27"/>
        </w:numPr>
        <w:spacing w:line="276" w:lineRule="auto"/>
        <w:rPr>
          <w:b/>
          <w:sz w:val="28"/>
          <w:u w:val="single"/>
        </w:rPr>
      </w:pPr>
      <w:r>
        <w:rPr>
          <w:b/>
          <w:sz w:val="28"/>
          <w:u w:val="single"/>
        </w:rPr>
        <w:lastRenderedPageBreak/>
        <w:t xml:space="preserve"> </w:t>
      </w:r>
      <w:bookmarkStart w:id="10" w:name="_Toc204723879"/>
      <w:r>
        <w:rPr>
          <w:b/>
          <w:sz w:val="28"/>
          <w:u w:val="single"/>
        </w:rPr>
        <w:t>Motivation of the S</w:t>
      </w:r>
      <w:r w:rsidR="00AD046C" w:rsidRPr="00D46E36">
        <w:rPr>
          <w:b/>
          <w:sz w:val="28"/>
          <w:u w:val="single"/>
        </w:rPr>
        <w:t>tudy</w:t>
      </w:r>
      <w:bookmarkEnd w:id="10"/>
    </w:p>
    <w:p w14:paraId="25C55A3C" w14:textId="77777777" w:rsidR="00BE019D" w:rsidRPr="00950125" w:rsidRDefault="00464523" w:rsidP="00D46E36">
      <w:pPr>
        <w:pStyle w:val="paragraph"/>
        <w:spacing w:line="276" w:lineRule="auto"/>
        <w:jc w:val="both"/>
      </w:pPr>
      <w:r w:rsidRPr="00950125">
        <w:t xml:space="preserve">The global community is currently faced with unprecedented challenges aimed at combating poverty, ensuring access to affordable, reliable, and modern energy for all, and achieving sustainable development. These goals are presented in the development agenda, which involves 17 sustainable development goals (SDGs). </w:t>
      </w:r>
      <w:r w:rsidR="004B4DB3" w:rsidRPr="00950125">
        <w:t xml:space="preserve">Among these goals, SDG 7, which aims to ensure access to affordable, reliable, sustainable, and modern energy, and SDG 13, which focuses on urgent action to combat climate change and its impacts, are critical to achieving environmental sustainability and economic resilience. </w:t>
      </w:r>
      <w:r w:rsidRPr="00950125">
        <w:t>The relevance and urgency of achieving sustainable development goals are indisputable, and the means of achieving them are agreed upon; however, there remain questions about the conditions for these goals in terms of existing potential barriers and the heterogeneity of these specific conditions within regions or even countries</w:t>
      </w:r>
      <w:r w:rsidR="004B4DB3" w:rsidRPr="00950125">
        <w:t>.</w:t>
      </w:r>
    </w:p>
    <w:p w14:paraId="01704447" w14:textId="18360474" w:rsidR="00CE569A" w:rsidRPr="00950125" w:rsidRDefault="00CE569A" w:rsidP="00D46E36">
      <w:pPr>
        <w:pStyle w:val="paragraph"/>
        <w:spacing w:line="276" w:lineRule="auto"/>
        <w:jc w:val="both"/>
      </w:pPr>
      <w:r w:rsidRPr="00950125">
        <w:t>The world has made progress toward SDG 7 and SDG 13, but developing countries are still moving slowly. These countries often struggle with weak institutions, low ICT penetration, and restrictive economic policies, which make it harder for them to reach these goals. The study's focus on the relationship between institutional quality, ICT, and economic freedom is especially relevant for these countries, as it offers practical suggestions for how to deal with their specific problems. By finding the main factors that help or hinder access to sustainable energy and climate action, the research aims to give policymakers useful information that will help them speed up progress.</w:t>
      </w:r>
    </w:p>
    <w:p w14:paraId="2D05D632" w14:textId="2B629EBB" w:rsidR="00BE019D" w:rsidRPr="00950125" w:rsidRDefault="00BE019D" w:rsidP="00D46E36">
      <w:pPr>
        <w:pStyle w:val="paragraph"/>
        <w:spacing w:line="276" w:lineRule="auto"/>
        <w:jc w:val="both"/>
      </w:pPr>
      <w:r w:rsidRPr="00950125">
        <w:t>The number of theoretical and empirical studies of factors that determine the achievements of SDGs is increasing, and the role of institutions, in particular, is revealed by recent research. Good institutions based on proper economic, social, and political foundations guarantee economic growth, increase investment in the accumulation of human and physical capital, reduce investment risk, increase social capital between the government and the population, and form a new at</w:t>
      </w:r>
      <w:r w:rsidR="00A74EEE" w:rsidRPr="00950125">
        <w:t xml:space="preserve">titude toward energy policies; </w:t>
      </w:r>
      <w:r w:rsidRPr="00950125">
        <w:t>in particular, to improve energy efficiency and to request the implementation of green technologies. In turn, SDG 7 will induce governments to adjust the systems of environmental regulation, particularly within the development of renewable energy, and support the transition to a more sustainable policy.</w:t>
      </w:r>
    </w:p>
    <w:p w14:paraId="53F70D63" w14:textId="3EB487E5" w:rsidR="004B4DB3" w:rsidRPr="00950125" w:rsidRDefault="004B4DB3" w:rsidP="00D46E36">
      <w:pPr>
        <w:pStyle w:val="paragraph"/>
        <w:spacing w:line="276" w:lineRule="auto"/>
        <w:jc w:val="both"/>
      </w:pPr>
      <w:r w:rsidRPr="00950125">
        <w:t xml:space="preserve">Information and Communication Technology (ICT) has emerged as a transformative tool for achieving sustainable development. </w:t>
      </w:r>
      <w:r w:rsidR="00CE569A" w:rsidRPr="00950125">
        <w:t>ICT makes it easier for new ideas to be used in energy systems by allowing the use of renewable energy sources, smart grid technologies, and energy efficiency solutions. It also plays a big part in fighting climate change by giving scientists accurate data for climate models, making people more aware of climate change, and getting people ready for disasters. But the digital divide and the fact that developing countries don't have easy access to advanced technologies are still big problems.</w:t>
      </w:r>
    </w:p>
    <w:p w14:paraId="47C964E8" w14:textId="3DA608FB" w:rsidR="00464523" w:rsidRPr="00950125" w:rsidRDefault="00CE569A" w:rsidP="00D46E36">
      <w:pPr>
        <w:pStyle w:val="paragraph"/>
        <w:spacing w:line="276" w:lineRule="auto"/>
        <w:jc w:val="both"/>
      </w:pPr>
      <w:r w:rsidRPr="00950125">
        <w:t xml:space="preserve">Another important factor that affects sustainable development is economic freedom, which is the ability of people and businesses to make economic decisions without too much government </w:t>
      </w:r>
      <w:r w:rsidRPr="00950125">
        <w:lastRenderedPageBreak/>
        <w:t>interference. Countries with more economic freedom tend to get more investment in renewable energy and encourage new ideas in green technologies. Economic freedom also encourages businesses to get involved in sustainability projects, which helps the government do its job. But if businesses put profit ahead of sustainability, unregulated markets can hurt the environment.</w:t>
      </w:r>
      <w:r w:rsidR="00BE019D" w:rsidRPr="00950125">
        <w:t xml:space="preserve"> </w:t>
      </w:r>
    </w:p>
    <w:p w14:paraId="1430FF3C" w14:textId="5926EDCC" w:rsidR="00A74EEE" w:rsidRPr="00D46E36" w:rsidRDefault="00A4108A" w:rsidP="00D46E36">
      <w:pPr>
        <w:pStyle w:val="Heading2"/>
        <w:numPr>
          <w:ilvl w:val="0"/>
          <w:numId w:val="3"/>
        </w:numPr>
        <w:spacing w:line="276" w:lineRule="auto"/>
        <w:rPr>
          <w:rFonts w:ascii="Times New Roman" w:hAnsi="Times New Roman" w:cs="Times New Roman"/>
          <w:b/>
          <w:sz w:val="28"/>
          <w:u w:val="single"/>
        </w:rPr>
      </w:pPr>
      <w:r w:rsidRPr="00D46E36">
        <w:rPr>
          <w:rFonts w:ascii="Times New Roman" w:hAnsi="Times New Roman" w:cs="Times New Roman"/>
          <w:b/>
          <w:sz w:val="28"/>
          <w:u w:val="single"/>
        </w:rPr>
        <w:t xml:space="preserve"> </w:t>
      </w:r>
      <w:bookmarkStart w:id="11" w:name="_Toc204723880"/>
      <w:r w:rsidR="00A74EEE" w:rsidRPr="00D46E36">
        <w:rPr>
          <w:rFonts w:ascii="Times New Roman" w:hAnsi="Times New Roman" w:cs="Times New Roman"/>
          <w:b/>
          <w:sz w:val="28"/>
          <w:u w:val="single"/>
        </w:rPr>
        <w:t>Objective of th</w:t>
      </w:r>
      <w:r w:rsidRPr="00D46E36">
        <w:rPr>
          <w:rFonts w:ascii="Times New Roman" w:hAnsi="Times New Roman" w:cs="Times New Roman"/>
          <w:b/>
          <w:sz w:val="28"/>
          <w:u w:val="single"/>
        </w:rPr>
        <w:t>e Study</w:t>
      </w:r>
      <w:bookmarkEnd w:id="11"/>
      <w:r w:rsidR="00A74EEE" w:rsidRPr="00D46E36">
        <w:rPr>
          <w:rFonts w:ascii="Times New Roman" w:hAnsi="Times New Roman" w:cs="Times New Roman"/>
          <w:b/>
          <w:sz w:val="28"/>
          <w:u w:val="single"/>
        </w:rPr>
        <w:t xml:space="preserve"> </w:t>
      </w:r>
    </w:p>
    <w:p w14:paraId="36BC6A4D" w14:textId="77777777" w:rsidR="00B42291" w:rsidRPr="00950125" w:rsidRDefault="00B42291"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This research examines the impact of institutional quality, information and communication technology (ICT), and economic freedom on the achievement of SDG 7 (Affordable and Clean Energy) and SDG 13 (Climate Action). The specific objectives of the study are as follows:</w:t>
      </w:r>
    </w:p>
    <w:p w14:paraId="7546ED14" w14:textId="77777777" w:rsidR="00B42291" w:rsidRPr="00950125" w:rsidRDefault="00B42291" w:rsidP="00D46E36">
      <w:pPr>
        <w:numPr>
          <w:ilvl w:val="0"/>
          <w:numId w:val="4"/>
        </w:num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aim of this study is to investigate how the quality of governance, institutions, and regulatory frameworks influence the achievement of SDG 7 and SDG 13. It will explore whether stronger institutions foster cleaner energy transitions, greater energy access, and better climate resilience.</w:t>
      </w:r>
    </w:p>
    <w:p w14:paraId="3D0201B1" w14:textId="23A9E8FA" w:rsidR="00B42291" w:rsidRPr="00950125" w:rsidRDefault="008C071B" w:rsidP="00D46E36">
      <w:pPr>
        <w:numPr>
          <w:ilvl w:val="0"/>
          <w:numId w:val="4"/>
        </w:num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w:t>
      </w:r>
      <w:r w:rsidR="00B42291" w:rsidRPr="00950125">
        <w:rPr>
          <w:rFonts w:ascii="Times New Roman" w:eastAsia="Times New Roman" w:hAnsi="Times New Roman" w:cs="Times New Roman"/>
          <w:sz w:val="24"/>
          <w:szCs w:val="24"/>
        </w:rPr>
        <w:t xml:space="preserve"> objective is to analyze how ICT adoption, including advancements in energy management technologies, smart grids, and renewable energy financing platforms, can accelerate progress towards SDG 7 and SDG 13. The study will evaluate how ICT enhances energy efficiency, promotes clean energy, and facilitates climate action.</w:t>
      </w:r>
    </w:p>
    <w:p w14:paraId="57632C80" w14:textId="3F7FE277" w:rsidR="003B6600" w:rsidRPr="00950125" w:rsidRDefault="003B6600" w:rsidP="00D46E36">
      <w:pPr>
        <w:numPr>
          <w:ilvl w:val="0"/>
          <w:numId w:val="4"/>
        </w:num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purpose is to look into how economic freedom, such as the ability of markets to work without too much government interference, affects the success of reaching SDG 7 and SDG 13. The study will evaluate whether increased economic freedom results in more efficient energy markets, enhanced innovation in renewable energy technologies, and more robust climate action policies.</w:t>
      </w:r>
    </w:p>
    <w:p w14:paraId="1F09A254" w14:textId="77777777" w:rsidR="003B6600" w:rsidRPr="00950125" w:rsidRDefault="003B6600" w:rsidP="00D46E36">
      <w:pPr>
        <w:numPr>
          <w:ilvl w:val="0"/>
          <w:numId w:val="4"/>
        </w:num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This research seeks to comprehend the synergistic impacts of institutional quality, information and communication technology (ICT), and economic freedom on energy accessibility and climate change mitigation. The research will evaluate the collective impact of these factors on the attainment of SDG 7 and SDG 13, especially in developing nations.</w:t>
      </w:r>
    </w:p>
    <w:p w14:paraId="1EE6D42E" w14:textId="4C903FDD" w:rsidR="00A4108A" w:rsidRPr="00950125" w:rsidRDefault="003B6600"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This study aims to elucidate the interplay of institutional, technological, and economic factors in shaping sustainable development outcomes, thereby offering policy recommendations to expedite progress towards SDG 7 and SDG 13.</w:t>
      </w:r>
    </w:p>
    <w:p w14:paraId="0018E4DA" w14:textId="561031C5" w:rsidR="00DC5DEF" w:rsidRPr="00950125" w:rsidRDefault="00A4108A"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br w:type="page"/>
      </w:r>
    </w:p>
    <w:p w14:paraId="762F20C4" w14:textId="6DB2219D" w:rsidR="008F4AF7" w:rsidRPr="00950125" w:rsidRDefault="00A4108A" w:rsidP="00D46E36">
      <w:pPr>
        <w:pStyle w:val="Heading2"/>
        <w:numPr>
          <w:ilvl w:val="0"/>
          <w:numId w:val="5"/>
        </w:numPr>
        <w:spacing w:line="276" w:lineRule="auto"/>
        <w:rPr>
          <w:rFonts w:ascii="Times New Roman" w:hAnsi="Times New Roman" w:cs="Times New Roman"/>
          <w:b/>
          <w:color w:val="2E74B5"/>
          <w:sz w:val="28"/>
          <w:u w:val="single"/>
        </w:rPr>
      </w:pPr>
      <w:r w:rsidRPr="00950125">
        <w:rPr>
          <w:rFonts w:ascii="Times New Roman" w:hAnsi="Times New Roman" w:cs="Times New Roman"/>
          <w:b/>
          <w:color w:val="2E74B5"/>
          <w:sz w:val="28"/>
          <w:u w:val="single"/>
        </w:rPr>
        <w:lastRenderedPageBreak/>
        <w:t xml:space="preserve"> </w:t>
      </w:r>
      <w:bookmarkStart w:id="12" w:name="_Toc204723881"/>
      <w:r w:rsidR="0012678E" w:rsidRPr="00950125">
        <w:rPr>
          <w:rFonts w:ascii="Times New Roman" w:hAnsi="Times New Roman" w:cs="Times New Roman"/>
          <w:b/>
          <w:color w:val="2E74B5"/>
          <w:sz w:val="28"/>
          <w:u w:val="single"/>
        </w:rPr>
        <w:t>Contribution</w:t>
      </w:r>
      <w:r w:rsidR="008C071B" w:rsidRPr="00950125">
        <w:rPr>
          <w:rFonts w:ascii="Times New Roman" w:hAnsi="Times New Roman" w:cs="Times New Roman"/>
          <w:b/>
          <w:color w:val="2E74B5"/>
          <w:sz w:val="28"/>
          <w:u w:val="single"/>
        </w:rPr>
        <w:t xml:space="preserve"> of the study</w:t>
      </w:r>
      <w:bookmarkEnd w:id="12"/>
    </w:p>
    <w:p w14:paraId="548CA124" w14:textId="2876C58B" w:rsidR="00CE569A" w:rsidRPr="00950125" w:rsidRDefault="00CE569A"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This study is essential because it looks at the important link between institutional quality, information and communication technology (ICT), economic freedom, and the United Nations' Sustainable Development Goals (SDGs), SDG 7 and SDG 13. Weak institutions, poor technological infrastructure, and a lack of economic freedom make it very hard for developing countries, especially in Sub-Saharan Africa and parts of Asia, to reach these goals. It is important to deal with these problems in order to make sure that these countries' development is fair, long-lasting, and open to everyone.</w:t>
      </w:r>
    </w:p>
    <w:p w14:paraId="7B460CCA" w14:textId="60A5D3EB" w:rsidR="00CE569A" w:rsidRPr="00950125" w:rsidRDefault="00CE569A"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This study will help us understand how institutional frameworks, technological progress, and economic policies can all work together to make it easier for people to get energy and slow down climate change. Weak governance and poorly designed institutions often make it harder to use clean energy technologies. Limited ICT infrastructure also makes it harder to share important information and resources needed for energy transitions. At the same time, harsh economic conditions make it hard for the private sector to get involved and stifle new ideas. This study's goal is to find the main drivers and barriers to climate action and access to sustainable energy by looking into how these factors affect SDG 7 and SDG 13. </w:t>
      </w:r>
    </w:p>
    <w:p w14:paraId="6CB04217" w14:textId="496593DF" w:rsidR="00CE569A" w:rsidRPr="00950125" w:rsidRDefault="00CE569A"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Also, the research will give policymakers and development workers useful information on how to make institutional frameworks better, increase ICT use, and encourage economic freedom to help communities become more resilient and make the switch to cleaner energy.</w:t>
      </w:r>
    </w:p>
    <w:p w14:paraId="6FABC3BC" w14:textId="25B35AD4" w:rsidR="008C071B" w:rsidRPr="00950125" w:rsidRDefault="008C071B"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In addition, this research will be beneficial as countries strive to align their national policies with the 2030 Agenda for Sustainable Development, offering concrete recommendations to overcome challenges that impede energy access and climate action. The study's comprehensive approach, which considers both the challenges and opportunities for sustainable development, makes it an essential contribution to the global discourse on energy and climate solutions.</w:t>
      </w:r>
    </w:p>
    <w:p w14:paraId="2B810706" w14:textId="77777777" w:rsidR="002131C7" w:rsidRPr="00950125" w:rsidRDefault="002131C7" w:rsidP="00D46E36">
      <w:pPr>
        <w:spacing w:line="276" w:lineRule="auto"/>
        <w:jc w:val="both"/>
        <w:rPr>
          <w:rFonts w:ascii="Times New Roman" w:eastAsia="Times New Roman" w:hAnsi="Times New Roman" w:cs="Times New Roman"/>
          <w:sz w:val="24"/>
          <w:szCs w:val="24"/>
        </w:rPr>
      </w:pPr>
    </w:p>
    <w:p w14:paraId="0FF7313F" w14:textId="77777777" w:rsidR="002131C7" w:rsidRPr="00950125" w:rsidRDefault="002131C7" w:rsidP="00D46E36">
      <w:pPr>
        <w:spacing w:line="276" w:lineRule="auto"/>
        <w:jc w:val="both"/>
        <w:rPr>
          <w:rFonts w:ascii="Times New Roman" w:eastAsia="Times New Roman" w:hAnsi="Times New Roman" w:cs="Times New Roman"/>
          <w:sz w:val="24"/>
          <w:szCs w:val="24"/>
        </w:rPr>
      </w:pPr>
    </w:p>
    <w:p w14:paraId="1928FCFB" w14:textId="77777777" w:rsidR="002131C7" w:rsidRPr="00950125" w:rsidRDefault="002131C7" w:rsidP="00D46E36">
      <w:pPr>
        <w:spacing w:line="276" w:lineRule="auto"/>
        <w:jc w:val="both"/>
        <w:rPr>
          <w:rFonts w:ascii="Times New Roman" w:eastAsia="Times New Roman" w:hAnsi="Times New Roman" w:cs="Times New Roman"/>
          <w:sz w:val="24"/>
          <w:szCs w:val="24"/>
        </w:rPr>
      </w:pPr>
    </w:p>
    <w:p w14:paraId="3FA601F2" w14:textId="3EDEDF7C" w:rsidR="002131C7" w:rsidRPr="00950125" w:rsidRDefault="002131C7" w:rsidP="00D46E36">
      <w:pPr>
        <w:spacing w:line="276" w:lineRule="auto"/>
        <w:jc w:val="both"/>
        <w:rPr>
          <w:rFonts w:ascii="Times New Roman" w:eastAsia="Times New Roman" w:hAnsi="Times New Roman" w:cs="Times New Roman"/>
          <w:sz w:val="24"/>
          <w:szCs w:val="24"/>
        </w:rPr>
      </w:pPr>
    </w:p>
    <w:p w14:paraId="5B856D4C" w14:textId="77777777" w:rsidR="006D4212" w:rsidRDefault="006D4212">
      <w:pPr>
        <w:rPr>
          <w:rFonts w:ascii="Times New Roman" w:hAnsi="Times New Roman" w:cs="Times New Roman"/>
          <w:b/>
          <w:color w:val="1F4E79" w:themeColor="accent1" w:themeShade="80"/>
          <w:sz w:val="36"/>
          <w:szCs w:val="24"/>
          <w:u w:val="single"/>
        </w:rPr>
      </w:pPr>
      <w:r>
        <w:rPr>
          <w:rFonts w:ascii="Times New Roman" w:hAnsi="Times New Roman" w:cs="Times New Roman"/>
          <w:b/>
          <w:color w:val="1F4E79" w:themeColor="accent1" w:themeShade="80"/>
          <w:sz w:val="36"/>
          <w:szCs w:val="24"/>
          <w:u w:val="single"/>
        </w:rPr>
        <w:br w:type="page"/>
      </w:r>
    </w:p>
    <w:p w14:paraId="5EA577AE" w14:textId="373A8823" w:rsidR="00D36694" w:rsidRPr="006D4212" w:rsidRDefault="00FD6F23" w:rsidP="00D46E36">
      <w:pPr>
        <w:pStyle w:val="Heading1"/>
        <w:spacing w:line="276" w:lineRule="auto"/>
        <w:jc w:val="center"/>
        <w:rPr>
          <w:rFonts w:ascii="Times New Roman" w:eastAsiaTheme="minorHAnsi" w:hAnsi="Times New Roman" w:cs="Times New Roman"/>
          <w:b/>
          <w:color w:val="1F4E79" w:themeColor="accent1" w:themeShade="80"/>
          <w:sz w:val="36"/>
          <w:szCs w:val="24"/>
          <w:u w:val="single"/>
        </w:rPr>
      </w:pPr>
      <w:bookmarkStart w:id="13" w:name="_Toc204723882"/>
      <w:r w:rsidRPr="006D4212">
        <w:rPr>
          <w:rFonts w:ascii="Times New Roman" w:eastAsiaTheme="minorHAnsi" w:hAnsi="Times New Roman" w:cs="Times New Roman"/>
          <w:b/>
          <w:color w:val="1F4E79" w:themeColor="accent1" w:themeShade="80"/>
          <w:sz w:val="36"/>
          <w:szCs w:val="24"/>
          <w:u w:val="single"/>
        </w:rPr>
        <w:lastRenderedPageBreak/>
        <w:t xml:space="preserve">Chapter 2: </w:t>
      </w:r>
      <w:r w:rsidR="00914C59" w:rsidRPr="006D4212">
        <w:rPr>
          <w:rFonts w:ascii="Times New Roman" w:eastAsiaTheme="minorHAnsi" w:hAnsi="Times New Roman" w:cs="Times New Roman"/>
          <w:b/>
          <w:color w:val="1F4E79" w:themeColor="accent1" w:themeShade="80"/>
          <w:sz w:val="36"/>
          <w:szCs w:val="24"/>
          <w:u w:val="single"/>
        </w:rPr>
        <w:t>Theoretical and Empi</w:t>
      </w:r>
      <w:r w:rsidRPr="006D4212">
        <w:rPr>
          <w:rFonts w:ascii="Times New Roman" w:eastAsiaTheme="minorHAnsi" w:hAnsi="Times New Roman" w:cs="Times New Roman"/>
          <w:b/>
          <w:color w:val="1F4E79" w:themeColor="accent1" w:themeShade="80"/>
          <w:sz w:val="36"/>
          <w:szCs w:val="24"/>
          <w:u w:val="single"/>
        </w:rPr>
        <w:t>rical review</w:t>
      </w:r>
      <w:bookmarkEnd w:id="13"/>
    </w:p>
    <w:p w14:paraId="0CED3517" w14:textId="3EDE6803" w:rsidR="003A61D7" w:rsidRPr="00950125" w:rsidRDefault="008B74EE" w:rsidP="00D46E36">
      <w:pPr>
        <w:pStyle w:val="Heading2"/>
        <w:numPr>
          <w:ilvl w:val="0"/>
          <w:numId w:val="2"/>
        </w:numPr>
        <w:spacing w:line="276" w:lineRule="auto"/>
        <w:rPr>
          <w:rFonts w:ascii="Times New Roman" w:hAnsi="Times New Roman" w:cs="Times New Roman"/>
          <w:b/>
          <w:sz w:val="28"/>
          <w:u w:val="single"/>
        </w:rPr>
      </w:pPr>
      <w:r w:rsidRPr="00950125">
        <w:rPr>
          <w:rFonts w:ascii="Times New Roman" w:hAnsi="Times New Roman" w:cs="Times New Roman"/>
          <w:b/>
          <w:sz w:val="28"/>
          <w:u w:val="single"/>
        </w:rPr>
        <w:t xml:space="preserve"> </w:t>
      </w:r>
      <w:bookmarkStart w:id="14" w:name="_Toc204723883"/>
      <w:r w:rsidR="00AD046C" w:rsidRPr="00950125">
        <w:rPr>
          <w:rFonts w:ascii="Times New Roman" w:hAnsi="Times New Roman" w:cs="Times New Roman"/>
          <w:b/>
          <w:sz w:val="28"/>
          <w:u w:val="single"/>
        </w:rPr>
        <w:t>Theore</w:t>
      </w:r>
      <w:r w:rsidR="00FD6F23" w:rsidRPr="00950125">
        <w:rPr>
          <w:rFonts w:ascii="Times New Roman" w:hAnsi="Times New Roman" w:cs="Times New Roman"/>
          <w:b/>
          <w:sz w:val="28"/>
          <w:u w:val="single"/>
        </w:rPr>
        <w:t>tical</w:t>
      </w:r>
      <w:r w:rsidR="00560FD0" w:rsidRPr="00950125">
        <w:rPr>
          <w:rFonts w:ascii="Times New Roman" w:hAnsi="Times New Roman" w:cs="Times New Roman"/>
          <w:b/>
          <w:sz w:val="28"/>
          <w:u w:val="single"/>
        </w:rPr>
        <w:t xml:space="preserve"> &amp; Conceptual R</w:t>
      </w:r>
      <w:r w:rsidR="00FD6F23" w:rsidRPr="00950125">
        <w:rPr>
          <w:rFonts w:ascii="Times New Roman" w:hAnsi="Times New Roman" w:cs="Times New Roman"/>
          <w:b/>
          <w:sz w:val="28"/>
          <w:u w:val="single"/>
        </w:rPr>
        <w:t>eview</w:t>
      </w:r>
      <w:bookmarkEnd w:id="14"/>
    </w:p>
    <w:p w14:paraId="031A75E5" w14:textId="05811D91" w:rsidR="00FE3D65" w:rsidRPr="00950125" w:rsidRDefault="002360E4" w:rsidP="00D46E36">
      <w:pPr>
        <w:pStyle w:val="Heading3"/>
        <w:spacing w:line="276" w:lineRule="auto"/>
        <w:rPr>
          <w:rFonts w:ascii="Times New Roman" w:hAnsi="Times New Roman" w:cs="Times New Roman"/>
          <w:b/>
          <w:sz w:val="28"/>
        </w:rPr>
      </w:pPr>
      <w:bookmarkStart w:id="15" w:name="_Toc204723884"/>
      <w:r w:rsidRPr="00950125">
        <w:rPr>
          <w:rFonts w:ascii="Times New Roman" w:hAnsi="Times New Roman" w:cs="Times New Roman"/>
          <w:b/>
          <w:sz w:val="28"/>
        </w:rPr>
        <w:t>Technology Acceptance Model (TAM)</w:t>
      </w:r>
      <w:bookmarkEnd w:id="15"/>
    </w:p>
    <w:p w14:paraId="2929910F" w14:textId="77777777" w:rsidR="00C7424A" w:rsidRPr="00950125" w:rsidRDefault="003A61D7" w:rsidP="00D46E36">
      <w:pPr>
        <w:spacing w:line="276" w:lineRule="auto"/>
        <w:jc w:val="both"/>
        <w:rPr>
          <w:rFonts w:ascii="Times New Roman" w:hAnsi="Times New Roman" w:cs="Times New Roman"/>
          <w:sz w:val="24"/>
          <w:szCs w:val="24"/>
        </w:rPr>
      </w:pPr>
      <w:r w:rsidRPr="00950125">
        <w:rPr>
          <w:rFonts w:ascii="Times New Roman" w:hAnsi="Times New Roman" w:cs="Times New Roman"/>
          <w:sz w:val="24"/>
          <w:szCs w:val="24"/>
        </w:rPr>
        <w:t xml:space="preserve">Technology Acceptance Model (TAM) by Davis presented a theoretical model aiming to predict and explain ICT usage behavior, that is, what causes potential adopters to accept or reject the use of information technology. In TAM, two theoretical constructs, perceived usefulness and perceived ease of use, are the fundamental determinants of system use, and predict attitudes toward the use of the system, that is, the user’s willingness to use the system. Perceived usefulness refers to “the degree to which a person believes that using a particular system would enhance his or her job performance”, and perceived ease of use refers to “the degree to which a person believes that using a </w:t>
      </w:r>
      <w:r w:rsidR="00876980" w:rsidRPr="00950125">
        <w:rPr>
          <w:rFonts w:ascii="Times New Roman" w:hAnsi="Times New Roman" w:cs="Times New Roman"/>
          <w:sz w:val="24"/>
          <w:szCs w:val="24"/>
        </w:rPr>
        <w:t xml:space="preserve"> </w:t>
      </w:r>
      <w:r w:rsidR="00675490" w:rsidRPr="00950125">
        <w:rPr>
          <w:rFonts w:ascii="Times New Roman" w:hAnsi="Times New Roman" w:cs="Times New Roman"/>
          <w:sz w:val="24"/>
          <w:szCs w:val="24"/>
        </w:rPr>
        <w:t xml:space="preserve"> </w:t>
      </w:r>
      <w:r w:rsidRPr="00950125">
        <w:rPr>
          <w:rFonts w:ascii="Times New Roman" w:hAnsi="Times New Roman" w:cs="Times New Roman"/>
          <w:sz w:val="24"/>
          <w:szCs w:val="24"/>
        </w:rPr>
        <w:t>particular system w</w:t>
      </w:r>
      <w:r w:rsidR="00807D45" w:rsidRPr="00950125">
        <w:rPr>
          <w:rFonts w:ascii="Times New Roman" w:hAnsi="Times New Roman" w:cs="Times New Roman"/>
          <w:sz w:val="24"/>
          <w:szCs w:val="24"/>
        </w:rPr>
        <w:t xml:space="preserve">ould be free of effort” </w:t>
      </w:r>
      <w:r w:rsidR="00807D45" w:rsidRPr="00950125">
        <w:rPr>
          <w:rFonts w:ascii="Times New Roman" w:hAnsi="Times New Roman" w:cs="Times New Roman"/>
          <w:sz w:val="24"/>
          <w:szCs w:val="24"/>
        </w:rPr>
        <w:fldChar w:fldCharType="begin"/>
      </w:r>
      <w:r w:rsidR="00807D45" w:rsidRPr="00950125">
        <w:rPr>
          <w:rFonts w:ascii="Times New Roman" w:hAnsi="Times New Roman" w:cs="Times New Roman"/>
          <w:sz w:val="24"/>
          <w:szCs w:val="24"/>
        </w:rPr>
        <w:instrText xml:space="preserve"> ADDIN ZOTERO_ITEM CSL_CITATION {"citationID":"bww8VA8x","properties":{"formattedCitation":"(Davis et al., 1989)","plainCitation":"(Davis et al., 1989)","noteIndex":0},"citationItems":[{"id":76,"uris":["http://zotero.org/users/local/dRmf8XHr/items/X39BZ4Z7"],"itemData":{"id":76,"type":"article-journal","abstract":"Computer systems cannot improve organizational performance if they aren't used. Unfortunately, resistance to end-user systems by managers and professionals is a widespread problem. To better predict, explain, and increase user acceptance, we need to better understand why people accept or reject computers. This research addresses the ability to predict peoples' computer acceptance from a measure of their intentions, and the ability to explain their intentions in terms of their attitudes, subjective norms, perceived usefulness, perceived ease of use, and related variables. In a longitudinal study of 107 users, intentions to use a specific system, measured after a one-hour introduction to the system, were correlated 0.35 with system use 14 weeks later. The intention-usage correlation was 0.63 at the end of this time period. Perceived usefulness strongly influenced peoples' intentions, explaining more than half of the variance in intentions at the end of 14 weeks. Perceived ease of use had a small but significant effect on intentions as well, although this effect subsided over time. Attitudes only partially mediated the effects of these beliefs on intentions. Subjective norms had no effect on intentions. These results suggest the possibility of simple but powerful models of the determinants of user acceptance, with practical value for evaluating systems and guiding managerial interventions aimed at reducing the problem of underutilized computer technology.","container-title":"Management Science","DOI":"10.1287/mnsc.35.8.982","ISSN":"0025-1909, 1526-5501","issue":"8","language":"en","note":"publisher: Institute for Operations Research and the Management Sciences (INFORMS)","page":"982-1003","source":"Crossref","title":"User Acceptance of Computer Technology: A Comparison of Two Theoretical Models","title-short":"User Acceptance of Computer Technology","volume":"35","author":[{"family":"Davis","given":"Fred D."},{"family":"Bagozzi","given":"Richard P."},{"family":"Warshaw","given":"Paul R."}],"issued":{"date-parts":[["1989",8]]}}}],"schema":"https://github.com/citation-style-language/schema/raw/master/csl-citation.json"} </w:instrText>
      </w:r>
      <w:r w:rsidR="00807D45" w:rsidRPr="00950125">
        <w:rPr>
          <w:rFonts w:ascii="Times New Roman" w:hAnsi="Times New Roman" w:cs="Times New Roman"/>
          <w:sz w:val="24"/>
          <w:szCs w:val="24"/>
        </w:rPr>
        <w:fldChar w:fldCharType="separate"/>
      </w:r>
      <w:r w:rsidR="00807D45" w:rsidRPr="00950125">
        <w:rPr>
          <w:rFonts w:ascii="Times New Roman" w:hAnsi="Times New Roman" w:cs="Times New Roman"/>
          <w:sz w:val="24"/>
        </w:rPr>
        <w:t>(Davis et al., 1989)</w:t>
      </w:r>
      <w:r w:rsidR="00807D45" w:rsidRPr="00950125">
        <w:rPr>
          <w:rFonts w:ascii="Times New Roman" w:hAnsi="Times New Roman" w:cs="Times New Roman"/>
          <w:sz w:val="24"/>
          <w:szCs w:val="24"/>
        </w:rPr>
        <w:fldChar w:fldCharType="end"/>
      </w:r>
      <w:r w:rsidR="00807D45" w:rsidRPr="00950125">
        <w:rPr>
          <w:rFonts w:ascii="Times New Roman" w:hAnsi="Times New Roman" w:cs="Times New Roman"/>
          <w:sz w:val="24"/>
          <w:szCs w:val="24"/>
        </w:rPr>
        <w:t xml:space="preserve"> </w:t>
      </w:r>
      <w:r w:rsidRPr="00950125">
        <w:rPr>
          <w:rFonts w:ascii="Times New Roman" w:hAnsi="Times New Roman" w:cs="Times New Roman"/>
          <w:sz w:val="24"/>
          <w:szCs w:val="24"/>
        </w:rPr>
        <w:t xml:space="preserve">. </w:t>
      </w:r>
    </w:p>
    <w:p w14:paraId="3AAEAF23" w14:textId="67E9BCBF" w:rsidR="00C7424A" w:rsidRPr="00950125" w:rsidRDefault="00075668" w:rsidP="00D46E36">
      <w:pPr>
        <w:spacing w:line="276" w:lineRule="auto"/>
        <w:jc w:val="both"/>
        <w:rPr>
          <w:rFonts w:ascii="Times New Roman" w:hAnsi="Times New Roman" w:cs="Times New Roman"/>
          <w:sz w:val="24"/>
          <w:szCs w:val="24"/>
        </w:rPr>
      </w:pPr>
      <w:r w:rsidRPr="00950125">
        <w:rPr>
          <w:rFonts w:ascii="Times New Roman" w:hAnsi="Times New Roman" w:cs="Times New Roman"/>
          <w:sz w:val="24"/>
          <w:szCs w:val="24"/>
        </w:rPr>
        <w:t xml:space="preserve">ICT integration </w:t>
      </w:r>
      <w:r w:rsidR="00C7424A" w:rsidRPr="00950125">
        <w:rPr>
          <w:rFonts w:ascii="Times New Roman" w:hAnsi="Times New Roman" w:cs="Times New Roman"/>
          <w:sz w:val="24"/>
          <w:szCs w:val="24"/>
        </w:rPr>
        <w:t xml:space="preserve">in advancing SDG 7 (Affordable and Clean Energy) and SDG 13 (Climate Action) by enhancing energy efficiency, expanding renewable energy access, and promoting climate resilience. Using the </w:t>
      </w:r>
      <w:r w:rsidR="00C7424A" w:rsidRPr="00950125">
        <w:rPr>
          <w:rFonts w:ascii="Times New Roman" w:hAnsi="Times New Roman" w:cs="Times New Roman"/>
          <w:bCs/>
          <w:sz w:val="24"/>
          <w:szCs w:val="24"/>
        </w:rPr>
        <w:t>Technology Acceptance Model (TAM)</w:t>
      </w:r>
      <w:r w:rsidR="00C7424A" w:rsidRPr="00950125">
        <w:rPr>
          <w:rFonts w:ascii="Times New Roman" w:hAnsi="Times New Roman" w:cs="Times New Roman"/>
          <w:sz w:val="24"/>
          <w:szCs w:val="24"/>
        </w:rPr>
        <w:t xml:space="preserve"> as a framework, the adoption of ICT-driven energy solutions depends on </w:t>
      </w:r>
      <w:r w:rsidR="00C7424A" w:rsidRPr="00950125">
        <w:rPr>
          <w:rFonts w:ascii="Times New Roman" w:hAnsi="Times New Roman" w:cs="Times New Roman"/>
          <w:bCs/>
          <w:sz w:val="24"/>
          <w:szCs w:val="24"/>
        </w:rPr>
        <w:t>Perceived Usefulness (PU)</w:t>
      </w:r>
      <w:r w:rsidR="00C7424A" w:rsidRPr="00950125">
        <w:rPr>
          <w:rFonts w:ascii="Times New Roman" w:hAnsi="Times New Roman" w:cs="Times New Roman"/>
          <w:sz w:val="24"/>
          <w:szCs w:val="24"/>
        </w:rPr>
        <w:t xml:space="preserve"> and </w:t>
      </w:r>
      <w:r w:rsidR="00C7424A" w:rsidRPr="00950125">
        <w:rPr>
          <w:rFonts w:ascii="Times New Roman" w:hAnsi="Times New Roman" w:cs="Times New Roman"/>
          <w:bCs/>
          <w:sz w:val="24"/>
          <w:szCs w:val="24"/>
        </w:rPr>
        <w:t>Perceived Ease of Use (PEOU)</w:t>
      </w:r>
      <w:r w:rsidR="00C7424A" w:rsidRPr="00950125">
        <w:rPr>
          <w:rFonts w:ascii="Times New Roman" w:hAnsi="Times New Roman" w:cs="Times New Roman"/>
          <w:sz w:val="24"/>
          <w:szCs w:val="24"/>
        </w:rPr>
        <w:t xml:space="preserve">, which influence user attitudes and behavioral intentions toward technology adoption. </w:t>
      </w:r>
      <w:r w:rsidR="00E723AF" w:rsidRPr="00950125">
        <w:rPr>
          <w:rFonts w:ascii="Times New Roman" w:hAnsi="Times New Roman" w:cs="Times New Roman"/>
          <w:sz w:val="24"/>
          <w:szCs w:val="24"/>
        </w:rPr>
        <w:t>Smart grids, IoT-based energy management, AI-driven energy optimization, and mobile-based Pay-as-You-Go (PAYG) solar systems are all examples of ICT applications that help make energy use more efficient and lower carbon footprints. Smart meters and grids, for example, help cut down on energy waste. Mobile-based solar energy financing, like M-KOPA in Africa, lets low-income families get affordable renewable energy, which shows a high PU. But the successful use of these solutions depends on how easy they are to use, since complicated digital systems can turn people off. Bangladesh's Solar Home System (SHS) program shows that simplified mobile apps, prepaid energy systems, and AI-driven automation make things easier to use and encourage more people to use them. Also, ICT is effective in fighting climate change under SDG 13, as shown by early warning systems, climate modeling, and carbon footprint tracking technologies that give communities and policymakers real-time climate data. Even with these improvements, big problems like the digital divide, high costs, poor infrastructure, and lack of awareness make it hard for people to use these technologies on a large scale, especially in rural areas. To get around these problems, governments and businesses need to work together to make sure that everyone has fair access to digital energy solutions by focusing on subsidies, user training, financial inclusion, and localized solutions. In conclusion, using TAM to look at ICT's role in SDG 7 and SDG 13 shows that for technology to be widely used, it needs to be both useful and easy to get to. This will lead to long-lasting energy systems and climate resilience on a global scale.</w:t>
      </w:r>
    </w:p>
    <w:p w14:paraId="5A81B585" w14:textId="5C57F1D4" w:rsidR="0014422F" w:rsidRPr="00950125" w:rsidRDefault="00882333" w:rsidP="00D46E36">
      <w:pPr>
        <w:spacing w:line="276" w:lineRule="auto"/>
        <w:jc w:val="both"/>
        <w:rPr>
          <w:rFonts w:ascii="Times New Roman" w:hAnsi="Times New Roman" w:cs="Times New Roman"/>
          <w:sz w:val="24"/>
          <w:szCs w:val="24"/>
        </w:rPr>
      </w:pPr>
      <w:bookmarkStart w:id="16" w:name="_Toc204723885"/>
      <w:r w:rsidRPr="00950125">
        <w:rPr>
          <w:rStyle w:val="Heading3Char"/>
          <w:rFonts w:ascii="Times New Roman" w:hAnsi="Times New Roman" w:cs="Times New Roman"/>
          <w:b/>
          <w:sz w:val="28"/>
        </w:rPr>
        <w:t xml:space="preserve">Resource </w:t>
      </w:r>
      <w:r w:rsidR="00235FEA" w:rsidRPr="00950125">
        <w:rPr>
          <w:rStyle w:val="Heading3Char"/>
          <w:rFonts w:ascii="Times New Roman" w:hAnsi="Times New Roman" w:cs="Times New Roman"/>
          <w:b/>
          <w:sz w:val="28"/>
        </w:rPr>
        <w:t>Curse and Institutional Quality</w:t>
      </w:r>
      <w:bookmarkEnd w:id="16"/>
      <w:r w:rsidR="0030341D" w:rsidRPr="00950125">
        <w:rPr>
          <w:rFonts w:ascii="Times New Roman" w:hAnsi="Times New Roman" w:cs="Times New Roman"/>
          <w:sz w:val="28"/>
          <w:szCs w:val="24"/>
          <w:u w:val="single"/>
        </w:rPr>
        <w:t xml:space="preserve"> </w:t>
      </w:r>
    </w:p>
    <w:p w14:paraId="30D318D3" w14:textId="7EE82A34" w:rsidR="00282523" w:rsidRPr="00950125" w:rsidRDefault="00E723AF"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The Resource Curse Theory posits that nations abundant in natural resources frequently encounter sluggish economic growth, fragile institutions, and environmental degradation attributable to </w:t>
      </w:r>
      <w:r w:rsidRPr="00950125">
        <w:rPr>
          <w:rFonts w:ascii="Times New Roman" w:eastAsia="Times New Roman" w:hAnsi="Times New Roman" w:cs="Times New Roman"/>
          <w:sz w:val="24"/>
          <w:szCs w:val="24"/>
        </w:rPr>
        <w:lastRenderedPageBreak/>
        <w:t xml:space="preserve">mismanagement, corruption, and rent-seeking behavior </w:t>
      </w:r>
      <w:r w:rsidR="007973CD" w:rsidRPr="00950125">
        <w:rPr>
          <w:rFonts w:ascii="Times New Roman" w:eastAsia="Times New Roman" w:hAnsi="Times New Roman" w:cs="Times New Roman"/>
          <w:sz w:val="24"/>
          <w:szCs w:val="24"/>
        </w:rPr>
        <w:fldChar w:fldCharType="begin"/>
      </w:r>
      <w:r w:rsidR="007973CD" w:rsidRPr="00950125">
        <w:rPr>
          <w:rFonts w:ascii="Times New Roman" w:eastAsia="Times New Roman" w:hAnsi="Times New Roman" w:cs="Times New Roman"/>
          <w:sz w:val="24"/>
          <w:szCs w:val="24"/>
        </w:rPr>
        <w:instrText xml:space="preserve"> ADDIN ZOTERO_ITEM CSL_CITATION {"citationID":"dsPsgpOZ","properties":{"formattedCitation":"(Auty, 1994)","plainCitation":"(Auty, 1994)","noteIndex":0},"citationItems":[{"id":77,"uris":["http://zotero.org/users/local/dRmf8XHr/items/7UF6HI5D"],"itemData":{"id":77,"type":"article-journal","container-title":"World Development","DOI":"10.1016/0305-750x(94)90165-1","ISSN":"0305-750X","issue":"1","language":"en","license":"https://www.elsevier.com/tdm/userlicense/1.0/","note":"publisher: Elsevier BV","page":"11-26","source":"Crossref","title":"Industrial policy reform in six large newly industrializing countries: The resource curse thesis","title-short":"Industrial policy reform in six large newly industrializing countries","volume":"22","author":[{"family":"Auty","given":"Richard M."}],"issued":{"date-parts":[["1994",1]]}}}],"schema":"https://github.com/citation-style-language/schema/raw/master/csl-citation.json"} </w:instrText>
      </w:r>
      <w:r w:rsidR="007973CD" w:rsidRPr="00950125">
        <w:rPr>
          <w:rFonts w:ascii="Times New Roman" w:eastAsia="Times New Roman" w:hAnsi="Times New Roman" w:cs="Times New Roman"/>
          <w:sz w:val="24"/>
          <w:szCs w:val="24"/>
        </w:rPr>
        <w:fldChar w:fldCharType="separate"/>
      </w:r>
      <w:r w:rsidR="007973CD" w:rsidRPr="00950125">
        <w:rPr>
          <w:rFonts w:ascii="Times New Roman" w:hAnsi="Times New Roman" w:cs="Times New Roman"/>
          <w:sz w:val="24"/>
        </w:rPr>
        <w:t>(Auty, 1994)</w:t>
      </w:r>
      <w:r w:rsidR="007973CD" w:rsidRPr="00950125">
        <w:rPr>
          <w:rFonts w:ascii="Times New Roman" w:eastAsia="Times New Roman" w:hAnsi="Times New Roman" w:cs="Times New Roman"/>
          <w:sz w:val="24"/>
          <w:szCs w:val="24"/>
        </w:rPr>
        <w:fldChar w:fldCharType="end"/>
      </w:r>
      <w:r w:rsidR="00282523" w:rsidRPr="00950125">
        <w:rPr>
          <w:rFonts w:ascii="Times New Roman" w:eastAsia="Times New Roman" w:hAnsi="Times New Roman" w:cs="Times New Roman"/>
          <w:sz w:val="24"/>
          <w:szCs w:val="24"/>
        </w:rPr>
        <w:t xml:space="preserve">. This paradox, also known as the </w:t>
      </w:r>
      <w:r w:rsidR="00282523" w:rsidRPr="00950125">
        <w:rPr>
          <w:rFonts w:ascii="Times New Roman" w:eastAsia="Times New Roman" w:hAnsi="Times New Roman" w:cs="Times New Roman"/>
          <w:bCs/>
          <w:sz w:val="24"/>
          <w:szCs w:val="24"/>
        </w:rPr>
        <w:t>"paradox of plenty,"</w:t>
      </w:r>
      <w:r w:rsidR="00282523" w:rsidRPr="00950125">
        <w:rPr>
          <w:rFonts w:ascii="Times New Roman" w:eastAsia="Times New Roman" w:hAnsi="Times New Roman" w:cs="Times New Roman"/>
          <w:sz w:val="24"/>
          <w:szCs w:val="24"/>
        </w:rPr>
        <w:t xml:space="preserve"> can negatively impact </w:t>
      </w:r>
      <w:r w:rsidR="00282523" w:rsidRPr="00950125">
        <w:rPr>
          <w:rFonts w:ascii="Times New Roman" w:eastAsia="Times New Roman" w:hAnsi="Times New Roman" w:cs="Times New Roman"/>
          <w:bCs/>
          <w:sz w:val="24"/>
          <w:szCs w:val="24"/>
        </w:rPr>
        <w:t>SDG 7 (Affordable and Clean Energy)</w:t>
      </w:r>
      <w:r w:rsidR="00282523" w:rsidRPr="00950125">
        <w:rPr>
          <w:rFonts w:ascii="Times New Roman" w:eastAsia="Times New Roman" w:hAnsi="Times New Roman" w:cs="Times New Roman"/>
          <w:sz w:val="24"/>
          <w:szCs w:val="24"/>
        </w:rPr>
        <w:t xml:space="preserve"> and </w:t>
      </w:r>
      <w:r w:rsidR="00282523" w:rsidRPr="00950125">
        <w:rPr>
          <w:rFonts w:ascii="Times New Roman" w:eastAsia="Times New Roman" w:hAnsi="Times New Roman" w:cs="Times New Roman"/>
          <w:bCs/>
          <w:sz w:val="24"/>
          <w:szCs w:val="24"/>
        </w:rPr>
        <w:t>SDG 13 (Climate Action)</w:t>
      </w:r>
      <w:r w:rsidR="00282523" w:rsidRPr="00950125">
        <w:rPr>
          <w:rFonts w:ascii="Times New Roman" w:eastAsia="Times New Roman" w:hAnsi="Times New Roman" w:cs="Times New Roman"/>
          <w:sz w:val="24"/>
          <w:szCs w:val="24"/>
        </w:rPr>
        <w:t xml:space="preserve"> if institutional quality (IQ) is weak. </w:t>
      </w:r>
      <w:r w:rsidRPr="00950125">
        <w:rPr>
          <w:rFonts w:ascii="Times New Roman" w:eastAsia="Times New Roman" w:hAnsi="Times New Roman" w:cs="Times New Roman"/>
          <w:sz w:val="24"/>
          <w:szCs w:val="24"/>
        </w:rPr>
        <w:t>In many developing countries with a lot of resources, fossil fuel dependence makes it harder to switch to renewable energy. This is because political elites often fight against clean energy reforms to keep control over resource rents. Poor governance also leads to ineffective energy policies, a lack of investment in long-lasting infrastructure, and a lack of action on climate change, all of which make carbon emissions and environmental damage worse.</w:t>
      </w:r>
    </w:p>
    <w:p w14:paraId="2D6C3058" w14:textId="773BD9C2" w:rsidR="00282523" w:rsidRPr="00950125" w:rsidRDefault="00282523"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Conversely, </w:t>
      </w:r>
      <w:r w:rsidRPr="00950125">
        <w:rPr>
          <w:rFonts w:ascii="Times New Roman" w:eastAsia="Times New Roman" w:hAnsi="Times New Roman" w:cs="Times New Roman"/>
          <w:bCs/>
          <w:sz w:val="24"/>
          <w:szCs w:val="24"/>
        </w:rPr>
        <w:t>Institutional Quality (IQ) Theory</w:t>
      </w:r>
      <w:r w:rsidRPr="00950125">
        <w:rPr>
          <w:rFonts w:ascii="Times New Roman" w:eastAsia="Times New Roman" w:hAnsi="Times New Roman" w:cs="Times New Roman"/>
          <w:sz w:val="24"/>
          <w:szCs w:val="24"/>
        </w:rPr>
        <w:t xml:space="preserve"> </w:t>
      </w:r>
      <w:r w:rsidR="001472FE" w:rsidRPr="00950125">
        <w:rPr>
          <w:rFonts w:ascii="Times New Roman" w:eastAsia="Times New Roman" w:hAnsi="Times New Roman" w:cs="Times New Roman"/>
          <w:sz w:val="24"/>
          <w:szCs w:val="24"/>
        </w:rPr>
        <w:t>argues that strong institutions (</w:t>
      </w:r>
      <w:r w:rsidRPr="00950125">
        <w:rPr>
          <w:rFonts w:ascii="Times New Roman" w:eastAsia="Times New Roman" w:hAnsi="Times New Roman" w:cs="Times New Roman"/>
          <w:sz w:val="24"/>
          <w:szCs w:val="24"/>
        </w:rPr>
        <w:t>characterized by transparency, accountabi</w:t>
      </w:r>
      <w:r w:rsidR="001472FE" w:rsidRPr="00950125">
        <w:rPr>
          <w:rFonts w:ascii="Times New Roman" w:eastAsia="Times New Roman" w:hAnsi="Times New Roman" w:cs="Times New Roman"/>
          <w:sz w:val="24"/>
          <w:szCs w:val="24"/>
        </w:rPr>
        <w:t>lity, and regulatory efficiency</w:t>
      </w:r>
      <w:r w:rsidR="00E723AF" w:rsidRPr="00950125">
        <w:rPr>
          <w:rFonts w:ascii="Times New Roman" w:eastAsia="Times New Roman" w:hAnsi="Times New Roman" w:cs="Times New Roman"/>
          <w:sz w:val="24"/>
          <w:szCs w:val="24"/>
        </w:rPr>
        <w:t xml:space="preserve"> etc.</w:t>
      </w:r>
      <w:r w:rsidR="001472FE"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t>can mitigate the resource curse and drive sustainable development</w:t>
      </w:r>
      <w:r w:rsidR="007973CD" w:rsidRPr="00950125">
        <w:rPr>
          <w:rFonts w:ascii="Times New Roman" w:eastAsia="Times New Roman" w:hAnsi="Times New Roman" w:cs="Times New Roman"/>
          <w:sz w:val="24"/>
          <w:szCs w:val="24"/>
        </w:rPr>
        <w:t xml:space="preserve"> </w:t>
      </w:r>
      <w:r w:rsidR="007973CD" w:rsidRPr="00950125">
        <w:rPr>
          <w:rFonts w:ascii="Times New Roman" w:eastAsia="Times New Roman" w:hAnsi="Times New Roman" w:cs="Times New Roman"/>
          <w:sz w:val="24"/>
          <w:szCs w:val="24"/>
        </w:rPr>
        <w:fldChar w:fldCharType="begin"/>
      </w:r>
      <w:r w:rsidR="007973CD" w:rsidRPr="00950125">
        <w:rPr>
          <w:rFonts w:ascii="Times New Roman" w:eastAsia="Times New Roman" w:hAnsi="Times New Roman" w:cs="Times New Roman"/>
          <w:sz w:val="24"/>
          <w:szCs w:val="24"/>
        </w:rPr>
        <w:instrText xml:space="preserve"> ADDIN ZOTERO_ITEM CSL_CITATION {"citationID":"SlI7zqB8","properties":{"formattedCitation":"(\\uc0\\u8220{}Social Capital, Social Norms and the New Institutional Economics,\\uc0\\u8221{} 2008)","plainCitation":"(“Social Capital, Social Norms and the New Institutional Economics,” 2008)","noteIndex":0},"citationItems":[{"id":78,"uris":["http://zotero.org/users/local/dRmf8XHr/items/QDN2GGBG"],"itemData":{"id":78,"type":"chapter","container-title":"Handbook of New Institutional Economics","event-place":"Berlin, Heidelberg","ISBN":"978-3-540-77660-4","language":"en","note":"DOI: 10.1007/978-3-540-69305-5_28","page":"701-725","publisher":"Springer Berlin Heidelberg","publisher-place":"Berlin, Heidelberg","source":"Crossref","title":"Social Capital, Social Norms and the New Institutional Economics","URL":"http://link.springer.com/10.1007/978-3-540-69305-5_28","container-author":[{"family":"Keefer","given":"Philip"},{"family":"Knack","given":"Stephen"}],"accessed":{"date-parts":[["2025",7,22]]},"issued":{"date-parts":[["2008"]]}}}],"schema":"https://github.com/citation-style-language/schema/raw/master/csl-citation.json"} </w:instrText>
      </w:r>
      <w:r w:rsidR="007973CD" w:rsidRPr="00950125">
        <w:rPr>
          <w:rFonts w:ascii="Times New Roman" w:eastAsia="Times New Roman" w:hAnsi="Times New Roman" w:cs="Times New Roman"/>
          <w:sz w:val="24"/>
          <w:szCs w:val="24"/>
        </w:rPr>
        <w:fldChar w:fldCharType="separate"/>
      </w:r>
      <w:r w:rsidR="007973CD" w:rsidRPr="00950125">
        <w:rPr>
          <w:rFonts w:ascii="Times New Roman" w:hAnsi="Times New Roman" w:cs="Times New Roman"/>
          <w:sz w:val="24"/>
          <w:szCs w:val="24"/>
        </w:rPr>
        <w:t>(“Social Capital, Social Norms and the New Institutional Economics,” 2008)</w:t>
      </w:r>
      <w:r w:rsidR="007973CD"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xml:space="preserve">. </w:t>
      </w:r>
      <w:r w:rsidR="00E723AF" w:rsidRPr="00950125">
        <w:rPr>
          <w:rFonts w:ascii="Times New Roman" w:eastAsia="Times New Roman" w:hAnsi="Times New Roman" w:cs="Times New Roman"/>
          <w:sz w:val="24"/>
          <w:szCs w:val="24"/>
        </w:rPr>
        <w:t>High-quality institutions make it easier to switch to renewable energy (SDG 7) by enforcing green policies, getting private investors to put money into clean energy, and cutting down on corruption in energy markets. Countries with strong institutions, like Norway, have used their natural resources to invest in renewable energy. On the other hand, countries with weak institutions often have trouble with energy poverty and waste. Additionally, IQ has a big effect on SDG 13 because it makes climate governance more effective, enforces policies to cut carbon emissions, and makes sure that countries follow international climate agreements. Governments with strong institutions are more likely to put in place carbon pricing systems, goals for cutting emissions, and plans for adapting to climate change. On the other hand, weak institutions often don't enforce environmental laws, which leads to unchecked deforestation and the growth of fossil fuels.</w:t>
      </w:r>
    </w:p>
    <w:p w14:paraId="2A8763B5" w14:textId="1BECC84E" w:rsidR="0014422F" w:rsidRPr="00950125" w:rsidRDefault="00282523" w:rsidP="00D46E36">
      <w:pPr>
        <w:pStyle w:val="Heading3"/>
        <w:spacing w:line="276" w:lineRule="auto"/>
        <w:rPr>
          <w:rFonts w:ascii="Times New Roman" w:eastAsia="Times New Roman" w:hAnsi="Times New Roman" w:cs="Times New Roman"/>
          <w:b/>
        </w:rPr>
      </w:pPr>
      <w:bookmarkStart w:id="17" w:name="_Toc204723886"/>
      <w:r w:rsidRPr="00950125">
        <w:rPr>
          <w:rFonts w:ascii="Times New Roman" w:eastAsia="Times New Roman" w:hAnsi="Times New Roman" w:cs="Times New Roman"/>
          <w:b/>
        </w:rPr>
        <w:t>The Load Capacity Factor (LCF)</w:t>
      </w:r>
      <w:bookmarkEnd w:id="17"/>
    </w:p>
    <w:p w14:paraId="70CDDFFE" w14:textId="31863E39" w:rsidR="008B74EE" w:rsidRPr="00950125" w:rsidRDefault="008B74EE" w:rsidP="00D46E36">
      <w:pPr>
        <w:spacing w:line="276" w:lineRule="auto"/>
        <w:jc w:val="both"/>
        <w:rPr>
          <w:rFonts w:ascii="Times New Roman" w:hAnsi="Times New Roman" w:cs="Times New Roman"/>
          <w:sz w:val="24"/>
          <w:szCs w:val="24"/>
        </w:rPr>
      </w:pPr>
      <w:r w:rsidRPr="00950125">
        <w:rPr>
          <w:rFonts w:ascii="Times New Roman" w:hAnsi="Times New Roman" w:cs="Times New Roman"/>
          <w:sz w:val="24"/>
          <w:szCs w:val="24"/>
        </w:rPr>
        <w:t xml:space="preserve">LCF is a key performance indicator in energy systems that compares the actual output of power generation assets to their maximum possible output over a set amount of time </w:t>
      </w:r>
      <w:r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{"citationID":"K9CHRnEB","properties":{"formattedCitation":"(Thomson &amp; Preston, 1996)","plainCitation":"(Thomson &amp; Preston, 1996)","noteIndex":0},"citationItems":[{"id":83,"uris":["http://zotero.org/users/local/dRmf8XHr/items/5SSSABD9"],"itemData":{"id":83,"type":"article-journal","container-title":"Fire Safety Journal","DOI":"10.1016/s0379-7112(96)00054-9","ISSN":"0379-7112","issue":"2","language":"en","license":"https://www.elsevier.com/tdm/userlicense/1.0/","note":"publisher: Elsevier BV","page":"91-112","source":"Crossref","title":"Towards harmonized standard fire resistance testing","volume":"27","author":[{"family":"Thomson","given":"G."},{"family":"Preston","given":"R.R."}],"issued":{"date-parts":[["1996",9]]}}}],"schema":"https://github.com/citation-style-language/schema/raw/master/csl-citation.json"} </w:instrText>
      </w:r>
      <w:r w:rsidRPr="00950125">
        <w:rPr>
          <w:rFonts w:ascii="Times New Roman" w:eastAsia="Times New Roman" w:hAnsi="Times New Roman" w:cs="Times New Roman"/>
          <w:sz w:val="24"/>
          <w:szCs w:val="24"/>
        </w:rPr>
        <w:fldChar w:fldCharType="separate"/>
      </w:r>
      <w:r w:rsidRPr="00950125">
        <w:rPr>
          <w:rFonts w:ascii="Times New Roman" w:hAnsi="Times New Roman" w:cs="Times New Roman"/>
          <w:sz w:val="24"/>
        </w:rPr>
        <w:t>(Thomson &amp; Preston, 1996)</w:t>
      </w:r>
      <w:r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{"citationID":"JawG3U0N","properties":{"formattedCitation":"(Awosusi et al., 2022a)","plainCitation":"(Awosusi et al., 2022a)","noteIndex":0},"citationItems":[{"id":80,"uris":["http://zotero.org/users/local/dRmf8XHr/items/7CVKWGYS"],"itemData":{"id":80,"type":"article-journal","abstract":"Technological innovations have been a matter of contention, and their environmental consequences remain unresolved. Moreover, studies have extensively evaluated environmental challenges using metrics such as nitrogen oxide emissions, sulfur dioxide, carbon emissions, and ecological footprint. The environment has the supply and demand aspect, which is not a component of any of these indicators. By measuring biocapacity and ecological footprint, the load capacity factor follows a certain ecological threshold, allowing for a thorough study on environmental deterioration. With the reduction in load capacity factor, the environmental deterioration increases. In the context of the environment, the interaction between technological innovation and load capacity covers the demand and supply side of the environment. In light of this, employing the dataset ranging from 1980 to 2017 for the case of South Africa, the bound cointegration test in conjunction with the critical value of Kripfganz and Schneider showed cointegration in the model. The study also employed the ARDL, whose outcome revealed that nonrenewable energy usage and economic growth contribute to environmental deterioration, whereas technological innovation and globalization improve the quality of the environment. This study validated the hypothesis of the environmental Kuznets curve for South Africa, as the short-term coefficient value was lower than the long-term elasticity. Furthermore, using the frequency-domain causality test revealed that globalization and economic growth predict load capacity in the long term, and nonrenewable energy predicts load capacity factors in the long and medium term. In addition, technological innovation predicts load capacity factors in the short and long term. Based on the findings, we propose that policymakers should focus their efforts on increasing funding for the research and development of green technologies.","container-title":"International Journal of Environmental Research and Public Health","DOI":"10.3390/ijerph19063288","ISSN":"1660-4601","issue":"6","journalAbbreviation":"IJERPH","language":"en","license":"https://creativecommons.org/licenses/by/4.0/","note":"publisher: MDPI AG","page":"3288","source":"Crossref","title":"A Roadmap toward Achieving Sustainable Environment: Evaluating the Impact of Technological Innovation and Globalization on Load Capacity Factor","title-short":"A Roadmap toward Achieving Sustainable Environment","volume":"19","author":[{"family":"Awosusi","given":"Abraham Ayobamiji"},{"family":"Kutlay","given":"Kaan"},{"family":"Altuntaş","given":"Mehmet"},{"family":"Khodjiev","given":"Bakhtiyor"},{"family":"Agyekum","given":"Ephraim Bonah"},{"family":"Shouran","given":"Mokhtar"},{"family":"Elgbaily","given":"Mohamed"},{"family":"Kamel","given":"Salah"}],"issued":{"date-parts":[["2022",3,10]]}}}],"schema":"https://github.com/citation-style-language/schema/raw/master/csl-citation.json"} </w:instrText>
      </w:r>
      <w:r w:rsidRPr="00950125">
        <w:rPr>
          <w:rFonts w:ascii="Times New Roman" w:eastAsia="Times New Roman" w:hAnsi="Times New Roman" w:cs="Times New Roman"/>
          <w:sz w:val="24"/>
          <w:szCs w:val="24"/>
        </w:rPr>
        <w:fldChar w:fldCharType="separate"/>
      </w:r>
      <w:r w:rsidRPr="00950125">
        <w:rPr>
          <w:rFonts w:ascii="Times New Roman" w:hAnsi="Times New Roman" w:cs="Times New Roman"/>
          <w:sz w:val="24"/>
        </w:rPr>
        <w:t>(Awosusi et al., 2022a)</w:t>
      </w:r>
      <w:r w:rsidRPr="00950125">
        <w:rPr>
          <w:rFonts w:ascii="Times New Roman" w:eastAsia="Times New Roman" w:hAnsi="Times New Roman" w:cs="Times New Roman"/>
          <w:sz w:val="24"/>
          <w:szCs w:val="24"/>
        </w:rPr>
        <w:fldChar w:fldCharType="end"/>
      </w:r>
      <w:r w:rsidRPr="00950125">
        <w:rPr>
          <w:rFonts w:ascii="Times New Roman" w:hAnsi="Times New Roman" w:cs="Times New Roman"/>
          <w:sz w:val="24"/>
          <w:szCs w:val="24"/>
        </w:rPr>
        <w:t>. This factor is very important for SDG 7 (Affordable and Clean Energy) and SDG 13 (Climate Action) because it affects the reliability, sustainability, and reduction of carbon emissions from energy sources.</w:t>
      </w:r>
    </w:p>
    <w:p w14:paraId="2516FDF9" w14:textId="77777777" w:rsidR="008B74EE" w:rsidRPr="00950125" w:rsidRDefault="008B74EE" w:rsidP="00D46E36">
      <w:pPr>
        <w:spacing w:line="276" w:lineRule="auto"/>
        <w:jc w:val="both"/>
        <w:rPr>
          <w:rFonts w:ascii="Times New Roman" w:hAnsi="Times New Roman" w:cs="Times New Roman"/>
          <w:sz w:val="24"/>
          <w:szCs w:val="24"/>
        </w:rPr>
      </w:pPr>
      <w:r w:rsidRPr="00950125">
        <w:rPr>
          <w:rFonts w:ascii="Times New Roman" w:hAnsi="Times New Roman" w:cs="Times New Roman"/>
          <w:sz w:val="24"/>
          <w:szCs w:val="24"/>
        </w:rPr>
        <w:t>A high LCF means that power plants are being used to their fullest potential, which cuts down on energy waste and makes them more cost-effective. Because they aren't always available, renewable energy sources like solar and wind usually have lower load capacity factors (LCF). On the other hand, hydropower, nuclear, and fossil fuel plants usually have higher LCF values. To reach SDG 7, it is important to raise the LCF of renewable energy sources. This is because it increases energy security and makes it more affordable by getting the most out of renewable energy. Battery storage, smart grids, and AI-driven energy management are some of the technologies that help integrate renewables more efficiently. This improves their capacity factor and makes sure that the power supply is stable.</w:t>
      </w:r>
    </w:p>
    <w:p w14:paraId="3B3F6B31" w14:textId="7E1A061B" w:rsidR="008B74EE" w:rsidRPr="00950125" w:rsidRDefault="008B74EE" w:rsidP="00D46E36">
      <w:pPr>
        <w:spacing w:line="276" w:lineRule="auto"/>
        <w:jc w:val="both"/>
        <w:rPr>
          <w:rFonts w:ascii="Times New Roman" w:hAnsi="Times New Roman" w:cs="Times New Roman"/>
          <w:sz w:val="24"/>
          <w:szCs w:val="24"/>
        </w:rPr>
      </w:pPr>
      <w:r w:rsidRPr="00950125">
        <w:rPr>
          <w:rFonts w:ascii="Times New Roman" w:hAnsi="Times New Roman" w:cs="Times New Roman"/>
          <w:sz w:val="24"/>
          <w:szCs w:val="24"/>
        </w:rPr>
        <w:lastRenderedPageBreak/>
        <w:t>From the point of view of SDG 13 (Climate Action), optimizing LCF has a direct effect on carbon emissions. Fossil fuel plants with a high LCF put out more CO₂, while increasing the LCF of renewable sources makes us less dependent on fossil fuels. Strategies like modernizing the grid, putting energy storage in place, and managing demand on the consumer side help improve the LCF of renewables. This makes clean energy more practical and cuts down on greenhouse gas emissions. Countries like Denmark, which is expanding its wind energy sector, show how better LCF can help fight climate change by investing in smart energy infrastructure and renewable capacity.</w:t>
      </w:r>
    </w:p>
    <w:p w14:paraId="65507FAD" w14:textId="77777777" w:rsidR="00235FEA" w:rsidRPr="00950125" w:rsidRDefault="00C32F1B" w:rsidP="00D46E36">
      <w:pPr>
        <w:pStyle w:val="Heading3"/>
        <w:spacing w:line="276" w:lineRule="auto"/>
        <w:rPr>
          <w:rFonts w:ascii="Times New Roman" w:eastAsia="Times New Roman" w:hAnsi="Times New Roman" w:cs="Times New Roman"/>
          <w:b/>
        </w:rPr>
      </w:pPr>
      <w:bookmarkStart w:id="18" w:name="_Toc204723887"/>
      <w:r w:rsidRPr="00950125">
        <w:rPr>
          <w:rFonts w:ascii="Times New Roman" w:eastAsia="Times New Roman" w:hAnsi="Times New Roman" w:cs="Times New Roman"/>
          <w:b/>
        </w:rPr>
        <w:t>The Resource-Based Theory (RBT)</w:t>
      </w:r>
      <w:bookmarkEnd w:id="18"/>
    </w:p>
    <w:p w14:paraId="2616A43E" w14:textId="02508023" w:rsidR="00C32F1B" w:rsidRPr="00950125" w:rsidRDefault="001472FE" w:rsidP="00D46E36">
      <w:pPr>
        <w:spacing w:line="276" w:lineRule="auto"/>
        <w:jc w:val="both"/>
        <w:rPr>
          <w:rFonts w:ascii="Times New Roman" w:hAnsi="Times New Roman" w:cs="Times New Roman"/>
          <w:b/>
          <w:sz w:val="24"/>
        </w:rPr>
      </w:pPr>
      <w:r w:rsidRPr="00950125">
        <w:rPr>
          <w:rFonts w:ascii="Times New Roman" w:hAnsi="Times New Roman" w:cs="Times New Roman"/>
          <w:bCs/>
          <w:sz w:val="24"/>
        </w:rPr>
        <w:t>RBT</w:t>
      </w:r>
      <w:r w:rsidR="00C32F1B" w:rsidRPr="00950125">
        <w:rPr>
          <w:rFonts w:ascii="Times New Roman" w:hAnsi="Times New Roman" w:cs="Times New Roman"/>
          <w:sz w:val="24"/>
        </w:rPr>
        <w:t xml:space="preserve"> suggests that a firm's or a country's sustainable competitive advantage depends on the effective utilization of valuable, rare, inimitable, and non-substitutable (VRIN) resources</w:t>
      </w:r>
      <w:r w:rsidR="001A0F1D" w:rsidRPr="00950125">
        <w:rPr>
          <w:rFonts w:ascii="Times New Roman" w:hAnsi="Times New Roman" w:cs="Times New Roman"/>
          <w:sz w:val="24"/>
        </w:rPr>
        <w:t xml:space="preserve"> </w:t>
      </w:r>
      <w:r w:rsidR="001A0F1D" w:rsidRPr="00950125">
        <w:rPr>
          <w:rFonts w:ascii="Times New Roman" w:hAnsi="Times New Roman" w:cs="Times New Roman"/>
          <w:sz w:val="24"/>
        </w:rPr>
        <w:fldChar w:fldCharType="begin"/>
      </w:r>
      <w:r w:rsidR="001A0F1D" w:rsidRPr="00950125">
        <w:rPr>
          <w:rFonts w:ascii="Times New Roman" w:hAnsi="Times New Roman" w:cs="Times New Roman"/>
          <w:sz w:val="24"/>
        </w:rPr>
        <w:instrText xml:space="preserve"> ADDIN ZOTERO_ITEM CSL_CITATION {"citationID":"FeM49DD4","properties":{"formattedCitation":"(Olavarrieta &amp; Ellinger, 1997)","plainCitation":"(Olavarrieta &amp; Ellinger, 1997)","noteIndex":0},"citationItems":[{"id":84,"uris":["http://zotero.org/users/local/dRmf8XHr/items/9FDL43XU"],"itemData":{"id":84,"type":"article-journal","abstract":"Despite calls for more theoretical and strategically oriented work in logistics, the resource‐based theory of the firm (RBT), and the related capabilities approach ‐ which represent a dominant stream of research in strategic management over the last decade ‐ have not been prominent in the logistics literature. Provides a critical review of the large literature on the RBT and suggests areas where it can be applied to strategically‐oriented logistics research. Describes the resource‐based theory of the firm, its major assumptions, and its implications for strategic actions. Also discusses other areas of research where the RBT have been applied. Illustrates how the RBT represents the underlying theoretical support for one of the central propositions of strategic logistics: that a distinctive logistics capability is a source of sustainable competitive advantage and superior performance. Suggests that strategic logistics research may benefit from combining the RBT with organizational learning theory and evolutionary approaches to competition.","container-title":"International Journal of Physical Distribution &amp; Logistics Management","DOI":"10.1108/09600039710188594","ISSN":"0960-0035","issue":"9/10","language":"en","license":"https://www.emerald.com/insight/site-policies","note":"publisher: Emerald","page":"559-587","source":"Crossref","title":"Resource‐based theory and strategic logistics research","volume":"27","author":[{"family":"Olavarrieta","given":"Sergio"},{"family":"Ellinger","given":"Alexander E."}],"issued":{"date-parts":[["1997",12,1]]}}}],"schema":"https://github.com/citation-style-language/schema/raw/master/csl-citation.json"} </w:instrText>
      </w:r>
      <w:r w:rsidR="001A0F1D" w:rsidRPr="00950125">
        <w:rPr>
          <w:rFonts w:ascii="Times New Roman" w:hAnsi="Times New Roman" w:cs="Times New Roman"/>
          <w:sz w:val="24"/>
        </w:rPr>
        <w:fldChar w:fldCharType="separate"/>
      </w:r>
      <w:r w:rsidR="001A0F1D" w:rsidRPr="00950125">
        <w:rPr>
          <w:rFonts w:ascii="Times New Roman" w:hAnsi="Times New Roman" w:cs="Times New Roman"/>
          <w:sz w:val="24"/>
        </w:rPr>
        <w:t>(Olavarrieta &amp; Ellinger, 1997)</w:t>
      </w:r>
      <w:r w:rsidR="001A0F1D" w:rsidRPr="00950125">
        <w:rPr>
          <w:rFonts w:ascii="Times New Roman" w:hAnsi="Times New Roman" w:cs="Times New Roman"/>
          <w:sz w:val="24"/>
        </w:rPr>
        <w:fldChar w:fldCharType="end"/>
      </w:r>
      <w:r w:rsidR="00C32F1B" w:rsidRPr="00950125">
        <w:rPr>
          <w:rFonts w:ascii="Times New Roman" w:hAnsi="Times New Roman" w:cs="Times New Roman"/>
          <w:sz w:val="24"/>
        </w:rPr>
        <w:t xml:space="preserve">. Applying RBT to </w:t>
      </w:r>
      <w:r w:rsidR="00C32F1B" w:rsidRPr="00950125">
        <w:rPr>
          <w:rFonts w:ascii="Times New Roman" w:hAnsi="Times New Roman" w:cs="Times New Roman"/>
          <w:bCs/>
          <w:sz w:val="24"/>
        </w:rPr>
        <w:t>SDG 7 (Affordable and Clean Energy)</w:t>
      </w:r>
      <w:r w:rsidR="00C32F1B" w:rsidRPr="00950125">
        <w:rPr>
          <w:rFonts w:ascii="Times New Roman" w:hAnsi="Times New Roman" w:cs="Times New Roman"/>
          <w:sz w:val="24"/>
        </w:rPr>
        <w:t xml:space="preserve"> and </w:t>
      </w:r>
      <w:r w:rsidR="00C32F1B" w:rsidRPr="00950125">
        <w:rPr>
          <w:rFonts w:ascii="Times New Roman" w:hAnsi="Times New Roman" w:cs="Times New Roman"/>
          <w:bCs/>
          <w:sz w:val="24"/>
        </w:rPr>
        <w:t>SDG 13 (Climate Action)</w:t>
      </w:r>
      <w:r w:rsidR="00C32F1B" w:rsidRPr="00950125">
        <w:rPr>
          <w:rFonts w:ascii="Times New Roman" w:hAnsi="Times New Roman" w:cs="Times New Roman"/>
          <w:sz w:val="24"/>
        </w:rPr>
        <w:t xml:space="preserve"> highlights how resource management, innovation, and institutional capabilities determine the transition to sustainable energy and climate resilience.</w:t>
      </w:r>
    </w:p>
    <w:p w14:paraId="3847351C" w14:textId="6DAC2643" w:rsidR="008B74EE" w:rsidRPr="00950125" w:rsidRDefault="00C32F1B" w:rsidP="00D46E36">
      <w:pPr>
        <w:spacing w:line="276" w:lineRule="auto"/>
        <w:jc w:val="both"/>
        <w:rPr>
          <w:rFonts w:ascii="Times New Roman" w:hAnsi="Times New Roman" w:cs="Times New Roman"/>
          <w:sz w:val="24"/>
        </w:rPr>
      </w:pPr>
      <w:r w:rsidRPr="00950125">
        <w:rPr>
          <w:rFonts w:ascii="Times New Roman" w:hAnsi="Times New Roman" w:cs="Times New Roman"/>
          <w:sz w:val="24"/>
        </w:rPr>
        <w:t xml:space="preserve">In the context of </w:t>
      </w:r>
      <w:r w:rsidRPr="00950125">
        <w:rPr>
          <w:rFonts w:ascii="Times New Roman" w:hAnsi="Times New Roman" w:cs="Times New Roman"/>
          <w:bCs/>
          <w:sz w:val="24"/>
        </w:rPr>
        <w:t>SDG 7</w:t>
      </w:r>
      <w:r w:rsidRPr="00950125">
        <w:rPr>
          <w:rFonts w:ascii="Times New Roman" w:hAnsi="Times New Roman" w:cs="Times New Roman"/>
          <w:sz w:val="24"/>
        </w:rPr>
        <w:t xml:space="preserve">, RBT emphasizes that nations or companies with strong </w:t>
      </w:r>
      <w:r w:rsidRPr="00950125">
        <w:rPr>
          <w:rFonts w:ascii="Times New Roman" w:hAnsi="Times New Roman" w:cs="Times New Roman"/>
          <w:bCs/>
          <w:sz w:val="24"/>
        </w:rPr>
        <w:t>renewable energy resources (e.g., solar, wind, hydropower, and bioenergy)</w:t>
      </w:r>
      <w:r w:rsidRPr="00950125">
        <w:rPr>
          <w:rFonts w:ascii="Times New Roman" w:hAnsi="Times New Roman" w:cs="Times New Roman"/>
          <w:sz w:val="24"/>
        </w:rPr>
        <w:t xml:space="preserve"> can build a sustainable energy sector if they develop the necessary </w:t>
      </w:r>
      <w:r w:rsidRPr="00950125">
        <w:rPr>
          <w:rFonts w:ascii="Times New Roman" w:hAnsi="Times New Roman" w:cs="Times New Roman"/>
          <w:bCs/>
          <w:sz w:val="24"/>
        </w:rPr>
        <w:t>technological, financial, and human capital</w:t>
      </w:r>
      <w:r w:rsidRPr="00950125">
        <w:rPr>
          <w:rFonts w:ascii="Times New Roman" w:hAnsi="Times New Roman" w:cs="Times New Roman"/>
          <w:sz w:val="24"/>
        </w:rPr>
        <w:t xml:space="preserve"> to harness these resources effectively. </w:t>
      </w:r>
      <w:r w:rsidR="008B74EE" w:rsidRPr="00950125">
        <w:rPr>
          <w:rFonts w:ascii="Times New Roman" w:hAnsi="Times New Roman" w:cs="Times New Roman"/>
          <w:sz w:val="24"/>
        </w:rPr>
        <w:t>Countries like Norway (hydropower), Saudi Arabia (solar investments), and Denmark (wind energy) show that using natural resource advantages through innovation and smart investments can make energy more secure and last longer. However, developing countries that have a lot of resources often have trouble making the switch to renewable energy because their institutions aren't strong enough, their energy markets aren't efficient enough, and they rely too much on fossil fuel rents. This makes it hard for them to use renewable resources in a way that is competitive.</w:t>
      </w:r>
    </w:p>
    <w:p w14:paraId="3513C812" w14:textId="1ECD5328" w:rsidR="00C32F1B" w:rsidRPr="00950125" w:rsidRDefault="008B74EE" w:rsidP="00D46E36">
      <w:pPr>
        <w:spacing w:line="276" w:lineRule="auto"/>
        <w:jc w:val="both"/>
        <w:rPr>
          <w:rFonts w:ascii="Times New Roman" w:eastAsia="Times New Roman" w:hAnsi="Times New Roman" w:cs="Times New Roman"/>
          <w:sz w:val="24"/>
          <w:szCs w:val="24"/>
        </w:rPr>
      </w:pPr>
      <w:r w:rsidRPr="00950125">
        <w:rPr>
          <w:rFonts w:ascii="Times New Roman" w:hAnsi="Times New Roman" w:cs="Times New Roman"/>
          <w:sz w:val="24"/>
        </w:rPr>
        <w:t>RBT says that for SDG 13, long-term climate resilience depends on being able to use and optimize strategic resources like clean technologies, climate finance, policy frameworks, and scientific knowledge. Countries that have strong research and development (R&amp;D) ecosystems and good climate governance can come up with cutting-edge solutions like carbon capture, smart grids, and green hydrogen. These solutions can cut down on emissions while keeping the economy competitive. Companies and countries that don't build these skills risk being vulnerable to climate change, facing fines from regulators, and seeing their economies stall because they still depend on high-carbon industries.</w:t>
      </w:r>
    </w:p>
    <w:p w14:paraId="52EF393F" w14:textId="06F4949C" w:rsidR="0014422F" w:rsidRPr="00950125" w:rsidRDefault="00C32F1B" w:rsidP="00D46E36">
      <w:pPr>
        <w:pStyle w:val="Heading3"/>
        <w:spacing w:line="276" w:lineRule="auto"/>
        <w:rPr>
          <w:rFonts w:ascii="Times New Roman" w:eastAsia="Times New Roman" w:hAnsi="Times New Roman" w:cs="Times New Roman"/>
          <w:b/>
        </w:rPr>
      </w:pPr>
      <w:bookmarkStart w:id="19" w:name="_Toc204723888"/>
      <w:r w:rsidRPr="00950125">
        <w:rPr>
          <w:rFonts w:ascii="Times New Roman" w:eastAsia="Times New Roman" w:hAnsi="Times New Roman" w:cs="Times New Roman"/>
          <w:b/>
        </w:rPr>
        <w:t>Environmental Kuznets Curve (EKC)</w:t>
      </w:r>
      <w:bookmarkEnd w:id="19"/>
      <w:r w:rsidR="002F139E" w:rsidRPr="00950125">
        <w:rPr>
          <w:rFonts w:ascii="Times New Roman" w:eastAsia="Times New Roman" w:hAnsi="Times New Roman" w:cs="Times New Roman"/>
          <w:b/>
        </w:rPr>
        <w:t xml:space="preserve"> </w:t>
      </w:r>
    </w:p>
    <w:p w14:paraId="79CF0453" w14:textId="2FA08A3D" w:rsidR="008B74EE" w:rsidRPr="00950125" w:rsidRDefault="002F139E"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bCs/>
          <w:sz w:val="24"/>
          <w:szCs w:val="24"/>
        </w:rPr>
        <w:t>EKC</w:t>
      </w:r>
      <w:r w:rsidR="00C32F1B" w:rsidRPr="00950125">
        <w:rPr>
          <w:rFonts w:ascii="Times New Roman" w:eastAsia="Times New Roman" w:hAnsi="Times New Roman" w:cs="Times New Roman"/>
          <w:sz w:val="24"/>
          <w:szCs w:val="24"/>
        </w:rPr>
        <w:t xml:space="preserve"> hypothesis suggests that environmental degradation initially increases with economic growth but later decreases as economies develop and adopt cleaner technologies</w:t>
      </w:r>
      <w:r w:rsidR="001A0F1D" w:rsidRPr="00950125">
        <w:rPr>
          <w:rFonts w:ascii="Times New Roman" w:eastAsia="Times New Roman" w:hAnsi="Times New Roman" w:cs="Times New Roman"/>
          <w:sz w:val="24"/>
          <w:szCs w:val="24"/>
        </w:rPr>
        <w:t xml:space="preserve"> </w:t>
      </w:r>
      <w:r w:rsidR="001A0F1D" w:rsidRPr="00950125">
        <w:rPr>
          <w:rFonts w:ascii="Times New Roman" w:eastAsia="Times New Roman" w:hAnsi="Times New Roman" w:cs="Times New Roman"/>
          <w:sz w:val="24"/>
          <w:szCs w:val="24"/>
        </w:rPr>
        <w:fldChar w:fldCharType="begin"/>
      </w:r>
      <w:r w:rsidR="001A0F1D" w:rsidRPr="00950125">
        <w:rPr>
          <w:rFonts w:ascii="Times New Roman" w:eastAsia="Times New Roman" w:hAnsi="Times New Roman" w:cs="Times New Roman"/>
          <w:sz w:val="24"/>
          <w:szCs w:val="24"/>
        </w:rPr>
        <w:instrText xml:space="preserve"> ADDIN ZOTERO_ITEM CSL_CITATION {"citationID":"Hp3In0ge","properties":{"formattedCitation":"(Stern, 2004)","plainCitation":"(Stern, 2004)","noteIndex":0},"citationItems":[{"id":85,"uris":["http://zotero.org/users/local/dRmf8XHr/items/NFZFGBL4"],"itemData":{"id":85,"type":"article-journal","container-title":"World Development","DOI":"10.1016/j.worlddev.2004.03.004","ISSN":"0305-750X","issue":"8","language":"en","license":"https://www.elsevier.com/tdm/userlicense/1.0/","note":"publisher: Elsevier BV","page":"1419-1439","source":"Crossref","title":"The Rise and Fall of the Environmental Kuznets Curve","volume":"32","author":[{"family":"Stern","given":"David I"}],"issued":{"date-parts":[["2004",8]]}}}],"schema":"https://github.com/citation-style-language/schema/raw/master/csl-citation.json"} </w:instrText>
      </w:r>
      <w:r w:rsidR="001A0F1D" w:rsidRPr="00950125">
        <w:rPr>
          <w:rFonts w:ascii="Times New Roman" w:eastAsia="Times New Roman" w:hAnsi="Times New Roman" w:cs="Times New Roman"/>
          <w:sz w:val="24"/>
          <w:szCs w:val="24"/>
        </w:rPr>
        <w:fldChar w:fldCharType="separate"/>
      </w:r>
      <w:r w:rsidR="001A0F1D" w:rsidRPr="00950125">
        <w:rPr>
          <w:rFonts w:ascii="Times New Roman" w:hAnsi="Times New Roman" w:cs="Times New Roman"/>
          <w:sz w:val="24"/>
        </w:rPr>
        <w:t>(Stern, 2004)</w:t>
      </w:r>
      <w:r w:rsidR="001A0F1D" w:rsidRPr="00950125">
        <w:rPr>
          <w:rFonts w:ascii="Times New Roman" w:eastAsia="Times New Roman" w:hAnsi="Times New Roman" w:cs="Times New Roman"/>
          <w:sz w:val="24"/>
          <w:szCs w:val="24"/>
        </w:rPr>
        <w:fldChar w:fldCharType="end"/>
      </w:r>
      <w:r w:rsidR="00C32F1B" w:rsidRPr="00950125">
        <w:rPr>
          <w:rFonts w:ascii="Times New Roman" w:eastAsia="Times New Roman" w:hAnsi="Times New Roman" w:cs="Times New Roman"/>
          <w:sz w:val="24"/>
          <w:szCs w:val="24"/>
        </w:rPr>
        <w:t xml:space="preserve">. </w:t>
      </w:r>
      <w:r w:rsidR="008B74EE" w:rsidRPr="00950125">
        <w:rPr>
          <w:rFonts w:ascii="Times New Roman" w:eastAsia="Times New Roman" w:hAnsi="Times New Roman" w:cs="Times New Roman"/>
          <w:sz w:val="24"/>
          <w:szCs w:val="24"/>
        </w:rPr>
        <w:t>This framework is necessary for examining the correlation among economic development, energy transition (SDG 7), and climate action (SDG 13).</w:t>
      </w:r>
    </w:p>
    <w:p w14:paraId="2EC9D091" w14:textId="124E43FC" w:rsidR="008B74EE" w:rsidRPr="00950125" w:rsidRDefault="008B74EE"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lastRenderedPageBreak/>
        <w:t>During the early stages of development, reliance on fossil fuels and industrialization lead to high levels of carbon emissions, pollution, and damage to the environment. Many low- and middle-income countries put economic growth ahead of environmental issues, which makes them use more energy from non-renewable sources. This goes against SDG 7 because energy systems are still not very efficient, cost a lot of money, and are not long-lasting. But as economies grow and per capita income rises, governments and businesses put money into clean energy, energy efficiency, and environmental rules. This pushes the switch to renewable energy, better access to energy, and sustainability. Germany, Sweden, and South Korea have all successfully moved past the EKC peak. They have cut emissions while keeping their economies growing by investing in renewable energy, putting a price on carbon, and making technological progress.</w:t>
      </w:r>
    </w:p>
    <w:p w14:paraId="365E300E" w14:textId="77777777" w:rsidR="008B74EE" w:rsidRPr="00950125" w:rsidRDefault="008B74EE"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EKC says that when economies reach a certain level, they should focus on climate policies, ways to cut emissions, and new green technologies. This is in line with SDG 13 (Climate Action). Developed countries have historically caused climate change, but now they are at the forefront of climate finance, low-carbon technologies, and goals for carbon neutrality. But the EKC model makes people worry that developing countries won't be able to skip the pollution-heavy phase by using renewable energy and green technologies early on, instead of following the usual pattern of high emissions before lowering them. Countries can speed up their progress along the EKC curve without causing too much harm to the environment by using strategies like technology transfer, international climate agreements, and financing for sustainable energy.</w:t>
      </w:r>
    </w:p>
    <w:p w14:paraId="1727C7E0" w14:textId="326191AD" w:rsidR="001E2703" w:rsidRPr="00950125" w:rsidRDefault="008B74EE" w:rsidP="00D46E36">
      <w:pPr>
        <w:pStyle w:val="Heading2"/>
        <w:numPr>
          <w:ilvl w:val="0"/>
          <w:numId w:val="2"/>
        </w:numPr>
        <w:spacing w:line="276" w:lineRule="auto"/>
        <w:rPr>
          <w:rFonts w:ascii="Times New Roman" w:hAnsi="Times New Roman" w:cs="Times New Roman"/>
          <w:b/>
          <w:sz w:val="28"/>
          <w:u w:val="single"/>
        </w:rPr>
      </w:pPr>
      <w:r w:rsidRPr="00950125">
        <w:rPr>
          <w:rFonts w:ascii="Times New Roman" w:hAnsi="Times New Roman" w:cs="Times New Roman"/>
          <w:b/>
          <w:sz w:val="28"/>
          <w:u w:val="single"/>
        </w:rPr>
        <w:t xml:space="preserve"> </w:t>
      </w:r>
      <w:bookmarkStart w:id="20" w:name="_Toc204723889"/>
      <w:r w:rsidR="00113182" w:rsidRPr="00950125">
        <w:rPr>
          <w:rFonts w:ascii="Times New Roman" w:hAnsi="Times New Roman" w:cs="Times New Roman"/>
          <w:b/>
          <w:sz w:val="28"/>
          <w:u w:val="single"/>
        </w:rPr>
        <w:t>Empir</w:t>
      </w:r>
      <w:r w:rsidR="001E2703" w:rsidRPr="00950125">
        <w:rPr>
          <w:rFonts w:ascii="Times New Roman" w:hAnsi="Times New Roman" w:cs="Times New Roman"/>
          <w:b/>
          <w:sz w:val="28"/>
          <w:u w:val="single"/>
        </w:rPr>
        <w:t>ical review</w:t>
      </w:r>
      <w:bookmarkEnd w:id="20"/>
    </w:p>
    <w:p w14:paraId="6267BFC2" w14:textId="77777777" w:rsidR="00FB11FD" w:rsidRPr="00950125" w:rsidRDefault="00570D0F" w:rsidP="00D46E36">
      <w:pPr>
        <w:spacing w:line="276" w:lineRule="auto"/>
        <w:jc w:val="both"/>
        <w:rPr>
          <w:rFonts w:ascii="Times New Roman" w:hAnsi="Times New Roman" w:cs="Times New Roman"/>
          <w:sz w:val="24"/>
          <w:szCs w:val="24"/>
        </w:rPr>
      </w:pPr>
      <w:r w:rsidRPr="00950125">
        <w:rPr>
          <w:rFonts w:ascii="Times New Roman" w:hAnsi="Times New Roman" w:cs="Times New Roman"/>
          <w:sz w:val="24"/>
          <w:szCs w:val="24"/>
        </w:rPr>
        <w:t>The transition toward renewable energy is progressively acknowledged as a cornerstone of sustainable development being its alignment with Sustainable Development Goal 7</w:t>
      </w:r>
      <w:r w:rsidR="005D16D1" w:rsidRPr="00950125">
        <w:rPr>
          <w:rFonts w:ascii="Times New Roman" w:hAnsi="Times New Roman" w:cs="Times New Roman"/>
          <w:sz w:val="24"/>
          <w:szCs w:val="24"/>
        </w:rPr>
        <w:t xml:space="preserve">: assuring universal access to sustainable, affordable, reliable, and modern energy. Fostering innovation, promoting equitable and efficient clean energy </w:t>
      </w:r>
      <w:r w:rsidR="004E33E0" w:rsidRPr="00950125">
        <w:rPr>
          <w:rFonts w:ascii="Times New Roman" w:hAnsi="Times New Roman" w:cs="Times New Roman"/>
          <w:sz w:val="24"/>
          <w:szCs w:val="24"/>
        </w:rPr>
        <w:t xml:space="preserve">are influenced by several factors including Institutional Quality and ICT. </w:t>
      </w:r>
      <w:r w:rsidR="00FB11FD" w:rsidRPr="00950125">
        <w:rPr>
          <w:rFonts w:ascii="Times New Roman" w:hAnsi="Times New Roman" w:cs="Times New Roman"/>
          <w:sz w:val="24"/>
          <w:szCs w:val="24"/>
        </w:rPr>
        <w:t>The interdependence of –Institutional Q</w:t>
      </w:r>
      <w:r w:rsidR="004E33E0" w:rsidRPr="00950125">
        <w:rPr>
          <w:rFonts w:ascii="Times New Roman" w:hAnsi="Times New Roman" w:cs="Times New Roman"/>
          <w:sz w:val="24"/>
          <w:szCs w:val="24"/>
        </w:rPr>
        <w:t xml:space="preserve">uality (IQ) and </w:t>
      </w:r>
      <w:r w:rsidR="00FB11FD" w:rsidRPr="00950125">
        <w:rPr>
          <w:rFonts w:ascii="Times New Roman" w:hAnsi="Times New Roman" w:cs="Times New Roman"/>
          <w:sz w:val="24"/>
          <w:szCs w:val="24"/>
        </w:rPr>
        <w:t>Information</w:t>
      </w:r>
      <w:r w:rsidR="007359F5" w:rsidRPr="00950125">
        <w:rPr>
          <w:rFonts w:ascii="Times New Roman" w:hAnsi="Times New Roman" w:cs="Times New Roman"/>
          <w:sz w:val="24"/>
          <w:szCs w:val="24"/>
        </w:rPr>
        <w:t xml:space="preserve"> and Communication Technolog</w:t>
      </w:r>
      <w:r w:rsidR="004E33E0" w:rsidRPr="00950125">
        <w:rPr>
          <w:rFonts w:ascii="Times New Roman" w:hAnsi="Times New Roman" w:cs="Times New Roman"/>
          <w:sz w:val="24"/>
          <w:szCs w:val="24"/>
        </w:rPr>
        <w:t xml:space="preserve">y (ICT) </w:t>
      </w:r>
      <w:r w:rsidR="007359F5" w:rsidRPr="00950125">
        <w:rPr>
          <w:rFonts w:ascii="Times New Roman" w:hAnsi="Times New Roman" w:cs="Times New Roman"/>
          <w:sz w:val="24"/>
          <w:szCs w:val="24"/>
        </w:rPr>
        <w:t xml:space="preserve">- on renewable energy adoption has been the focal point of many studies globally. </w:t>
      </w:r>
      <w:r w:rsidR="004E33E0" w:rsidRPr="00950125">
        <w:rPr>
          <w:rFonts w:ascii="Times New Roman" w:hAnsi="Times New Roman" w:cs="Times New Roman"/>
          <w:sz w:val="24"/>
          <w:szCs w:val="24"/>
        </w:rPr>
        <w:t xml:space="preserve">This literature review ascertains how IQ and ICT contribute to the shift towards renewable energy adaptation, thus breakthrough toward </w:t>
      </w:r>
      <w:r w:rsidR="00BB33EB" w:rsidRPr="00950125">
        <w:rPr>
          <w:rFonts w:ascii="Times New Roman" w:hAnsi="Times New Roman" w:cs="Times New Roman"/>
          <w:sz w:val="24"/>
          <w:szCs w:val="24"/>
        </w:rPr>
        <w:t xml:space="preserve">the realization of </w:t>
      </w:r>
      <w:r w:rsidR="004E33E0" w:rsidRPr="00950125">
        <w:rPr>
          <w:rFonts w:ascii="Times New Roman" w:hAnsi="Times New Roman" w:cs="Times New Roman"/>
          <w:sz w:val="24"/>
          <w:szCs w:val="24"/>
        </w:rPr>
        <w:t>SDG 7.</w:t>
      </w:r>
    </w:p>
    <w:p w14:paraId="41345084" w14:textId="202786D0" w:rsidR="0093174E" w:rsidRPr="00950125" w:rsidRDefault="00347FFD" w:rsidP="00D46E36">
      <w:pPr>
        <w:spacing w:line="276" w:lineRule="auto"/>
        <w:jc w:val="both"/>
        <w:rPr>
          <w:rFonts w:ascii="Times New Roman" w:eastAsia="Times New Roman" w:hAnsi="Times New Roman" w:cs="Times New Roman"/>
          <w:sz w:val="24"/>
          <w:szCs w:val="24"/>
        </w:rPr>
      </w:pPr>
      <w:r w:rsidRPr="00950125">
        <w:rPr>
          <w:rFonts w:ascii="Times New Roman" w:hAnsi="Times New Roman" w:cs="Times New Roman"/>
          <w:sz w:val="24"/>
          <w:szCs w:val="24"/>
        </w:rPr>
        <w:t xml:space="preserve">ICT plays a vital role in augmenting renewable energy system by </w:t>
      </w:r>
      <w:r w:rsidR="004A7EEE" w:rsidRPr="00950125">
        <w:rPr>
          <w:rFonts w:ascii="Times New Roman" w:hAnsi="Times New Roman" w:cs="Times New Roman"/>
          <w:sz w:val="24"/>
          <w:szCs w:val="24"/>
        </w:rPr>
        <w:t>facilitating innovation, boosting efficiency, and empowering better management of energy resources.</w:t>
      </w:r>
      <w:r w:rsidR="00E44A63" w:rsidRPr="00950125">
        <w:rPr>
          <w:rFonts w:ascii="Times New Roman" w:hAnsi="Times New Roman" w:cs="Times New Roman"/>
          <w:sz w:val="24"/>
          <w:szCs w:val="24"/>
        </w:rPr>
        <w:t xml:space="preserve"> </w:t>
      </w:r>
      <w:r w:rsidR="00993C1D" w:rsidRPr="00950125">
        <w:rPr>
          <w:rFonts w:ascii="Times New Roman" w:hAnsi="Times New Roman" w:cs="Times New Roman"/>
          <w:sz w:val="24"/>
          <w:szCs w:val="24"/>
        </w:rPr>
        <w:t xml:space="preserve">The energy sector is changing rapidly because of improvements in ICT infrastructure and technology.  ICT can greatly boost the use of renewable energy by changing the way that financial growth and the amount of renewable energy used are related. For example, as ICT grows, it makes it easier for financial growth to encourage the use of renewable energy </w:t>
      </w:r>
      <w:r w:rsidR="006F6095" w:rsidRPr="00950125">
        <w:rPr>
          <w:rFonts w:ascii="Times New Roman" w:eastAsia="Times New Roman" w:hAnsi="Times New Roman" w:cs="Times New Roman"/>
          <w:sz w:val="24"/>
          <w:szCs w:val="24"/>
        </w:rPr>
        <w:fldChar w:fldCharType="begin"/>
      </w:r>
      <w:r w:rsidR="006F6095" w:rsidRPr="00950125">
        <w:rPr>
          <w:rFonts w:ascii="Times New Roman" w:eastAsia="Times New Roman" w:hAnsi="Times New Roman" w:cs="Times New Roman"/>
          <w:sz w:val="24"/>
          <w:szCs w:val="24"/>
        </w:rPr>
        <w:instrText xml:space="preserve"> ADDIN ZOTERO_ITEM CSL_CITATION {"citationID":"be8RYa06","properties":{"formattedCitation":"(Yu et al., 2023)","plainCitation":"(Yu et al., 2023)","noteIndex":0},"citationItems":[{"id":35,"uris":["http://zotero.org/users/local/dRmf8XHr/items/P9HVPZ5Z"],"itemData":{"id":35,"type":"article-journal","container-title":"Journal of Computer Information Systems","DOI":"10.1080/08874417.2022.2049017","ISSN":"0887-4417, 2380-2057","issue":"1","journalAbbreviation":"Journal of Computer Information Systems","language":"en","page":"190-203","source":"DOI.org (Crossref)","title":"ICT, Financial Development and Renewable Energy Consumption","volume":"63","author":[{"family":"Yu","given":"Minli"},{"family":"Jin","given":"Hui"},{"family":"Zhang","given":"Hejie"},{"family":"Chong","given":"Alain Yee Loong"}],"issued":{"date-parts":[["2023",1,2]]}}}],"schema":"https://github.com/citation-style-language/schema/raw/master/csl-citation.json"} </w:instrText>
      </w:r>
      <w:r w:rsidR="006F6095" w:rsidRPr="00950125">
        <w:rPr>
          <w:rFonts w:ascii="Times New Roman" w:eastAsia="Times New Roman" w:hAnsi="Times New Roman" w:cs="Times New Roman"/>
          <w:sz w:val="24"/>
          <w:szCs w:val="24"/>
        </w:rPr>
        <w:fldChar w:fldCharType="separate"/>
      </w:r>
      <w:r w:rsidR="006F6095" w:rsidRPr="00950125">
        <w:rPr>
          <w:rFonts w:ascii="Times New Roman" w:hAnsi="Times New Roman" w:cs="Times New Roman"/>
          <w:sz w:val="24"/>
          <w:szCs w:val="24"/>
        </w:rPr>
        <w:t>(Yu et al., 2023)</w:t>
      </w:r>
      <w:r w:rsidR="006F6095" w:rsidRPr="00950125">
        <w:rPr>
          <w:rFonts w:ascii="Times New Roman" w:eastAsia="Times New Roman" w:hAnsi="Times New Roman" w:cs="Times New Roman"/>
          <w:sz w:val="24"/>
          <w:szCs w:val="24"/>
        </w:rPr>
        <w:fldChar w:fldCharType="end"/>
      </w:r>
      <w:r w:rsidR="00E44A63" w:rsidRPr="00950125">
        <w:rPr>
          <w:rFonts w:ascii="Times New Roman" w:eastAsia="Times New Roman" w:hAnsi="Times New Roman" w:cs="Times New Roman"/>
          <w:sz w:val="24"/>
          <w:szCs w:val="24"/>
        </w:rPr>
        <w:t>.</w:t>
      </w:r>
      <w:r w:rsidR="00570FCE" w:rsidRPr="00950125">
        <w:rPr>
          <w:rFonts w:ascii="Times New Roman" w:eastAsia="Times New Roman" w:hAnsi="Times New Roman" w:cs="Times New Roman"/>
          <w:sz w:val="24"/>
          <w:szCs w:val="24"/>
        </w:rPr>
        <w:t xml:space="preserve"> </w:t>
      </w:r>
      <w:r w:rsidR="00405032" w:rsidRPr="00950125">
        <w:rPr>
          <w:rFonts w:ascii="Times New Roman" w:eastAsia="Times New Roman" w:hAnsi="Times New Roman" w:cs="Times New Roman"/>
          <w:sz w:val="24"/>
          <w:szCs w:val="24"/>
        </w:rPr>
        <w:t xml:space="preserve">Institutional effectiveness has a statistical significant and positive effect on renewable energy consumption in 19 emerging economies that showcase strong </w:t>
      </w:r>
      <w:r w:rsidR="0093174E" w:rsidRPr="00950125">
        <w:rPr>
          <w:rFonts w:ascii="Times New Roman" w:eastAsia="Times New Roman" w:hAnsi="Times New Roman" w:cs="Times New Roman"/>
          <w:sz w:val="24"/>
          <w:szCs w:val="24"/>
        </w:rPr>
        <w:t xml:space="preserve">and effective governance and regulations along with anti-corruption measures encourages an environment favorable to renewable energy </w:t>
      </w:r>
      <w:r w:rsidR="006F6095" w:rsidRPr="00950125">
        <w:rPr>
          <w:rFonts w:ascii="Times New Roman" w:eastAsia="Times New Roman" w:hAnsi="Times New Roman" w:cs="Times New Roman"/>
          <w:sz w:val="24"/>
          <w:szCs w:val="24"/>
        </w:rPr>
        <w:t xml:space="preserve">adoption </w:t>
      </w:r>
      <w:r w:rsidR="006F6095" w:rsidRPr="00950125">
        <w:rPr>
          <w:rFonts w:ascii="Times New Roman" w:eastAsia="Times New Roman" w:hAnsi="Times New Roman" w:cs="Times New Roman"/>
          <w:sz w:val="24"/>
          <w:szCs w:val="24"/>
        </w:rPr>
        <w:fldChar w:fldCharType="begin"/>
      </w:r>
      <w:r w:rsidR="006F6095" w:rsidRPr="00950125">
        <w:rPr>
          <w:rFonts w:ascii="Times New Roman" w:eastAsia="Times New Roman" w:hAnsi="Times New Roman" w:cs="Times New Roman"/>
          <w:sz w:val="24"/>
          <w:szCs w:val="24"/>
        </w:rPr>
        <w:instrText xml:space="preserve"> ADDIN ZOTERO_ITEM CSL_CITATION {"citationID":"1gRYkTmC","properties":{"formattedCitation":"(Rahman &amp; Sultana, 2022)","plainCitation":"(Rahman &amp; Sultana, 2022)","noteIndex":0},"citationItems":[{"id":43,"uris":["http://zotero.org/users/local/dRmf8XHr/items/JLDYAHJH"],"itemData":{"id":43,"type":"article-journal","container-title":"Renewable Energy","DOI":"10.1016/j.renene.2022.03.034","ISSN":"09601481","journalAbbreviation":"Renewable Energy","language":"en","page":"938-951","source":"DOI.org (Crossref)","title":"Impacts of institutional quality, economic growth, and exports on renewable energy: Emerging countries perspective","title-short":"Impacts of institutional quality, economic growth, and exports on renewable energy","volume":"189","author":[{"family":"Rahman","given":"Mohammad Mafizur"},{"family":"Sultana","given":"Nahid"}],"issued":{"date-parts":[["2022",4]]}}}],"schema":"https://github.com/citation-style-language/schema/raw/master/csl-citation.json"} </w:instrText>
      </w:r>
      <w:r w:rsidR="006F6095" w:rsidRPr="00950125">
        <w:rPr>
          <w:rFonts w:ascii="Times New Roman" w:eastAsia="Times New Roman" w:hAnsi="Times New Roman" w:cs="Times New Roman"/>
          <w:sz w:val="24"/>
          <w:szCs w:val="24"/>
        </w:rPr>
        <w:fldChar w:fldCharType="separate"/>
      </w:r>
      <w:r w:rsidR="006F6095" w:rsidRPr="00950125">
        <w:rPr>
          <w:rFonts w:ascii="Times New Roman" w:hAnsi="Times New Roman" w:cs="Times New Roman"/>
          <w:sz w:val="24"/>
          <w:szCs w:val="24"/>
        </w:rPr>
        <w:t>(Rahman &amp; Sultana, 2022)</w:t>
      </w:r>
      <w:r w:rsidR="006F6095" w:rsidRPr="00950125">
        <w:rPr>
          <w:rFonts w:ascii="Times New Roman" w:eastAsia="Times New Roman" w:hAnsi="Times New Roman" w:cs="Times New Roman"/>
          <w:sz w:val="24"/>
          <w:szCs w:val="24"/>
        </w:rPr>
        <w:fldChar w:fldCharType="end"/>
      </w:r>
      <w:r w:rsidR="0093174E" w:rsidRPr="00950125">
        <w:rPr>
          <w:rFonts w:ascii="Times New Roman" w:eastAsia="Times New Roman" w:hAnsi="Times New Roman" w:cs="Times New Roman"/>
          <w:sz w:val="24"/>
          <w:szCs w:val="24"/>
        </w:rPr>
        <w:t>.</w:t>
      </w:r>
      <w:r w:rsidR="00F6677E" w:rsidRPr="00950125">
        <w:rPr>
          <w:rFonts w:ascii="Times New Roman" w:hAnsi="Times New Roman" w:cs="Times New Roman"/>
          <w:sz w:val="24"/>
          <w:szCs w:val="24"/>
        </w:rPr>
        <w:t xml:space="preserve"> </w:t>
      </w:r>
      <w:r w:rsidR="00F6677E" w:rsidRPr="00950125">
        <w:rPr>
          <w:rFonts w:ascii="Times New Roman" w:eastAsia="Times New Roman" w:hAnsi="Times New Roman" w:cs="Times New Roman"/>
          <w:sz w:val="24"/>
          <w:szCs w:val="24"/>
        </w:rPr>
        <w:t xml:space="preserve">The findings of the study indicate that nations with robust IQ are in better position to attract </w:t>
      </w:r>
      <w:r w:rsidR="00F6677E" w:rsidRPr="00950125">
        <w:rPr>
          <w:rFonts w:ascii="Times New Roman" w:eastAsia="Times New Roman" w:hAnsi="Times New Roman" w:cs="Times New Roman"/>
          <w:sz w:val="24"/>
          <w:szCs w:val="24"/>
        </w:rPr>
        <w:lastRenderedPageBreak/>
        <w:t>investm</w:t>
      </w:r>
      <w:r w:rsidR="000207CA" w:rsidRPr="00950125">
        <w:rPr>
          <w:rFonts w:ascii="Times New Roman" w:eastAsia="Times New Roman" w:hAnsi="Times New Roman" w:cs="Times New Roman"/>
          <w:sz w:val="24"/>
          <w:szCs w:val="24"/>
        </w:rPr>
        <w:t>ents in renewable energy sector, thereby it results in enhanced energy transition efforts.</w:t>
      </w:r>
      <w:r w:rsidR="0093174E" w:rsidRPr="00950125">
        <w:rPr>
          <w:rFonts w:ascii="Times New Roman" w:eastAsia="Times New Roman" w:hAnsi="Times New Roman" w:cs="Times New Roman"/>
          <w:sz w:val="24"/>
          <w:szCs w:val="24"/>
        </w:rPr>
        <w:t xml:space="preserve"> Factors of institutional quality such as political stability and rules of law positively affects and are more likely to implement policies that dr</w:t>
      </w:r>
      <w:r w:rsidR="006F6095" w:rsidRPr="00950125">
        <w:rPr>
          <w:rFonts w:ascii="Times New Roman" w:eastAsia="Times New Roman" w:hAnsi="Times New Roman" w:cs="Times New Roman"/>
          <w:sz w:val="24"/>
          <w:szCs w:val="24"/>
        </w:rPr>
        <w:t xml:space="preserve">ives renewable energy adoption </w:t>
      </w:r>
      <w:r w:rsidR="006F6095" w:rsidRPr="00950125">
        <w:rPr>
          <w:rFonts w:ascii="Times New Roman" w:eastAsia="Times New Roman" w:hAnsi="Times New Roman" w:cs="Times New Roman"/>
          <w:sz w:val="24"/>
          <w:szCs w:val="24"/>
        </w:rPr>
        <w:fldChar w:fldCharType="begin"/>
      </w:r>
      <w:r w:rsidR="006F6095" w:rsidRPr="00950125">
        <w:rPr>
          <w:rFonts w:ascii="Times New Roman" w:eastAsia="Times New Roman" w:hAnsi="Times New Roman" w:cs="Times New Roman"/>
          <w:sz w:val="24"/>
          <w:szCs w:val="24"/>
        </w:rPr>
        <w:instrText xml:space="preserve"> ADDIN ZOTERO_ITEM CSL_CITATION {"citationID":"un8qTEOf","properties":{"formattedCitation":"(Uzar, 2020)","plainCitation":"(Uzar, 2020)","noteIndex":0},"citationItems":[{"id":38,"uris":["http://zotero.org/users/local/dRmf8XHr/items/77WR97E7"],"itemData":{"id":38,"type":"article-journal","container-title":"Renewable Energy","DOI":"10.1016/j.renene.2020.03.172","ISSN":"09601481","journalAbbreviation":"Renewable Energy","language":"en","page":"591-603","source":"DOI.org (Crossref)","title":"Political economy of renewable energy: Does institutional quality make a difference in renewable energy consumption?","title-short":"Political economy of renewable energy","volume":"155","author":[{"family":"Uzar","given":"Umut"}],"issued":{"date-parts":[["2020",8]]}}}],"schema":"https://github.com/citation-style-language/schema/raw/master/csl-citation.json"} </w:instrText>
      </w:r>
      <w:r w:rsidR="006F6095" w:rsidRPr="00950125">
        <w:rPr>
          <w:rFonts w:ascii="Times New Roman" w:eastAsia="Times New Roman" w:hAnsi="Times New Roman" w:cs="Times New Roman"/>
          <w:sz w:val="24"/>
          <w:szCs w:val="24"/>
        </w:rPr>
        <w:fldChar w:fldCharType="separate"/>
      </w:r>
      <w:r w:rsidR="006F6095" w:rsidRPr="00950125">
        <w:rPr>
          <w:rFonts w:ascii="Times New Roman" w:hAnsi="Times New Roman" w:cs="Times New Roman"/>
          <w:sz w:val="24"/>
          <w:szCs w:val="24"/>
        </w:rPr>
        <w:t>(Uzar, 2020)</w:t>
      </w:r>
      <w:r w:rsidR="006F6095" w:rsidRPr="00950125">
        <w:rPr>
          <w:rFonts w:ascii="Times New Roman" w:eastAsia="Times New Roman" w:hAnsi="Times New Roman" w:cs="Times New Roman"/>
          <w:sz w:val="24"/>
          <w:szCs w:val="24"/>
        </w:rPr>
        <w:fldChar w:fldCharType="end"/>
      </w:r>
      <w:r w:rsidR="0093174E" w:rsidRPr="00950125">
        <w:rPr>
          <w:rFonts w:ascii="Times New Roman" w:eastAsia="Times New Roman" w:hAnsi="Times New Roman" w:cs="Times New Roman"/>
          <w:sz w:val="24"/>
          <w:szCs w:val="24"/>
        </w:rPr>
        <w:t>.</w:t>
      </w:r>
      <w:r w:rsidR="00F6677E" w:rsidRPr="00950125">
        <w:rPr>
          <w:rFonts w:ascii="Times New Roman" w:eastAsia="Times New Roman" w:hAnsi="Times New Roman" w:cs="Times New Roman"/>
          <w:sz w:val="24"/>
          <w:szCs w:val="24"/>
        </w:rPr>
        <w:t xml:space="preserve"> </w:t>
      </w:r>
      <w:r w:rsidR="00993C1D" w:rsidRPr="00950125">
        <w:rPr>
          <w:rFonts w:ascii="Times New Roman" w:eastAsia="Times New Roman" w:hAnsi="Times New Roman" w:cs="Times New Roman"/>
          <w:sz w:val="24"/>
          <w:szCs w:val="24"/>
        </w:rPr>
        <w:t xml:space="preserve">A study conducted in 32 OECD member countries yields analogous findings that highlight the significance of effective institutions and renewable energy </w:t>
      </w:r>
      <w:r w:rsidR="006F6095" w:rsidRPr="00950125">
        <w:rPr>
          <w:rFonts w:ascii="Times New Roman" w:eastAsia="Times New Roman" w:hAnsi="Times New Roman" w:cs="Times New Roman"/>
          <w:sz w:val="24"/>
          <w:szCs w:val="24"/>
        </w:rPr>
        <w:fldChar w:fldCharType="begin"/>
      </w:r>
      <w:r w:rsidR="007223A8" w:rsidRPr="00950125">
        <w:rPr>
          <w:rFonts w:ascii="Times New Roman" w:eastAsia="Times New Roman" w:hAnsi="Times New Roman" w:cs="Times New Roman"/>
          <w:sz w:val="24"/>
          <w:szCs w:val="24"/>
        </w:rPr>
        <w:instrText xml:space="preserve"> ADDIN ZOTERO_ITEM CSL_CITATION {"citationID":"91p8dXpV","properties":{"formattedCitation":"(Wang et al., 2022)","plainCitation":"(Wang et al., 2022)","dontUpdate":true,"noteIndex":0},"citationItems":[{"id":37,"uris":["http://zotero.org/users/local/dRmf8XHr/items/SAYAUU7Z"],"itemData":{"id":37,"type":"article-journal","container-title":"Resources Policy","DOI":"10.1016/j.resourpol.2022.103041","ISSN":"03014207","journalAbbreviation":"Resources Policy","language":"en","page":"103041","source":"DOI.org (Crossref)","title":"Effects of institutional quality and political risk on the renewable energy consumption in the OECD countries","volume":"79","author":[{"family":"Wang","given":"Erhong"},{"family":"Gozgor","given":"Giray"},{"family":"Mahalik","given":"Mantu Kumar"},{"family":"Patel","given":"Gupteswar"},{"family":"Hu","given":"Guoheng"}],"issued":{"date-parts":[["2022",12]]}}}],"schema":"https://github.com/citation-style-language/schema/raw/master/csl-citation.json"} </w:instrText>
      </w:r>
      <w:r w:rsidR="006F6095" w:rsidRPr="00950125">
        <w:rPr>
          <w:rFonts w:ascii="Times New Roman" w:eastAsia="Times New Roman" w:hAnsi="Times New Roman" w:cs="Times New Roman"/>
          <w:sz w:val="24"/>
          <w:szCs w:val="24"/>
        </w:rPr>
        <w:fldChar w:fldCharType="separate"/>
      </w:r>
      <w:r w:rsidR="0080249B" w:rsidRPr="00950125">
        <w:rPr>
          <w:rFonts w:ascii="Times New Roman" w:hAnsi="Times New Roman" w:cs="Times New Roman"/>
        </w:rPr>
        <w:t>(E. Wang et al., 2022)</w:t>
      </w:r>
      <w:r w:rsidR="006F6095" w:rsidRPr="00950125">
        <w:rPr>
          <w:rFonts w:ascii="Times New Roman" w:eastAsia="Times New Roman" w:hAnsi="Times New Roman" w:cs="Times New Roman"/>
          <w:sz w:val="24"/>
          <w:szCs w:val="24"/>
        </w:rPr>
        <w:fldChar w:fldCharType="end"/>
      </w:r>
      <w:r w:rsidR="00F6677E" w:rsidRPr="00950125">
        <w:rPr>
          <w:rFonts w:ascii="Times New Roman" w:eastAsia="Times New Roman" w:hAnsi="Times New Roman" w:cs="Times New Roman"/>
          <w:sz w:val="24"/>
          <w:szCs w:val="24"/>
        </w:rPr>
        <w:t>.</w:t>
      </w:r>
      <w:r w:rsidR="00FE45A8" w:rsidRPr="00950125">
        <w:rPr>
          <w:rFonts w:ascii="Times New Roman" w:eastAsia="Times New Roman" w:hAnsi="Times New Roman" w:cs="Times New Roman"/>
          <w:sz w:val="24"/>
          <w:szCs w:val="24"/>
        </w:rPr>
        <w:t xml:space="preserve"> </w:t>
      </w:r>
      <w:r w:rsidR="00993C1D" w:rsidRPr="00950125">
        <w:rPr>
          <w:rFonts w:ascii="Times New Roman" w:eastAsia="Times New Roman" w:hAnsi="Times New Roman" w:cs="Times New Roman"/>
          <w:sz w:val="24"/>
          <w:szCs w:val="24"/>
        </w:rPr>
        <w:t xml:space="preserve">Empirical studies offer significant evidence corroborating the connection among ICT, institutional quality, and renewable energy. An empirical investigation into the non-linear effects of ICT and trade openness on the transition to renewable energy in South Asia has revealed that economies with superior ICT infrastructure and enhanced institutional quality have witnessed more pronounced progress in the adoption of renewable energy </w:t>
      </w:r>
      <w:r w:rsidR="006F6095" w:rsidRPr="00950125">
        <w:rPr>
          <w:rFonts w:ascii="Times New Roman" w:eastAsia="Times New Roman" w:hAnsi="Times New Roman" w:cs="Times New Roman"/>
          <w:sz w:val="24"/>
          <w:szCs w:val="24"/>
        </w:rPr>
        <w:fldChar w:fldCharType="begin"/>
      </w:r>
      <w:r w:rsidR="006F6095" w:rsidRPr="00950125">
        <w:rPr>
          <w:rFonts w:ascii="Times New Roman" w:eastAsia="Times New Roman" w:hAnsi="Times New Roman" w:cs="Times New Roman"/>
          <w:sz w:val="24"/>
          <w:szCs w:val="24"/>
        </w:rPr>
        <w:instrText xml:space="preserve"> ADDIN ZOTERO_ITEM CSL_CITATION {"citationID":"4aILj6o8","properties":{"formattedCitation":"(Murshed, 2020)","plainCitation":"(Murshed, 2020)","noteIndex":0},"citationItems":[{"id":45,"uris":["http://zotero.org/users/local/dRmf8XHr/items/YBCYD9WD"],"itemData":{"id":45,"type":"article-journal","container-title":"Environmental Science and Pollution Research","DOI":"10.1007/s11356-020-09497-3","ISSN":"0944-1344, 1614-7499","issue":"29","journalAbbreviation":"Environ Sci Pollut Res","language":"en","page":"36254-36281","source":"DOI.org (Crossref)","title":"An empirical analysis of the non-linear impacts of ICT-trade openness on renewable energy transition, energy efficiency, clean cooking fuel access and environmental sustainability in South Asia","volume":"27","author":[{"family":"Murshed","given":"Muntasir"}],"issued":{"date-parts":[["2020",10]]}}}],"schema":"https://github.com/citation-style-language/schema/raw/master/csl-citation.json"} </w:instrText>
      </w:r>
      <w:r w:rsidR="006F6095" w:rsidRPr="00950125">
        <w:rPr>
          <w:rFonts w:ascii="Times New Roman" w:eastAsia="Times New Roman" w:hAnsi="Times New Roman" w:cs="Times New Roman"/>
          <w:sz w:val="24"/>
          <w:szCs w:val="24"/>
        </w:rPr>
        <w:fldChar w:fldCharType="separate"/>
      </w:r>
      <w:r w:rsidR="006F6095" w:rsidRPr="00950125">
        <w:rPr>
          <w:rFonts w:ascii="Times New Roman" w:hAnsi="Times New Roman" w:cs="Times New Roman"/>
          <w:sz w:val="24"/>
          <w:szCs w:val="24"/>
        </w:rPr>
        <w:t>(Murshed, 2020)</w:t>
      </w:r>
      <w:r w:rsidR="006F6095" w:rsidRPr="00950125">
        <w:rPr>
          <w:rFonts w:ascii="Times New Roman" w:eastAsia="Times New Roman" w:hAnsi="Times New Roman" w:cs="Times New Roman"/>
          <w:sz w:val="24"/>
          <w:szCs w:val="24"/>
        </w:rPr>
        <w:fldChar w:fldCharType="end"/>
      </w:r>
      <w:r w:rsidR="00702C12" w:rsidRPr="00950125">
        <w:rPr>
          <w:rFonts w:ascii="Times New Roman" w:eastAsia="Times New Roman" w:hAnsi="Times New Roman" w:cs="Times New Roman"/>
          <w:sz w:val="24"/>
          <w:szCs w:val="24"/>
        </w:rPr>
        <w:t>.</w:t>
      </w:r>
    </w:p>
    <w:p w14:paraId="0F01A608" w14:textId="77777777" w:rsidR="00570FCE" w:rsidRPr="00950125" w:rsidRDefault="00C44205" w:rsidP="00D46E36">
      <w:pPr>
        <w:spacing w:line="276" w:lineRule="auto"/>
        <w:jc w:val="both"/>
        <w:rPr>
          <w:rFonts w:ascii="Times New Roman" w:hAnsi="Times New Roman" w:cs="Times New Roman"/>
          <w:sz w:val="24"/>
          <w:szCs w:val="24"/>
        </w:rPr>
      </w:pPr>
      <w:r w:rsidRPr="00950125">
        <w:rPr>
          <w:rFonts w:ascii="Times New Roman" w:eastAsia="Times New Roman" w:hAnsi="Times New Roman" w:cs="Times New Roman"/>
          <w:sz w:val="24"/>
          <w:szCs w:val="24"/>
        </w:rPr>
        <w:t xml:space="preserve">In Europe, a study was conducted to explore the emphasizing role of governance indicators and institutional quality </w:t>
      </w:r>
      <w:r w:rsidR="006D3F47" w:rsidRPr="00950125">
        <w:rPr>
          <w:rFonts w:ascii="Times New Roman" w:eastAsia="Times New Roman" w:hAnsi="Times New Roman" w:cs="Times New Roman"/>
          <w:sz w:val="24"/>
          <w:szCs w:val="24"/>
        </w:rPr>
        <w:t>that suggests effective implement of such factors are es</w:t>
      </w:r>
      <w:r w:rsidR="006B1E7E" w:rsidRPr="00950125">
        <w:rPr>
          <w:rFonts w:ascii="Times New Roman" w:eastAsia="Times New Roman" w:hAnsi="Times New Roman" w:cs="Times New Roman"/>
          <w:sz w:val="24"/>
          <w:szCs w:val="24"/>
        </w:rPr>
        <w:t>sential, as they encourage</w:t>
      </w:r>
      <w:r w:rsidR="006D3F47" w:rsidRPr="00950125">
        <w:rPr>
          <w:rFonts w:ascii="Times New Roman" w:eastAsia="Times New Roman" w:hAnsi="Times New Roman" w:cs="Times New Roman"/>
          <w:sz w:val="24"/>
          <w:szCs w:val="24"/>
        </w:rPr>
        <w:t xml:space="preserve"> innovation and investment to foster renewable energy </w:t>
      </w:r>
      <w:r w:rsidR="006F6095" w:rsidRPr="00950125">
        <w:rPr>
          <w:rFonts w:ascii="Times New Roman" w:eastAsia="Times New Roman" w:hAnsi="Times New Roman" w:cs="Times New Roman"/>
          <w:sz w:val="24"/>
          <w:szCs w:val="24"/>
        </w:rPr>
        <w:t xml:space="preserve">development </w:t>
      </w:r>
      <w:r w:rsidR="006F6095" w:rsidRPr="00950125">
        <w:rPr>
          <w:rFonts w:ascii="Times New Roman" w:eastAsia="Times New Roman" w:hAnsi="Times New Roman" w:cs="Times New Roman"/>
          <w:sz w:val="24"/>
          <w:szCs w:val="24"/>
        </w:rPr>
        <w:fldChar w:fldCharType="begin"/>
      </w:r>
      <w:r w:rsidR="006F6095" w:rsidRPr="00950125">
        <w:rPr>
          <w:rFonts w:ascii="Times New Roman" w:eastAsia="Times New Roman" w:hAnsi="Times New Roman" w:cs="Times New Roman"/>
          <w:sz w:val="24"/>
          <w:szCs w:val="24"/>
        </w:rPr>
        <w:instrText xml:space="preserve"> ADDIN ZOTERO_ITEM CSL_CITATION {"citationID":"BovKzZ48","properties":{"formattedCitation":"(Saba &amp; Biyase, 2022)","plainCitation":"(Saba &amp; Biyase, 2022)","noteIndex":0},"citationItems":[{"id":42,"uris":["http://zotero.org/users/local/dRmf8XHr/items/CZI7IAB9"],"itemData":{"id":42,"type":"article-journal","container-title":"Energy Reports","DOI":"10.1016/j.egyr.2022.09.184","ISSN":"23524847","journalAbbreviation":"Energy Reports","language":"en","page":"13914-13938","source":"DOI.org (Crossref)","title":"Determinants of renewable electricity development in Europe: Do Governance indicators and institutional quality matter?","title-short":"Determinants of renewable electricity development in Europe","volume":"8","author":[{"family":"Saba","given":"Charles Shaaba"},{"family":"Biyase","given":"Mduduzi"}],"issued":{"date-parts":[["2022",11]]}}}],"schema":"https://github.com/citation-style-language/schema/raw/master/csl-citation.json"} </w:instrText>
      </w:r>
      <w:r w:rsidR="006F6095" w:rsidRPr="00950125">
        <w:rPr>
          <w:rFonts w:ascii="Times New Roman" w:eastAsia="Times New Roman" w:hAnsi="Times New Roman" w:cs="Times New Roman"/>
          <w:sz w:val="24"/>
          <w:szCs w:val="24"/>
        </w:rPr>
        <w:fldChar w:fldCharType="separate"/>
      </w:r>
      <w:r w:rsidR="006F6095" w:rsidRPr="00950125">
        <w:rPr>
          <w:rFonts w:ascii="Times New Roman" w:hAnsi="Times New Roman" w:cs="Times New Roman"/>
          <w:sz w:val="24"/>
          <w:szCs w:val="24"/>
        </w:rPr>
        <w:t>(Saba &amp; Biyase, 2022)</w:t>
      </w:r>
      <w:r w:rsidR="006F6095" w:rsidRPr="00950125">
        <w:rPr>
          <w:rFonts w:ascii="Times New Roman" w:eastAsia="Times New Roman" w:hAnsi="Times New Roman" w:cs="Times New Roman"/>
          <w:sz w:val="24"/>
          <w:szCs w:val="24"/>
        </w:rPr>
        <w:fldChar w:fldCharType="end"/>
      </w:r>
      <w:r w:rsidR="006B1E7E" w:rsidRPr="00950125">
        <w:rPr>
          <w:rFonts w:ascii="Times New Roman" w:eastAsia="Times New Roman" w:hAnsi="Times New Roman" w:cs="Times New Roman"/>
          <w:sz w:val="24"/>
          <w:szCs w:val="24"/>
        </w:rPr>
        <w:t>. Industrial value added, human capital,</w:t>
      </w:r>
      <w:r w:rsidRPr="00950125">
        <w:rPr>
          <w:rFonts w:ascii="Times New Roman" w:eastAsia="Times New Roman" w:hAnsi="Times New Roman" w:cs="Times New Roman"/>
          <w:sz w:val="24"/>
          <w:szCs w:val="24"/>
        </w:rPr>
        <w:t xml:space="preserve"> ICT, </w:t>
      </w:r>
      <w:r w:rsidR="006D3F47" w:rsidRPr="00950125">
        <w:rPr>
          <w:rFonts w:ascii="Times New Roman" w:eastAsia="Times New Roman" w:hAnsi="Times New Roman" w:cs="Times New Roman"/>
          <w:sz w:val="24"/>
          <w:szCs w:val="24"/>
        </w:rPr>
        <w:t>control of corrup</w:t>
      </w:r>
      <w:r w:rsidR="006B1E7E" w:rsidRPr="00950125">
        <w:rPr>
          <w:rFonts w:ascii="Times New Roman" w:eastAsia="Times New Roman" w:hAnsi="Times New Roman" w:cs="Times New Roman"/>
          <w:sz w:val="24"/>
          <w:szCs w:val="24"/>
        </w:rPr>
        <w:t xml:space="preserve">tion, voice and accountability </w:t>
      </w:r>
      <w:r w:rsidR="006D3F47" w:rsidRPr="00950125">
        <w:rPr>
          <w:rFonts w:ascii="Times New Roman" w:eastAsia="Times New Roman" w:hAnsi="Times New Roman" w:cs="Times New Roman"/>
          <w:sz w:val="24"/>
          <w:szCs w:val="24"/>
        </w:rPr>
        <w:t>were some determinant</w:t>
      </w:r>
      <w:r w:rsidR="006B1E7E" w:rsidRPr="00950125">
        <w:rPr>
          <w:rFonts w:ascii="Times New Roman" w:eastAsia="Times New Roman" w:hAnsi="Times New Roman" w:cs="Times New Roman"/>
          <w:sz w:val="24"/>
          <w:szCs w:val="24"/>
        </w:rPr>
        <w:t xml:space="preserve">s among others, that showed a statistically significant and positive impact on renewable electricity development. </w:t>
      </w:r>
      <w:r w:rsidR="004574D5" w:rsidRPr="00950125">
        <w:rPr>
          <w:rFonts w:ascii="Times New Roman" w:eastAsia="Times New Roman" w:hAnsi="Times New Roman" w:cs="Times New Roman"/>
          <w:sz w:val="24"/>
          <w:szCs w:val="24"/>
        </w:rPr>
        <w:t>Moreover, the development of ICT and other internet infrastructures an</w:t>
      </w:r>
      <w:r w:rsidR="003C6779" w:rsidRPr="00950125">
        <w:rPr>
          <w:rFonts w:ascii="Times New Roman" w:eastAsia="Times New Roman" w:hAnsi="Times New Roman" w:cs="Times New Roman"/>
          <w:sz w:val="24"/>
          <w:szCs w:val="24"/>
        </w:rPr>
        <w:t>d better</w:t>
      </w:r>
      <w:r w:rsidR="004574D5" w:rsidRPr="00950125">
        <w:rPr>
          <w:rFonts w:ascii="Times New Roman" w:eastAsia="Times New Roman" w:hAnsi="Times New Roman" w:cs="Times New Roman"/>
          <w:sz w:val="24"/>
          <w:szCs w:val="24"/>
        </w:rPr>
        <w:t xml:space="preserve"> institutional quality’s significance was hi</w:t>
      </w:r>
      <w:r w:rsidR="006F6095" w:rsidRPr="00950125">
        <w:rPr>
          <w:rFonts w:ascii="Times New Roman" w:eastAsia="Times New Roman" w:hAnsi="Times New Roman" w:cs="Times New Roman"/>
          <w:sz w:val="24"/>
          <w:szCs w:val="24"/>
        </w:rPr>
        <w:t xml:space="preserve">ghlighted by </w:t>
      </w:r>
      <w:r w:rsidR="006F6095" w:rsidRPr="00950125">
        <w:rPr>
          <w:rFonts w:ascii="Times New Roman" w:eastAsia="Times New Roman" w:hAnsi="Times New Roman" w:cs="Times New Roman"/>
          <w:sz w:val="24"/>
          <w:szCs w:val="24"/>
        </w:rPr>
        <w:fldChar w:fldCharType="begin"/>
      </w:r>
      <w:r w:rsidR="006F6095" w:rsidRPr="00950125">
        <w:rPr>
          <w:rFonts w:ascii="Times New Roman" w:eastAsia="Times New Roman" w:hAnsi="Times New Roman" w:cs="Times New Roman"/>
          <w:sz w:val="24"/>
          <w:szCs w:val="24"/>
        </w:rPr>
        <w:instrText xml:space="preserve"> ADDIN ZOTERO_ITEM CSL_CITATION {"citationID":"Ad85cEfn","properties":{"formattedCitation":"(Ding et al., 2023)","plainCitation":"(Ding et al., 2023)","noteIndex":0},"citationItems":[{"id":47,"uris":["http://zotero.org/users/local/dRmf8XHr/items/U823HTPP"],"itemData":{"id":47,"type":"article-journal","container-title":"Renewable Energy","DOI":"10.1016/j.renene.2023.119344","ISSN":"09601481","journalAbbreviation":"Renewable Energy","language":"en","page":"119344","source":"DOI.org (Crossref)","title":"Internet development and renewable energy technological innovation: Does institutional quality matter?","title-short":"Internet development and renewable energy technological innovation","volume":"218","author":[{"family":"Ding","given":"Qian"},{"family":"Huang","given":"Jianbai"},{"family":"Chen","given":"Jinyu"},{"family":"Tao","given":"Dali"}],"issued":{"date-parts":[["2023",12]]}}}],"schema":"https://github.com/citation-style-language/schema/raw/master/csl-citation.json"} </w:instrText>
      </w:r>
      <w:r w:rsidR="006F6095" w:rsidRPr="00950125">
        <w:rPr>
          <w:rFonts w:ascii="Times New Roman" w:eastAsia="Times New Roman" w:hAnsi="Times New Roman" w:cs="Times New Roman"/>
          <w:sz w:val="24"/>
          <w:szCs w:val="24"/>
        </w:rPr>
        <w:fldChar w:fldCharType="separate"/>
      </w:r>
      <w:r w:rsidR="006F6095" w:rsidRPr="00950125">
        <w:rPr>
          <w:rFonts w:ascii="Times New Roman" w:hAnsi="Times New Roman" w:cs="Times New Roman"/>
          <w:sz w:val="24"/>
          <w:szCs w:val="24"/>
        </w:rPr>
        <w:t>(Ding et al., 2023)</w:t>
      </w:r>
      <w:r w:rsidR="006F6095" w:rsidRPr="00950125">
        <w:rPr>
          <w:rFonts w:ascii="Times New Roman" w:eastAsia="Times New Roman" w:hAnsi="Times New Roman" w:cs="Times New Roman"/>
          <w:sz w:val="24"/>
          <w:szCs w:val="24"/>
        </w:rPr>
        <w:fldChar w:fldCharType="end"/>
      </w:r>
      <w:r w:rsidR="003C6779" w:rsidRPr="00950125">
        <w:rPr>
          <w:rFonts w:ascii="Times New Roman" w:eastAsia="Times New Roman" w:hAnsi="Times New Roman" w:cs="Times New Roman"/>
          <w:sz w:val="24"/>
          <w:szCs w:val="24"/>
        </w:rPr>
        <w:t>. Their study stated that countries with better institutional quality are likely to leverage ICT for renewable energy development, suggesting ICT’s effectiveness in promoting RETI (renewable energy technol</w:t>
      </w:r>
      <w:r w:rsidR="00434769" w:rsidRPr="00950125">
        <w:rPr>
          <w:rFonts w:ascii="Times New Roman" w:eastAsia="Times New Roman" w:hAnsi="Times New Roman" w:cs="Times New Roman"/>
          <w:sz w:val="24"/>
          <w:szCs w:val="24"/>
        </w:rPr>
        <w:t>ogical innovation) is moderated</w:t>
      </w:r>
      <w:r w:rsidR="003C6779" w:rsidRPr="00950125">
        <w:rPr>
          <w:rFonts w:ascii="Times New Roman" w:eastAsia="Times New Roman" w:hAnsi="Times New Roman" w:cs="Times New Roman"/>
          <w:sz w:val="24"/>
          <w:szCs w:val="24"/>
        </w:rPr>
        <w:t xml:space="preserve"> by </w:t>
      </w:r>
      <w:r w:rsidR="00434769" w:rsidRPr="00950125">
        <w:rPr>
          <w:rFonts w:ascii="Times New Roman" w:eastAsia="Times New Roman" w:hAnsi="Times New Roman" w:cs="Times New Roman"/>
          <w:sz w:val="24"/>
          <w:szCs w:val="24"/>
        </w:rPr>
        <w:t xml:space="preserve">quality of institutions in place, which can facilitate progress. </w:t>
      </w:r>
      <w:r w:rsidR="00644967" w:rsidRPr="00950125">
        <w:rPr>
          <w:rFonts w:ascii="Times New Roman" w:eastAsia="Times New Roman" w:hAnsi="Times New Roman" w:cs="Times New Roman"/>
          <w:sz w:val="24"/>
          <w:szCs w:val="24"/>
        </w:rPr>
        <w:t>A similar result</w:t>
      </w:r>
      <w:r w:rsidR="006F6095" w:rsidRPr="00950125">
        <w:rPr>
          <w:rFonts w:ascii="Times New Roman" w:eastAsia="Times New Roman" w:hAnsi="Times New Roman" w:cs="Times New Roman"/>
          <w:sz w:val="24"/>
          <w:szCs w:val="24"/>
        </w:rPr>
        <w:t xml:space="preserve"> was drawn by </w:t>
      </w:r>
      <w:r w:rsidR="006F6095" w:rsidRPr="00950125">
        <w:rPr>
          <w:rFonts w:ascii="Times New Roman" w:eastAsia="Times New Roman" w:hAnsi="Times New Roman" w:cs="Times New Roman"/>
          <w:sz w:val="24"/>
          <w:szCs w:val="24"/>
        </w:rPr>
        <w:fldChar w:fldCharType="begin"/>
      </w:r>
      <w:r w:rsidR="006F6095" w:rsidRPr="00950125">
        <w:rPr>
          <w:rFonts w:ascii="Times New Roman" w:eastAsia="Times New Roman" w:hAnsi="Times New Roman" w:cs="Times New Roman"/>
          <w:sz w:val="24"/>
          <w:szCs w:val="24"/>
        </w:rPr>
        <w:instrText xml:space="preserve"> ADDIN ZOTERO_ITEM CSL_CITATION {"citationID":"1jvnV6QI","properties":{"formattedCitation":"(Lee et al., 2022)","plainCitation":"(Lee et al., 2022)","noteIndex":0},"citationItems":[{"id":46,"uris":["http://zotero.org/users/local/dRmf8XHr/items/EDWH9Q82"],"itemData":{"id":46,"type":"article-journal","container-title":"Renewable Energy","DOI":"10.1016/j.renene.2022.10.015","ISSN":"09601481","journalAbbreviation":"Renewable Energy","language":"en","page":"546-557","source":"DOI.org (Crossref)","title":"How does information and communication technology affect renewable energy technology innovation? International evidence","title-short":"How does information and communication technology affect renewable energy technology innovation?","volume":"200","author":[{"family":"Lee","given":"Chien-Chiang"},{"family":"He","given":"Zhi-Wen"},{"family":"Xiao","given":"Fu"}],"issued":{"date-parts":[["2022",11]]}}}],"schema":"https://github.com/citation-style-language/schema/raw/master/csl-citation.json"} </w:instrText>
      </w:r>
      <w:r w:rsidR="006F6095" w:rsidRPr="00950125">
        <w:rPr>
          <w:rFonts w:ascii="Times New Roman" w:eastAsia="Times New Roman" w:hAnsi="Times New Roman" w:cs="Times New Roman"/>
          <w:sz w:val="24"/>
          <w:szCs w:val="24"/>
        </w:rPr>
        <w:fldChar w:fldCharType="separate"/>
      </w:r>
      <w:r w:rsidR="006F6095" w:rsidRPr="00950125">
        <w:rPr>
          <w:rFonts w:ascii="Times New Roman" w:hAnsi="Times New Roman" w:cs="Times New Roman"/>
          <w:sz w:val="24"/>
          <w:szCs w:val="24"/>
        </w:rPr>
        <w:t>(Lee et al., 2022)</w:t>
      </w:r>
      <w:r w:rsidR="006F6095" w:rsidRPr="00950125">
        <w:rPr>
          <w:rFonts w:ascii="Times New Roman" w:eastAsia="Times New Roman" w:hAnsi="Times New Roman" w:cs="Times New Roman"/>
          <w:sz w:val="24"/>
          <w:szCs w:val="24"/>
        </w:rPr>
        <w:fldChar w:fldCharType="end"/>
      </w:r>
      <w:r w:rsidR="00644967" w:rsidRPr="00950125">
        <w:rPr>
          <w:rFonts w:ascii="Times New Roman" w:eastAsia="Times New Roman" w:hAnsi="Times New Roman" w:cs="Times New Roman"/>
          <w:sz w:val="24"/>
          <w:szCs w:val="24"/>
        </w:rPr>
        <w:t xml:space="preserve"> about the effect of ICT in promoting RETI specifically in IEA and OECD member nations. Countries like </w:t>
      </w:r>
      <w:r w:rsidR="00644967" w:rsidRPr="00950125">
        <w:rPr>
          <w:rFonts w:ascii="Times New Roman" w:eastAsia="Calibri" w:hAnsi="Times New Roman" w:cs="Times New Roman"/>
          <w:color w:val="1F1F1F"/>
          <w:sz w:val="24"/>
          <w:szCs w:val="24"/>
        </w:rPr>
        <w:t>USA, Canada, UK, Germany, Italy, Netherlands and Poland</w:t>
      </w:r>
      <w:r w:rsidR="00691BE9" w:rsidRPr="00950125">
        <w:rPr>
          <w:rFonts w:ascii="Times New Roman" w:eastAsia="Calibri" w:hAnsi="Times New Roman" w:cs="Times New Roman"/>
          <w:color w:val="1F1F1F"/>
          <w:sz w:val="24"/>
          <w:szCs w:val="24"/>
        </w:rPr>
        <w:t xml:space="preserve">’s ICT developments have a long run positive effect on renewable energy generation </w:t>
      </w:r>
      <w:r w:rsidR="006F6095" w:rsidRPr="00950125">
        <w:rPr>
          <w:rFonts w:ascii="Times New Roman" w:eastAsia="Calibri" w:hAnsi="Times New Roman" w:cs="Times New Roman"/>
          <w:color w:val="1F1F1F"/>
          <w:sz w:val="24"/>
          <w:szCs w:val="24"/>
        </w:rPr>
        <w:fldChar w:fldCharType="begin"/>
      </w:r>
      <w:r w:rsidR="006F6095" w:rsidRPr="00950125">
        <w:rPr>
          <w:rFonts w:ascii="Times New Roman" w:eastAsia="Calibri" w:hAnsi="Times New Roman" w:cs="Times New Roman"/>
          <w:color w:val="1F1F1F"/>
          <w:sz w:val="24"/>
          <w:szCs w:val="24"/>
        </w:rPr>
        <w:instrText xml:space="preserve"> ADDIN ZOTERO_ITEM CSL_CITATION {"citationID":"3KtZP8Zz","properties":{"formattedCitation":"(Zheng &amp; Wang, 2021)","plainCitation":"(Zheng &amp; Wang, 2021)","noteIndex":0},"citationItems":[{"id":36,"uris":["http://zotero.org/users/local/dRmf8XHr/items/U25KTBX8"],"itemData":{"id":36,"type":"article-journal","container-title":"Energy Policy","DOI":"10.1016/j.enpol.2020.112041","ISSN":"03014215","journalAbbreviation":"Energy Policy","language":"en","page":"112041","source":"DOI.org (Crossref)","title":"Can mobile information communication technologies (ICTs) promote the development of renewables?-evidence from seven countries","title-short":"Can mobile information communication technologies (ICTs) promote the development of renewables?","volume":"149","author":[{"family":"Zheng","given":"Jiajia"},{"family":"Wang","given":"Xingwu"}],"issued":{"date-parts":[["2021",2]]}}}],"schema":"https://github.com/citation-style-language/schema/raw/master/csl-citation.json"} </w:instrText>
      </w:r>
      <w:r w:rsidR="006F6095" w:rsidRPr="00950125">
        <w:rPr>
          <w:rFonts w:ascii="Times New Roman" w:eastAsia="Calibri" w:hAnsi="Times New Roman" w:cs="Times New Roman"/>
          <w:color w:val="1F1F1F"/>
          <w:sz w:val="24"/>
          <w:szCs w:val="24"/>
        </w:rPr>
        <w:fldChar w:fldCharType="separate"/>
      </w:r>
      <w:r w:rsidR="006F6095" w:rsidRPr="00950125">
        <w:rPr>
          <w:rFonts w:ascii="Times New Roman" w:hAnsi="Times New Roman" w:cs="Times New Roman"/>
          <w:sz w:val="24"/>
          <w:szCs w:val="24"/>
        </w:rPr>
        <w:t>(Zheng &amp; Wang, 2021)</w:t>
      </w:r>
      <w:r w:rsidR="006F6095" w:rsidRPr="00950125">
        <w:rPr>
          <w:rFonts w:ascii="Times New Roman" w:eastAsia="Calibri" w:hAnsi="Times New Roman" w:cs="Times New Roman"/>
          <w:color w:val="1F1F1F"/>
          <w:sz w:val="24"/>
          <w:szCs w:val="24"/>
        </w:rPr>
        <w:fldChar w:fldCharType="end"/>
      </w:r>
      <w:r w:rsidR="00691BE9" w:rsidRPr="00950125">
        <w:rPr>
          <w:rFonts w:ascii="Times New Roman" w:eastAsia="Calibri" w:hAnsi="Times New Roman" w:cs="Times New Roman"/>
          <w:color w:val="1F1F1F"/>
          <w:sz w:val="24"/>
          <w:szCs w:val="24"/>
        </w:rPr>
        <w:t xml:space="preserve">. </w:t>
      </w:r>
      <w:r w:rsidR="00F30895" w:rsidRPr="00950125">
        <w:rPr>
          <w:rFonts w:ascii="Times New Roman" w:eastAsia="Calibri" w:hAnsi="Times New Roman" w:cs="Times New Roman"/>
          <w:color w:val="1F1F1F"/>
          <w:sz w:val="24"/>
          <w:szCs w:val="24"/>
        </w:rPr>
        <w:t xml:space="preserve">Transition toward renewable energy in the developing countries are significantly affected by government expenditure has been found by the empirical result of Chow test, Lagrange multiplier test, Hausman test </w:t>
      </w:r>
      <w:r w:rsidR="006F6095" w:rsidRPr="00950125">
        <w:rPr>
          <w:rFonts w:ascii="Times New Roman" w:eastAsia="Calibri" w:hAnsi="Times New Roman" w:cs="Times New Roman"/>
          <w:color w:val="1F1F1F"/>
          <w:sz w:val="24"/>
          <w:szCs w:val="24"/>
        </w:rPr>
        <w:fldChar w:fldCharType="begin"/>
      </w:r>
      <w:r w:rsidR="006F6095" w:rsidRPr="00950125">
        <w:rPr>
          <w:rFonts w:ascii="Times New Roman" w:eastAsia="Calibri" w:hAnsi="Times New Roman" w:cs="Times New Roman"/>
          <w:color w:val="1F1F1F"/>
          <w:sz w:val="24"/>
          <w:szCs w:val="24"/>
        </w:rPr>
        <w:instrText xml:space="preserve"> ADDIN ZOTERO_ITEM CSL_CITATION {"citationID":"8b1popTQ","properties":{"formattedCitation":"(Satrianto et al., 2024)","plainCitation":"(Satrianto et al., 2024)","noteIndex":0},"citationItems":[{"id":40,"uris":["http://zotero.org/users/local/dRmf8XHr/items/VR64FBA2"],"itemData":{"id":40,"type":"article-journal","abstract":"Renewable energy has changed the development paradigm by prioritizing environmental sustainability in every stage of the country development. Therefore, this research specifically provides an overview of how the institutional quality is used as a basis for policy in developing countries. The research results show that the institutional quality with indicators of government effectiveness, voice and accountability have a significant effect, while regulatory quality and rule of law do not have a significant effect on renewable energy. Then, tax revenue, foreign direct investment, domestic credit have a significant effect, but government expenditure does not have a significant effect on renewable energy. These results are proof that every country must have strong quality institutions with a clear and comprehensive policy scheme considering that energy transition targets are not carried out easily, so they require large amounts of financing, especially from the private sector. The government fiscal space tends to be narrow, which is an obstacle in developing countries in allocating costs for the energy transition, so it must be directed at financing strategies contained in appropriate policies.","container-title":"International Journal of Energy Economics and Policy","DOI":"10.32479/ijeep.16794","ISSN":"2146-4553","issue":"5","journalAbbreviation":"IJEEP","page":"678-686","source":"DOI.org (Crossref)","title":"The Effect of Institutional Quality on Renewable Energy: Evidence from Developing Countries","title-short":"The Effect of Institutional Quality on Renewable Energy","volume":"14","author":[{"family":"Satrianto","given":"Alpon"},{"family":"Ikhsan","given":"Akmil"},{"family":"Dirma","given":"Evo Yunanda"},{"family":"Candrianto","given":"Candrianto"},{"family":"Juniardi","given":"Egy"},{"family":"Gusti","given":"Mia Ayu"}],"issued":{"date-parts":[["2024",9,7]]}}}],"schema":"https://github.com/citation-style-language/schema/raw/master/csl-citation.json"} </w:instrText>
      </w:r>
      <w:r w:rsidR="006F6095" w:rsidRPr="00950125">
        <w:rPr>
          <w:rFonts w:ascii="Times New Roman" w:eastAsia="Calibri" w:hAnsi="Times New Roman" w:cs="Times New Roman"/>
          <w:color w:val="1F1F1F"/>
          <w:sz w:val="24"/>
          <w:szCs w:val="24"/>
        </w:rPr>
        <w:fldChar w:fldCharType="separate"/>
      </w:r>
      <w:r w:rsidR="006F6095" w:rsidRPr="00950125">
        <w:rPr>
          <w:rFonts w:ascii="Times New Roman" w:hAnsi="Times New Roman" w:cs="Times New Roman"/>
          <w:sz w:val="24"/>
          <w:szCs w:val="24"/>
        </w:rPr>
        <w:t>(Satrianto et al., 2024)</w:t>
      </w:r>
      <w:r w:rsidR="006F6095" w:rsidRPr="00950125">
        <w:rPr>
          <w:rFonts w:ascii="Times New Roman" w:eastAsia="Calibri" w:hAnsi="Times New Roman" w:cs="Times New Roman"/>
          <w:color w:val="1F1F1F"/>
          <w:sz w:val="24"/>
          <w:szCs w:val="24"/>
        </w:rPr>
        <w:fldChar w:fldCharType="end"/>
      </w:r>
      <w:r w:rsidR="00F30895" w:rsidRPr="00950125">
        <w:rPr>
          <w:rFonts w:ascii="Times New Roman" w:eastAsia="Calibri" w:hAnsi="Times New Roman" w:cs="Times New Roman"/>
          <w:color w:val="1F1F1F"/>
          <w:sz w:val="24"/>
          <w:szCs w:val="24"/>
        </w:rPr>
        <w:t>.</w:t>
      </w:r>
      <w:r w:rsidR="00811F16" w:rsidRPr="00950125">
        <w:rPr>
          <w:rFonts w:ascii="Times New Roman" w:eastAsia="Calibri" w:hAnsi="Times New Roman" w:cs="Times New Roman"/>
          <w:color w:val="1F1F1F"/>
          <w:sz w:val="24"/>
          <w:szCs w:val="24"/>
        </w:rPr>
        <w:t xml:space="preserve"> Besides, technological innovation, trade globalization, and R&amp;D expenditure increases renewable energy supply in G-7 countries </w:t>
      </w:r>
      <w:r w:rsidR="006F6095" w:rsidRPr="00950125">
        <w:rPr>
          <w:rFonts w:ascii="Times New Roman" w:eastAsia="Calibri" w:hAnsi="Times New Roman" w:cs="Times New Roman"/>
          <w:color w:val="1F1F1F"/>
          <w:sz w:val="24"/>
          <w:szCs w:val="24"/>
        </w:rPr>
        <w:fldChar w:fldCharType="begin"/>
      </w:r>
      <w:r w:rsidR="006F6095" w:rsidRPr="00950125">
        <w:rPr>
          <w:rFonts w:ascii="Times New Roman" w:eastAsia="Calibri" w:hAnsi="Times New Roman" w:cs="Times New Roman"/>
          <w:color w:val="1F1F1F"/>
          <w:sz w:val="24"/>
          <w:szCs w:val="24"/>
        </w:rPr>
        <w:instrText xml:space="preserve"> ADDIN ZOTERO_ITEM CSL_CITATION {"citationID":"6IGz2TYH","properties":{"formattedCitation":"(Ahmed et al., 2022)","plainCitation":"(Ahmed et al., 2022)","noteIndex":0},"citationItems":[{"id":48,"uris":["http://zotero.org/users/local/dRmf8XHr/items/K8PT46LA"],"itemData":{"id":48,"type":"article-journal","container-title":"Gondwana Research","DOI":"10.1016/j.gr.2022.09.014","ISSN":"1342937X","journalAbbreviation":"Gondwana Research","language":"en","page":"105-115","source":"DOI.org (Crossref)","title":"How do green energy technology investments, technological innovation, and trade globalization enhance green energy supply and stimulate environmental sustainability in the G7 countries?","volume":"112","author":[{"family":"Ahmed","given":"Zahoor"},{"family":"Ahmad","given":"Mahmood"},{"family":"Murshed","given":"Muntasir"},{"family":"Ibrahim Shah","given":"Muhammad"},{"family":"Mahmood","given":"Haider"},{"family":"Abbas","given":"Shujaat"}],"issued":{"date-parts":[["2022",12]]}}}],"schema":"https://github.com/citation-style-language/schema/raw/master/csl-citation.json"} </w:instrText>
      </w:r>
      <w:r w:rsidR="006F6095" w:rsidRPr="00950125">
        <w:rPr>
          <w:rFonts w:ascii="Times New Roman" w:eastAsia="Calibri" w:hAnsi="Times New Roman" w:cs="Times New Roman"/>
          <w:color w:val="1F1F1F"/>
          <w:sz w:val="24"/>
          <w:szCs w:val="24"/>
        </w:rPr>
        <w:fldChar w:fldCharType="separate"/>
      </w:r>
      <w:r w:rsidR="006F6095" w:rsidRPr="00950125">
        <w:rPr>
          <w:rFonts w:ascii="Times New Roman" w:hAnsi="Times New Roman" w:cs="Times New Roman"/>
          <w:sz w:val="24"/>
          <w:szCs w:val="24"/>
        </w:rPr>
        <w:t>(Ahmed et al., 2022)</w:t>
      </w:r>
      <w:r w:rsidR="006F6095" w:rsidRPr="00950125">
        <w:rPr>
          <w:rFonts w:ascii="Times New Roman" w:eastAsia="Calibri" w:hAnsi="Times New Roman" w:cs="Times New Roman"/>
          <w:color w:val="1F1F1F"/>
          <w:sz w:val="24"/>
          <w:szCs w:val="24"/>
        </w:rPr>
        <w:fldChar w:fldCharType="end"/>
      </w:r>
      <w:r w:rsidR="00405032" w:rsidRPr="00950125">
        <w:rPr>
          <w:rFonts w:ascii="Times New Roman" w:eastAsia="Calibri" w:hAnsi="Times New Roman" w:cs="Times New Roman"/>
          <w:color w:val="1F1F1F"/>
          <w:sz w:val="24"/>
          <w:szCs w:val="24"/>
        </w:rPr>
        <w:t xml:space="preserve">, whereas, renewable energy use in those nations are positively impacted by ICT infrastructure development </w:t>
      </w:r>
      <w:r w:rsidR="006F6095" w:rsidRPr="00950125">
        <w:rPr>
          <w:rFonts w:ascii="Times New Roman" w:eastAsia="Calibri" w:hAnsi="Times New Roman" w:cs="Times New Roman"/>
          <w:color w:val="1F1F1F"/>
          <w:sz w:val="24"/>
          <w:szCs w:val="24"/>
        </w:rPr>
        <w:fldChar w:fldCharType="begin"/>
      </w:r>
      <w:r w:rsidR="006F6095" w:rsidRPr="00950125">
        <w:rPr>
          <w:rFonts w:ascii="Times New Roman" w:eastAsia="Calibri" w:hAnsi="Times New Roman" w:cs="Times New Roman"/>
          <w:color w:val="1F1F1F"/>
          <w:sz w:val="24"/>
          <w:szCs w:val="24"/>
        </w:rPr>
        <w:instrText xml:space="preserve"> ADDIN ZOTERO_ITEM CSL_CITATION {"citationID":"9fvVZqmR","properties":{"formattedCitation":"(Talan et al., 2023)","plainCitation":"(Talan et al., 2023)","noteIndex":0},"citationItems":[{"id":39,"uris":["http://zotero.org/users/local/dRmf8XHr/items/67KIP6WY"],"itemData":{"id":39,"type":"article-journal","container-title":"Resources Policy","DOI":"10.1016/j.resourpol.2023.103447","ISSN":"03014207","journalAbbreviation":"Resources Policy","language":"en","page":"103447","source":"DOI.org (Crossref)","title":"Transition towards clean energy consumption in G7: Can financial sector, ICT and democracy help?","title-short":"Transition towards clean energy consumption in G7","volume":"82","author":[{"family":"Talan","given":"Amogh"},{"family":"Rao","given":"Amar"},{"family":"Sharma","given":"Gagan Deep"},{"family":"Apostu","given":"Simona-Andreea"},{"family":"Abbas","given":"Shujaat"}],"issued":{"date-parts":[["2023",5]]}}}],"schema":"https://github.com/citation-style-language/schema/raw/master/csl-citation.json"} </w:instrText>
      </w:r>
      <w:r w:rsidR="006F6095" w:rsidRPr="00950125">
        <w:rPr>
          <w:rFonts w:ascii="Times New Roman" w:eastAsia="Calibri" w:hAnsi="Times New Roman" w:cs="Times New Roman"/>
          <w:color w:val="1F1F1F"/>
          <w:sz w:val="24"/>
          <w:szCs w:val="24"/>
        </w:rPr>
        <w:fldChar w:fldCharType="separate"/>
      </w:r>
      <w:r w:rsidR="006F6095" w:rsidRPr="00950125">
        <w:rPr>
          <w:rFonts w:ascii="Times New Roman" w:hAnsi="Times New Roman" w:cs="Times New Roman"/>
          <w:sz w:val="24"/>
          <w:szCs w:val="24"/>
        </w:rPr>
        <w:t>(Talan et al., 2023)</w:t>
      </w:r>
      <w:r w:rsidR="006F6095" w:rsidRPr="00950125">
        <w:rPr>
          <w:rFonts w:ascii="Times New Roman" w:eastAsia="Calibri" w:hAnsi="Times New Roman" w:cs="Times New Roman"/>
          <w:color w:val="1F1F1F"/>
          <w:sz w:val="24"/>
          <w:szCs w:val="24"/>
        </w:rPr>
        <w:fldChar w:fldCharType="end"/>
      </w:r>
      <w:r w:rsidR="00FE45A8" w:rsidRPr="00950125">
        <w:rPr>
          <w:rFonts w:ascii="Times New Roman" w:eastAsia="Times New Roman" w:hAnsi="Times New Roman" w:cs="Times New Roman"/>
          <w:sz w:val="24"/>
          <w:szCs w:val="24"/>
        </w:rPr>
        <w:t xml:space="preserve">. This study </w:t>
      </w:r>
      <w:r w:rsidR="00702C12" w:rsidRPr="00950125">
        <w:rPr>
          <w:rFonts w:ascii="Times New Roman" w:eastAsia="Times New Roman" w:hAnsi="Times New Roman" w:cs="Times New Roman"/>
          <w:sz w:val="24"/>
          <w:szCs w:val="24"/>
        </w:rPr>
        <w:t>underlines the weight of a combined approach where ICT and IQ comply with each other to create a favorable environment for clean energy generation.</w:t>
      </w:r>
      <w:r w:rsidR="00FE45A8" w:rsidRPr="00950125">
        <w:rPr>
          <w:rFonts w:ascii="Times New Roman" w:eastAsia="Times New Roman" w:hAnsi="Times New Roman" w:cs="Times New Roman"/>
          <w:sz w:val="24"/>
          <w:szCs w:val="24"/>
        </w:rPr>
        <w:t xml:space="preserve"> </w:t>
      </w:r>
    </w:p>
    <w:p w14:paraId="4D4B3EB9" w14:textId="2D51B437" w:rsidR="00F6677E" w:rsidRPr="00950125" w:rsidRDefault="006B1E7E"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Political stability, trade openness and CO</w:t>
      </w:r>
      <w:r w:rsidRPr="00950125">
        <w:rPr>
          <w:rFonts w:ascii="Times New Roman" w:eastAsia="Times New Roman" w:hAnsi="Times New Roman" w:cs="Times New Roman"/>
          <w:sz w:val="24"/>
          <w:szCs w:val="24"/>
          <w:vertAlign w:val="subscript"/>
        </w:rPr>
        <w:t xml:space="preserve">2 </w:t>
      </w:r>
      <w:r w:rsidRPr="00950125">
        <w:rPr>
          <w:rFonts w:ascii="Times New Roman" w:eastAsia="Times New Roman" w:hAnsi="Times New Roman" w:cs="Times New Roman"/>
          <w:sz w:val="24"/>
          <w:szCs w:val="24"/>
        </w:rPr>
        <w:t>emission have statistically significant and negative impact on ren</w:t>
      </w:r>
      <w:r w:rsidR="006F6095" w:rsidRPr="00950125">
        <w:rPr>
          <w:rFonts w:ascii="Times New Roman" w:eastAsia="Times New Roman" w:hAnsi="Times New Roman" w:cs="Times New Roman"/>
          <w:sz w:val="24"/>
          <w:szCs w:val="24"/>
        </w:rPr>
        <w:t xml:space="preserve">ewable electricity development </w:t>
      </w:r>
      <w:r w:rsidR="006F6095" w:rsidRPr="00950125">
        <w:rPr>
          <w:rFonts w:ascii="Times New Roman" w:eastAsia="Times New Roman" w:hAnsi="Times New Roman" w:cs="Times New Roman"/>
          <w:sz w:val="24"/>
          <w:szCs w:val="24"/>
        </w:rPr>
        <w:fldChar w:fldCharType="begin"/>
      </w:r>
      <w:r w:rsidR="006F6095" w:rsidRPr="00950125">
        <w:rPr>
          <w:rFonts w:ascii="Times New Roman" w:eastAsia="Times New Roman" w:hAnsi="Times New Roman" w:cs="Times New Roman"/>
          <w:sz w:val="24"/>
          <w:szCs w:val="24"/>
        </w:rPr>
        <w:instrText xml:space="preserve"> ADDIN ZOTERO_ITEM CSL_CITATION {"citationID":"1m7Db08q","properties":{"formattedCitation":"(Saba &amp; Biyase, 2022)","plainCitation":"(Saba &amp; Biyase, 2022)","noteIndex":0},"citationItems":[{"id":42,"uris":["http://zotero.org/users/local/dRmf8XHr/items/CZI7IAB9"],"itemData":{"id":42,"type":"article-journal","container-title":"Energy Reports","DOI":"10.1016/j.egyr.2022.09.184","ISSN":"23524847","journalAbbreviation":"Energy Reports","language":"en","page":"13914-13938","source":"DOI.org (Crossref)","title":"Determinants of renewable electricity development in Europe: Do Governance indicators and institutional quality matter?","title-short":"Determinants of renewable electricity development in Europe","volume":"8","author":[{"family":"Saba","given":"Charles Shaaba"},{"family":"Biyase","given":"Mduduzi"}],"issued":{"date-parts":[["2022",11]]}}}],"schema":"https://github.com/citation-style-language/schema/raw/master/csl-citation.json"} </w:instrText>
      </w:r>
      <w:r w:rsidR="006F6095" w:rsidRPr="00950125">
        <w:rPr>
          <w:rFonts w:ascii="Times New Roman" w:eastAsia="Times New Roman" w:hAnsi="Times New Roman" w:cs="Times New Roman"/>
          <w:sz w:val="24"/>
          <w:szCs w:val="24"/>
        </w:rPr>
        <w:fldChar w:fldCharType="separate"/>
      </w:r>
      <w:r w:rsidR="006F6095" w:rsidRPr="00950125">
        <w:rPr>
          <w:rFonts w:ascii="Times New Roman" w:hAnsi="Times New Roman" w:cs="Times New Roman"/>
          <w:sz w:val="24"/>
          <w:szCs w:val="24"/>
        </w:rPr>
        <w:t>(Saba &amp; Biyase, 2022)</w:t>
      </w:r>
      <w:r w:rsidR="006F6095"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xml:space="preserve">. </w:t>
      </w:r>
      <w:r w:rsidR="00E53824" w:rsidRPr="00950125">
        <w:rPr>
          <w:rFonts w:ascii="Times New Roman" w:eastAsia="Times New Roman" w:hAnsi="Times New Roman" w:cs="Times New Roman"/>
          <w:sz w:val="24"/>
          <w:szCs w:val="24"/>
        </w:rPr>
        <w:t xml:space="preserve">Also, </w:t>
      </w:r>
      <w:r w:rsidR="00434769" w:rsidRPr="00950125">
        <w:rPr>
          <w:rFonts w:ascii="Times New Roman" w:eastAsia="Times New Roman" w:hAnsi="Times New Roman" w:cs="Times New Roman"/>
          <w:sz w:val="24"/>
          <w:szCs w:val="24"/>
        </w:rPr>
        <w:t xml:space="preserve">ICT’s effectiveness in promoting RETI (renewable energy technological innovation) is moderated by quality of institutions in place, which can hinder </w:t>
      </w:r>
      <w:r w:rsidR="006F6095" w:rsidRPr="00950125">
        <w:rPr>
          <w:rFonts w:ascii="Times New Roman" w:eastAsia="Times New Roman" w:hAnsi="Times New Roman" w:cs="Times New Roman"/>
          <w:sz w:val="24"/>
          <w:szCs w:val="24"/>
        </w:rPr>
        <w:t xml:space="preserve">the progress </w:t>
      </w:r>
      <w:r w:rsidR="006F6095" w:rsidRPr="00950125">
        <w:rPr>
          <w:rFonts w:ascii="Times New Roman" w:eastAsia="Times New Roman" w:hAnsi="Times New Roman" w:cs="Times New Roman"/>
          <w:sz w:val="24"/>
          <w:szCs w:val="24"/>
        </w:rPr>
        <w:fldChar w:fldCharType="begin"/>
      </w:r>
      <w:r w:rsidR="006F6095" w:rsidRPr="00950125">
        <w:rPr>
          <w:rFonts w:ascii="Times New Roman" w:eastAsia="Times New Roman" w:hAnsi="Times New Roman" w:cs="Times New Roman"/>
          <w:sz w:val="24"/>
          <w:szCs w:val="24"/>
        </w:rPr>
        <w:instrText xml:space="preserve"> ADDIN ZOTERO_ITEM CSL_CITATION {"citationID":"CWYAduvr","properties":{"formattedCitation":"(Ding et al., 2023)","plainCitation":"(Ding et al., 2023)","noteIndex":0},"citationItems":[{"id":47,"uris":["http://zotero.org/users/local/dRmf8XHr/items/U823HTPP"],"itemData":{"id":47,"type":"article-journal","container-title":"Renewable Energy","DOI":"10.1016/j.renene.2023.119344","ISSN":"09601481","journalAbbreviation":"Renewable Energy","language":"en","page":"119344","source":"DOI.org (Crossref)","title":"Internet development and renewable energy technological innovation: Does institutional quality matter?","title-short":"Internet development and renewable energy technological innovation","volume":"218","author":[{"family":"Ding","given":"Qian"},{"family":"Huang","given":"Jianbai"},{"family":"Chen","given":"Jinyu"},{"family":"Tao","given":"Dali"}],"issued":{"date-parts":[["2023",12]]}}}],"schema":"https://github.com/citation-style-language/schema/raw/master/csl-citation.json"} </w:instrText>
      </w:r>
      <w:r w:rsidR="006F6095" w:rsidRPr="00950125">
        <w:rPr>
          <w:rFonts w:ascii="Times New Roman" w:eastAsia="Times New Roman" w:hAnsi="Times New Roman" w:cs="Times New Roman"/>
          <w:sz w:val="24"/>
          <w:szCs w:val="24"/>
        </w:rPr>
        <w:fldChar w:fldCharType="separate"/>
      </w:r>
      <w:r w:rsidR="006F6095" w:rsidRPr="00950125">
        <w:rPr>
          <w:rFonts w:ascii="Times New Roman" w:hAnsi="Times New Roman" w:cs="Times New Roman"/>
          <w:sz w:val="24"/>
          <w:szCs w:val="24"/>
        </w:rPr>
        <w:t>(Ding et al., 2023)</w:t>
      </w:r>
      <w:r w:rsidR="006F6095" w:rsidRPr="00950125">
        <w:rPr>
          <w:rFonts w:ascii="Times New Roman" w:eastAsia="Times New Roman" w:hAnsi="Times New Roman" w:cs="Times New Roman"/>
          <w:sz w:val="24"/>
          <w:szCs w:val="24"/>
        </w:rPr>
        <w:fldChar w:fldCharType="end"/>
      </w:r>
      <w:r w:rsidR="00434769" w:rsidRPr="00950125">
        <w:rPr>
          <w:rFonts w:ascii="Times New Roman" w:eastAsia="Times New Roman" w:hAnsi="Times New Roman" w:cs="Times New Roman"/>
          <w:sz w:val="24"/>
          <w:szCs w:val="24"/>
        </w:rPr>
        <w:t>.</w:t>
      </w:r>
      <w:r w:rsidR="00E53824" w:rsidRPr="00950125">
        <w:rPr>
          <w:rFonts w:ascii="Times New Roman" w:eastAsia="Times New Roman" w:hAnsi="Times New Roman" w:cs="Times New Roman"/>
          <w:sz w:val="24"/>
          <w:szCs w:val="24"/>
        </w:rPr>
        <w:t xml:space="preserve"> Furthermore, e</w:t>
      </w:r>
      <w:r w:rsidR="00F6677E" w:rsidRPr="00950125">
        <w:rPr>
          <w:rFonts w:ascii="Times New Roman" w:eastAsia="Times New Roman" w:hAnsi="Times New Roman" w:cs="Times New Roman"/>
          <w:sz w:val="24"/>
          <w:szCs w:val="24"/>
        </w:rPr>
        <w:t>conomic globalization and political risk are negatively associated with renewable energy consumption in the long run in OE</w:t>
      </w:r>
      <w:r w:rsidR="006F6095" w:rsidRPr="00950125">
        <w:rPr>
          <w:rFonts w:ascii="Times New Roman" w:eastAsia="Times New Roman" w:hAnsi="Times New Roman" w:cs="Times New Roman"/>
          <w:sz w:val="24"/>
          <w:szCs w:val="24"/>
        </w:rPr>
        <w:t xml:space="preserve">CG countries </w:t>
      </w:r>
      <w:r w:rsidR="006F6095" w:rsidRPr="00950125">
        <w:rPr>
          <w:rFonts w:ascii="Times New Roman" w:eastAsia="Times New Roman" w:hAnsi="Times New Roman" w:cs="Times New Roman"/>
          <w:sz w:val="24"/>
          <w:szCs w:val="24"/>
        </w:rPr>
        <w:fldChar w:fldCharType="begin"/>
      </w:r>
      <w:r w:rsidR="0080249B" w:rsidRPr="00950125">
        <w:rPr>
          <w:rFonts w:ascii="Times New Roman" w:eastAsia="Times New Roman" w:hAnsi="Times New Roman" w:cs="Times New Roman"/>
          <w:sz w:val="24"/>
          <w:szCs w:val="24"/>
        </w:rPr>
        <w:instrText xml:space="preserve"> ADDIN ZOTERO_ITEM CSL_CITATION {"citationID":"nOWArVj4","properties":{"formattedCitation":"(E. Wang et al., 2022)","plainCitation":"(E. Wang et al., 2022)","noteIndex":0},"citationItems":[{"id":37,"uris":["http://zotero.org/users/local/dRmf8XHr/items/SAYAUU7Z"],"itemData":{"id":37,"type":"article-journal","container-title":"Resources Policy","DOI":"10.1016/j.resourpol.2022.103041","ISSN":"03014207","journalAbbreviation":"Resources Policy","language":"en","page":"103041","source":"DOI.org (Crossref)","title":"Effects of institutional quality and political risk on the renewable energy consumption in the OECD countries","volume":"79","author":[{"family":"Wang","given":"Erhong"},{"family":"Gozgor","given":"Giray"},{"family":"Mahalik","given":"Mantu Kumar"},{"family":"Patel","given":"Gupteswar"},{"family":"Hu","given":"Guoheng"}],"issued":{"date-parts":[["2022",12]]}}}],"schema":"https://github.com/citation-style-language/schema/raw/master/csl-citation.json"} </w:instrText>
      </w:r>
      <w:r w:rsidR="006F6095" w:rsidRPr="00950125">
        <w:rPr>
          <w:rFonts w:ascii="Times New Roman" w:eastAsia="Times New Roman" w:hAnsi="Times New Roman" w:cs="Times New Roman"/>
          <w:sz w:val="24"/>
          <w:szCs w:val="24"/>
        </w:rPr>
        <w:fldChar w:fldCharType="separate"/>
      </w:r>
      <w:r w:rsidR="0080249B" w:rsidRPr="00950125">
        <w:rPr>
          <w:rFonts w:ascii="Times New Roman" w:hAnsi="Times New Roman" w:cs="Times New Roman"/>
          <w:sz w:val="24"/>
        </w:rPr>
        <w:t>(E. Wang et al., 2022)</w:t>
      </w:r>
      <w:r w:rsidR="006F6095" w:rsidRPr="00950125">
        <w:rPr>
          <w:rFonts w:ascii="Times New Roman" w:eastAsia="Times New Roman" w:hAnsi="Times New Roman" w:cs="Times New Roman"/>
          <w:sz w:val="24"/>
          <w:szCs w:val="24"/>
        </w:rPr>
        <w:fldChar w:fldCharType="end"/>
      </w:r>
      <w:r w:rsidR="00F6677E" w:rsidRPr="00950125">
        <w:rPr>
          <w:rFonts w:ascii="Times New Roman" w:eastAsia="Times New Roman" w:hAnsi="Times New Roman" w:cs="Times New Roman"/>
          <w:sz w:val="24"/>
          <w:szCs w:val="24"/>
        </w:rPr>
        <w:t xml:space="preserve"> whereas, economic growth negatively affects renewable energy in 38</w:t>
      </w:r>
      <w:r w:rsidR="006F6095" w:rsidRPr="00950125">
        <w:rPr>
          <w:rFonts w:ascii="Times New Roman" w:eastAsia="Times New Roman" w:hAnsi="Times New Roman" w:cs="Times New Roman"/>
          <w:sz w:val="24"/>
          <w:szCs w:val="24"/>
        </w:rPr>
        <w:t xml:space="preserve"> emerging economies studied by </w:t>
      </w:r>
      <w:r w:rsidR="006F6095" w:rsidRPr="00950125">
        <w:rPr>
          <w:rFonts w:ascii="Times New Roman" w:eastAsia="Times New Roman" w:hAnsi="Times New Roman" w:cs="Times New Roman"/>
          <w:sz w:val="24"/>
          <w:szCs w:val="24"/>
        </w:rPr>
        <w:fldChar w:fldCharType="begin"/>
      </w:r>
      <w:r w:rsidR="006F6095" w:rsidRPr="00950125">
        <w:rPr>
          <w:rFonts w:ascii="Times New Roman" w:eastAsia="Times New Roman" w:hAnsi="Times New Roman" w:cs="Times New Roman"/>
          <w:sz w:val="24"/>
          <w:szCs w:val="24"/>
        </w:rPr>
        <w:instrText xml:space="preserve"> ADDIN ZOTERO_ITEM CSL_CITATION {"citationID":"zasGDqxn","properties":{"formattedCitation":"(Uzar, 2020)","plainCitation":"(Uzar, 2020)","noteIndex":0},"citationItems":[{"id":38,"uris":["http://zotero.org/users/local/dRmf8XHr/items/77WR97E7"],"itemData":{"id":38,"type":"article-journal","container-title":"Renewable Energy","DOI":"10.1016/j.renene.2020.03.172","ISSN":"09601481","journalAbbreviation":"Renewable Energy","language":"en","page":"591-603","source":"DOI.org (Crossref)","title":"Political economy of renewable energy: Does institutional quality make a difference in renewable energy consumption?","title-short":"Political economy of renewable energy","volume":"155","author":[{"family":"Uzar","given":"Umut"}],"issued":{"date-parts":[["2020",8]]}}}],"schema":"https://github.com/citation-style-language/schema/raw/master/csl-citation.json"} </w:instrText>
      </w:r>
      <w:r w:rsidR="006F6095" w:rsidRPr="00950125">
        <w:rPr>
          <w:rFonts w:ascii="Times New Roman" w:eastAsia="Times New Roman" w:hAnsi="Times New Roman" w:cs="Times New Roman"/>
          <w:sz w:val="24"/>
          <w:szCs w:val="24"/>
        </w:rPr>
        <w:fldChar w:fldCharType="separate"/>
      </w:r>
      <w:r w:rsidR="006F6095" w:rsidRPr="00950125">
        <w:rPr>
          <w:rFonts w:ascii="Times New Roman" w:hAnsi="Times New Roman" w:cs="Times New Roman"/>
          <w:sz w:val="24"/>
          <w:szCs w:val="24"/>
        </w:rPr>
        <w:t>(Uzar, 2020)</w:t>
      </w:r>
      <w:r w:rsidR="006F6095" w:rsidRPr="00950125">
        <w:rPr>
          <w:rFonts w:ascii="Times New Roman" w:eastAsia="Times New Roman" w:hAnsi="Times New Roman" w:cs="Times New Roman"/>
          <w:sz w:val="24"/>
          <w:szCs w:val="24"/>
        </w:rPr>
        <w:fldChar w:fldCharType="end"/>
      </w:r>
      <w:r w:rsidR="00F6677E" w:rsidRPr="00950125">
        <w:rPr>
          <w:rFonts w:ascii="Times New Roman" w:eastAsia="Times New Roman" w:hAnsi="Times New Roman" w:cs="Times New Roman"/>
          <w:sz w:val="24"/>
          <w:szCs w:val="24"/>
        </w:rPr>
        <w:t>.</w:t>
      </w:r>
    </w:p>
    <w:p w14:paraId="5AB2136D" w14:textId="77777777" w:rsidR="00423160" w:rsidRPr="00950125" w:rsidRDefault="006B1E7E"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lastRenderedPageBreak/>
        <w:t xml:space="preserve">Real GDP per capita, financial development, trade openness does not have any significant impact on renewable energy development </w:t>
      </w:r>
      <w:r w:rsidR="00F30895" w:rsidRPr="00950125">
        <w:rPr>
          <w:rFonts w:ascii="Times New Roman" w:eastAsia="Times New Roman" w:hAnsi="Times New Roman" w:cs="Times New Roman"/>
          <w:sz w:val="24"/>
          <w:szCs w:val="24"/>
        </w:rPr>
        <w:t>in the European countries</w:t>
      </w:r>
      <w:r w:rsidR="00811F16" w:rsidRPr="00950125">
        <w:rPr>
          <w:rFonts w:ascii="Times New Roman" w:eastAsia="Times New Roman" w:hAnsi="Times New Roman" w:cs="Times New Roman"/>
          <w:sz w:val="24"/>
          <w:szCs w:val="24"/>
        </w:rPr>
        <w:t xml:space="preserve"> </w:t>
      </w:r>
      <w:r w:rsidR="00423160" w:rsidRPr="00950125">
        <w:rPr>
          <w:rFonts w:ascii="Times New Roman" w:eastAsia="Times New Roman" w:hAnsi="Times New Roman" w:cs="Times New Roman"/>
          <w:sz w:val="24"/>
          <w:szCs w:val="24"/>
        </w:rPr>
        <w:fldChar w:fldCharType="begin"/>
      </w:r>
      <w:r w:rsidR="00423160" w:rsidRPr="00950125">
        <w:rPr>
          <w:rFonts w:ascii="Times New Roman" w:eastAsia="Times New Roman" w:hAnsi="Times New Roman" w:cs="Times New Roman"/>
          <w:sz w:val="24"/>
          <w:szCs w:val="24"/>
        </w:rPr>
        <w:instrText xml:space="preserve"> ADDIN ZOTERO_ITEM CSL_CITATION {"citationID":"rLmGX3Z8","properties":{"formattedCitation":"(Saba &amp; Biyase, 2022)","plainCitation":"(Saba &amp; Biyase, 2022)","noteIndex":0},"citationItems":[{"id":42,"uris":["http://zotero.org/users/local/dRmf8XHr/items/CZI7IAB9"],"itemData":{"id":42,"type":"article-journal","container-title":"Energy Reports","DOI":"10.1016/j.egyr.2022.09.184","ISSN":"23524847","journalAbbreviation":"Energy Reports","language":"en","page":"13914-13938","source":"DOI.org (Crossref)","title":"Determinants of renewable electricity development in Europe: Do Governance indicators and institutional quality matter?","title-short":"Determinants of renewable electricity development in Europe","volume":"8","author":[{"family":"Saba","given":"Charles Shaaba"},{"family":"Biyase","given":"Mduduzi"}],"issued":{"date-parts":[["2022",11]]}}}],"schema":"https://github.com/citation-style-language/schema/raw/master/csl-citation.json"} </w:instrText>
      </w:r>
      <w:r w:rsidR="00423160" w:rsidRPr="00950125">
        <w:rPr>
          <w:rFonts w:ascii="Times New Roman" w:eastAsia="Times New Roman" w:hAnsi="Times New Roman" w:cs="Times New Roman"/>
          <w:sz w:val="24"/>
          <w:szCs w:val="24"/>
        </w:rPr>
        <w:fldChar w:fldCharType="separate"/>
      </w:r>
      <w:r w:rsidR="00423160" w:rsidRPr="00950125">
        <w:rPr>
          <w:rFonts w:ascii="Times New Roman" w:eastAsia="Times New Roman" w:hAnsi="Times New Roman" w:cs="Times New Roman"/>
          <w:sz w:val="24"/>
          <w:szCs w:val="24"/>
        </w:rPr>
        <w:t>(Saba &amp; Biyase, 2022)</w:t>
      </w:r>
      <w:r w:rsidR="00423160"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w:t>
      </w:r>
      <w:r w:rsidR="00F30895" w:rsidRPr="00950125">
        <w:rPr>
          <w:rFonts w:ascii="Times New Roman" w:eastAsia="Times New Roman" w:hAnsi="Times New Roman" w:cs="Times New Roman"/>
          <w:sz w:val="24"/>
          <w:szCs w:val="24"/>
        </w:rPr>
        <w:t xml:space="preserve"> Transition toward renewable energy in the developing countries aren’t significantly affected by Institutional quality indicators like government effectiveness, regulatory quality, rule of law, voice and accountability has been found by the empirical result of Chow test, Lagrange multiplier test, Hausman test </w:t>
      </w:r>
      <w:r w:rsidR="00423160" w:rsidRPr="00950125">
        <w:rPr>
          <w:rFonts w:ascii="Times New Roman" w:eastAsia="Times New Roman" w:hAnsi="Times New Roman" w:cs="Times New Roman"/>
          <w:sz w:val="24"/>
          <w:szCs w:val="24"/>
        </w:rPr>
        <w:fldChar w:fldCharType="begin"/>
      </w:r>
      <w:r w:rsidR="00423160" w:rsidRPr="00950125">
        <w:rPr>
          <w:rFonts w:ascii="Times New Roman" w:eastAsia="Times New Roman" w:hAnsi="Times New Roman" w:cs="Times New Roman"/>
          <w:sz w:val="24"/>
          <w:szCs w:val="24"/>
        </w:rPr>
        <w:instrText xml:space="preserve"> ADDIN ZOTERO_ITEM CSL_CITATION {"citationID":"itiKozjK","properties":{"formattedCitation":"(Satrianto et al., 2024)","plainCitation":"(Satrianto et al., 2024)","noteIndex":0},"citationItems":[{"id":40,"uris":["http://zotero.org/users/local/dRmf8XHr/items/VR64FBA2"],"itemData":{"id":40,"type":"article-journal","abstract":"Renewable energy has changed the development paradigm by prioritizing environmental sustainability in every stage of the country development. Therefore, this research specifically provides an overview of how the institutional quality is used as a basis for policy in developing countries. The research results show that the institutional quality with indicators of government effectiveness, voice and accountability have a significant effect, while regulatory quality and rule of law do not have a significant effect on renewable energy. Then, tax revenue, foreign direct investment, domestic credit have a significant effect, but government expenditure does not have a significant effect on renewable energy. These results are proof that every country must have strong quality institutions with a clear and comprehensive policy scheme considering that energy transition targets are not carried out easily, so they require large amounts of financing, especially from the private sector. The government fiscal space tends to be narrow, which is an obstacle in developing countries in allocating costs for the energy transition, so it must be directed at financing strategies contained in appropriate policies.","container-title":"International Journal of Energy Economics and Policy","DOI":"10.32479/ijeep.16794","ISSN":"2146-4553","issue":"5","journalAbbreviation":"IJEEP","page":"678-686","source":"DOI.org (Crossref)","title":"The Effect of Institutional Quality on Renewable Energy: Evidence from Developing Countries","title-short":"The Effect of Institutional Quality on Renewable Energy","volume":"14","author":[{"family":"Satrianto","given":"Alpon"},{"family":"Ikhsan","given":"Akmil"},{"family":"Dirma","given":"Evo Yunanda"},{"family":"Candrianto","given":"Candrianto"},{"family":"Juniardi","given":"Egy"},{"family":"Gusti","given":"Mia Ayu"}],"issued":{"date-parts":[["2024",9,7]]}}}],"schema":"https://github.com/citation-style-language/schema/raw/master/csl-citation.json"} </w:instrText>
      </w:r>
      <w:r w:rsidR="00423160" w:rsidRPr="00950125">
        <w:rPr>
          <w:rFonts w:ascii="Times New Roman" w:eastAsia="Times New Roman" w:hAnsi="Times New Roman" w:cs="Times New Roman"/>
          <w:sz w:val="24"/>
          <w:szCs w:val="24"/>
        </w:rPr>
        <w:fldChar w:fldCharType="separate"/>
      </w:r>
      <w:r w:rsidR="00423160" w:rsidRPr="00950125">
        <w:rPr>
          <w:rFonts w:ascii="Times New Roman" w:eastAsia="Times New Roman" w:hAnsi="Times New Roman" w:cs="Times New Roman"/>
          <w:sz w:val="24"/>
          <w:szCs w:val="24"/>
        </w:rPr>
        <w:t>(Satrianto et al., 2024)</w:t>
      </w:r>
      <w:r w:rsidR="00423160" w:rsidRPr="00950125">
        <w:rPr>
          <w:rFonts w:ascii="Times New Roman" w:eastAsia="Times New Roman" w:hAnsi="Times New Roman" w:cs="Times New Roman"/>
          <w:sz w:val="24"/>
          <w:szCs w:val="24"/>
        </w:rPr>
        <w:fldChar w:fldCharType="end"/>
      </w:r>
      <w:r w:rsidR="00F30895" w:rsidRPr="00950125">
        <w:rPr>
          <w:rFonts w:ascii="Times New Roman" w:eastAsia="Times New Roman" w:hAnsi="Times New Roman" w:cs="Times New Roman"/>
          <w:sz w:val="24"/>
          <w:szCs w:val="24"/>
        </w:rPr>
        <w:t>.</w:t>
      </w:r>
    </w:p>
    <w:p w14:paraId="7CA01CBA" w14:textId="3A104125" w:rsidR="00AD70DF" w:rsidRPr="00950125" w:rsidRDefault="008B11CD" w:rsidP="00D46E36">
      <w:pPr>
        <w:spacing w:after="0"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Sustainable Development Goal 13 (Climate Action) stresses how important it is to act quickly to stop climate change. An increasing amount of research looks into the relationship between economic activity, technology, and sustainability. This research gives us useful ideas about how innovation, energy transitions, and policy can help the climate become more resilient. </w:t>
      </w:r>
      <w:r w:rsidR="00AD70DF" w:rsidRPr="00950125">
        <w:rPr>
          <w:rFonts w:ascii="Times New Roman" w:eastAsia="Times New Roman" w:hAnsi="Times New Roman" w:cs="Times New Roman"/>
          <w:sz w:val="24"/>
          <w:szCs w:val="24"/>
        </w:rPr>
        <w:t>These studies provide data to support the inclusion of climate targets in national development programs and deepen our understanding of environmental challenges.</w:t>
      </w:r>
    </w:p>
    <w:p w14:paraId="257B0D7F" w14:textId="31210A5D" w:rsidR="001A0F1D" w:rsidRPr="00950125" w:rsidRDefault="00423160"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The findings across studies consistently </w:t>
      </w:r>
      <w:r w:rsidR="00A4588F" w:rsidRPr="00950125">
        <w:rPr>
          <w:rFonts w:ascii="Times New Roman" w:eastAsia="Times New Roman" w:hAnsi="Times New Roman" w:cs="Times New Roman"/>
          <w:sz w:val="24"/>
          <w:szCs w:val="24"/>
        </w:rPr>
        <w:t>shows that the effectiveness of environmental outcomes d</w:t>
      </w:r>
      <w:r w:rsidR="00694607" w:rsidRPr="00950125">
        <w:rPr>
          <w:rFonts w:ascii="Times New Roman" w:eastAsia="Times New Roman" w:hAnsi="Times New Roman" w:cs="Times New Roman"/>
          <w:sz w:val="24"/>
          <w:szCs w:val="24"/>
        </w:rPr>
        <w:t xml:space="preserve">epends largely on how well green and economic policies are designed, their underlying purpose, and how strictly they are enforced. </w:t>
      </w:r>
      <w:r w:rsidR="00993C1D" w:rsidRPr="00950125">
        <w:rPr>
          <w:rFonts w:ascii="Times New Roman" w:eastAsia="Times New Roman" w:hAnsi="Times New Roman" w:cs="Times New Roman"/>
          <w:sz w:val="24"/>
          <w:szCs w:val="24"/>
        </w:rPr>
        <w:t>Without the right institutional quality, environmental readiness, and societal readiness, promoting trade openness, ICT innovation, or green financing alone will not improve ecological health, as shown by better load capacity factors.</w:t>
      </w:r>
    </w:p>
    <w:p w14:paraId="7CC199C6" w14:textId="77777777" w:rsidR="002B1739" w:rsidRPr="00950125" w:rsidRDefault="002B1739"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A study conducted by using novel quantile-based approaches demonstrated that the energy transition</w:t>
      </w:r>
      <w:r w:rsidR="00133AE8" w:rsidRPr="00950125">
        <w:rPr>
          <w:rFonts w:ascii="Times New Roman" w:eastAsia="Times New Roman" w:hAnsi="Times New Roman" w:cs="Times New Roman"/>
          <w:sz w:val="24"/>
          <w:szCs w:val="24"/>
        </w:rPr>
        <w:t xml:space="preserve"> significantly improved LCF across different quantiles, with the strongest effects seen in the middle quantiles</w:t>
      </w:r>
      <w:r w:rsidR="00BC2A16" w:rsidRPr="00950125">
        <w:rPr>
          <w:rFonts w:ascii="Times New Roman" w:eastAsia="Times New Roman" w:hAnsi="Times New Roman" w:cs="Times New Roman"/>
          <w:sz w:val="24"/>
          <w:szCs w:val="24"/>
        </w:rPr>
        <w:t xml:space="preserve"> </w:t>
      </w:r>
      <w:r w:rsidR="00BC2A16" w:rsidRPr="00950125">
        <w:rPr>
          <w:rFonts w:ascii="Times New Roman" w:eastAsia="Times New Roman" w:hAnsi="Times New Roman" w:cs="Times New Roman"/>
          <w:sz w:val="24"/>
          <w:szCs w:val="24"/>
        </w:rPr>
        <w:fldChar w:fldCharType="begin"/>
      </w:r>
      <w:r w:rsidR="00BC2A16" w:rsidRPr="00950125">
        <w:rPr>
          <w:rFonts w:ascii="Times New Roman" w:eastAsia="Times New Roman" w:hAnsi="Times New Roman" w:cs="Times New Roman"/>
          <w:sz w:val="24"/>
          <w:szCs w:val="24"/>
        </w:rPr>
        <w:instrText xml:space="preserve"> ADDIN ZOTERO_ITEM CSL_CITATION {"citationID":"6JmkPZzL","properties":{"formattedCitation":"(Ozkan et al., 2024)","plainCitation":"(Ozkan et al., 2024)","noteIndex":0},"citationItems":[{"id":50,"uris":["http://zotero.org/users/local/dRmf8XHr/items/JIHT2V2Q"],"itemData":{"id":50,"type":"article-journal","container-title":"International Journal of Sustainable Development &amp; World Ecology","DOI":"10.1080/13504509.2024.2329224","ISSN":"1350-4509, 1745-2627","issue":"6","journalAbbreviation":"International Journal of Sustainable Development &amp; World Ecology","language":"en","page":"707-725","source":"DOI.org (Crossref)","title":"Evaluating the nexus between energy transition and load capacity factor in Germany: evidence from novel quantile-based approaches","title-short":"Evaluating the nexus between energy transition and load capacity factor in Germany","volume":"31","author":[{"family":"Ozkan","given":"Oktay"},{"family":"Destek","given":"Mehmet Akif"},{"family":"Aydin","given":"Sercan"}],"issued":{"date-parts":[["2024",8,17]]}}}],"schema":"https://github.com/citation-style-language/schema/raw/master/csl-citation.json"} </w:instrText>
      </w:r>
      <w:r w:rsidR="00BC2A16" w:rsidRPr="00950125">
        <w:rPr>
          <w:rFonts w:ascii="Times New Roman" w:eastAsia="Times New Roman" w:hAnsi="Times New Roman" w:cs="Times New Roman"/>
          <w:sz w:val="24"/>
          <w:szCs w:val="24"/>
        </w:rPr>
        <w:fldChar w:fldCharType="separate"/>
      </w:r>
      <w:r w:rsidR="00BC2A16" w:rsidRPr="00950125">
        <w:rPr>
          <w:rFonts w:ascii="Times New Roman" w:eastAsia="Times New Roman" w:hAnsi="Times New Roman" w:cs="Times New Roman"/>
          <w:sz w:val="24"/>
          <w:szCs w:val="24"/>
        </w:rPr>
        <w:t>(Ozkan et al., 2024)</w:t>
      </w:r>
      <w:r w:rsidR="00BC2A16" w:rsidRPr="00950125">
        <w:rPr>
          <w:rFonts w:ascii="Times New Roman" w:eastAsia="Times New Roman" w:hAnsi="Times New Roman" w:cs="Times New Roman"/>
          <w:sz w:val="24"/>
          <w:szCs w:val="24"/>
        </w:rPr>
        <w:fldChar w:fldCharType="end"/>
      </w:r>
      <w:r w:rsidR="00133AE8" w:rsidRPr="00950125">
        <w:rPr>
          <w:rFonts w:ascii="Times New Roman" w:eastAsia="Times New Roman" w:hAnsi="Times New Roman" w:cs="Times New Roman"/>
          <w:sz w:val="24"/>
          <w:szCs w:val="24"/>
        </w:rPr>
        <w:t>. The findings of this study suggests that countries making moderate progress in environmental quality tend to be</w:t>
      </w:r>
      <w:r w:rsidR="00BC2A16" w:rsidRPr="00950125">
        <w:rPr>
          <w:rFonts w:ascii="Times New Roman" w:eastAsia="Times New Roman" w:hAnsi="Times New Roman" w:cs="Times New Roman"/>
          <w:sz w:val="24"/>
          <w:szCs w:val="24"/>
        </w:rPr>
        <w:t xml:space="preserve">nefit the most. Likewise, </w:t>
      </w:r>
      <w:r w:rsidR="000063EA" w:rsidRPr="00950125">
        <w:rPr>
          <w:rFonts w:ascii="Times New Roman" w:eastAsia="Times New Roman" w:hAnsi="Times New Roman" w:cs="Times New Roman"/>
          <w:sz w:val="24"/>
          <w:szCs w:val="24"/>
        </w:rPr>
        <w:t>another study found that both economic freedom and renewable energy positively influenced LCF in OECD countries, in particular, the impact of economic freedom was more pronounced in countries with already high LCF levels, implying that institutional maturity plays a crucial role in enhancing environmental resilience</w:t>
      </w:r>
      <w:r w:rsidR="00995862" w:rsidRPr="00950125">
        <w:rPr>
          <w:rFonts w:ascii="Times New Roman" w:eastAsia="Times New Roman" w:hAnsi="Times New Roman" w:cs="Times New Roman"/>
          <w:sz w:val="24"/>
          <w:szCs w:val="24"/>
        </w:rPr>
        <w:t xml:space="preserve"> </w:t>
      </w:r>
      <w:r w:rsidR="00995862" w:rsidRPr="00950125">
        <w:rPr>
          <w:rFonts w:ascii="Times New Roman" w:eastAsia="Times New Roman" w:hAnsi="Times New Roman" w:cs="Times New Roman"/>
          <w:sz w:val="24"/>
          <w:szCs w:val="24"/>
        </w:rPr>
        <w:fldChar w:fldCharType="begin"/>
      </w:r>
      <w:r w:rsidR="00995862" w:rsidRPr="00950125">
        <w:rPr>
          <w:rFonts w:ascii="Times New Roman" w:eastAsia="Times New Roman" w:hAnsi="Times New Roman" w:cs="Times New Roman"/>
          <w:sz w:val="24"/>
          <w:szCs w:val="24"/>
        </w:rPr>
        <w:instrText xml:space="preserve"> ADDIN ZOTERO_ITEM CSL_CITATION {"citationID":"H754y9c0","properties":{"formattedCitation":"(\\uc0\\u304{}mamo\\uc0\\u287{}lu &amp; \\uc0\\u214{}zdemir, 2023)","plainCitation":"(İmamoğlu &amp; Özdemir, 2023)","noteIndex":0},"citationItems":[{"id":63,"uris":["http://zotero.org/users/local/dRmf8XHr/items/ISVIKZ6M"],"itemData":{"id":63,"type":"article-journal","abstract":"Ülkeler arası gelir farklılıkları iktisat biliminin temel inceleme alanına girmektedir. Ülkeler arasındaki bu farklılıkları yönlendiren unsurların ele alınması ülkelerin ekonomik yönden büyüyebilmesi ve kalkınabilmesi için anahtar faktörlerin belirlenmesi sürdürülebilir büyümenin tesis edilmesine katkı sağlayacaktır. Bu nedenle çalışmada, gelişmiş ve gelişmekte olan üst orta ve alt orta gelirli ülkelerde 2006-2017 dönemi için yönetişim, inovasyon ve ekonomik büyüme arasındaki ilişki incelenmiştir. Çalışmada ele alınan değişkenler arasındaki ilişki panel veri varsayımlarındaki sapmalara karşı dirençli bir tahminci olan Driscoll-Kraay tahmincisiyle test edilmiştir.  Elde edilen sonuçlara göre; her üç ülke grubunda yönetişim ile büyüme arasında pozitif ve anlamlı bir ilişki, inovasyon ile büyüme arasında ise yalnızca gelişmekte olan üst orta gelirli ülkelerde pozitif ve anlamlı bir ilişki olduğu sonucuna ulaşılmıştır. Gelişmiş ve gelişmekte olan alt orta gelirli ülkelerde ise inovasyon ve büyüme arasında herhangi bir anlamlı ilişki tespit edilememiştir. Ayrıca yönetişim ve inovasyon ve büyüme ilişkisindeki aracılık etkisinin test edildiği araştırma modelinde ise her üç ülke grubunda da yönetişim ve inovasyonun büyüme üzerinde pozitif ve anlamlı bir etkisinin olduğu sonucuna ulaşılmıştır","container-title":"Külliye","DOI":"10.48139/aybukulliye.1262308","ISSN":"2717-7351","source":"DOI.org (Crossref)","title":"Yönetişim, İnovasyon ve Ekonomik Büyüme Arasındaki İlişkiler: Gelişmiş ve Gelişmekte Olan Ülke Örnekleri","title-short":"Yönetişim, İnovasyon ve Ekonomik Büyüme Arasındaki İlişkiler","URL":"http://dergipark.org.tr/tr/doi/10.48139/aybukulliye.1262308","author":[{"family":"İmamoğlu","given":"İlyas Kays"},{"family":"Özdemir","given":"Dilek"}],"accessed":{"date-parts":[["2025",5,10]]},"issued":{"date-parts":[["2023",3,17]]}}}],"schema":"https://github.com/citation-style-language/schema/raw/master/csl-citation.json"} </w:instrText>
      </w:r>
      <w:r w:rsidR="00995862" w:rsidRPr="00950125">
        <w:rPr>
          <w:rFonts w:ascii="Times New Roman" w:eastAsia="Times New Roman" w:hAnsi="Times New Roman" w:cs="Times New Roman"/>
          <w:sz w:val="24"/>
          <w:szCs w:val="24"/>
        </w:rPr>
        <w:fldChar w:fldCharType="separate"/>
      </w:r>
      <w:r w:rsidR="00995862" w:rsidRPr="00950125">
        <w:rPr>
          <w:rFonts w:ascii="Times New Roman" w:eastAsia="Times New Roman" w:hAnsi="Times New Roman" w:cs="Times New Roman"/>
          <w:sz w:val="24"/>
          <w:szCs w:val="24"/>
        </w:rPr>
        <w:t>(İmamoğlu &amp; Özdemir, 2023)</w:t>
      </w:r>
      <w:r w:rsidR="00995862" w:rsidRPr="00950125">
        <w:rPr>
          <w:rFonts w:ascii="Times New Roman" w:eastAsia="Times New Roman" w:hAnsi="Times New Roman" w:cs="Times New Roman"/>
          <w:sz w:val="24"/>
          <w:szCs w:val="24"/>
        </w:rPr>
        <w:fldChar w:fldCharType="end"/>
      </w:r>
      <w:r w:rsidR="000063EA" w:rsidRPr="00950125">
        <w:rPr>
          <w:rFonts w:ascii="Times New Roman" w:eastAsia="Times New Roman" w:hAnsi="Times New Roman" w:cs="Times New Roman"/>
          <w:sz w:val="24"/>
          <w:szCs w:val="24"/>
        </w:rPr>
        <w:t xml:space="preserve">. </w:t>
      </w:r>
      <w:r w:rsidR="001B789A" w:rsidRPr="00950125">
        <w:rPr>
          <w:rFonts w:ascii="Times New Roman" w:eastAsia="Times New Roman" w:hAnsi="Times New Roman" w:cs="Times New Roman"/>
          <w:sz w:val="24"/>
          <w:szCs w:val="24"/>
        </w:rPr>
        <w:t>Interestingly, the effects of economic freedom were more noticeable in nations with high levels of LCF already, suggesting that institutional maturity is essential for improving environmental resilience. Although trade openness seemed inconsequential in the</w:t>
      </w:r>
      <w:r w:rsidR="00995862" w:rsidRPr="00950125">
        <w:rPr>
          <w:rFonts w:ascii="Times New Roman" w:eastAsia="Times New Roman" w:hAnsi="Times New Roman" w:cs="Times New Roman"/>
          <w:sz w:val="24"/>
          <w:szCs w:val="24"/>
        </w:rPr>
        <w:t xml:space="preserve"> near term, a research finding</w:t>
      </w:r>
      <w:r w:rsidR="001B789A" w:rsidRPr="00950125">
        <w:rPr>
          <w:rFonts w:ascii="Times New Roman" w:eastAsia="Times New Roman" w:hAnsi="Times New Roman" w:cs="Times New Roman"/>
          <w:sz w:val="24"/>
          <w:szCs w:val="24"/>
        </w:rPr>
        <w:t xml:space="preserve"> highlighted that renewable energy and trade openness had a favorable long-term impact on LCF in the Latin American environment</w:t>
      </w:r>
      <w:r w:rsidR="00995862" w:rsidRPr="00950125">
        <w:rPr>
          <w:rFonts w:ascii="Times New Roman" w:eastAsia="Times New Roman" w:hAnsi="Times New Roman" w:cs="Times New Roman"/>
          <w:sz w:val="24"/>
          <w:szCs w:val="24"/>
        </w:rPr>
        <w:t xml:space="preserve"> </w:t>
      </w:r>
      <w:r w:rsidR="00995862" w:rsidRPr="00950125">
        <w:rPr>
          <w:rFonts w:ascii="Times New Roman" w:eastAsia="Times New Roman" w:hAnsi="Times New Roman" w:cs="Times New Roman"/>
          <w:sz w:val="24"/>
          <w:szCs w:val="24"/>
        </w:rPr>
        <w:fldChar w:fldCharType="begin"/>
      </w:r>
      <w:r w:rsidR="00995862" w:rsidRPr="00950125">
        <w:rPr>
          <w:rFonts w:ascii="Times New Roman" w:eastAsia="Times New Roman" w:hAnsi="Times New Roman" w:cs="Times New Roman"/>
          <w:sz w:val="24"/>
          <w:szCs w:val="24"/>
        </w:rPr>
        <w:instrText xml:space="preserve"> ADDIN ZOTERO_ITEM CSL_CITATION {"citationID":"Z5dE2E7B","properties":{"formattedCitation":"(Pata, Kartal, Dam, et al., 2023; Pata, Kartal, Erdogan, et al., 2023)","plainCitation":"(Pata, Kartal, Dam, et al., 2023; Pata, Kartal, Erdogan, et al., 2023)","noteIndex":0},"citationItems":[{"id":51,"uris":["http://zotero.org/users/local/dRmf8XHr/items/Q9EU8A74"],"itemData":{"id":51,"type":"article-journal","abstract":"Considering relatively high but recently decreasing environmental quality in the LAC countries with regard to the world, this study uncovers the progress of environmental quality, which is proxied by load capacity factor (LCF). In this context, the study considers renewable energy, trade openness, income, and globalization as explanatory indicators; uses data from 1990 to 2018; applies pooled mean group autoregressive distributed lag (PMG-ARDL) approach as the main model; and performs panel Toda-Yamamoto (PTY) causality test as robustness model. This is important because the LAC countries have ecological reserves, whereas many countries have an ecological deficit. For this reason, the investigation of the LAC countries has significance for the environmental quality in the world. Also, this study has novelty in terms of examining LAC countries and using the LCF as the environmental quality. The results present that (i) renewable energy has an improving impact on the LCF in both the short run and the long run; (ii) trade openness has a stimulating impact on the LCF in the long run; (iii) however, globalization and economic growth have a degrading impact on the LCF in the long run. Hence, it can be drawn from the results that renewable energy and trade openness have a critical impact on preserving and developing environmental quality. In line with the empirical findings, it can be proposed that LAC countries should utilize renewable energy effectively, improve trade volume through trade openness, increase renewable energy technology import, and expand the use of renewable energy in foreign trade activities. Thus, effective renewable energy and foreign trade policies can promote the achievement of sustainable development goals (SDGs) in the LAC countries.","container-title":"International Journal of Energy Research","DOI":"10.1155/2023/6828781","ISSN":"1099-114X, 0363-907X","journalAbbreviation":"International Journal of Energy Research","language":"en","license":"https://creativecommons.org/licenses/by/4.0/","page":"1-14","source":"DOI.org (Crossref)","title":"Navigating the Impact of Renewable Energy, Trade Openness, Income, and Globalization on Load Capacity Factor: The Case of Latin American and Caribbean (LAC) Countries","title-short":"Navigating the Impact of Renewable Energy, Trade Openness, Income, and Globalization on Load Capacity Factor","volume":"2023","author":[{"family":"Pata","given":"Ugur Korkut"},{"family":"Kartal","given":"Mustafa Tevfik"},{"family":"Dam","given":"Mehmet Metin"},{"family":"Kaya","given":"Funda"}],"editor":[{"family":"Barik","given":"Debabrata"}],"issued":{"date-parts":[["2023",3,31]]}}},{"id":57,"uris":["http://zotero.org/users/local/dRmf8XHr/items/NKXZ7ITP"],"itemData":{"id":57,"type":"article-journal","container-title":"Applied Energy","DOI":"10.1016/j.apenergy.2023.121138","ISSN":"03062619","journalAbbreviation":"Applied Energy","language":"en","page":"121138","source":"DOI.org (Crossref)","title":"The role of renewable and nuclear energy R&amp;D expenditures and income on environmental quality in Germany: Scrutinizing the EKC and LCC hypotheses with smooth structural changes","title-short":"The role of renewable and nuclear energy R&amp;D expenditures and income on environmental quality in Germany","volume":"342","author":[{"family":"Pata","given":"Ugur Korkut"},{"family":"Kartal","given":"Mustafa Tevfik"},{"family":"Erdogan","given":"Sinan"},{"family":"Sarkodie","given":"Samuel Asumadu"}],"issued":{"date-parts":[["2023",7]]}}}],"schema":"https://github.com/citation-style-language/schema/raw/master/csl-citation.json"} </w:instrText>
      </w:r>
      <w:r w:rsidR="00995862" w:rsidRPr="00950125">
        <w:rPr>
          <w:rFonts w:ascii="Times New Roman" w:eastAsia="Times New Roman" w:hAnsi="Times New Roman" w:cs="Times New Roman"/>
          <w:sz w:val="24"/>
          <w:szCs w:val="24"/>
        </w:rPr>
        <w:fldChar w:fldCharType="separate"/>
      </w:r>
      <w:r w:rsidR="00995862" w:rsidRPr="00950125">
        <w:rPr>
          <w:rFonts w:ascii="Times New Roman" w:eastAsia="Times New Roman" w:hAnsi="Times New Roman" w:cs="Times New Roman"/>
          <w:sz w:val="24"/>
          <w:szCs w:val="24"/>
        </w:rPr>
        <w:t>(Pata, Kartal, Dam, et al., 2023; Pata, Kartal, Erdogan, et al., 2023)</w:t>
      </w:r>
      <w:r w:rsidR="00995862" w:rsidRPr="00950125">
        <w:rPr>
          <w:rFonts w:ascii="Times New Roman" w:eastAsia="Times New Roman" w:hAnsi="Times New Roman" w:cs="Times New Roman"/>
          <w:sz w:val="24"/>
          <w:szCs w:val="24"/>
        </w:rPr>
        <w:fldChar w:fldCharType="end"/>
      </w:r>
      <w:r w:rsidR="001B789A" w:rsidRPr="00950125">
        <w:rPr>
          <w:rFonts w:ascii="Times New Roman" w:eastAsia="Times New Roman" w:hAnsi="Times New Roman" w:cs="Times New Roman"/>
          <w:sz w:val="24"/>
          <w:szCs w:val="24"/>
        </w:rPr>
        <w:t xml:space="preserve">. In contrast, a U-shaped link between trade openness and LCF in </w:t>
      </w:r>
      <w:r w:rsidR="00995862" w:rsidRPr="00950125">
        <w:rPr>
          <w:rFonts w:ascii="Times New Roman" w:eastAsia="Times New Roman" w:hAnsi="Times New Roman" w:cs="Times New Roman"/>
          <w:sz w:val="24"/>
          <w:szCs w:val="24"/>
        </w:rPr>
        <w:t xml:space="preserve">developing nations was shown by a research </w:t>
      </w:r>
      <w:r w:rsidR="00995862" w:rsidRPr="00950125">
        <w:rPr>
          <w:rFonts w:ascii="Times New Roman" w:eastAsia="Times New Roman" w:hAnsi="Times New Roman" w:cs="Times New Roman"/>
          <w:sz w:val="24"/>
          <w:szCs w:val="24"/>
        </w:rPr>
        <w:fldChar w:fldCharType="begin"/>
      </w:r>
      <w:r w:rsidR="00995862" w:rsidRPr="00950125">
        <w:rPr>
          <w:rFonts w:ascii="Times New Roman" w:eastAsia="Times New Roman" w:hAnsi="Times New Roman" w:cs="Times New Roman"/>
          <w:sz w:val="24"/>
          <w:szCs w:val="24"/>
        </w:rPr>
        <w:instrText xml:space="preserve"> ADDIN ZOTERO_ITEM CSL_CITATION {"citationID":"zKIbf2wu","properties":{"formattedCitation":"(Q. Wang et al., 2024)","plainCitation":"(Q. Wang et al., 2024)","noteIndex":0},"citationItems":[{"id":54,"uris":["http://zotero.org/users/local/dRmf8XHr/items/SBAR2JRI"],"itemData":{"id":54,"type":"article-journal","container-title":"Gondwana Research","DOI":"10.1016/j.gr.2023.05.016","ISSN":"1342937X","journalAbbreviation":"Gondwana Research","language":"en","page":"371-380","source":"DOI.org (Crossref)","title":"Linking trade openness to load capacity factor: The threshold effects of natural resource rent and corruption control","title-short":"Linking trade openness to load capacity factor","volume":"129","author":[{"family":"Wang","given":"Qiang"},{"family":"Sun","given":"Jiayi"},{"family":"Li","given":"Rongrong"},{"family":"Korkut Pata","given":"Ugur"}],"issued":{"date-parts":[["2024",5]]}}}],"schema":"https://github.com/citation-style-language/schema/raw/master/csl-citation.json"} </w:instrText>
      </w:r>
      <w:r w:rsidR="00995862" w:rsidRPr="00950125">
        <w:rPr>
          <w:rFonts w:ascii="Times New Roman" w:eastAsia="Times New Roman" w:hAnsi="Times New Roman" w:cs="Times New Roman"/>
          <w:sz w:val="24"/>
          <w:szCs w:val="24"/>
        </w:rPr>
        <w:fldChar w:fldCharType="separate"/>
      </w:r>
      <w:r w:rsidR="00995862" w:rsidRPr="00950125">
        <w:rPr>
          <w:rFonts w:ascii="Times New Roman" w:eastAsia="Times New Roman" w:hAnsi="Times New Roman" w:cs="Times New Roman"/>
          <w:sz w:val="24"/>
          <w:szCs w:val="24"/>
        </w:rPr>
        <w:t>(Q. Wang et al., 2024)</w:t>
      </w:r>
      <w:r w:rsidR="00995862" w:rsidRPr="00950125">
        <w:rPr>
          <w:rFonts w:ascii="Times New Roman" w:eastAsia="Times New Roman" w:hAnsi="Times New Roman" w:cs="Times New Roman"/>
          <w:sz w:val="24"/>
          <w:szCs w:val="24"/>
        </w:rPr>
        <w:fldChar w:fldCharType="end"/>
      </w:r>
      <w:r w:rsidR="00995862" w:rsidRPr="00950125">
        <w:rPr>
          <w:rFonts w:ascii="Times New Roman" w:eastAsia="Times New Roman" w:hAnsi="Times New Roman" w:cs="Times New Roman"/>
          <w:sz w:val="24"/>
          <w:szCs w:val="24"/>
        </w:rPr>
        <w:t xml:space="preserve"> </w:t>
      </w:r>
      <w:r w:rsidR="001B789A" w:rsidRPr="00950125">
        <w:rPr>
          <w:rFonts w:ascii="Times New Roman" w:eastAsia="Times New Roman" w:hAnsi="Times New Roman" w:cs="Times New Roman"/>
          <w:sz w:val="24"/>
          <w:szCs w:val="24"/>
        </w:rPr>
        <w:t xml:space="preserve">, suggesting that trade only starts to have a beneficial effect on environmental sustainability once a particular threshold is crossed. Additional proof from </w:t>
      </w:r>
      <w:r w:rsidR="00995862" w:rsidRPr="00950125">
        <w:rPr>
          <w:rFonts w:ascii="Times New Roman" w:eastAsia="Times New Roman" w:hAnsi="Times New Roman" w:cs="Times New Roman"/>
          <w:sz w:val="24"/>
          <w:szCs w:val="24"/>
        </w:rPr>
        <w:fldChar w:fldCharType="begin"/>
      </w:r>
      <w:r w:rsidR="007666A5" w:rsidRPr="00950125">
        <w:rPr>
          <w:rFonts w:ascii="Times New Roman" w:eastAsia="Times New Roman" w:hAnsi="Times New Roman" w:cs="Times New Roman"/>
          <w:sz w:val="24"/>
          <w:szCs w:val="24"/>
        </w:rPr>
        <w:instrText xml:space="preserve"> ADDIN ZOTERO_ITEM CSL_CITATION {"citationID":"yg3ZfTSc","properties":{"formattedCitation":"(Awosusi et al., 2022b; A. Dogan &amp; Pata, 2022)","plainCitation":"(Awosusi et al., 2022b; A. Dogan &amp; Pata, 2022)","noteIndex":0},"citationItems":[{"id":59,"uris":["http://zotero.org/users/local/dRmf8XHr/items/3C2DF2AU"],"itemData":{"id":59,"type":"article-journal","abstract":"Technological innovations have been a matter of contention, and their environmental consequences remain unresolved. Moreover, studies have extensively evaluated environmental challenges using metrics such as nitrogen oxide emissions, sulfur dioxide, carbon emissions, and ecological footprint. The environment has the supply and demand aspect, which is not a component of any of these indicators. By measuring biocapacity and ecological footprint, the load capacity factor follows a certain ecological threshold, allowing for a thorough study on environmental deterioration. With the reduction in load capacity factor, the environmental deterioration increases. In the context of the environment, the interaction between technological innovation and load capacity covers the demand and supply side of the environment. In light of this, employing the dataset ranging from 1980 to 2017 for the case of South Africa, the bound cointegration test in conjunction with the critical value of Kripfganz and Schneider showed cointegration in the model. The study also employed the ARDL, whose outcome revealed that nonrenewable energy usage and economic growth contribute to environmental deterioration, whereas technological innovation and globalization improve the quality of the environment. This study validated the hypothesis of the environmental Kuznets curve for South Africa, as the short-term coefficient value was lower than the long-term elasticity. Furthermore, using the frequency-domain causality test revealed that globalization and economic growth predict load capacity in the long term, and nonrenewable energy predicts load capacity factors in the long and medium term. In addition, technological innovation predicts load capacity factors in the short and long term. Based on the findings, we propose that policymakers should focus their efforts on increasing funding for the research and development of green technologies.","container-title":"International Journal of Environmental Research and Public Health","DOI":"10.3390/ijerph19063288","ISSN":"1660-4601","issue":"6","journalAbbreviation":"IJERPH","language":"en","license":"https://creativecommons.org/licenses/by/4.0/","page":"3288","source":"DOI.org (Crossref)","title":"A Roadmap toward Achieving Sustainable Environment: Evaluating the Impact of Technological Innovation and Globalization on Load Capacity Factor","title-short":"A Roadmap toward Achieving Sustainable Environment","volume":"19","author":[{"family":"Awosusi","given":"Abraham Ayobamiji"},{"family":"Kutlay","given":"Kaan"},{"family":"Altuntaş","given":"Mehmet"},{"family":"Khodjiev","given":"Bakhtiyor"},{"family":"Agyekum","given":"Ephraim Bonah"},{"family":"Shouran","given":"Mokhtar"},{"family":"Elgbaily","given":"Mohamed"},{"family":"Kamel","given":"Salah"}],"issued":{"date-parts":[["2022",3,10]]}}},{"id":53,"uris":["http://zotero.org/users/local/dRmf8XHr/items/2M5FF4AG"],"itemData":{"id":53,"type":"article-journal","container-title":"Journal of Cleaner Production","DOI":"10.1016/j.jclepro.2022.135038","ISSN":"09596526","journalAbbreviation":"Journal of Cleaner Production","language":"en","page":"135038","source":"DOI.org (Crossref)","title":"The role of ICT, R&amp;D spending and renewable energy consumption on environmental quality: Testing the LCC hypothesis for G7 countries","title-short":"The role of ICT, R&amp;D spending and renewable energy consumption on environmental quality","volume":"380","author":[{"family":"Dogan","given":"Ahmet"},{"family":"Pata","given":"Ugur Korkut"}],"issued":{"date-parts":[["2022",12]]}}}],"schema":"https://github.com/citation-style-language/schema/raw/master/csl-citation.json"} </w:instrText>
      </w:r>
      <w:r w:rsidR="00995862" w:rsidRPr="00950125">
        <w:rPr>
          <w:rFonts w:ascii="Times New Roman" w:eastAsia="Times New Roman" w:hAnsi="Times New Roman" w:cs="Times New Roman"/>
          <w:sz w:val="24"/>
          <w:szCs w:val="24"/>
        </w:rPr>
        <w:fldChar w:fldCharType="separate"/>
      </w:r>
      <w:r w:rsidR="007666A5" w:rsidRPr="00950125">
        <w:rPr>
          <w:rFonts w:ascii="Times New Roman" w:hAnsi="Times New Roman" w:cs="Times New Roman"/>
          <w:sz w:val="24"/>
        </w:rPr>
        <w:t>(Awosusi et al., 2022b; A. Dogan &amp; Pata, 2022)</w:t>
      </w:r>
      <w:r w:rsidR="00995862" w:rsidRPr="00950125">
        <w:rPr>
          <w:rFonts w:ascii="Times New Roman" w:eastAsia="Times New Roman" w:hAnsi="Times New Roman" w:cs="Times New Roman"/>
          <w:sz w:val="24"/>
          <w:szCs w:val="24"/>
        </w:rPr>
        <w:fldChar w:fldCharType="end"/>
      </w:r>
      <w:r w:rsidR="001B789A" w:rsidRPr="00950125">
        <w:rPr>
          <w:rFonts w:ascii="Times New Roman" w:eastAsia="Times New Roman" w:hAnsi="Times New Roman" w:cs="Times New Roman"/>
          <w:sz w:val="24"/>
          <w:szCs w:val="24"/>
        </w:rPr>
        <w:t xml:space="preserve"> further demonstrates that technical innovation, financial</w:t>
      </w:r>
      <w:r w:rsidR="00995862" w:rsidRPr="00950125">
        <w:rPr>
          <w:rFonts w:ascii="Times New Roman" w:eastAsia="Times New Roman" w:hAnsi="Times New Roman" w:cs="Times New Roman"/>
          <w:sz w:val="24"/>
          <w:szCs w:val="24"/>
        </w:rPr>
        <w:t xml:space="preserve"> globalization, and investments in renewable energy research enhance environmental quality and indirectly strengthen LCF.</w:t>
      </w:r>
    </w:p>
    <w:p w14:paraId="2A353C90" w14:textId="77777777" w:rsidR="00417359" w:rsidRPr="00950125" w:rsidRDefault="00265416" w:rsidP="00D46E36">
      <w:pPr>
        <w:spacing w:after="0"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Environmental results are further improved by institutional and technical variables. A favorable correlation between financial innovation and sustainability indicates that green finance promotes </w:t>
      </w:r>
      <w:r w:rsidRPr="00950125">
        <w:rPr>
          <w:rFonts w:ascii="Times New Roman" w:eastAsia="Times New Roman" w:hAnsi="Times New Roman" w:cs="Times New Roman"/>
          <w:sz w:val="24"/>
          <w:szCs w:val="24"/>
        </w:rPr>
        <w:lastRenderedPageBreak/>
        <w:t>sustainable performance, which is in line with environmental aims</w:t>
      </w:r>
      <w:r w:rsidR="00EF2D36" w:rsidRPr="00950125">
        <w:rPr>
          <w:rFonts w:ascii="Times New Roman" w:eastAsia="Times New Roman" w:hAnsi="Times New Roman" w:cs="Times New Roman"/>
          <w:sz w:val="24"/>
          <w:szCs w:val="24"/>
        </w:rPr>
        <w:t xml:space="preserve"> </w:t>
      </w:r>
      <w:r w:rsidR="00EF2D36" w:rsidRPr="00950125">
        <w:rPr>
          <w:rFonts w:ascii="Times New Roman" w:eastAsia="Times New Roman" w:hAnsi="Times New Roman" w:cs="Times New Roman"/>
          <w:sz w:val="24"/>
          <w:szCs w:val="24"/>
        </w:rPr>
        <w:fldChar w:fldCharType="begin"/>
      </w:r>
      <w:r w:rsidR="00EF2D36" w:rsidRPr="00950125">
        <w:rPr>
          <w:rFonts w:ascii="Times New Roman" w:eastAsia="Times New Roman" w:hAnsi="Times New Roman" w:cs="Times New Roman"/>
          <w:sz w:val="24"/>
          <w:szCs w:val="24"/>
        </w:rPr>
        <w:instrText xml:space="preserve"> ADDIN ZOTERO_ITEM CSL_CITATION {"citationID":"UW9h5dRy","properties":{"formattedCitation":"(Hussain et al., 2023)","plainCitation":"(Hussain et al., 2023)","noteIndex":0},"citationItems":[{"id":64,"uris":["http://zotero.org/users/local/dRmf8XHr/items/UTMJ8IDQ"],"itemData":{"id":64,"type":"article-journal","container-title":"Technological Forecasting and Social Change","DOI":"10.1016/j.techfore.2023.122725","ISSN":"00401625","journalAbbreviation":"Technological Forecasting and Social Change","language":"en","page":"122725","source":"DOI.org (Crossref)","title":"Role of financial inclusion and ICT for sustainable economic development in developing countries","volume":"194","author":[{"family":"Hussain","given":"Shahzad"},{"family":"Gul","given":"Raazia"},{"family":"Ullah","given":"Sabeeh"}],"issued":{"date-parts":[["2023",9]]}}}],"schema":"https://github.com/citation-style-language/schema/raw/master/csl-citation.json"} </w:instrText>
      </w:r>
      <w:r w:rsidR="00EF2D36" w:rsidRPr="00950125">
        <w:rPr>
          <w:rFonts w:ascii="Times New Roman" w:eastAsia="Times New Roman" w:hAnsi="Times New Roman" w:cs="Times New Roman"/>
          <w:sz w:val="24"/>
          <w:szCs w:val="24"/>
        </w:rPr>
        <w:fldChar w:fldCharType="separate"/>
      </w:r>
      <w:r w:rsidR="00EF2D36" w:rsidRPr="00950125">
        <w:rPr>
          <w:rFonts w:ascii="Times New Roman" w:eastAsia="Times New Roman" w:hAnsi="Times New Roman" w:cs="Times New Roman"/>
          <w:sz w:val="24"/>
          <w:szCs w:val="24"/>
        </w:rPr>
        <w:t>(Hussain et al., 2023)</w:t>
      </w:r>
      <w:r w:rsidR="00EF2D36"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xml:space="preserve">. Furthermore, it has been demonstrated that R&amp;D expenditures, renewable energy, and information and communication technology (ICT) improvements greatly enhance environmental quality in G-7 countries, providing compelling evidence </w:t>
      </w:r>
      <w:r w:rsidR="00EF2D36" w:rsidRPr="00950125">
        <w:rPr>
          <w:rFonts w:ascii="Times New Roman" w:eastAsia="Times New Roman" w:hAnsi="Times New Roman" w:cs="Times New Roman"/>
          <w:sz w:val="24"/>
          <w:szCs w:val="24"/>
        </w:rPr>
        <w:t>in favor of the LCC hypothesis</w:t>
      </w:r>
      <w:r w:rsidR="008C6B3C" w:rsidRPr="00950125">
        <w:rPr>
          <w:rFonts w:ascii="Times New Roman" w:eastAsia="Times New Roman" w:hAnsi="Times New Roman" w:cs="Times New Roman"/>
          <w:sz w:val="24"/>
          <w:szCs w:val="24"/>
        </w:rPr>
        <w:t xml:space="preserve"> </w:t>
      </w:r>
      <w:r w:rsidR="008C6B3C" w:rsidRPr="00950125">
        <w:rPr>
          <w:rFonts w:ascii="Times New Roman" w:eastAsia="Times New Roman" w:hAnsi="Times New Roman" w:cs="Times New Roman"/>
          <w:sz w:val="24"/>
          <w:szCs w:val="24"/>
        </w:rPr>
        <w:fldChar w:fldCharType="begin"/>
      </w:r>
      <w:r w:rsidR="008C6B3C" w:rsidRPr="00950125">
        <w:rPr>
          <w:rFonts w:ascii="Times New Roman" w:eastAsia="Times New Roman" w:hAnsi="Times New Roman" w:cs="Times New Roman"/>
          <w:sz w:val="24"/>
          <w:szCs w:val="24"/>
        </w:rPr>
        <w:instrText xml:space="preserve"> ADDIN ZOTERO_ITEM CSL_CITATION {"citationID":"VrVqLFtU","properties":{"formattedCitation":"(E. Dogan et al., 2022)","plainCitation":"(E. Dogan et al., 2022)","noteIndex":0},"citationItems":[{"id":66,"uris":["http://zotero.org/users/local/dRmf8XHr/items/SZLESG6S"],"itemData":{"id":66,"type":"article-journal","container-title":"Technological Forecasting and Social Change","DOI":"10.1016/j.techfore.2022.121756","ISSN":"00401625","journalAbbreviation":"Technological Forecasting and Social Change","language":"en","page":"121756","source":"DOI.org (Crossref)","title":"The roles of technology and Kyoto Protocol in energy transition towards COP26 targets: Evidence from the novel GMM-PVAR approach for G-7 countries","title-short":"The roles of technology and Kyoto Protocol in energy transition towards COP26 targets","volume":"181","author":[{"family":"Dogan","given":"Eyup"},{"family":"Chishti","given":"Muhammad Zubair"},{"family":"Karimi Alavijeh","given":"Nooshin"},{"family":"Tzeremes","given":"Panayiotis"}],"issued":{"date-parts":[["2022",8]]}}}],"schema":"https://github.com/citation-style-language/schema/raw/master/csl-citation.json"} </w:instrText>
      </w:r>
      <w:r w:rsidR="008C6B3C" w:rsidRPr="00950125">
        <w:rPr>
          <w:rFonts w:ascii="Times New Roman" w:eastAsia="Times New Roman" w:hAnsi="Times New Roman" w:cs="Times New Roman"/>
          <w:sz w:val="24"/>
          <w:szCs w:val="24"/>
        </w:rPr>
        <w:fldChar w:fldCharType="separate"/>
      </w:r>
      <w:r w:rsidR="008C6B3C" w:rsidRPr="00950125">
        <w:rPr>
          <w:rFonts w:ascii="Times New Roman" w:eastAsia="Times New Roman" w:hAnsi="Times New Roman" w:cs="Times New Roman"/>
          <w:sz w:val="24"/>
          <w:szCs w:val="24"/>
        </w:rPr>
        <w:t>(E. Dogan et al., 2022)</w:t>
      </w:r>
      <w:r w:rsidR="008C6B3C"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w:t>
      </w:r>
    </w:p>
    <w:p w14:paraId="57612F10" w14:textId="77777777" w:rsidR="008C6B3C" w:rsidRPr="00950125" w:rsidRDefault="008C6B3C" w:rsidP="00D46E36">
      <w:pPr>
        <w:spacing w:after="0" w:line="276" w:lineRule="auto"/>
        <w:jc w:val="both"/>
        <w:rPr>
          <w:rFonts w:ascii="Times New Roman" w:eastAsia="Times New Roman" w:hAnsi="Times New Roman" w:cs="Times New Roman"/>
          <w:sz w:val="24"/>
          <w:szCs w:val="24"/>
        </w:rPr>
      </w:pPr>
    </w:p>
    <w:p w14:paraId="46574EFB" w14:textId="77777777" w:rsidR="00417359" w:rsidRPr="00950125" w:rsidRDefault="00417359" w:rsidP="00D46E36">
      <w:pPr>
        <w:spacing w:after="0"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On the other hand, a number of studies warn about the detrimental effects that conventional economic development models, extensive use of fossil fuels, and unsustainable globalization have on</w:t>
      </w:r>
      <w:r w:rsidR="00736BCD" w:rsidRPr="00950125">
        <w:rPr>
          <w:rFonts w:ascii="Times New Roman" w:eastAsia="Times New Roman" w:hAnsi="Times New Roman" w:cs="Times New Roman"/>
          <w:sz w:val="24"/>
          <w:szCs w:val="24"/>
        </w:rPr>
        <w:t xml:space="preserve"> the environment. I</w:t>
      </w:r>
      <w:r w:rsidRPr="00950125">
        <w:rPr>
          <w:rFonts w:ascii="Times New Roman" w:eastAsia="Times New Roman" w:hAnsi="Times New Roman" w:cs="Times New Roman"/>
          <w:sz w:val="24"/>
          <w:szCs w:val="24"/>
        </w:rPr>
        <w:t>t has been discovered that urbanization, economic expansion, and the use of fossil fuels considerably lower Mex</w:t>
      </w:r>
      <w:r w:rsidR="00736BCD" w:rsidRPr="00950125">
        <w:rPr>
          <w:rFonts w:ascii="Times New Roman" w:eastAsia="Times New Roman" w:hAnsi="Times New Roman" w:cs="Times New Roman"/>
          <w:sz w:val="24"/>
          <w:szCs w:val="24"/>
        </w:rPr>
        <w:t>ico's Load Capacity Factor</w:t>
      </w:r>
      <w:r w:rsidRPr="00950125">
        <w:rPr>
          <w:rFonts w:ascii="Times New Roman" w:eastAsia="Times New Roman" w:hAnsi="Times New Roman" w:cs="Times New Roman"/>
          <w:sz w:val="24"/>
          <w:szCs w:val="24"/>
        </w:rPr>
        <w:t xml:space="preserve">, which compromises environmental quality </w:t>
      </w:r>
      <w:r w:rsidR="00736BCD" w:rsidRPr="00950125">
        <w:rPr>
          <w:rFonts w:ascii="Times New Roman" w:eastAsia="Times New Roman" w:hAnsi="Times New Roman" w:cs="Times New Roman"/>
          <w:sz w:val="24"/>
          <w:szCs w:val="24"/>
        </w:rPr>
        <w:fldChar w:fldCharType="begin"/>
      </w:r>
      <w:r w:rsidR="00736BCD" w:rsidRPr="00950125">
        <w:rPr>
          <w:rFonts w:ascii="Times New Roman" w:eastAsia="Times New Roman" w:hAnsi="Times New Roman" w:cs="Times New Roman"/>
          <w:sz w:val="24"/>
          <w:szCs w:val="24"/>
        </w:rPr>
        <w:instrText xml:space="preserve"> ADDIN ZOTERO_ITEM CSL_CITATION {"citationID":"NYHdSYwz","properties":{"formattedCitation":"(Raihan et al., 2023)","plainCitation":"(Raihan et al., 2023)","noteIndex":0},"citationItems":[{"id":55,"uris":["http://zotero.org/users/local/dRmf8XHr/items/FXEX3FQW"],"itemData":{"id":55,"type":"article-journal","abstract":"This study explores the interplay among economic growth, financial globalization, urbanization, fossil fuel consumption, and renewable energy usage and their combined impact on the load capacity factor in Mexico. This research employs the load capacity factor as a unique measure of ecological health, facilitating a comprehensive ecosystem assessment by sequentially evaluating biocapacity and ecological effects. Using time series data spanning from 1971 to 2018, this study employs the Autoregressive Distributed Lag (ARDL) method to analyze both long-term and short-term dynamics and cointegration. The findings reveal that economic growth, fossil fuel usage, and urbanization reduce Mexico’s load capacity factor, thereby diminishing environmental quality. In contrast, the adoption of renewable energy sources and the influence of financial globalization exhibit positive effects on the load capacity factor over the long and short term. These outcomes remain consistent even when compared with alternative estimation techniques, including dynamic ordinary least squares (DOLS), fully modified least squares (FMOLS), and canonical cointegrating regression (CCR). As a priority, Mexican policymakers should accelerate the transition to renewable energy sources, encourage sustainable urban development, and foster a more ecologically conscious economic agenda. Furthermore, promoting greener technologies can enhance the load capacity and mitigate environmental degradation. Ultimately, Mexico can establish an environment conducive to expanding sustainable investments by encouraging cross-border investments, enabling global trade in financial services, and cultivating greater integration of capital and financial markets.","container-title":"Sustainability","DOI":"10.3390/su151813462","ISSN":"2071-1050","issue":"18","journalAbbreviation":"Sustainability","language":"en","license":"https://creativecommons.org/licenses/by/4.0/","page":"13462","source":"DOI.org (Crossref)","title":"The Dynamic Impacts of Economic Growth, Financial Globalization, Fossil Fuel, Renewable Energy, and Urbanization on Load Capacity Factor in Mexico","volume":"15","author":[{"family":"Raihan","given":"Asif"},{"family":"Rashid","given":"Mamunur"},{"family":"Voumik","given":"Liton Chandra"},{"family":"Akter","given":"Salma"},{"family":"Esquivias","given":"Miguel Angel"}],"issued":{"date-parts":[["2023",9,8]]}}}],"schema":"https://github.com/citation-style-language/schema/raw/master/csl-citation.json"} </w:instrText>
      </w:r>
      <w:r w:rsidR="00736BCD" w:rsidRPr="00950125">
        <w:rPr>
          <w:rFonts w:ascii="Times New Roman" w:eastAsia="Times New Roman" w:hAnsi="Times New Roman" w:cs="Times New Roman"/>
          <w:sz w:val="24"/>
          <w:szCs w:val="24"/>
        </w:rPr>
        <w:fldChar w:fldCharType="separate"/>
      </w:r>
      <w:r w:rsidR="00736BCD" w:rsidRPr="00950125">
        <w:rPr>
          <w:rFonts w:ascii="Times New Roman" w:eastAsia="Times New Roman" w:hAnsi="Times New Roman" w:cs="Times New Roman"/>
          <w:sz w:val="24"/>
          <w:szCs w:val="24"/>
        </w:rPr>
        <w:t>(Raihan et al., 2023)</w:t>
      </w:r>
      <w:r w:rsidR="00736BCD"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xml:space="preserve">. Similar patterns were seen in South Africa, where environmental deterioration was exacerbated by the use of nonrenewable energy and economic growth. Globalization and technological advancement, however, can somewhat counteract these adverse consequences if they are focused on sustainability, according to the </w:t>
      </w:r>
      <w:r w:rsidR="00590073" w:rsidRPr="00950125">
        <w:rPr>
          <w:rFonts w:ascii="Times New Roman" w:eastAsia="Times New Roman" w:hAnsi="Times New Roman" w:cs="Times New Roman"/>
          <w:sz w:val="24"/>
          <w:szCs w:val="24"/>
        </w:rPr>
        <w:t xml:space="preserve">research </w:t>
      </w:r>
      <w:r w:rsidR="00590073" w:rsidRPr="00950125">
        <w:rPr>
          <w:rFonts w:ascii="Times New Roman" w:eastAsia="Times New Roman" w:hAnsi="Times New Roman" w:cs="Times New Roman"/>
          <w:sz w:val="24"/>
          <w:szCs w:val="24"/>
        </w:rPr>
        <w:fldChar w:fldCharType="begin"/>
      </w:r>
      <w:r w:rsidR="007666A5" w:rsidRPr="00950125">
        <w:rPr>
          <w:rFonts w:ascii="Times New Roman" w:eastAsia="Times New Roman" w:hAnsi="Times New Roman" w:cs="Times New Roman"/>
          <w:sz w:val="24"/>
          <w:szCs w:val="24"/>
        </w:rPr>
        <w:instrText xml:space="preserve"> ADDIN ZOTERO_ITEM CSL_CITATION {"citationID":"afC9FfHZ","properties":{"formattedCitation":"(Awosusi et al., 2022b)","plainCitation":"(Awosusi et al., 2022b)","noteIndex":0},"citationItems":[{"id":59,"uris":["http://zotero.org/users/local/dRmf8XHr/items/3C2DF2AU"],"itemData":{"id":59,"type":"article-journal","abstract":"Technological innovations have been a matter of contention, and their environmental consequences remain unresolved. Moreover, studies have extensively evaluated environmental challenges using metrics such as nitrogen oxide emissions, sulfur dioxide, carbon emissions, and ecological footprint. The environment has the supply and demand aspect, which is not a component of any of these indicators. By measuring biocapacity and ecological footprint, the load capacity factor follows a certain ecological threshold, allowing for a thorough study on environmental deterioration. With the reduction in load capacity factor, the environmental deterioration increases. In the context of the environment, the interaction between technological innovation and load capacity covers the demand and supply side of the environment. In light of this, employing the dataset ranging from 1980 to 2017 for the case of South Africa, the bound cointegration test in conjunction with the critical value of Kripfganz and Schneider showed cointegration in the model. The study also employed the ARDL, whose outcome revealed that nonrenewable energy usage and economic growth contribute to environmental deterioration, whereas technological innovation and globalization improve the quality of the environment. This study validated the hypothesis of the environmental Kuznets curve for South Africa, as the short-term coefficient value was lower than the long-term elasticity. Furthermore, using the frequency-domain causality test revealed that globalization and economic growth predict load capacity in the long term, and nonrenewable energy predicts load capacity factors in the long and medium term. In addition, technological innovation predicts load capacity factors in the short and long term. Based on the findings, we propose that policymakers should focus their efforts on increasing funding for the research and development of green technologies.","container-title":"International Journal of Environmental Research and Public Health","DOI":"10.3390/ijerph19063288","ISSN":"1660-4601","issue":"6","journalAbbreviation":"IJERPH","language":"en","license":"https://creativecommons.org/licenses/by/4.0/","page":"3288","source":"DOI.org (Crossref)","title":"A Roadmap toward Achieving Sustainable Environment: Evaluating the Impact of Technological Innovation and Globalization on Load Capacity Factor","title-short":"A Roadmap toward Achieving Sustainable Environment","volume":"19","author":[{"family":"Awosusi","given":"Abraham Ayobamiji"},{"family":"Kutlay","given":"Kaan"},{"family":"Altuntaş","given":"Mehmet"},{"family":"Khodjiev","given":"Bakhtiyor"},{"family":"Agyekum","given":"Ephraim Bonah"},{"family":"Shouran","given":"Mokhtar"},{"family":"Elgbaily","given":"Mohamed"},{"family":"Kamel","given":"Salah"}],"issued":{"date-parts":[["2022",3,10]]}}}],"schema":"https://github.com/citation-style-language/schema/raw/master/csl-citation.json"} </w:instrText>
      </w:r>
      <w:r w:rsidR="00590073" w:rsidRPr="00950125">
        <w:rPr>
          <w:rFonts w:ascii="Times New Roman" w:eastAsia="Times New Roman" w:hAnsi="Times New Roman" w:cs="Times New Roman"/>
          <w:sz w:val="24"/>
          <w:szCs w:val="24"/>
        </w:rPr>
        <w:fldChar w:fldCharType="separate"/>
      </w:r>
      <w:r w:rsidR="007666A5" w:rsidRPr="00950125">
        <w:rPr>
          <w:rFonts w:ascii="Times New Roman" w:hAnsi="Times New Roman" w:cs="Times New Roman"/>
          <w:sz w:val="24"/>
        </w:rPr>
        <w:t>(Awosusi et al., 2022b)</w:t>
      </w:r>
      <w:r w:rsidR="00590073" w:rsidRPr="00950125">
        <w:rPr>
          <w:rFonts w:ascii="Times New Roman" w:eastAsia="Times New Roman" w:hAnsi="Times New Roman" w:cs="Times New Roman"/>
          <w:sz w:val="24"/>
          <w:szCs w:val="24"/>
        </w:rPr>
        <w:fldChar w:fldCharType="end"/>
      </w:r>
      <w:r w:rsidR="00085E00" w:rsidRPr="00950125">
        <w:rPr>
          <w:rFonts w:ascii="Times New Roman" w:eastAsia="Times New Roman" w:hAnsi="Times New Roman" w:cs="Times New Roman"/>
          <w:sz w:val="24"/>
          <w:szCs w:val="24"/>
        </w:rPr>
        <w:t>.</w:t>
      </w:r>
      <w:r w:rsidRPr="00950125">
        <w:rPr>
          <w:rFonts w:ascii="Times New Roman" w:eastAsia="Times New Roman" w:hAnsi="Times New Roman" w:cs="Times New Roman"/>
          <w:sz w:val="24"/>
          <w:szCs w:val="24"/>
        </w:rPr>
        <w:t xml:space="preserve"> Over time, South Korea's LCF has been eroded by structural changes, a continued reliance on fossil fuels, and global commerce, which has strengthened the worry that expansion without ecological care might be</w:t>
      </w:r>
      <w:r w:rsidR="00590073" w:rsidRPr="00950125">
        <w:rPr>
          <w:rFonts w:ascii="Times New Roman" w:eastAsia="Times New Roman" w:hAnsi="Times New Roman" w:cs="Times New Roman"/>
          <w:sz w:val="24"/>
          <w:szCs w:val="24"/>
        </w:rPr>
        <w:t xml:space="preserve"> detrimental </w:t>
      </w:r>
      <w:r w:rsidR="00590073" w:rsidRPr="00950125">
        <w:rPr>
          <w:rFonts w:ascii="Times New Roman" w:eastAsia="Times New Roman" w:hAnsi="Times New Roman" w:cs="Times New Roman"/>
          <w:sz w:val="24"/>
          <w:szCs w:val="24"/>
        </w:rPr>
        <w:fldChar w:fldCharType="begin"/>
      </w:r>
      <w:r w:rsidR="00590073" w:rsidRPr="00950125">
        <w:rPr>
          <w:rFonts w:ascii="Times New Roman" w:eastAsia="Times New Roman" w:hAnsi="Times New Roman" w:cs="Times New Roman"/>
          <w:sz w:val="24"/>
          <w:szCs w:val="24"/>
        </w:rPr>
        <w:instrText xml:space="preserve"> ADDIN ZOTERO_ITEM CSL_CITATION {"citationID":"9AbIfHpi","properties":{"formattedCitation":"(Abdulmagid Basheer Agila et al., 2022)","plainCitation":"(Abdulmagid Basheer Agila et al., 2022)","noteIndex":0},"citationItems":[{"id":58,"uris":["http://zotero.org/users/local/dRmf8XHr/items/URWRM992"],"itemData":{"id":58,"type":"article-journal","container-title":"Environmental Science and Pollution Research","DOI":"10.1007/s11356-022-20676-2","ISSN":"0944-1344, 1614-7499","issue":"46","journalAbbreviation":"Environ Sci Pollut Res","language":"en","page":"69932-69948","source":"DOI.org (Crossref)","title":"Determinants of load capacity factor in South Korea: does structural change matter?","title-short":"Determinants of load capacity factor in South Korea","volume":"29","author":[{"family":"Abdulmagid Basheer Agila","given":"Taha"},{"family":"Khalifa","given":"Wagdi M. S."},{"family":"Saint Akadiri","given":"Seyi"},{"family":"Adebayo","given":"Tomiwa Sunday"},{"family":"Altuntaş","given":"Mehmet"}],"issued":{"date-parts":[["2022",10]]}}}],"schema":"https://github.com/citation-style-language/schema/raw/master/csl-citation.json"} </w:instrText>
      </w:r>
      <w:r w:rsidR="00590073" w:rsidRPr="00950125">
        <w:rPr>
          <w:rFonts w:ascii="Times New Roman" w:eastAsia="Times New Roman" w:hAnsi="Times New Roman" w:cs="Times New Roman"/>
          <w:sz w:val="24"/>
          <w:szCs w:val="24"/>
        </w:rPr>
        <w:fldChar w:fldCharType="separate"/>
      </w:r>
      <w:r w:rsidR="00590073" w:rsidRPr="00950125">
        <w:rPr>
          <w:rFonts w:ascii="Times New Roman" w:eastAsia="Times New Roman" w:hAnsi="Times New Roman" w:cs="Times New Roman"/>
          <w:sz w:val="24"/>
          <w:szCs w:val="24"/>
        </w:rPr>
        <w:t>(Abdulmagid Basheer Agila et al., 2022)</w:t>
      </w:r>
      <w:r w:rsidR="00590073"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Furthermore, even while trade openness has been demonstrated to enhance LCF in certain situations, unrestrained economic expansion and long-term globalization nonetheless present threats</w:t>
      </w:r>
      <w:r w:rsidR="00590073" w:rsidRPr="00950125">
        <w:rPr>
          <w:rFonts w:ascii="Times New Roman" w:eastAsia="Times New Roman" w:hAnsi="Times New Roman" w:cs="Times New Roman"/>
          <w:sz w:val="24"/>
          <w:szCs w:val="24"/>
        </w:rPr>
        <w:t xml:space="preserve"> to environmental health </w:t>
      </w:r>
      <w:r w:rsidR="00590073" w:rsidRPr="00950125">
        <w:rPr>
          <w:rFonts w:ascii="Times New Roman" w:eastAsia="Times New Roman" w:hAnsi="Times New Roman" w:cs="Times New Roman"/>
          <w:sz w:val="24"/>
          <w:szCs w:val="24"/>
        </w:rPr>
        <w:fldChar w:fldCharType="begin"/>
      </w:r>
      <w:r w:rsidR="00590073" w:rsidRPr="00950125">
        <w:rPr>
          <w:rFonts w:ascii="Times New Roman" w:eastAsia="Times New Roman" w:hAnsi="Times New Roman" w:cs="Times New Roman"/>
          <w:sz w:val="24"/>
          <w:szCs w:val="24"/>
        </w:rPr>
        <w:instrText xml:space="preserve"> ADDIN ZOTERO_ITEM CSL_CITATION {"citationID":"zGEltRzI","properties":{"formattedCitation":"(Abdulmagid Basheer Agila et al., 2022; Pata, Kartal, Dam, et al., 2023)","plainCitation":"(Abdulmagid Basheer Agila et al., 2022; Pata, Kartal, Dam, et al., 2023)","noteIndex":0},"citationItems":[{"id":58,"uris":["http://zotero.org/users/local/dRmf8XHr/items/URWRM992"],"itemData":{"id":58,"type":"article-journal","container-title":"Environmental Science and Pollution Research","DOI":"10.1007/s11356-022-20676-2","ISSN":"0944-1344, 1614-7499","issue":"46","journalAbbreviation":"Environ Sci Pollut Res","language":"en","page":"69932-69948","source":"DOI.org (Crossref)","title":"Determinants of load capacity factor in South Korea: does structural change matter?","title-short":"Determinants of load capacity factor in South Korea","volume":"29","author":[{"family":"Abdulmagid Basheer Agila","given":"Taha"},{"family":"Khalifa","given":"Wagdi M. S."},{"family":"Saint Akadiri","given":"Seyi"},{"family":"Adebayo","given":"Tomiwa Sunday"},{"family":"Altuntaş","given":"Mehmet"}],"issued":{"date-parts":[["2022",10]]}}},{"id":51,"uris":["http://zotero.org/users/local/dRmf8XHr/items/Q9EU8A74"],"itemData":{"id":51,"type":"article-journal","abstract":"Considering relatively high but recently decreasing environmental quality in the LAC countries with regard to the world, this study uncovers the progress of environmental quality, which is proxied by load capacity factor (LCF). In this context, the study considers renewable energy, trade openness, income, and globalization as explanatory indicators; uses data from 1990 to 2018; applies pooled mean group autoregressive distributed lag (PMG-ARDL) approach as the main model; and performs panel Toda-Yamamoto (PTY) causality test as robustness model. This is important because the LAC countries have ecological reserves, whereas many countries have an ecological deficit. For this reason, the investigation of the LAC countries has significance for the environmental quality in the world. Also, this study has novelty in terms of examining LAC countries and using the LCF as the environmental quality. The results present that (i) renewable energy has an improving impact on the LCF in both the short run and the long run; (ii) trade openness has a stimulating impact on the LCF in the long run; (iii) however, globalization and economic growth have a degrading impact on the LCF in the long run. Hence, it can be drawn from the results that renewable energy and trade openness have a critical impact on preserving and developing environmental quality. In line with the empirical findings, it can be proposed that LAC countries should utilize renewable energy effectively, improve trade volume through trade openness, increase renewable energy technology import, and expand the use of renewable energy in foreign trade activities. Thus, effective renewable energy and foreign trade policies can promote the achievement of sustainable development goals (SDGs) in the LAC countries.","container-title":"International Journal of Energy Research","DOI":"10.1155/2023/6828781","ISSN":"1099-114X, 0363-907X","journalAbbreviation":"International Journal of Energy Research","language":"en","license":"https://creativecommons.org/licenses/by/4.0/","page":"1-14","source":"DOI.org (Crossref)","title":"Navigating the Impact of Renewable Energy, Trade Openness, Income, and Globalization on Load Capacity Factor: The Case of Latin American and Caribbean (LAC) Countries","title-short":"Navigating the Impact of Renewable Energy, Trade Openness, Income, and Globalization on Load Capacity Factor","volume":"2023","author":[{"family":"Pata","given":"Ugur Korkut"},{"family":"Kartal","given":"Mustafa Tevfik"},{"family":"Dam","given":"Mehmet Metin"},{"family":"Kaya","given":"Funda"}],"editor":[{"family":"Barik","given":"Debabrata"}],"issued":{"date-parts":[["2023",3,31]]}}}],"schema":"https://github.com/citation-style-language/schema/raw/master/csl-citation.json"} </w:instrText>
      </w:r>
      <w:r w:rsidR="00590073" w:rsidRPr="00950125">
        <w:rPr>
          <w:rFonts w:ascii="Times New Roman" w:eastAsia="Times New Roman" w:hAnsi="Times New Roman" w:cs="Times New Roman"/>
          <w:sz w:val="24"/>
          <w:szCs w:val="24"/>
        </w:rPr>
        <w:fldChar w:fldCharType="separate"/>
      </w:r>
      <w:r w:rsidR="00590073" w:rsidRPr="00950125">
        <w:rPr>
          <w:rFonts w:ascii="Times New Roman" w:eastAsia="Times New Roman" w:hAnsi="Times New Roman" w:cs="Times New Roman"/>
          <w:sz w:val="24"/>
          <w:szCs w:val="24"/>
        </w:rPr>
        <w:t>(Abdulmagid Basheer Agila et al., 2022; Pata, Kartal, Dam, et al., 2023)</w:t>
      </w:r>
      <w:r w:rsidR="00590073"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w:t>
      </w:r>
    </w:p>
    <w:p w14:paraId="1E7DC8AE" w14:textId="77777777" w:rsidR="00417359" w:rsidRPr="00950125" w:rsidRDefault="00417359" w:rsidP="00D46E36">
      <w:pPr>
        <w:spacing w:after="0"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Innovation in technology plays a particularly complex function. Although it is frequently praised as a remedy for environmental problems, its effects vary depending on the situation. </w:t>
      </w:r>
      <w:r w:rsidR="00590073" w:rsidRPr="00950125">
        <w:rPr>
          <w:rFonts w:ascii="Times New Roman" w:eastAsia="Times New Roman" w:hAnsi="Times New Roman" w:cs="Times New Roman"/>
          <w:sz w:val="24"/>
          <w:szCs w:val="24"/>
        </w:rPr>
        <w:t xml:space="preserve">According to </w:t>
      </w:r>
      <w:r w:rsidR="00590073" w:rsidRPr="00950125">
        <w:rPr>
          <w:rFonts w:ascii="Times New Roman" w:eastAsia="Times New Roman" w:hAnsi="Times New Roman" w:cs="Times New Roman"/>
          <w:sz w:val="24"/>
          <w:szCs w:val="24"/>
        </w:rPr>
        <w:fldChar w:fldCharType="begin"/>
      </w:r>
      <w:r w:rsidR="00590073" w:rsidRPr="00950125">
        <w:rPr>
          <w:rFonts w:ascii="Times New Roman" w:eastAsia="Times New Roman" w:hAnsi="Times New Roman" w:cs="Times New Roman"/>
          <w:sz w:val="24"/>
          <w:szCs w:val="24"/>
        </w:rPr>
        <w:instrText xml:space="preserve"> ADDIN ZOTERO_ITEM CSL_CITATION {"citationID":"19wBjnAK","properties":{"formattedCitation":"(Aydin et al., 2024)","plainCitation":"(Aydin et al., 2024)","noteIndex":0},"citationItems":[{"id":49,"uris":["http://zotero.org/users/local/dRmf8XHr/items/KCHC9XHK"],"itemData":{"id":49,"type":"article-journal","container-title":"International Journal of Sustainable Development &amp; World Ecology","DOI":"10.1080/13504509.2024.2326855","ISSN":"1350-4509, 1745-2627","issue":"6","journalAbbreviation":"International Journal of Sustainable Development &amp; World Ecology","language":"en","page":"695-706","source":"DOI.org (Crossref)","title":"A path towards environmental sustainability: exploring the effects of technological innovation and investment freedom on load capacity factor","title-short":"A path towards environmental sustainability","volume":"31","author":[{"family":"Aydin","given":"Mucahit"},{"family":"Erdem","given":"Azad"},{"family":"Sogut","given":"Yasin"},{"family":"Ahmed","given":"Zahoor"}],"issued":{"date-parts":[["2024",8,17]]}}}],"schema":"https://github.com/citation-style-language/schema/raw/master/csl-citation.json"} </w:instrText>
      </w:r>
      <w:r w:rsidR="00590073" w:rsidRPr="00950125">
        <w:rPr>
          <w:rFonts w:ascii="Times New Roman" w:eastAsia="Times New Roman" w:hAnsi="Times New Roman" w:cs="Times New Roman"/>
          <w:sz w:val="24"/>
          <w:szCs w:val="24"/>
        </w:rPr>
        <w:fldChar w:fldCharType="separate"/>
      </w:r>
      <w:r w:rsidR="00590073" w:rsidRPr="00950125">
        <w:rPr>
          <w:rFonts w:ascii="Times New Roman" w:eastAsia="Times New Roman" w:hAnsi="Times New Roman" w:cs="Times New Roman"/>
          <w:sz w:val="24"/>
          <w:szCs w:val="24"/>
        </w:rPr>
        <w:t>(Aydin et al., 2024)</w:t>
      </w:r>
      <w:r w:rsidR="00590073"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technical innovation in Singapore, for instance, was shown to lower LCF, indicating that innovation devoid of a green or sustainable direction may actually make environmental circumstances worse rather than better. These results highlight how crucial it is to match environmental goals with innovation.</w:t>
      </w:r>
    </w:p>
    <w:p w14:paraId="5A88785A" w14:textId="77777777" w:rsidR="00417359" w:rsidRPr="00950125" w:rsidRDefault="00417359" w:rsidP="00D46E36">
      <w:pPr>
        <w:spacing w:after="0"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Degradation of the ecosystem is made worse by the use of natural resources. Natural resource exploitation has been demonstrated to seriously degrade environmental quality in Russia, with negative shocks to LCF being more severe and long-lasting than any possible </w:t>
      </w:r>
      <w:r w:rsidR="00590073" w:rsidRPr="00950125">
        <w:rPr>
          <w:rFonts w:ascii="Times New Roman" w:eastAsia="Times New Roman" w:hAnsi="Times New Roman" w:cs="Times New Roman"/>
          <w:sz w:val="24"/>
          <w:szCs w:val="24"/>
        </w:rPr>
        <w:t xml:space="preserve">advantages </w:t>
      </w:r>
      <w:r w:rsidR="00590073" w:rsidRPr="00950125">
        <w:rPr>
          <w:rFonts w:ascii="Times New Roman" w:eastAsia="Times New Roman" w:hAnsi="Times New Roman" w:cs="Times New Roman"/>
          <w:sz w:val="24"/>
          <w:szCs w:val="24"/>
        </w:rPr>
        <w:fldChar w:fldCharType="begin"/>
      </w:r>
      <w:r w:rsidR="00590073" w:rsidRPr="00950125">
        <w:rPr>
          <w:rFonts w:ascii="Times New Roman" w:eastAsia="Times New Roman" w:hAnsi="Times New Roman" w:cs="Times New Roman"/>
          <w:sz w:val="24"/>
          <w:szCs w:val="24"/>
        </w:rPr>
        <w:instrText xml:space="preserve"> ADDIN ZOTERO_ITEM CSL_CITATION {"citationID":"V4UPiRyy","properties":{"formattedCitation":"(Caglar et al., 2024)","plainCitation":"(Caglar et al., 2024)","noteIndex":0},"citationItems":[{"id":73,"uris":["http://zotero.org/users/local/dRmf8XHr/items/NFX3YZP9"],"itemData":{"id":73,"type":"article-journal","container-title":"International Journal of Sustainable Development &amp; World Ecology","DOI":"10.1080/13504509.2023.2296495","ISSN":"1350-4509, 1745-2627","issue":"4","journalAbbreviation":"International Journal of Sustainable Development &amp; World Ecology","language":"en","page":"431-446","source":"DOI.org (Crossref)","title":"Investigation of the effect of natural resource dependence on environmental sustainability under the novel load capacity curve hypothesis","volume":"31","author":[{"family":"Caglar","given":"Abdullah Emre"},{"family":"Avci","given":"Salih Bortecine"},{"family":"Daştan","given":"Muhammet"},{"family":"Destek","given":"Mehmet Akif"}],"issued":{"date-parts":[["2024",5,18]]}}}],"schema":"https://github.com/citation-style-language/schema/raw/master/csl-citation.json"} </w:instrText>
      </w:r>
      <w:r w:rsidR="00590073" w:rsidRPr="00950125">
        <w:rPr>
          <w:rFonts w:ascii="Times New Roman" w:eastAsia="Times New Roman" w:hAnsi="Times New Roman" w:cs="Times New Roman"/>
          <w:sz w:val="24"/>
          <w:szCs w:val="24"/>
        </w:rPr>
        <w:fldChar w:fldCharType="separate"/>
      </w:r>
      <w:r w:rsidR="00590073" w:rsidRPr="00950125">
        <w:rPr>
          <w:rFonts w:ascii="Times New Roman" w:eastAsia="Times New Roman" w:hAnsi="Times New Roman" w:cs="Times New Roman"/>
          <w:sz w:val="24"/>
          <w:szCs w:val="24"/>
        </w:rPr>
        <w:t>(Caglar et al., 2024)</w:t>
      </w:r>
      <w:r w:rsidR="00590073"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In order to prevent long-term environmental harm, this data emphasizes the necessity of stronger regulation and sustainable resource management.</w:t>
      </w:r>
    </w:p>
    <w:p w14:paraId="407DF6ED" w14:textId="77777777" w:rsidR="00417359" w:rsidRPr="00950125" w:rsidRDefault="00417359"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role of technological innovation is particularly nuanced. While often hailed as a solution to environmental issues, its impact is context-dependent. For example, in Singapore, technological innovation was found to reduce LCF, suggesting that innovation lacking a green or sustainable orientation may worsen environmental conditions rather than i</w:t>
      </w:r>
      <w:r w:rsidR="008F0139" w:rsidRPr="00950125">
        <w:rPr>
          <w:rFonts w:ascii="Times New Roman" w:eastAsia="Times New Roman" w:hAnsi="Times New Roman" w:cs="Times New Roman"/>
          <w:sz w:val="24"/>
          <w:szCs w:val="24"/>
        </w:rPr>
        <w:t xml:space="preserve">mprove them </w:t>
      </w:r>
      <w:r w:rsidR="008F0139" w:rsidRPr="00950125">
        <w:rPr>
          <w:rFonts w:ascii="Times New Roman" w:eastAsia="Times New Roman" w:hAnsi="Times New Roman" w:cs="Times New Roman"/>
          <w:sz w:val="24"/>
          <w:szCs w:val="24"/>
        </w:rPr>
        <w:fldChar w:fldCharType="begin"/>
      </w:r>
      <w:r w:rsidR="008F0139" w:rsidRPr="00950125">
        <w:rPr>
          <w:rFonts w:ascii="Times New Roman" w:eastAsia="Times New Roman" w:hAnsi="Times New Roman" w:cs="Times New Roman"/>
          <w:sz w:val="24"/>
          <w:szCs w:val="24"/>
        </w:rPr>
        <w:instrText xml:space="preserve"> ADDIN ZOTERO_ITEM CSL_CITATION {"citationID":"nabsZ2kX","properties":{"formattedCitation":"(Aydin et al., 2024)","plainCitation":"(Aydin et al., 2024)","noteIndex":0},"citationItems":[{"id":49,"uris":["http://zotero.org/users/local/dRmf8XHr/items/KCHC9XHK"],"itemData":{"id":49,"type":"article-journal","container-title":"International Journal of Sustainable Development &amp; World Ecology","DOI":"10.1080/13504509.2024.2326855","ISSN":"1350-4509, 1745-2627","issue":"6","journalAbbreviation":"International Journal of Sustainable Development &amp; World Ecology","language":"en","page":"695-706","source":"DOI.org (Crossref)","title":"A path towards environmental sustainability: exploring the effects of technological innovation and investment freedom on load capacity factor","title-short":"A path towards environmental sustainability","volume":"31","author":[{"family":"Aydin","given":"Mucahit"},{"family":"Erdem","given":"Azad"},{"family":"Sogut","given":"Yasin"},{"family":"Ahmed","given":"Zahoor"}],"issued":{"date-parts":[["2024",8,17]]}}}],"schema":"https://github.com/citation-style-language/schema/raw/master/csl-citation.json"} </w:instrText>
      </w:r>
      <w:r w:rsidR="008F0139" w:rsidRPr="00950125">
        <w:rPr>
          <w:rFonts w:ascii="Times New Roman" w:eastAsia="Times New Roman" w:hAnsi="Times New Roman" w:cs="Times New Roman"/>
          <w:sz w:val="24"/>
          <w:szCs w:val="24"/>
        </w:rPr>
        <w:fldChar w:fldCharType="separate"/>
      </w:r>
      <w:r w:rsidR="008F0139" w:rsidRPr="00950125">
        <w:rPr>
          <w:rFonts w:ascii="Times New Roman" w:eastAsia="Times New Roman" w:hAnsi="Times New Roman" w:cs="Times New Roman"/>
          <w:sz w:val="24"/>
          <w:szCs w:val="24"/>
        </w:rPr>
        <w:t>(Aydin et al., 2024)</w:t>
      </w:r>
      <w:r w:rsidR="008F0139"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These findings underscore the importance of aligning innovation with environmental objectives.</w:t>
      </w:r>
    </w:p>
    <w:p w14:paraId="3B76C0F5" w14:textId="77777777" w:rsidR="001966F1" w:rsidRPr="00950125" w:rsidRDefault="00E31AFC"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A </w:t>
      </w:r>
      <w:r w:rsidR="001966F1" w:rsidRPr="00950125">
        <w:rPr>
          <w:rFonts w:ascii="Times New Roman" w:eastAsia="Times New Roman" w:hAnsi="Times New Roman" w:cs="Times New Roman"/>
          <w:sz w:val="24"/>
          <w:szCs w:val="24"/>
        </w:rPr>
        <w:t>growing body of literature w</w:t>
      </w:r>
      <w:r w:rsidR="00736BCD" w:rsidRPr="00950125">
        <w:rPr>
          <w:rFonts w:ascii="Times New Roman" w:eastAsia="Times New Roman" w:hAnsi="Times New Roman" w:cs="Times New Roman"/>
          <w:sz w:val="24"/>
          <w:szCs w:val="24"/>
        </w:rPr>
        <w:t>arns about the limitations</w:t>
      </w:r>
      <w:r w:rsidR="001966F1" w:rsidRPr="00950125">
        <w:rPr>
          <w:rFonts w:ascii="Times New Roman" w:eastAsia="Times New Roman" w:hAnsi="Times New Roman" w:cs="Times New Roman"/>
          <w:sz w:val="24"/>
          <w:szCs w:val="24"/>
        </w:rPr>
        <w:t xml:space="preserve"> of traditional economic growth, technological advancement without sustainability focus, and natural resource exploitation on environmental sustainability—particularly when assessed through the Load Capacity Factor (LCF). </w:t>
      </w:r>
      <w:r w:rsidRPr="00950125">
        <w:rPr>
          <w:rFonts w:ascii="Times New Roman" w:eastAsia="Times New Roman" w:hAnsi="Times New Roman" w:cs="Times New Roman"/>
          <w:sz w:val="24"/>
          <w:szCs w:val="24"/>
        </w:rPr>
        <w:t>According t</w:t>
      </w:r>
      <w:r w:rsidR="008F0139" w:rsidRPr="00950125">
        <w:rPr>
          <w:rFonts w:ascii="Times New Roman" w:eastAsia="Times New Roman" w:hAnsi="Times New Roman" w:cs="Times New Roman"/>
          <w:sz w:val="24"/>
          <w:szCs w:val="24"/>
        </w:rPr>
        <w:t xml:space="preserve">o </w:t>
      </w:r>
      <w:r w:rsidR="008F0139" w:rsidRPr="00950125">
        <w:rPr>
          <w:rFonts w:ascii="Times New Roman" w:eastAsia="Times New Roman" w:hAnsi="Times New Roman" w:cs="Times New Roman"/>
          <w:sz w:val="24"/>
          <w:szCs w:val="24"/>
        </w:rPr>
        <w:fldChar w:fldCharType="begin"/>
      </w:r>
      <w:r w:rsidR="008F0139" w:rsidRPr="00950125">
        <w:rPr>
          <w:rFonts w:ascii="Times New Roman" w:eastAsia="Times New Roman" w:hAnsi="Times New Roman" w:cs="Times New Roman"/>
          <w:sz w:val="24"/>
          <w:szCs w:val="24"/>
        </w:rPr>
        <w:instrText xml:space="preserve"> ADDIN ZOTERO_ITEM CSL_CITATION {"citationID":"xp9cz7Qd","properties":{"formattedCitation":"(A. Dogan &amp; Pata, 2022)","plainCitation":"(A. Dogan &amp; Pata, 2022)","noteIndex":0},"citationItems":[{"id":53,"uris":["http://zotero.org/users/local/dRmf8XHr/items/2M5FF4AG"],"itemData":{"id":53,"type":"article-journal","container-title":"Journal of Cleaner Production","DOI":"10.1016/j.jclepro.2022.135038","ISSN":"09596526","journalAbbreviation":"Journal of Cleaner Production","language":"en","page":"135038","source":"DOI.org (Crossref)","title":"The role of ICT, R&amp;D spending and renewable energy consumption on environmental quality: Testing the LCC hypothesis for G7 countries","title-short":"The role of ICT, R&amp;D spending and renewable energy consumption on environmental quality","volume":"380","author":[{"family":"Dogan","given":"Ahmet"},{"family":"Pata","given":"Ugur Korkut"}],"issued":{"date-parts":[["2022",12]]}}}],"schema":"https://github.com/citation-style-language/schema/raw/master/csl-citation.json"} </w:instrText>
      </w:r>
      <w:r w:rsidR="008F0139" w:rsidRPr="00950125">
        <w:rPr>
          <w:rFonts w:ascii="Times New Roman" w:eastAsia="Times New Roman" w:hAnsi="Times New Roman" w:cs="Times New Roman"/>
          <w:sz w:val="24"/>
          <w:szCs w:val="24"/>
        </w:rPr>
        <w:fldChar w:fldCharType="separate"/>
      </w:r>
      <w:r w:rsidR="008F0139" w:rsidRPr="00950125">
        <w:rPr>
          <w:rFonts w:ascii="Times New Roman" w:eastAsia="Times New Roman" w:hAnsi="Times New Roman" w:cs="Times New Roman"/>
          <w:sz w:val="24"/>
          <w:szCs w:val="24"/>
        </w:rPr>
        <w:t>(A. Dogan &amp; Pata, 2022)</w:t>
      </w:r>
      <w:r w:rsidR="008F0139" w:rsidRPr="00950125">
        <w:rPr>
          <w:rFonts w:ascii="Times New Roman" w:eastAsia="Times New Roman" w:hAnsi="Times New Roman" w:cs="Times New Roman"/>
          <w:sz w:val="24"/>
          <w:szCs w:val="24"/>
        </w:rPr>
        <w:fldChar w:fldCharType="end"/>
      </w:r>
      <w:r w:rsidR="008F0139" w:rsidRPr="00950125">
        <w:rPr>
          <w:rFonts w:ascii="Times New Roman" w:eastAsia="Times New Roman" w:hAnsi="Times New Roman" w:cs="Times New Roman"/>
          <w:sz w:val="24"/>
          <w:szCs w:val="24"/>
        </w:rPr>
        <w:t>,</w:t>
      </w:r>
      <w:r w:rsidRPr="00950125">
        <w:rPr>
          <w:rFonts w:ascii="Times New Roman" w:eastAsia="Times New Roman" w:hAnsi="Times New Roman" w:cs="Times New Roman"/>
          <w:sz w:val="24"/>
          <w:szCs w:val="24"/>
        </w:rPr>
        <w:t xml:space="preserve"> research and development on renewable energy </w:t>
      </w:r>
      <w:r w:rsidRPr="00950125">
        <w:rPr>
          <w:rFonts w:ascii="Times New Roman" w:eastAsia="Times New Roman" w:hAnsi="Times New Roman" w:cs="Times New Roman"/>
          <w:sz w:val="24"/>
          <w:szCs w:val="24"/>
        </w:rPr>
        <w:lastRenderedPageBreak/>
        <w:t>greatly decreased CO₂ emissions in Germany, but it had no discernible effect on the Ecological Footprint or LCF. This result implies that although green research investments are encouraging, they could not result in immediate or thorough environmental benefits unless they are combined with more extensive systemic changes. In a similar vein, their research revealed that, although the Environmental Kuznets Curve (EKC) is valid in the German context, the Load Capacity Curve (LCC) hypothesis is not, suggesting that LCF may not be as predictive in other economic environments</w:t>
      </w:r>
      <w:r w:rsidR="001966F1" w:rsidRPr="00950125">
        <w:rPr>
          <w:rFonts w:ascii="Times New Roman" w:eastAsia="Times New Roman" w:hAnsi="Times New Roman" w:cs="Times New Roman"/>
          <w:sz w:val="24"/>
          <w:szCs w:val="24"/>
        </w:rPr>
        <w:t>.</w:t>
      </w:r>
    </w:p>
    <w:p w14:paraId="55D54F32" w14:textId="77777777" w:rsidR="00E31AFC" w:rsidRPr="00950125" w:rsidRDefault="008F0139" w:rsidP="00D46E36">
      <w:pPr>
        <w:spacing w:after="0"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A study </w:t>
      </w:r>
      <w:r w:rsidR="00E31AFC" w:rsidRPr="00950125">
        <w:rPr>
          <w:rFonts w:ascii="Times New Roman" w:eastAsia="Times New Roman" w:hAnsi="Times New Roman" w:cs="Times New Roman"/>
          <w:sz w:val="24"/>
          <w:szCs w:val="24"/>
        </w:rPr>
        <w:t>emphasized this point further by reporting that, with Belgium being a notable exception, the LCC hypothesis is incorrect in the majority of the nations they examined</w:t>
      </w:r>
      <w:r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{"citationID":"qmpXBUgr","properties":{"formattedCitation":"(Aydin et al., 2024)","plainCitation":"(Aydin et al., 2024)","noteIndex":0},"citationItems":[{"id":49,"uris":["http://zotero.org/users/local/dRmf8XHr/items/KCHC9XHK"],"itemData":{"id":49,"type":"article-journal","container-title":"International Journal of Sustainable Development &amp; World Ecology","DOI":"10.1080/13504509.2024.2326855","ISSN":"1350-4509, 1745-2627","issue":"6","journalAbbreviation":"International Journal of Sustainable Development &amp; World Ecology","language":"en","page":"695-706","source":"DOI.org (Crossref)","title":"A path towards environmental sustainability: exploring the effects of technological innovation and investment freedom on load capacity factor","title-short":"A path towards environmental sustainability","volume":"31","author":[{"family":"Aydin","given":"Mucahit"},{"family":"Erdem","given":"Azad"},{"family":"Sogut","given":"Yasin"},{"family":"Ahmed","given":"Zahoor"}],"issued":{"date-parts":[["2024",8,17]]}}}],"schema":"https://github.com/citation-style-language/schema/raw/master/csl-citation.json"} </w:instrText>
      </w:r>
      <w:r w:rsidRPr="00950125">
        <w:rPr>
          <w:rFonts w:ascii="Times New Roman" w:eastAsia="Times New Roman" w:hAnsi="Times New Roman" w:cs="Times New Roman"/>
          <w:sz w:val="24"/>
          <w:szCs w:val="24"/>
        </w:rPr>
        <w:fldChar w:fldCharType="separate"/>
      </w:r>
      <w:r w:rsidRPr="00950125">
        <w:rPr>
          <w:rFonts w:ascii="Times New Roman" w:eastAsia="Times New Roman" w:hAnsi="Times New Roman" w:cs="Times New Roman"/>
          <w:sz w:val="24"/>
          <w:szCs w:val="24"/>
        </w:rPr>
        <w:t>(Aydin et al., 2024)</w:t>
      </w:r>
      <w:r w:rsidRPr="00950125">
        <w:rPr>
          <w:rFonts w:ascii="Times New Roman" w:eastAsia="Times New Roman" w:hAnsi="Times New Roman" w:cs="Times New Roman"/>
          <w:sz w:val="24"/>
          <w:szCs w:val="24"/>
        </w:rPr>
        <w:fldChar w:fldCharType="end"/>
      </w:r>
      <w:r w:rsidR="00E31AFC" w:rsidRPr="00950125">
        <w:rPr>
          <w:rFonts w:ascii="Times New Roman" w:eastAsia="Times New Roman" w:hAnsi="Times New Roman" w:cs="Times New Roman"/>
          <w:sz w:val="24"/>
          <w:szCs w:val="24"/>
        </w:rPr>
        <w:t>. These findings demonstrate the geographical and economic conditionality of LCF as a sustainability indicator, suggesting that until it is customized for national contexts, its applicability in policy research may be restricted.</w:t>
      </w:r>
    </w:p>
    <w:p w14:paraId="734C02FC" w14:textId="77777777" w:rsidR="00E31AFC" w:rsidRPr="00950125" w:rsidRDefault="00E31AFC"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The LCF, which measures the equilibrium between a region's ecological demand and biocapacity, is still a useful indicator of ecological sustainability. A review of the literature provides a number of important observations. Across a number of locations, including the OECD nations, Latin America, and portions of Europe, renewable energy consistently shows promise as a driver of LCF </w:t>
      </w:r>
      <w:r w:rsidR="008F0139" w:rsidRPr="00950125">
        <w:rPr>
          <w:rFonts w:ascii="Times New Roman" w:eastAsia="Times New Roman" w:hAnsi="Times New Roman" w:cs="Times New Roman"/>
          <w:sz w:val="24"/>
          <w:szCs w:val="24"/>
        </w:rPr>
        <w:fldChar w:fldCharType="begin"/>
      </w:r>
      <w:r w:rsidR="008F0139" w:rsidRPr="00950125">
        <w:rPr>
          <w:rFonts w:ascii="Times New Roman" w:eastAsia="Times New Roman" w:hAnsi="Times New Roman" w:cs="Times New Roman"/>
          <w:sz w:val="24"/>
          <w:szCs w:val="24"/>
        </w:rPr>
        <w:instrText xml:space="preserve"> ADDIN ZOTERO_ITEM CSL_CITATION {"citationID":"z6PXECZw","properties":{"formattedCitation":"(Aydin et al., 2024; Ozkan et al., 2024; Pata, Kartal, Erdogan, et al., 2023)","plainCitation":"(Aydin et al., 2024; Ozkan et al., 2024; Pata, Kartal, Erdogan, et al., 2023)","noteIndex":0},"citationItems":[{"id":49,"uris":["http://zotero.org/users/local/dRmf8XHr/items/KCHC9XHK"],"itemData":{"id":49,"type":"article-journal","container-title":"International Journal of Sustainable Development &amp; World Ecology","DOI":"10.1080/13504509.2024.2326855","ISSN":"1350-4509, 1745-2627","issue":"6","journalAbbreviation":"International Journal of Sustainable Development &amp; World Ecology","language":"en","page":"695-706","source":"DOI.org (Crossref)","title":"A path towards environmental sustainability: exploring the effects of technological innovation and investment freedom on load capacity factor","title-short":"A path towards environmental sustainability","volume":"31","author":[{"family":"Aydin","given":"Mucahit"},{"family":"Erdem","given":"Azad"},{"family":"Sogut","given":"Yasin"},{"family":"Ahmed","given":"Zahoor"}],"issued":{"date-parts":[["2024",8,17]]}}},{"id":50,"uris":["http://zotero.org/users/local/dRmf8XHr/items/JIHT2V2Q"],"itemData":{"id":50,"type":"article-journal","container-title":"International Journal of Sustainable Development &amp; World Ecology","DOI":"10.1080/13504509.2024.2329224","ISSN":"1350-4509, 1745-2627","issue":"6","journalAbbreviation":"International Journal of Sustainable Development &amp; World Ecology","language":"en","page":"707-725","source":"DOI.org (Crossref)","title":"Evaluating the nexus between energy transition and load capacity factor in Germany: evidence from novel quantile-based approaches","title-short":"Evaluating the nexus between energy transition and load capacity factor in Germany","volume":"31","author":[{"family":"Ozkan","given":"Oktay"},{"family":"Destek","given":"Mehmet Akif"},{"family":"Aydin","given":"Sercan"}],"issued":{"date-parts":[["2024",8,17]]}}},{"id":57,"uris":["http://zotero.org/users/local/dRmf8XHr/items/NKXZ7ITP"],"itemData":{"id":57,"type":"article-journal","container-title":"Applied Energy","DOI":"10.1016/j.apenergy.2023.121138","ISSN":"03062619","journalAbbreviation":"Applied Energy","language":"en","page":"121138","source":"DOI.org (Crossref)","title":"The role of renewable and nuclear energy R&amp;D expenditures and income on environmental quality in Germany: Scrutinizing the EKC and LCC hypotheses with smooth structural changes","title-short":"The role of renewable and nuclear energy R&amp;D expenditures and income on environmental quality in Germany","volume":"342","author":[{"family":"Pata","given":"Ugur Korkut"},{"family":"Kartal","given":"Mustafa Tevfik"},{"family":"Erdogan","given":"Sinan"},{"family":"Sarkodie","given":"Samuel Asumadu"}],"issued":{"date-parts":[["2023",7]]}}}],"schema":"https://github.com/citation-style-language/schema/raw/master/csl-citation.json"} </w:instrText>
      </w:r>
      <w:r w:rsidR="008F0139" w:rsidRPr="00950125">
        <w:rPr>
          <w:rFonts w:ascii="Times New Roman" w:eastAsia="Times New Roman" w:hAnsi="Times New Roman" w:cs="Times New Roman"/>
          <w:sz w:val="24"/>
          <w:szCs w:val="24"/>
        </w:rPr>
        <w:fldChar w:fldCharType="separate"/>
      </w:r>
      <w:r w:rsidR="008F0139" w:rsidRPr="00950125">
        <w:rPr>
          <w:rFonts w:ascii="Times New Roman" w:eastAsia="Times New Roman" w:hAnsi="Times New Roman" w:cs="Times New Roman"/>
          <w:sz w:val="24"/>
          <w:szCs w:val="24"/>
        </w:rPr>
        <w:t>(Aydin et al., 2024; Ozkan et al., 2024; Pata, Kartal, Erdogan, et al., 2023)</w:t>
      </w:r>
      <w:r w:rsidR="008F0139" w:rsidRPr="00950125">
        <w:rPr>
          <w:rFonts w:ascii="Times New Roman" w:eastAsia="Times New Roman" w:hAnsi="Times New Roman" w:cs="Times New Roman"/>
          <w:sz w:val="24"/>
          <w:szCs w:val="24"/>
        </w:rPr>
        <w:fldChar w:fldCharType="end"/>
      </w:r>
      <w:r w:rsidR="008F0139" w:rsidRPr="00950125">
        <w:rPr>
          <w:rFonts w:ascii="Times New Roman" w:eastAsia="Times New Roman" w:hAnsi="Times New Roman" w:cs="Times New Roman"/>
          <w:sz w:val="24"/>
          <w:szCs w:val="24"/>
        </w:rPr>
        <w:t>.</w:t>
      </w:r>
      <w:r w:rsidRPr="00950125">
        <w:rPr>
          <w:rFonts w:ascii="Times New Roman" w:eastAsia="Times New Roman" w:hAnsi="Times New Roman" w:cs="Times New Roman"/>
          <w:sz w:val="24"/>
          <w:szCs w:val="24"/>
        </w:rPr>
        <w:t xml:space="preserve"> This reaffirms the strategic significance of adopting clean energy for the long-term health of the ecosystem. Second, although their effects differ by nation and the kind of innovation used, economic freedom and technical innovation are typically shown to enhance advances in LCF </w:t>
      </w:r>
      <w:r w:rsidR="008F0139" w:rsidRPr="00950125">
        <w:rPr>
          <w:rFonts w:ascii="Times New Roman" w:eastAsia="Times New Roman" w:hAnsi="Times New Roman" w:cs="Times New Roman"/>
          <w:sz w:val="24"/>
          <w:szCs w:val="24"/>
        </w:rPr>
        <w:fldChar w:fldCharType="begin"/>
      </w:r>
      <w:r w:rsidR="008F0139" w:rsidRPr="00950125">
        <w:rPr>
          <w:rFonts w:ascii="Times New Roman" w:eastAsia="Times New Roman" w:hAnsi="Times New Roman" w:cs="Times New Roman"/>
          <w:sz w:val="24"/>
          <w:szCs w:val="24"/>
        </w:rPr>
        <w:instrText xml:space="preserve"> ADDIN ZOTERO_ITEM CSL_CITATION {"citationID":"00HD8IZl","properties":{"formattedCitation":"(E. Dogan et al., 2022; \\uc0\\u304{}mamo\\uc0\\u287{}lu &amp; \\uc0\\u214{}zdemir, 2023)","plainCitation":"(E. Dogan et al., 2022; İmamoğlu &amp; Özdemir, 2023)","noteIndex":0},"citationItems":[{"id":66,"uris":["http://zotero.org/users/local/dRmf8XHr/items/SZLESG6S"],"itemData":{"id":66,"type":"article-journal","container-title":"Technological Forecasting and Social Change","DOI":"10.1016/j.techfore.2022.121756","ISSN":"00401625","journalAbbreviation":"Technological Forecasting and Social Change","language":"en","page":"121756","source":"DOI.org (Crossref)","title":"The roles of technology and Kyoto Protocol in energy transition towards COP26 targets: Evidence from the novel GMM-PVAR approach for G-7 countries","title-short":"The roles of technology and Kyoto Protocol in energy transition towards COP26 targets","volume":"181","author":[{"family":"Dogan","given":"Eyup"},{"family":"Chishti","given":"Muhammad Zubair"},{"family":"Karimi Alavijeh","given":"Nooshin"},{"family":"Tzeremes","given":"Panayiotis"}],"issued":{"date-parts":[["2022",8]]}}},{"id":63,"uris":["http://zotero.org/users/local/dRmf8XHr/items/ISVIKZ6M"],"itemData":{"id":63,"type":"article-journal","abstract":"Ülkeler arası gelir farklılıkları iktisat biliminin temel inceleme alanına girmektedir. Ülkeler arasındaki bu farklılıkları yönlendiren unsurların ele alınması ülkelerin ekonomik yönden büyüyebilmesi ve kalkınabilmesi için anahtar faktörlerin belirlenmesi sürdürülebilir büyümenin tesis edilmesine katkı sağlayacaktır. Bu nedenle çalışmada, gelişmiş ve gelişmekte olan üst orta ve alt orta gelirli ülkelerde 2006-2017 dönemi için yönetişim, inovasyon ve ekonomik büyüme arasındaki ilişki incelenmiştir. Çalışmada ele alınan değişkenler arasındaki ilişki panel veri varsayımlarındaki sapmalara karşı dirençli bir tahminci olan Driscoll-Kraay tahmincisiyle test edilmiştir.  Elde edilen sonuçlara göre; her üç ülke grubunda yönetişim ile büyüme arasında pozitif ve anlamlı bir ilişki, inovasyon ile büyüme arasında ise yalnızca gelişmekte olan üst orta gelirli ülkelerde pozitif ve anlamlı bir ilişki olduğu sonucuna ulaşılmıştır. Gelişmiş ve gelişmekte olan alt orta gelirli ülkelerde ise inovasyon ve büyüme arasında herhangi bir anlamlı ilişki tespit edilememiştir. Ayrıca yönetişim ve inovasyon ve büyüme ilişkisindeki aracılık etkisinin test edildiği araştırma modelinde ise her üç ülke grubunda da yönetişim ve inovasyonun büyüme üzerinde pozitif ve anlamlı bir etkisinin olduğu sonucuna ulaşılmıştır","container-title":"Külliye","DOI":"10.48139/aybukulliye.1262308","ISSN":"2717-7351","source":"DOI.org (Crossref)","title":"Yönetişim, İnovasyon ve Ekonomik Büyüme Arasındaki İlişkiler: Gelişmiş ve Gelişmekte Olan Ülke Örnekleri","title-short":"Yönetişim, İnovasyon ve Ekonomik Büyüme Arasındaki İlişkiler","URL":"http://dergipark.org.tr/tr/doi/10.48139/aybukulliye.1262308","author":[{"family":"İmamoğlu","given":"İlyas Kays"},{"family":"Özdemir","given":"Dilek"}],"accessed":{"date-parts":[["2025",5,10]]},"issued":{"date-parts":[["2023",3,17]]}}}],"schema":"https://github.com/citation-style-language/schema/raw/master/csl-citation.json"} </w:instrText>
      </w:r>
      <w:r w:rsidR="008F0139" w:rsidRPr="00950125">
        <w:rPr>
          <w:rFonts w:ascii="Times New Roman" w:eastAsia="Times New Roman" w:hAnsi="Times New Roman" w:cs="Times New Roman"/>
          <w:sz w:val="24"/>
          <w:szCs w:val="24"/>
        </w:rPr>
        <w:fldChar w:fldCharType="separate"/>
      </w:r>
      <w:r w:rsidR="008F0139" w:rsidRPr="00950125">
        <w:rPr>
          <w:rFonts w:ascii="Times New Roman" w:eastAsia="Times New Roman" w:hAnsi="Times New Roman" w:cs="Times New Roman"/>
          <w:sz w:val="24"/>
          <w:szCs w:val="24"/>
        </w:rPr>
        <w:t>(E. Dogan et al., 2022; İmamoğlu &amp; Özdemir, 2023)</w:t>
      </w:r>
      <w:r w:rsidR="008F0139"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As seen in Singapore's instance, innovation devoid of an environmental focus may even lower LCF.</w:t>
      </w:r>
    </w:p>
    <w:p w14:paraId="461B64DF" w14:textId="77777777" w:rsidR="00AD013F" w:rsidRPr="00950125" w:rsidRDefault="00A07DA2"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In terms of Globalization, it </w:t>
      </w:r>
      <w:r w:rsidR="00AD013F" w:rsidRPr="00950125">
        <w:rPr>
          <w:rFonts w:ascii="Times New Roman" w:eastAsia="Times New Roman" w:hAnsi="Times New Roman" w:cs="Times New Roman"/>
          <w:sz w:val="24"/>
          <w:szCs w:val="24"/>
        </w:rPr>
        <w:t>has two opposing effects: trade openness can eventually improve LCF, especially after a nation reaches a certain level of institutional or policy maturity, but more general aspects of globalization, such as capital mobility and structural economic changes, frequently worsen environmental quality if they are not adequately contro</w:t>
      </w:r>
      <w:r w:rsidRPr="00950125">
        <w:rPr>
          <w:rFonts w:ascii="Times New Roman" w:eastAsia="Times New Roman" w:hAnsi="Times New Roman" w:cs="Times New Roman"/>
          <w:sz w:val="24"/>
          <w:szCs w:val="24"/>
        </w:rPr>
        <w:t xml:space="preserve">lled </w:t>
      </w:r>
      <w:r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{"citationID":"4TyN6PSy","properties":{"formattedCitation":"(Pata, Kartal, Dam, et al., 2023)","plainCitation":"(Pata, Kartal, Dam, et al., 2023)","noteIndex":0},"citationItems":[{"id":51,"uris":["http://zotero.org/users/local/dRmf8XHr/items/Q9EU8A74"],"itemData":{"id":51,"type":"article-journal","abstract":"Considering relatively high but recently decreasing environmental quality in the LAC countries with regard to the world, this study uncovers the progress of environmental quality, which is proxied by load capacity factor (LCF). In this context, the study considers renewable energy, trade openness, income, and globalization as explanatory indicators; uses data from 1990 to 2018; applies pooled mean group autoregressive distributed lag (PMG-ARDL) approach as the main model; and performs panel Toda-Yamamoto (PTY) causality test as robustness model. This is important because the LAC countries have ecological reserves, whereas many countries have an ecological deficit. For this reason, the investigation of the LAC countries has significance for the environmental quality in the world. Also, this study has novelty in terms of examining LAC countries and using the LCF as the environmental quality. The results present that (i) renewable energy has an improving impact on the LCF in both the short run and the long run; (ii) trade openness has a stimulating impact on the LCF in the long run; (iii) however, globalization and economic growth have a degrading impact on the LCF in the long run. Hence, it can be drawn from the results that renewable energy and trade openness have a critical impact on preserving and developing environmental quality. In line with the empirical findings, it can be proposed that LAC countries should utilize renewable energy effectively, improve trade volume through trade openness, increase renewable energy technology import, and expand the use of renewable energy in foreign trade activities. Thus, effective renewable energy and foreign trade policies can promote the achievement of sustainable development goals (SDGs) in the LAC countries.","container-title":"International Journal of Energy Research","DOI":"10.1155/2023/6828781","ISSN":"1099-114X, 0363-907X","journalAbbreviation":"International Journal of Energy Research","language":"en","license":"https://creativecommons.org/licenses/by/4.0/","page":"1-14","source":"DOI.org (Crossref)","title":"Navigating the Impact of Renewable Energy, Trade Openness, Income, and Globalization on Load Capacity Factor: The Case of Latin American and Caribbean (LAC) Countries","title-short":"Navigating the Impact of Renewable Energy, Trade Openness, Income, and Globalization on Load Capacity Factor","volume":"2023","author":[{"family":"Pata","given":"Ugur Korkut"},{"family":"Kartal","given":"Mustafa Tevfik"},{"family":"Dam","given":"Mehmet Metin"},{"family":"Kaya","given":"Funda"}],"editor":[{"family":"Barik","given":"Debabrata"}],"issued":{"date-parts":[["2023",3,31]]}}}],"schema":"https://github.com/citation-style-language/schema/raw/master/csl-citation.json"} </w:instrText>
      </w:r>
      <w:r w:rsidRPr="00950125">
        <w:rPr>
          <w:rFonts w:ascii="Times New Roman" w:eastAsia="Times New Roman" w:hAnsi="Times New Roman" w:cs="Times New Roman"/>
          <w:sz w:val="24"/>
          <w:szCs w:val="24"/>
        </w:rPr>
        <w:fldChar w:fldCharType="separate"/>
      </w:r>
      <w:r w:rsidRPr="00950125">
        <w:rPr>
          <w:rFonts w:ascii="Times New Roman" w:eastAsia="Times New Roman" w:hAnsi="Times New Roman" w:cs="Times New Roman"/>
          <w:sz w:val="24"/>
          <w:szCs w:val="24"/>
        </w:rPr>
        <w:t>(Pata, Kartal, Dam, et al., 2023)</w:t>
      </w:r>
      <w:r w:rsidRPr="00950125">
        <w:rPr>
          <w:rFonts w:ascii="Times New Roman" w:eastAsia="Times New Roman" w:hAnsi="Times New Roman" w:cs="Times New Roman"/>
          <w:sz w:val="24"/>
          <w:szCs w:val="24"/>
        </w:rPr>
        <w:fldChar w:fldCharType="end"/>
      </w:r>
      <w:r w:rsidR="00AD013F" w:rsidRPr="00950125">
        <w:rPr>
          <w:rFonts w:ascii="Times New Roman" w:eastAsia="Times New Roman" w:hAnsi="Times New Roman" w:cs="Times New Roman"/>
          <w:sz w:val="24"/>
          <w:szCs w:val="24"/>
        </w:rPr>
        <w:t>. The EKC and LCC theories, which contend that environmental degradation is a temporary effect of expansion that may be reversed over time as income and institutional capacity rise, are supported by the fact that economic growth often first hurts LCF. This recovery is not assured, though, and is largely dependent on how the economy is structured and how policy is implemented.</w:t>
      </w:r>
      <w:r w:rsidR="002F139E"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t>Another important factor</w:t>
      </w:r>
      <w:r w:rsidR="00AD013F" w:rsidRPr="00950125">
        <w:rPr>
          <w:rFonts w:ascii="Times New Roman" w:eastAsia="Times New Roman" w:hAnsi="Times New Roman" w:cs="Times New Roman"/>
          <w:sz w:val="24"/>
          <w:szCs w:val="24"/>
        </w:rPr>
        <w:t>, the exploitation of natural resources continuously threat</w:t>
      </w:r>
      <w:r w:rsidRPr="00950125">
        <w:rPr>
          <w:rFonts w:ascii="Times New Roman" w:eastAsia="Times New Roman" w:hAnsi="Times New Roman" w:cs="Times New Roman"/>
          <w:sz w:val="24"/>
          <w:szCs w:val="24"/>
        </w:rPr>
        <w:t>ens LCF. Research</w:t>
      </w:r>
      <w:r w:rsidR="00AD013F" w:rsidRPr="00950125">
        <w:rPr>
          <w:rFonts w:ascii="Times New Roman" w:eastAsia="Times New Roman" w:hAnsi="Times New Roman" w:cs="Times New Roman"/>
          <w:sz w:val="24"/>
          <w:szCs w:val="24"/>
        </w:rPr>
        <w:t xml:space="preserve"> shows that extraction operations in Russia cause long-term environmental damage. These impacts are frequently more noticeable and long-lasting than any short-term financial advantages from the use of resources</w:t>
      </w:r>
      <w:r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{"citationID":"LSNO53Hn","properties":{"formattedCitation":"(Caglar et al., 2024)","plainCitation":"(Caglar et al., 2024)","noteIndex":0},"citationItems":[{"id":73,"uris":["http://zotero.org/users/local/dRmf8XHr/items/NFX3YZP9"],"itemData":{"id":73,"type":"article-journal","container-title":"International Journal of Sustainable Development &amp; World Ecology","DOI":"10.1080/13504509.2023.2296495","ISSN":"1350-4509, 1745-2627","issue":"4","journalAbbreviation":"International Journal of Sustainable Development &amp; World Ecology","language":"en","page":"431-446","source":"DOI.org (Crossref)","title":"Investigation of the effect of natural resource dependence on environmental sustainability under the novel load capacity curve hypothesis","volume":"31","author":[{"family":"Caglar","given":"Abdullah Emre"},{"family":"Avci","given":"Salih Bortecine"},{"family":"Daştan","given":"Muhammet"},{"family":"Destek","given":"Mehmet Akif"}],"issued":{"date-parts":[["2024",5,18]]}}}],"schema":"https://github.com/citation-style-language/schema/raw/master/csl-citation.json"} </w:instrText>
      </w:r>
      <w:r w:rsidRPr="00950125">
        <w:rPr>
          <w:rFonts w:ascii="Times New Roman" w:eastAsia="Times New Roman" w:hAnsi="Times New Roman" w:cs="Times New Roman"/>
          <w:sz w:val="24"/>
          <w:szCs w:val="24"/>
        </w:rPr>
        <w:fldChar w:fldCharType="separate"/>
      </w:r>
      <w:r w:rsidRPr="00950125">
        <w:rPr>
          <w:rFonts w:ascii="Times New Roman" w:eastAsia="Times New Roman" w:hAnsi="Times New Roman" w:cs="Times New Roman"/>
          <w:sz w:val="24"/>
          <w:szCs w:val="24"/>
        </w:rPr>
        <w:t>(Caglar et al., 2024)</w:t>
      </w:r>
      <w:r w:rsidRPr="00950125">
        <w:rPr>
          <w:rFonts w:ascii="Times New Roman" w:eastAsia="Times New Roman" w:hAnsi="Times New Roman" w:cs="Times New Roman"/>
          <w:sz w:val="24"/>
          <w:szCs w:val="24"/>
        </w:rPr>
        <w:fldChar w:fldCharType="end"/>
      </w:r>
      <w:r w:rsidR="00AD013F" w:rsidRPr="00950125">
        <w:rPr>
          <w:rFonts w:ascii="Times New Roman" w:eastAsia="Times New Roman" w:hAnsi="Times New Roman" w:cs="Times New Roman"/>
          <w:sz w:val="24"/>
          <w:szCs w:val="24"/>
        </w:rPr>
        <w:t>. These results highlight how urgently resource governance must incorporate sustainability issues.</w:t>
      </w:r>
    </w:p>
    <w:p w14:paraId="23F9AB6F" w14:textId="77777777" w:rsidR="002658C0" w:rsidRPr="00950125" w:rsidRDefault="00AD013F"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All things considered, the research presents a complicated picture: although LCF is a valuable indicator of sustainability, its behavior is extremely susceptible to policy framewo</w:t>
      </w:r>
      <w:r w:rsidR="00A07DA2" w:rsidRPr="00950125">
        <w:rPr>
          <w:rFonts w:ascii="Times New Roman" w:eastAsia="Times New Roman" w:hAnsi="Times New Roman" w:cs="Times New Roman"/>
          <w:sz w:val="24"/>
          <w:szCs w:val="24"/>
        </w:rPr>
        <w:t xml:space="preserve">rks and country </w:t>
      </w:r>
      <w:r w:rsidR="00A07DA2" w:rsidRPr="00950125">
        <w:rPr>
          <w:rFonts w:ascii="Times New Roman" w:eastAsia="Times New Roman" w:hAnsi="Times New Roman" w:cs="Times New Roman"/>
          <w:sz w:val="24"/>
          <w:szCs w:val="24"/>
        </w:rPr>
        <w:lastRenderedPageBreak/>
        <w:t>circumstances. P</w:t>
      </w:r>
      <w:r w:rsidRPr="00950125">
        <w:rPr>
          <w:rFonts w:ascii="Times New Roman" w:eastAsia="Times New Roman" w:hAnsi="Times New Roman" w:cs="Times New Roman"/>
          <w:sz w:val="24"/>
          <w:szCs w:val="24"/>
        </w:rPr>
        <w:t>olicies that emphasize green innovation, renewable energy, and envir</w:t>
      </w:r>
      <w:r w:rsidR="00A07DA2" w:rsidRPr="00950125">
        <w:rPr>
          <w:rFonts w:ascii="Times New Roman" w:eastAsia="Times New Roman" w:hAnsi="Times New Roman" w:cs="Times New Roman"/>
          <w:sz w:val="24"/>
          <w:szCs w:val="24"/>
        </w:rPr>
        <w:t>onmentally friendly commerce are</w:t>
      </w:r>
      <w:r w:rsidRPr="00950125">
        <w:rPr>
          <w:rFonts w:ascii="Times New Roman" w:eastAsia="Times New Roman" w:hAnsi="Times New Roman" w:cs="Times New Roman"/>
          <w:sz w:val="24"/>
          <w:szCs w:val="24"/>
        </w:rPr>
        <w:t xml:space="preserve"> generally advantageous, </w:t>
      </w:r>
      <w:r w:rsidR="00A07DA2" w:rsidRPr="00950125">
        <w:rPr>
          <w:rFonts w:ascii="Times New Roman" w:eastAsia="Times New Roman" w:hAnsi="Times New Roman" w:cs="Times New Roman"/>
          <w:sz w:val="24"/>
          <w:szCs w:val="24"/>
        </w:rPr>
        <w:t xml:space="preserve">but </w:t>
      </w:r>
      <w:r w:rsidRPr="00950125">
        <w:rPr>
          <w:rFonts w:ascii="Times New Roman" w:eastAsia="Times New Roman" w:hAnsi="Times New Roman" w:cs="Times New Roman"/>
          <w:sz w:val="24"/>
          <w:szCs w:val="24"/>
        </w:rPr>
        <w:t>they must be carefully implemented to take into consideration the developmental stage of any nation. Future studies should keep looking at the points at which institutional, technological, and economic elements start to sup</w:t>
      </w:r>
      <w:r w:rsidR="00A07DA2" w:rsidRPr="00950125">
        <w:rPr>
          <w:rFonts w:ascii="Times New Roman" w:eastAsia="Times New Roman" w:hAnsi="Times New Roman" w:cs="Times New Roman"/>
          <w:sz w:val="24"/>
          <w:szCs w:val="24"/>
        </w:rPr>
        <w:t>port LCF instead of hurting it.</w:t>
      </w:r>
    </w:p>
    <w:p w14:paraId="3C3294CB" w14:textId="67342A31" w:rsidR="002F139E" w:rsidRPr="00950125" w:rsidRDefault="00F4455B" w:rsidP="00D46E36">
      <w:pPr>
        <w:pStyle w:val="Caption"/>
        <w:spacing w:line="276" w:lineRule="auto"/>
        <w:rPr>
          <w:rFonts w:ascii="Times New Roman" w:eastAsia="Calibri" w:hAnsi="Times New Roman" w:cs="Times New Roman"/>
          <w:b/>
          <w:i w:val="0"/>
        </w:rPr>
      </w:pPr>
      <w:bookmarkStart w:id="21" w:name="_Toc204723231"/>
      <w:r>
        <w:t xml:space="preserve">Table </w:t>
      </w:r>
      <w:r w:rsidR="0029645F">
        <w:rPr>
          <w:noProof/>
        </w:rPr>
        <w:fldChar w:fldCharType="begin"/>
      </w:r>
      <w:r w:rsidR="0029645F">
        <w:rPr>
          <w:noProof/>
        </w:rPr>
        <w:instrText xml:space="preserve"> SEQ Table \* ARABIC </w:instrText>
      </w:r>
      <w:r w:rsidR="0029645F">
        <w:rPr>
          <w:noProof/>
        </w:rPr>
        <w:fldChar w:fldCharType="separate"/>
      </w:r>
      <w:r w:rsidR="003F2868">
        <w:rPr>
          <w:noProof/>
        </w:rPr>
        <w:t>1</w:t>
      </w:r>
      <w:r w:rsidR="0029645F">
        <w:rPr>
          <w:noProof/>
        </w:rPr>
        <w:fldChar w:fldCharType="end"/>
      </w:r>
      <w:r>
        <w:rPr>
          <w:rFonts w:ascii="Times New Roman" w:eastAsia="Calibri" w:hAnsi="Times New Roman" w:cs="Times New Roman"/>
          <w:b/>
          <w:i w:val="0"/>
        </w:rPr>
        <w:t xml:space="preserve">: </w:t>
      </w:r>
      <w:r w:rsidR="007C2A66" w:rsidRPr="00950125">
        <w:rPr>
          <w:rFonts w:ascii="Times New Roman" w:eastAsia="Calibri" w:hAnsi="Times New Roman" w:cs="Times New Roman"/>
          <w:b/>
          <w:i w:val="0"/>
        </w:rPr>
        <w:t>Summary Literature</w:t>
      </w:r>
      <w:bookmarkEnd w:id="21"/>
    </w:p>
    <w:tbl>
      <w:tblPr>
        <w:tblStyle w:val="TableGrid"/>
        <w:tblW w:w="9180" w:type="dxa"/>
        <w:tblInd w:w="85" w:type="dxa"/>
        <w:tblLayout w:type="fixed"/>
        <w:tblLook w:val="04A0" w:firstRow="1" w:lastRow="0" w:firstColumn="1" w:lastColumn="0" w:noHBand="0" w:noVBand="1"/>
      </w:tblPr>
      <w:tblGrid>
        <w:gridCol w:w="1350"/>
        <w:gridCol w:w="1080"/>
        <w:gridCol w:w="1350"/>
        <w:gridCol w:w="1620"/>
        <w:gridCol w:w="1800"/>
        <w:gridCol w:w="1080"/>
        <w:gridCol w:w="900"/>
      </w:tblGrid>
      <w:tr w:rsidR="0063158A" w:rsidRPr="00950125" w14:paraId="742C5464" w14:textId="77777777" w:rsidTr="0014422F">
        <w:tc>
          <w:tcPr>
            <w:tcW w:w="1350" w:type="dxa"/>
            <w:tcBorders>
              <w:top w:val="single" w:sz="4" w:space="0" w:color="auto"/>
              <w:left w:val="single" w:sz="4" w:space="0" w:color="auto"/>
              <w:bottom w:val="single" w:sz="4" w:space="0" w:color="auto"/>
              <w:right w:val="single" w:sz="4" w:space="0" w:color="auto"/>
            </w:tcBorders>
            <w:hideMark/>
          </w:tcPr>
          <w:p w14:paraId="7B8316EB" w14:textId="77777777" w:rsidR="0063158A" w:rsidRPr="00950125" w:rsidRDefault="0063158A" w:rsidP="00D46E36">
            <w:pPr>
              <w:spacing w:line="276" w:lineRule="auto"/>
              <w:jc w:val="center"/>
              <w:rPr>
                <w:rFonts w:eastAsia="Calibri"/>
              </w:rPr>
            </w:pPr>
            <w:r w:rsidRPr="00950125">
              <w:rPr>
                <w:rFonts w:eastAsia="Calibri"/>
              </w:rPr>
              <w:t>Authors (Year)</w:t>
            </w:r>
          </w:p>
        </w:tc>
        <w:tc>
          <w:tcPr>
            <w:tcW w:w="1080" w:type="dxa"/>
            <w:tcBorders>
              <w:top w:val="single" w:sz="4" w:space="0" w:color="auto"/>
              <w:left w:val="single" w:sz="4" w:space="0" w:color="auto"/>
              <w:bottom w:val="single" w:sz="4" w:space="0" w:color="auto"/>
              <w:right w:val="single" w:sz="4" w:space="0" w:color="auto"/>
            </w:tcBorders>
            <w:hideMark/>
          </w:tcPr>
          <w:p w14:paraId="6F133A24" w14:textId="77777777" w:rsidR="0063158A" w:rsidRPr="00950125" w:rsidRDefault="0063158A" w:rsidP="00D46E36">
            <w:pPr>
              <w:spacing w:line="276" w:lineRule="auto"/>
              <w:jc w:val="center"/>
              <w:rPr>
                <w:rFonts w:eastAsia="Calibri"/>
              </w:rPr>
            </w:pPr>
            <w:r w:rsidRPr="00950125">
              <w:rPr>
                <w:rFonts w:eastAsia="Calibri"/>
              </w:rPr>
              <w:t>Country</w:t>
            </w:r>
          </w:p>
        </w:tc>
        <w:tc>
          <w:tcPr>
            <w:tcW w:w="1350" w:type="dxa"/>
            <w:tcBorders>
              <w:top w:val="single" w:sz="4" w:space="0" w:color="auto"/>
              <w:left w:val="single" w:sz="4" w:space="0" w:color="auto"/>
              <w:bottom w:val="single" w:sz="4" w:space="0" w:color="auto"/>
              <w:right w:val="single" w:sz="4" w:space="0" w:color="auto"/>
            </w:tcBorders>
            <w:hideMark/>
          </w:tcPr>
          <w:p w14:paraId="4FAA722F" w14:textId="77777777" w:rsidR="0063158A" w:rsidRPr="00950125" w:rsidRDefault="0063158A" w:rsidP="00D46E36">
            <w:pPr>
              <w:spacing w:line="276" w:lineRule="auto"/>
              <w:jc w:val="center"/>
              <w:rPr>
                <w:rFonts w:eastAsia="Calibri"/>
              </w:rPr>
            </w:pPr>
            <w:r w:rsidRPr="00950125">
              <w:rPr>
                <w:rFonts w:eastAsia="Calibri"/>
              </w:rPr>
              <w:t>Dependent Variable</w:t>
            </w:r>
          </w:p>
        </w:tc>
        <w:tc>
          <w:tcPr>
            <w:tcW w:w="1620" w:type="dxa"/>
            <w:tcBorders>
              <w:top w:val="single" w:sz="4" w:space="0" w:color="auto"/>
              <w:left w:val="single" w:sz="4" w:space="0" w:color="auto"/>
              <w:bottom w:val="single" w:sz="4" w:space="0" w:color="auto"/>
              <w:right w:val="single" w:sz="4" w:space="0" w:color="auto"/>
            </w:tcBorders>
            <w:hideMark/>
          </w:tcPr>
          <w:p w14:paraId="58EB5FB2" w14:textId="77777777" w:rsidR="0063158A" w:rsidRPr="00950125" w:rsidRDefault="0063158A" w:rsidP="00D46E36">
            <w:pPr>
              <w:spacing w:line="276" w:lineRule="auto"/>
              <w:jc w:val="center"/>
              <w:rPr>
                <w:rFonts w:eastAsia="Calibri"/>
              </w:rPr>
            </w:pPr>
            <w:r w:rsidRPr="00950125">
              <w:rPr>
                <w:rFonts w:eastAsia="Calibri"/>
              </w:rPr>
              <w:t>Independent Variable</w:t>
            </w:r>
          </w:p>
        </w:tc>
        <w:tc>
          <w:tcPr>
            <w:tcW w:w="1800" w:type="dxa"/>
            <w:tcBorders>
              <w:top w:val="single" w:sz="4" w:space="0" w:color="auto"/>
              <w:left w:val="single" w:sz="4" w:space="0" w:color="auto"/>
              <w:bottom w:val="single" w:sz="4" w:space="0" w:color="auto"/>
              <w:right w:val="single" w:sz="4" w:space="0" w:color="auto"/>
            </w:tcBorders>
            <w:hideMark/>
          </w:tcPr>
          <w:p w14:paraId="58C31BB6" w14:textId="77777777" w:rsidR="0063158A" w:rsidRPr="00950125" w:rsidRDefault="0063158A" w:rsidP="00D46E36">
            <w:pPr>
              <w:spacing w:line="276" w:lineRule="auto"/>
              <w:jc w:val="center"/>
              <w:rPr>
                <w:rFonts w:eastAsia="Calibri"/>
              </w:rPr>
            </w:pPr>
            <w:r w:rsidRPr="00950125">
              <w:rPr>
                <w:rFonts w:eastAsia="Calibri"/>
              </w:rPr>
              <w:t>Methods</w:t>
            </w:r>
          </w:p>
        </w:tc>
        <w:tc>
          <w:tcPr>
            <w:tcW w:w="1080" w:type="dxa"/>
            <w:tcBorders>
              <w:top w:val="single" w:sz="4" w:space="0" w:color="auto"/>
              <w:left w:val="single" w:sz="4" w:space="0" w:color="auto"/>
              <w:bottom w:val="single" w:sz="4" w:space="0" w:color="auto"/>
              <w:right w:val="single" w:sz="4" w:space="0" w:color="auto"/>
            </w:tcBorders>
          </w:tcPr>
          <w:p w14:paraId="500AEC1C" w14:textId="77777777" w:rsidR="0063158A" w:rsidRPr="00950125" w:rsidRDefault="0063158A" w:rsidP="00D46E36">
            <w:pPr>
              <w:spacing w:line="276" w:lineRule="auto"/>
              <w:jc w:val="center"/>
              <w:rPr>
                <w:rFonts w:eastAsia="Calibri"/>
              </w:rPr>
            </w:pPr>
            <w:r w:rsidRPr="00950125">
              <w:rPr>
                <w:rFonts w:eastAsia="Calibri"/>
              </w:rPr>
              <w:t>ICT</w:t>
            </w:r>
          </w:p>
        </w:tc>
        <w:tc>
          <w:tcPr>
            <w:tcW w:w="900" w:type="dxa"/>
            <w:tcBorders>
              <w:top w:val="single" w:sz="4" w:space="0" w:color="auto"/>
              <w:left w:val="single" w:sz="4" w:space="0" w:color="auto"/>
              <w:bottom w:val="single" w:sz="4" w:space="0" w:color="auto"/>
              <w:right w:val="single" w:sz="4" w:space="0" w:color="auto"/>
            </w:tcBorders>
          </w:tcPr>
          <w:p w14:paraId="4E10C397" w14:textId="77777777" w:rsidR="0063158A" w:rsidRPr="00950125" w:rsidRDefault="0063158A" w:rsidP="00D46E36">
            <w:pPr>
              <w:spacing w:line="276" w:lineRule="auto"/>
              <w:jc w:val="center"/>
              <w:rPr>
                <w:rFonts w:eastAsia="Calibri"/>
              </w:rPr>
            </w:pPr>
            <w:r w:rsidRPr="00950125">
              <w:rPr>
                <w:rFonts w:eastAsia="Calibri"/>
              </w:rPr>
              <w:t>IQ</w:t>
            </w:r>
          </w:p>
        </w:tc>
      </w:tr>
      <w:tr w:rsidR="0063158A" w:rsidRPr="00950125" w14:paraId="659ACB4D" w14:textId="77777777" w:rsidTr="0014422F">
        <w:tc>
          <w:tcPr>
            <w:tcW w:w="1350" w:type="dxa"/>
            <w:tcBorders>
              <w:top w:val="single" w:sz="4" w:space="0" w:color="auto"/>
              <w:left w:val="single" w:sz="4" w:space="0" w:color="auto"/>
              <w:bottom w:val="single" w:sz="4" w:space="0" w:color="auto"/>
              <w:right w:val="single" w:sz="4" w:space="0" w:color="auto"/>
            </w:tcBorders>
          </w:tcPr>
          <w:p w14:paraId="63AE66AE" w14:textId="77777777" w:rsidR="0063158A" w:rsidRPr="00950125" w:rsidRDefault="0063158A" w:rsidP="00D46E36">
            <w:pPr>
              <w:spacing w:line="276" w:lineRule="auto"/>
              <w:jc w:val="center"/>
              <w:rPr>
                <w:rStyle w:val="15"/>
                <w:rFonts w:ascii="Times New Roman" w:eastAsiaTheme="majorEastAsia" w:hAnsi="Times New Roman" w:cs="Times New Roman"/>
              </w:rPr>
            </w:pPr>
          </w:p>
          <w:p w14:paraId="34A5FFD9" w14:textId="77777777" w:rsidR="0063158A" w:rsidRPr="00950125" w:rsidRDefault="0063158A" w:rsidP="00D46E36">
            <w:pPr>
              <w:spacing w:line="276" w:lineRule="auto"/>
              <w:jc w:val="center"/>
              <w:rPr>
                <w:rStyle w:val="15"/>
                <w:rFonts w:ascii="Times New Roman" w:eastAsia="Calibri" w:hAnsi="Times New Roman" w:cs="Times New Roman"/>
              </w:rPr>
            </w:pPr>
            <w:r w:rsidRPr="00950125">
              <w:rPr>
                <w:rStyle w:val="15"/>
                <w:rFonts w:ascii="Times New Roman" w:eastAsia="Calibri" w:hAnsi="Times New Roman" w:cs="Times New Roman"/>
              </w:rPr>
              <w:t>Minli Yu,Hui Jin,Hejie Zhang, Alain Yee Loong Chong</w:t>
            </w:r>
          </w:p>
          <w:p w14:paraId="5F54EB1E" w14:textId="77777777" w:rsidR="0063158A" w:rsidRPr="00950125" w:rsidRDefault="0063158A" w:rsidP="00D46E36">
            <w:pPr>
              <w:spacing w:line="276" w:lineRule="auto"/>
              <w:jc w:val="center"/>
              <w:rPr>
                <w:rFonts w:eastAsia="Calibri"/>
              </w:rPr>
            </w:pPr>
            <w:r w:rsidRPr="00950125">
              <w:rPr>
                <w:rFonts w:eastAsia="Calibri"/>
              </w:rPr>
              <w:t>(2022)</w:t>
            </w:r>
          </w:p>
        </w:tc>
        <w:tc>
          <w:tcPr>
            <w:tcW w:w="1080" w:type="dxa"/>
            <w:tcBorders>
              <w:top w:val="single" w:sz="4" w:space="0" w:color="auto"/>
              <w:left w:val="single" w:sz="4" w:space="0" w:color="auto"/>
              <w:bottom w:val="single" w:sz="4" w:space="0" w:color="auto"/>
              <w:right w:val="single" w:sz="4" w:space="0" w:color="auto"/>
            </w:tcBorders>
          </w:tcPr>
          <w:p w14:paraId="57CCBC15" w14:textId="77777777" w:rsidR="0063158A" w:rsidRPr="00950125" w:rsidRDefault="0063158A" w:rsidP="00D46E36">
            <w:pPr>
              <w:spacing w:line="276" w:lineRule="auto"/>
              <w:jc w:val="center"/>
              <w:rPr>
                <w:rFonts w:eastAsia="Calibri"/>
              </w:rPr>
            </w:pPr>
          </w:p>
          <w:p w14:paraId="645857D4" w14:textId="77777777" w:rsidR="0063158A" w:rsidRPr="00950125" w:rsidRDefault="0063158A" w:rsidP="00D46E36">
            <w:pPr>
              <w:spacing w:line="276" w:lineRule="auto"/>
              <w:jc w:val="center"/>
              <w:rPr>
                <w:rFonts w:eastAsia="Calibri"/>
              </w:rPr>
            </w:pPr>
            <w:r w:rsidRPr="00950125">
              <w:rPr>
                <w:rFonts w:eastAsia="Calibri"/>
              </w:rPr>
              <w:t>35 countries worldwide.</w:t>
            </w:r>
          </w:p>
        </w:tc>
        <w:tc>
          <w:tcPr>
            <w:tcW w:w="1350" w:type="dxa"/>
            <w:tcBorders>
              <w:top w:val="single" w:sz="4" w:space="0" w:color="auto"/>
              <w:left w:val="single" w:sz="4" w:space="0" w:color="auto"/>
              <w:bottom w:val="single" w:sz="4" w:space="0" w:color="auto"/>
              <w:right w:val="single" w:sz="4" w:space="0" w:color="auto"/>
            </w:tcBorders>
          </w:tcPr>
          <w:p w14:paraId="2C2E56EE" w14:textId="77777777" w:rsidR="0063158A" w:rsidRPr="00950125" w:rsidRDefault="0063158A" w:rsidP="00D46E36">
            <w:pPr>
              <w:spacing w:line="276" w:lineRule="auto"/>
              <w:jc w:val="center"/>
              <w:rPr>
                <w:rFonts w:eastAsia="Calibri"/>
              </w:rPr>
            </w:pPr>
          </w:p>
          <w:p w14:paraId="08C9A60E" w14:textId="77777777" w:rsidR="0063158A" w:rsidRPr="00950125" w:rsidRDefault="0063158A" w:rsidP="00D46E36">
            <w:pPr>
              <w:spacing w:line="276" w:lineRule="auto"/>
              <w:jc w:val="center"/>
              <w:rPr>
                <w:rFonts w:eastAsia="Calibri"/>
              </w:rPr>
            </w:pPr>
            <w:r w:rsidRPr="00950125">
              <w:rPr>
                <w:rFonts w:eastAsia="Calibri"/>
              </w:rPr>
              <w:t>Renewable energy consumption.</w:t>
            </w:r>
          </w:p>
          <w:p w14:paraId="3AF42667" w14:textId="77777777" w:rsidR="0063158A" w:rsidRPr="00950125" w:rsidRDefault="0063158A" w:rsidP="00D46E36">
            <w:pPr>
              <w:spacing w:line="276" w:lineRule="auto"/>
              <w:jc w:val="center"/>
              <w:rPr>
                <w:rFonts w:eastAsia="Calibri"/>
              </w:rPr>
            </w:pPr>
          </w:p>
        </w:tc>
        <w:tc>
          <w:tcPr>
            <w:tcW w:w="1620" w:type="dxa"/>
            <w:tcBorders>
              <w:top w:val="single" w:sz="4" w:space="0" w:color="auto"/>
              <w:left w:val="single" w:sz="4" w:space="0" w:color="auto"/>
              <w:bottom w:val="single" w:sz="4" w:space="0" w:color="auto"/>
              <w:right w:val="single" w:sz="4" w:space="0" w:color="auto"/>
            </w:tcBorders>
          </w:tcPr>
          <w:p w14:paraId="4372038D" w14:textId="77777777" w:rsidR="0063158A" w:rsidRPr="00950125" w:rsidRDefault="0063158A" w:rsidP="00D46E36">
            <w:pPr>
              <w:spacing w:line="276" w:lineRule="auto"/>
              <w:jc w:val="center"/>
              <w:rPr>
                <w:rFonts w:eastAsia="Calibri"/>
              </w:rPr>
            </w:pPr>
          </w:p>
          <w:p w14:paraId="07FF12AA" w14:textId="77777777" w:rsidR="0063158A" w:rsidRPr="00950125" w:rsidRDefault="0063158A" w:rsidP="00D46E36">
            <w:pPr>
              <w:spacing w:line="276" w:lineRule="auto"/>
              <w:jc w:val="center"/>
              <w:rPr>
                <w:rFonts w:eastAsia="Calibri"/>
              </w:rPr>
            </w:pPr>
            <w:r w:rsidRPr="00950125">
              <w:rPr>
                <w:rFonts w:eastAsia="Calibri"/>
              </w:rPr>
              <w:t>Economic development, trade openness, and urbanization,</w:t>
            </w:r>
          </w:p>
          <w:p w14:paraId="5F7BC073" w14:textId="77777777" w:rsidR="0063158A" w:rsidRPr="00950125" w:rsidRDefault="0063158A" w:rsidP="00D46E36">
            <w:pPr>
              <w:spacing w:line="276" w:lineRule="auto"/>
              <w:jc w:val="center"/>
              <w:rPr>
                <w:rFonts w:eastAsia="Calibri"/>
              </w:rPr>
            </w:pPr>
            <w:r w:rsidRPr="00950125">
              <w:rPr>
                <w:rFonts w:eastAsia="Calibri"/>
              </w:rPr>
              <w:t>technological progress.</w:t>
            </w:r>
          </w:p>
          <w:p w14:paraId="2992DA90" w14:textId="77777777" w:rsidR="0063158A" w:rsidRPr="00950125" w:rsidRDefault="0063158A" w:rsidP="00D46E36">
            <w:pPr>
              <w:spacing w:line="276" w:lineRule="auto"/>
              <w:jc w:val="center"/>
              <w:rPr>
                <w:rFonts w:eastAsia="Calibri"/>
                <w:u w:val="single"/>
              </w:rPr>
            </w:pPr>
            <w:r w:rsidRPr="00950125">
              <w:rPr>
                <w:rFonts w:eastAsia="Calibri"/>
                <w:u w:val="single"/>
              </w:rPr>
              <w:t>MV</w:t>
            </w:r>
          </w:p>
          <w:p w14:paraId="01D7978A" w14:textId="77777777" w:rsidR="0063158A" w:rsidRPr="00950125" w:rsidRDefault="0063158A" w:rsidP="00D46E36">
            <w:pPr>
              <w:spacing w:line="276" w:lineRule="auto"/>
              <w:jc w:val="center"/>
              <w:rPr>
                <w:rFonts w:eastAsia="Calibri"/>
              </w:rPr>
            </w:pPr>
            <w:r w:rsidRPr="00950125">
              <w:rPr>
                <w:rFonts w:eastAsia="Calibri"/>
              </w:rPr>
              <w:t>ICT</w:t>
            </w:r>
          </w:p>
        </w:tc>
        <w:tc>
          <w:tcPr>
            <w:tcW w:w="1800" w:type="dxa"/>
            <w:tcBorders>
              <w:top w:val="single" w:sz="4" w:space="0" w:color="auto"/>
              <w:left w:val="single" w:sz="4" w:space="0" w:color="auto"/>
              <w:bottom w:val="single" w:sz="4" w:space="0" w:color="auto"/>
              <w:right w:val="single" w:sz="4" w:space="0" w:color="auto"/>
            </w:tcBorders>
          </w:tcPr>
          <w:p w14:paraId="46DD38B6" w14:textId="77777777" w:rsidR="0063158A" w:rsidRPr="00950125" w:rsidRDefault="0063158A" w:rsidP="00D46E36">
            <w:pPr>
              <w:spacing w:line="276" w:lineRule="auto"/>
              <w:jc w:val="center"/>
              <w:rPr>
                <w:rFonts w:eastAsia="Calibri"/>
                <w:color w:val="1F1F1F"/>
              </w:rPr>
            </w:pPr>
          </w:p>
          <w:p w14:paraId="2FD58513" w14:textId="77777777" w:rsidR="0063158A" w:rsidRPr="00950125" w:rsidRDefault="0063158A" w:rsidP="00D46E36">
            <w:pPr>
              <w:spacing w:line="276" w:lineRule="auto"/>
              <w:jc w:val="center"/>
              <w:rPr>
                <w:rFonts w:eastAsia="Calibri"/>
              </w:rPr>
            </w:pPr>
            <w:r w:rsidRPr="00950125">
              <w:rPr>
                <w:rFonts w:eastAsia="Calibri"/>
              </w:rPr>
              <w:t>The moderating effect and panel threshold models</w:t>
            </w:r>
          </w:p>
        </w:tc>
        <w:tc>
          <w:tcPr>
            <w:tcW w:w="1080" w:type="dxa"/>
            <w:tcBorders>
              <w:top w:val="single" w:sz="4" w:space="0" w:color="auto"/>
              <w:left w:val="single" w:sz="4" w:space="0" w:color="auto"/>
              <w:bottom w:val="single" w:sz="4" w:space="0" w:color="auto"/>
              <w:right w:val="single" w:sz="4" w:space="0" w:color="auto"/>
            </w:tcBorders>
          </w:tcPr>
          <w:p w14:paraId="2D5EE40C" w14:textId="77777777" w:rsidR="0063158A" w:rsidRPr="00950125" w:rsidRDefault="0063158A" w:rsidP="00D46E36">
            <w:pPr>
              <w:spacing w:line="276" w:lineRule="auto"/>
              <w:jc w:val="center"/>
              <w:rPr>
                <w:rFonts w:eastAsia="Calibri"/>
              </w:rPr>
            </w:pPr>
            <w:r w:rsidRPr="00950125">
              <w:rPr>
                <w:rFonts w:eastAsia="Calibri"/>
              </w:rPr>
              <w:t>No Effect</w:t>
            </w:r>
          </w:p>
        </w:tc>
        <w:tc>
          <w:tcPr>
            <w:tcW w:w="900" w:type="dxa"/>
            <w:tcBorders>
              <w:top w:val="single" w:sz="4" w:space="0" w:color="auto"/>
              <w:left w:val="single" w:sz="4" w:space="0" w:color="auto"/>
              <w:bottom w:val="single" w:sz="4" w:space="0" w:color="auto"/>
              <w:right w:val="single" w:sz="4" w:space="0" w:color="auto"/>
            </w:tcBorders>
          </w:tcPr>
          <w:p w14:paraId="2C5F7867" w14:textId="77777777" w:rsidR="0063158A" w:rsidRPr="00950125" w:rsidRDefault="0063158A" w:rsidP="00D46E36">
            <w:pPr>
              <w:spacing w:line="276" w:lineRule="auto"/>
              <w:jc w:val="center"/>
              <w:rPr>
                <w:rFonts w:eastAsia="Calibri"/>
              </w:rPr>
            </w:pPr>
          </w:p>
        </w:tc>
      </w:tr>
      <w:tr w:rsidR="0063158A" w:rsidRPr="00950125" w14:paraId="1C66762F" w14:textId="77777777" w:rsidTr="0014422F">
        <w:trPr>
          <w:trHeight w:val="1260"/>
        </w:trPr>
        <w:tc>
          <w:tcPr>
            <w:tcW w:w="1350" w:type="dxa"/>
            <w:tcBorders>
              <w:top w:val="single" w:sz="4" w:space="0" w:color="auto"/>
              <w:left w:val="single" w:sz="4" w:space="0" w:color="auto"/>
              <w:bottom w:val="single" w:sz="4" w:space="0" w:color="auto"/>
              <w:right w:val="single" w:sz="4" w:space="0" w:color="auto"/>
            </w:tcBorders>
            <w:hideMark/>
          </w:tcPr>
          <w:p w14:paraId="7E76388A"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Calibri" w:hAnsi="Times New Roman" w:cs="Times New Roman"/>
              </w:rPr>
              <w:t>Charles Shaaba Saba,</w:t>
            </w:r>
          </w:p>
          <w:p w14:paraId="1863F1BC" w14:textId="77777777" w:rsidR="0063158A" w:rsidRPr="00950125" w:rsidRDefault="0063158A" w:rsidP="00D46E36">
            <w:pPr>
              <w:spacing w:line="276" w:lineRule="auto"/>
              <w:jc w:val="center"/>
              <w:rPr>
                <w:rStyle w:val="15"/>
                <w:rFonts w:ascii="Times New Roman" w:eastAsia="Calibri" w:hAnsi="Times New Roman" w:cs="Times New Roman"/>
              </w:rPr>
            </w:pPr>
            <w:r w:rsidRPr="00950125">
              <w:rPr>
                <w:rStyle w:val="15"/>
                <w:rFonts w:ascii="Times New Roman" w:eastAsia="Calibri" w:hAnsi="Times New Roman" w:cs="Times New Roman"/>
              </w:rPr>
              <w:t>Mduduzi Biyase</w:t>
            </w:r>
          </w:p>
          <w:p w14:paraId="4D3D667A" w14:textId="77777777" w:rsidR="0063158A" w:rsidRPr="00950125" w:rsidRDefault="0063158A" w:rsidP="00D46E36">
            <w:pPr>
              <w:spacing w:line="276" w:lineRule="auto"/>
              <w:jc w:val="center"/>
              <w:rPr>
                <w:rStyle w:val="15"/>
                <w:rFonts w:ascii="Times New Roman" w:eastAsia="Calibri" w:hAnsi="Times New Roman" w:cs="Times New Roman"/>
              </w:rPr>
            </w:pPr>
            <w:r w:rsidRPr="00950125">
              <w:rPr>
                <w:rStyle w:val="15"/>
                <w:rFonts w:ascii="Times New Roman" w:eastAsia="Calibri" w:hAnsi="Times New Roman" w:cs="Times New Roman"/>
              </w:rPr>
              <w:t>(2022)</w:t>
            </w:r>
          </w:p>
        </w:tc>
        <w:tc>
          <w:tcPr>
            <w:tcW w:w="1080" w:type="dxa"/>
            <w:tcBorders>
              <w:top w:val="single" w:sz="4" w:space="0" w:color="auto"/>
              <w:left w:val="single" w:sz="4" w:space="0" w:color="auto"/>
              <w:bottom w:val="single" w:sz="4" w:space="0" w:color="auto"/>
              <w:right w:val="single" w:sz="4" w:space="0" w:color="auto"/>
            </w:tcBorders>
            <w:hideMark/>
          </w:tcPr>
          <w:p w14:paraId="47914477" w14:textId="77777777" w:rsidR="0063158A" w:rsidRPr="00950125" w:rsidRDefault="0063158A" w:rsidP="00D46E36">
            <w:pPr>
              <w:spacing w:line="276" w:lineRule="auto"/>
              <w:jc w:val="center"/>
              <w:rPr>
                <w:rFonts w:eastAsia="Calibri"/>
              </w:rPr>
            </w:pPr>
            <w:r w:rsidRPr="00950125">
              <w:rPr>
                <w:rFonts w:eastAsia="Calibri"/>
              </w:rPr>
              <w:t>35 countries in Europe.</w:t>
            </w:r>
          </w:p>
        </w:tc>
        <w:tc>
          <w:tcPr>
            <w:tcW w:w="1350" w:type="dxa"/>
            <w:tcBorders>
              <w:top w:val="single" w:sz="4" w:space="0" w:color="auto"/>
              <w:left w:val="single" w:sz="4" w:space="0" w:color="auto"/>
              <w:bottom w:val="single" w:sz="4" w:space="0" w:color="auto"/>
              <w:right w:val="single" w:sz="4" w:space="0" w:color="auto"/>
            </w:tcBorders>
            <w:hideMark/>
          </w:tcPr>
          <w:p w14:paraId="2AFC6385" w14:textId="77777777" w:rsidR="0063158A" w:rsidRPr="00950125" w:rsidRDefault="0063158A" w:rsidP="00D46E36">
            <w:pPr>
              <w:spacing w:before="240" w:line="276" w:lineRule="auto"/>
              <w:jc w:val="center"/>
              <w:rPr>
                <w:rFonts w:eastAsia="Calibri"/>
                <w:color w:val="1F1F1F"/>
              </w:rPr>
            </w:pPr>
            <w:r w:rsidRPr="00950125">
              <w:rPr>
                <w:rFonts w:eastAsia="Calibri"/>
                <w:color w:val="1F1F1F"/>
              </w:rPr>
              <w:t>Renewable electricity development</w:t>
            </w:r>
          </w:p>
        </w:tc>
        <w:tc>
          <w:tcPr>
            <w:tcW w:w="1620" w:type="dxa"/>
            <w:tcBorders>
              <w:top w:val="single" w:sz="4" w:space="0" w:color="auto"/>
              <w:left w:val="single" w:sz="4" w:space="0" w:color="auto"/>
              <w:bottom w:val="single" w:sz="4" w:space="0" w:color="auto"/>
              <w:right w:val="single" w:sz="4" w:space="0" w:color="auto"/>
            </w:tcBorders>
            <w:hideMark/>
          </w:tcPr>
          <w:p w14:paraId="2F82BA70" w14:textId="77777777" w:rsidR="0063158A" w:rsidRPr="00950125" w:rsidRDefault="0063158A" w:rsidP="00D46E36">
            <w:pPr>
              <w:spacing w:line="276" w:lineRule="auto"/>
              <w:jc w:val="center"/>
              <w:rPr>
                <w:rFonts w:eastAsia="Calibri"/>
                <w:color w:val="1F1F1F"/>
              </w:rPr>
            </w:pPr>
            <w:r w:rsidRPr="00950125">
              <w:rPr>
                <w:rFonts w:eastAsia="Calibri"/>
                <w:color w:val="1F1F1F"/>
              </w:rPr>
              <w:t>IQ</w:t>
            </w:r>
            <w:r w:rsidR="002E336E" w:rsidRPr="00950125">
              <w:rPr>
                <w:rFonts w:eastAsia="Calibri"/>
                <w:color w:val="1F1F1F"/>
              </w:rPr>
              <w:t>, Governance indicator</w:t>
            </w:r>
          </w:p>
        </w:tc>
        <w:tc>
          <w:tcPr>
            <w:tcW w:w="1800" w:type="dxa"/>
            <w:tcBorders>
              <w:top w:val="single" w:sz="4" w:space="0" w:color="auto"/>
              <w:left w:val="single" w:sz="4" w:space="0" w:color="auto"/>
              <w:bottom w:val="single" w:sz="4" w:space="0" w:color="auto"/>
              <w:right w:val="single" w:sz="4" w:space="0" w:color="auto"/>
            </w:tcBorders>
            <w:hideMark/>
          </w:tcPr>
          <w:p w14:paraId="45371B5A" w14:textId="77777777" w:rsidR="0063158A" w:rsidRPr="00950125" w:rsidRDefault="0063158A" w:rsidP="00D46E36">
            <w:pPr>
              <w:spacing w:line="276" w:lineRule="auto"/>
              <w:jc w:val="center"/>
              <w:rPr>
                <w:rFonts w:eastAsia="Calibri"/>
                <w:color w:val="1F1F1F"/>
              </w:rPr>
            </w:pPr>
            <w:r w:rsidRPr="00950125">
              <w:rPr>
                <w:rFonts w:eastAsia="Calibri"/>
                <w:color w:val="1F1F1F"/>
              </w:rPr>
              <w:t>Fully modified ordinary least squares and dynamic ordinary least squares.</w:t>
            </w:r>
          </w:p>
        </w:tc>
        <w:tc>
          <w:tcPr>
            <w:tcW w:w="1080" w:type="dxa"/>
            <w:tcBorders>
              <w:top w:val="single" w:sz="4" w:space="0" w:color="auto"/>
              <w:left w:val="single" w:sz="4" w:space="0" w:color="auto"/>
              <w:bottom w:val="single" w:sz="4" w:space="0" w:color="auto"/>
              <w:right w:val="single" w:sz="4" w:space="0" w:color="auto"/>
            </w:tcBorders>
          </w:tcPr>
          <w:p w14:paraId="6E211C2A" w14:textId="77777777" w:rsidR="0063158A" w:rsidRPr="00950125" w:rsidRDefault="0063158A" w:rsidP="00D46E36">
            <w:pPr>
              <w:spacing w:line="276" w:lineRule="auto"/>
              <w:jc w:val="center"/>
              <w:rPr>
                <w:rFonts w:eastAsia="Calibri"/>
              </w:rPr>
            </w:pPr>
            <w:r w:rsidRPr="00950125">
              <w:rPr>
                <w:rFonts w:eastAsia="Calibri"/>
              </w:rPr>
              <w:t>Positive</w:t>
            </w:r>
          </w:p>
        </w:tc>
        <w:tc>
          <w:tcPr>
            <w:tcW w:w="900" w:type="dxa"/>
            <w:tcBorders>
              <w:top w:val="single" w:sz="4" w:space="0" w:color="auto"/>
              <w:left w:val="single" w:sz="4" w:space="0" w:color="auto"/>
              <w:bottom w:val="single" w:sz="4" w:space="0" w:color="auto"/>
              <w:right w:val="single" w:sz="4" w:space="0" w:color="auto"/>
            </w:tcBorders>
          </w:tcPr>
          <w:p w14:paraId="07427A9C" w14:textId="77777777" w:rsidR="0063158A" w:rsidRPr="00950125" w:rsidRDefault="0063158A" w:rsidP="00D46E36">
            <w:pPr>
              <w:spacing w:line="276" w:lineRule="auto"/>
              <w:jc w:val="center"/>
              <w:rPr>
                <w:rFonts w:eastAsia="Calibri"/>
              </w:rPr>
            </w:pPr>
            <w:r w:rsidRPr="00950125">
              <w:rPr>
                <w:rFonts w:eastAsia="Calibri"/>
              </w:rPr>
              <w:t>Positive</w:t>
            </w:r>
          </w:p>
        </w:tc>
      </w:tr>
      <w:tr w:rsidR="0063158A" w:rsidRPr="00950125" w14:paraId="7599C24D" w14:textId="77777777" w:rsidTr="0014422F">
        <w:trPr>
          <w:trHeight w:val="1260"/>
        </w:trPr>
        <w:tc>
          <w:tcPr>
            <w:tcW w:w="1350" w:type="dxa"/>
            <w:tcBorders>
              <w:top w:val="single" w:sz="4" w:space="0" w:color="auto"/>
              <w:left w:val="single" w:sz="4" w:space="0" w:color="auto"/>
              <w:bottom w:val="single" w:sz="4" w:space="0" w:color="auto"/>
              <w:right w:val="single" w:sz="4" w:space="0" w:color="auto"/>
            </w:tcBorders>
            <w:hideMark/>
          </w:tcPr>
          <w:p w14:paraId="21D0B5CE"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Calibri" w:hAnsi="Times New Roman" w:cs="Times New Roman"/>
              </w:rPr>
              <w:t>Olalekan J. Akintande,</w:t>
            </w:r>
          </w:p>
          <w:p w14:paraId="5EDB534F" w14:textId="77777777" w:rsidR="0063158A" w:rsidRPr="00950125" w:rsidRDefault="0063158A" w:rsidP="00D46E36">
            <w:pPr>
              <w:spacing w:line="276" w:lineRule="auto"/>
              <w:jc w:val="center"/>
              <w:rPr>
                <w:rStyle w:val="15"/>
                <w:rFonts w:ascii="Times New Roman" w:eastAsia="Calibri" w:hAnsi="Times New Roman" w:cs="Times New Roman"/>
              </w:rPr>
            </w:pPr>
            <w:r w:rsidRPr="00950125">
              <w:rPr>
                <w:rStyle w:val="15"/>
                <w:rFonts w:ascii="Times New Roman" w:eastAsia="Calibri" w:hAnsi="Times New Roman" w:cs="Times New Roman"/>
              </w:rPr>
              <w:t>Olusanya E. Olubusoye,</w:t>
            </w:r>
          </w:p>
          <w:p w14:paraId="1F17F5BD" w14:textId="77777777" w:rsidR="0063158A" w:rsidRPr="00950125" w:rsidRDefault="0063158A" w:rsidP="00D46E36">
            <w:pPr>
              <w:spacing w:line="276" w:lineRule="auto"/>
              <w:jc w:val="center"/>
              <w:rPr>
                <w:rStyle w:val="15"/>
                <w:rFonts w:ascii="Times New Roman" w:eastAsia="Calibri" w:hAnsi="Times New Roman" w:cs="Times New Roman"/>
              </w:rPr>
            </w:pPr>
            <w:r w:rsidRPr="00950125">
              <w:rPr>
                <w:rStyle w:val="15"/>
                <w:rFonts w:ascii="Times New Roman" w:eastAsia="Calibri" w:hAnsi="Times New Roman" w:cs="Times New Roman"/>
              </w:rPr>
              <w:t>Adeola F. Adenikinju,</w:t>
            </w:r>
          </w:p>
          <w:p w14:paraId="753B06AF" w14:textId="77777777" w:rsidR="0063158A" w:rsidRPr="00950125" w:rsidRDefault="0063158A" w:rsidP="00D46E36">
            <w:pPr>
              <w:spacing w:line="276" w:lineRule="auto"/>
              <w:jc w:val="center"/>
              <w:rPr>
                <w:rStyle w:val="15"/>
                <w:rFonts w:ascii="Times New Roman" w:eastAsia="Calibri" w:hAnsi="Times New Roman" w:cs="Times New Roman"/>
              </w:rPr>
            </w:pPr>
            <w:r w:rsidRPr="00950125">
              <w:rPr>
                <w:rStyle w:val="15"/>
                <w:rFonts w:ascii="Times New Roman" w:eastAsia="Calibri" w:hAnsi="Times New Roman" w:cs="Times New Roman"/>
              </w:rPr>
              <w:t>Busayo T. Olanrewaju</w:t>
            </w:r>
          </w:p>
          <w:p w14:paraId="747C5C29" w14:textId="77777777" w:rsidR="0063158A" w:rsidRPr="00950125" w:rsidRDefault="0063158A" w:rsidP="00D46E36">
            <w:pPr>
              <w:spacing w:line="276" w:lineRule="auto"/>
              <w:jc w:val="center"/>
              <w:rPr>
                <w:rStyle w:val="15"/>
                <w:rFonts w:ascii="Times New Roman" w:eastAsia="Calibri" w:hAnsi="Times New Roman" w:cs="Times New Roman"/>
              </w:rPr>
            </w:pPr>
            <w:r w:rsidRPr="00950125">
              <w:rPr>
                <w:rStyle w:val="15"/>
                <w:rFonts w:ascii="Times New Roman" w:eastAsia="Calibri" w:hAnsi="Times New Roman" w:cs="Times New Roman"/>
              </w:rPr>
              <w:t>(2020)</w:t>
            </w:r>
          </w:p>
        </w:tc>
        <w:tc>
          <w:tcPr>
            <w:tcW w:w="1080" w:type="dxa"/>
            <w:tcBorders>
              <w:top w:val="single" w:sz="4" w:space="0" w:color="auto"/>
              <w:left w:val="single" w:sz="4" w:space="0" w:color="auto"/>
              <w:bottom w:val="single" w:sz="4" w:space="0" w:color="auto"/>
              <w:right w:val="single" w:sz="4" w:space="0" w:color="auto"/>
            </w:tcBorders>
            <w:hideMark/>
          </w:tcPr>
          <w:p w14:paraId="61E88302" w14:textId="77777777" w:rsidR="0063158A" w:rsidRPr="00950125" w:rsidRDefault="0063158A" w:rsidP="00D46E36">
            <w:pPr>
              <w:spacing w:line="276" w:lineRule="auto"/>
              <w:jc w:val="center"/>
              <w:rPr>
                <w:rFonts w:eastAsia="Calibri"/>
              </w:rPr>
            </w:pPr>
            <w:r w:rsidRPr="00950125">
              <w:rPr>
                <w:rFonts w:eastAsia="Calibri"/>
              </w:rPr>
              <w:t>Ethiopia, South Africa, Nigeria, DR Congo, and Egypt</w:t>
            </w:r>
          </w:p>
        </w:tc>
        <w:tc>
          <w:tcPr>
            <w:tcW w:w="1350" w:type="dxa"/>
            <w:tcBorders>
              <w:top w:val="single" w:sz="4" w:space="0" w:color="auto"/>
              <w:left w:val="single" w:sz="4" w:space="0" w:color="auto"/>
              <w:bottom w:val="single" w:sz="4" w:space="0" w:color="auto"/>
              <w:right w:val="single" w:sz="4" w:space="0" w:color="auto"/>
            </w:tcBorders>
          </w:tcPr>
          <w:p w14:paraId="2FF6D625" w14:textId="77777777" w:rsidR="0063158A" w:rsidRPr="00950125" w:rsidRDefault="0063158A" w:rsidP="00D46E36">
            <w:pPr>
              <w:spacing w:line="276" w:lineRule="auto"/>
              <w:jc w:val="center"/>
              <w:rPr>
                <w:rFonts w:eastAsia="Calibri"/>
                <w:color w:val="1F1F1F"/>
              </w:rPr>
            </w:pPr>
            <w:r w:rsidRPr="00950125">
              <w:rPr>
                <w:rFonts w:eastAsia="Calibri"/>
                <w:color w:val="1F1F1F"/>
              </w:rPr>
              <w:t>Renewable energy consumption.</w:t>
            </w:r>
          </w:p>
          <w:p w14:paraId="2B820AEE" w14:textId="77777777" w:rsidR="0063158A" w:rsidRPr="00950125" w:rsidRDefault="0063158A" w:rsidP="00D46E36">
            <w:pPr>
              <w:spacing w:before="240" w:line="276" w:lineRule="auto"/>
              <w:jc w:val="center"/>
              <w:rPr>
                <w:rFonts w:eastAsia="Calibri"/>
                <w:color w:val="1F1F1F"/>
              </w:rPr>
            </w:pPr>
          </w:p>
        </w:tc>
        <w:tc>
          <w:tcPr>
            <w:tcW w:w="1620" w:type="dxa"/>
            <w:tcBorders>
              <w:top w:val="single" w:sz="4" w:space="0" w:color="auto"/>
              <w:left w:val="single" w:sz="4" w:space="0" w:color="auto"/>
              <w:bottom w:val="single" w:sz="4" w:space="0" w:color="auto"/>
              <w:right w:val="single" w:sz="4" w:space="0" w:color="auto"/>
            </w:tcBorders>
            <w:hideMark/>
          </w:tcPr>
          <w:p w14:paraId="36EA1CDC" w14:textId="77777777" w:rsidR="0063158A" w:rsidRPr="00950125" w:rsidRDefault="0063158A" w:rsidP="00D46E36">
            <w:pPr>
              <w:spacing w:line="276" w:lineRule="auto"/>
              <w:jc w:val="center"/>
              <w:rPr>
                <w:rFonts w:eastAsia="Calibri"/>
                <w:color w:val="1F1F1F"/>
              </w:rPr>
            </w:pPr>
            <w:r w:rsidRPr="00950125">
              <w:rPr>
                <w:rFonts w:eastAsia="Calibri"/>
                <w:color w:val="1F1F1F"/>
              </w:rPr>
              <w:t>Thirty-four predictor variables (IQ,ICT-not significant)</w:t>
            </w:r>
          </w:p>
        </w:tc>
        <w:tc>
          <w:tcPr>
            <w:tcW w:w="1800" w:type="dxa"/>
            <w:tcBorders>
              <w:top w:val="single" w:sz="4" w:space="0" w:color="auto"/>
              <w:left w:val="single" w:sz="4" w:space="0" w:color="auto"/>
              <w:bottom w:val="single" w:sz="4" w:space="0" w:color="auto"/>
              <w:right w:val="single" w:sz="4" w:space="0" w:color="auto"/>
            </w:tcBorders>
          </w:tcPr>
          <w:p w14:paraId="4E61F9F0" w14:textId="77777777" w:rsidR="0063158A" w:rsidRPr="00950125" w:rsidRDefault="0063158A" w:rsidP="00D46E36">
            <w:pPr>
              <w:spacing w:line="276" w:lineRule="auto"/>
              <w:jc w:val="center"/>
              <w:rPr>
                <w:rFonts w:eastAsia="Calibri"/>
                <w:color w:val="1F1F1F"/>
              </w:rPr>
            </w:pPr>
            <w:r w:rsidRPr="00950125">
              <w:rPr>
                <w:rFonts w:eastAsia="Calibri"/>
                <w:color w:val="1F1F1F"/>
              </w:rPr>
              <w:t>Bayesian Model Averaging - BMA</w:t>
            </w:r>
          </w:p>
          <w:p w14:paraId="1FBE5A1C" w14:textId="77777777" w:rsidR="0063158A" w:rsidRPr="00950125" w:rsidRDefault="0063158A" w:rsidP="00D46E36">
            <w:pPr>
              <w:spacing w:line="276" w:lineRule="auto"/>
              <w:jc w:val="center"/>
              <w:rPr>
                <w:rFonts w:eastAsia="Calibri"/>
                <w:color w:val="1F1F1F"/>
              </w:rPr>
            </w:pPr>
            <w:r w:rsidRPr="00950125">
              <w:rPr>
                <w:rFonts w:eastAsia="Calibri"/>
                <w:color w:val="1F1F1F"/>
              </w:rPr>
              <w:t>Method.</w:t>
            </w:r>
          </w:p>
          <w:p w14:paraId="6493A98E" w14:textId="77777777" w:rsidR="0063158A" w:rsidRPr="00950125" w:rsidRDefault="0063158A" w:rsidP="00D46E36">
            <w:pPr>
              <w:spacing w:line="276" w:lineRule="auto"/>
              <w:jc w:val="center"/>
              <w:rPr>
                <w:rFonts w:eastAsia="Calibri"/>
                <w:color w:val="1F1F1F"/>
              </w:rPr>
            </w:pPr>
          </w:p>
        </w:tc>
        <w:tc>
          <w:tcPr>
            <w:tcW w:w="1080" w:type="dxa"/>
            <w:tcBorders>
              <w:top w:val="single" w:sz="4" w:space="0" w:color="auto"/>
              <w:left w:val="single" w:sz="4" w:space="0" w:color="auto"/>
              <w:bottom w:val="single" w:sz="4" w:space="0" w:color="auto"/>
              <w:right w:val="single" w:sz="4" w:space="0" w:color="auto"/>
            </w:tcBorders>
          </w:tcPr>
          <w:p w14:paraId="0FDC8E12" w14:textId="77777777" w:rsidR="0063158A" w:rsidRPr="00950125" w:rsidRDefault="002E336E" w:rsidP="00D46E36">
            <w:pPr>
              <w:spacing w:line="276" w:lineRule="auto"/>
              <w:jc w:val="center"/>
              <w:rPr>
                <w:rFonts w:eastAsia="Calibri"/>
              </w:rPr>
            </w:pPr>
            <w:r w:rsidRPr="00950125">
              <w:rPr>
                <w:rFonts w:eastAsia="Calibri"/>
              </w:rPr>
              <w:t>Not Significant</w:t>
            </w:r>
          </w:p>
        </w:tc>
        <w:tc>
          <w:tcPr>
            <w:tcW w:w="900" w:type="dxa"/>
            <w:tcBorders>
              <w:top w:val="single" w:sz="4" w:space="0" w:color="auto"/>
              <w:left w:val="single" w:sz="4" w:space="0" w:color="auto"/>
              <w:bottom w:val="single" w:sz="4" w:space="0" w:color="auto"/>
              <w:right w:val="single" w:sz="4" w:space="0" w:color="auto"/>
            </w:tcBorders>
          </w:tcPr>
          <w:p w14:paraId="1B430815" w14:textId="77777777" w:rsidR="0063158A" w:rsidRPr="00950125" w:rsidRDefault="002E336E" w:rsidP="00D46E36">
            <w:pPr>
              <w:spacing w:line="276" w:lineRule="auto"/>
              <w:jc w:val="center"/>
              <w:rPr>
                <w:rFonts w:eastAsia="Calibri"/>
              </w:rPr>
            </w:pPr>
            <w:r w:rsidRPr="00950125">
              <w:rPr>
                <w:rFonts w:eastAsia="Calibri"/>
              </w:rPr>
              <w:t>Positive</w:t>
            </w:r>
          </w:p>
        </w:tc>
      </w:tr>
      <w:tr w:rsidR="0063158A" w:rsidRPr="00950125" w14:paraId="5C1EC850" w14:textId="77777777" w:rsidTr="0014422F">
        <w:tc>
          <w:tcPr>
            <w:tcW w:w="1350" w:type="dxa"/>
            <w:tcBorders>
              <w:top w:val="single" w:sz="4" w:space="0" w:color="auto"/>
              <w:left w:val="single" w:sz="4" w:space="0" w:color="auto"/>
              <w:bottom w:val="single" w:sz="4" w:space="0" w:color="auto"/>
              <w:right w:val="single" w:sz="4" w:space="0" w:color="auto"/>
            </w:tcBorders>
            <w:hideMark/>
          </w:tcPr>
          <w:p w14:paraId="26BFF86A" w14:textId="77777777" w:rsidR="0063158A" w:rsidRPr="00950125" w:rsidRDefault="0063158A" w:rsidP="00D46E36">
            <w:pPr>
              <w:spacing w:line="276" w:lineRule="auto"/>
              <w:jc w:val="center"/>
              <w:rPr>
                <w:rStyle w:val="15"/>
                <w:rFonts w:ascii="Times New Roman" w:hAnsi="Times New Roman" w:cs="Times New Roman"/>
              </w:rPr>
            </w:pPr>
            <w:r w:rsidRPr="00950125">
              <w:rPr>
                <w:rStyle w:val="15"/>
                <w:rFonts w:ascii="Times New Roman" w:eastAsiaTheme="majorEastAsia" w:hAnsi="Times New Roman" w:cs="Times New Roman"/>
              </w:rPr>
              <w:t>Muntasir Murshed</w:t>
            </w:r>
          </w:p>
          <w:p w14:paraId="2DA9B87A"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(2020)</w:t>
            </w:r>
          </w:p>
        </w:tc>
        <w:tc>
          <w:tcPr>
            <w:tcW w:w="1080" w:type="dxa"/>
            <w:tcBorders>
              <w:top w:val="single" w:sz="4" w:space="0" w:color="auto"/>
              <w:left w:val="single" w:sz="4" w:space="0" w:color="auto"/>
              <w:bottom w:val="single" w:sz="4" w:space="0" w:color="auto"/>
              <w:right w:val="single" w:sz="4" w:space="0" w:color="auto"/>
            </w:tcBorders>
            <w:hideMark/>
          </w:tcPr>
          <w:p w14:paraId="6316DC1C" w14:textId="77777777" w:rsidR="0063158A" w:rsidRPr="00950125" w:rsidRDefault="0063158A" w:rsidP="00D46E36">
            <w:pPr>
              <w:spacing w:line="276" w:lineRule="auto"/>
              <w:jc w:val="center"/>
              <w:rPr>
                <w:rFonts w:eastAsia="Calibri"/>
              </w:rPr>
            </w:pPr>
            <w:r w:rsidRPr="00950125">
              <w:rPr>
                <w:rFonts w:eastAsia="Calibri"/>
              </w:rPr>
              <w:t>Bangladesh, India, Pakistan, Sri Lanka, Nepal, and Maldives</w:t>
            </w:r>
          </w:p>
        </w:tc>
        <w:tc>
          <w:tcPr>
            <w:tcW w:w="1350" w:type="dxa"/>
            <w:tcBorders>
              <w:top w:val="single" w:sz="4" w:space="0" w:color="auto"/>
              <w:left w:val="single" w:sz="4" w:space="0" w:color="auto"/>
              <w:bottom w:val="single" w:sz="4" w:space="0" w:color="auto"/>
              <w:right w:val="single" w:sz="4" w:space="0" w:color="auto"/>
            </w:tcBorders>
            <w:hideMark/>
          </w:tcPr>
          <w:p w14:paraId="7F071C6C" w14:textId="77777777" w:rsidR="0063158A" w:rsidRPr="00950125" w:rsidRDefault="0063158A" w:rsidP="00D46E36">
            <w:pPr>
              <w:spacing w:line="276" w:lineRule="auto"/>
              <w:jc w:val="center"/>
              <w:rPr>
                <w:rFonts w:eastAsia="Calibri"/>
              </w:rPr>
            </w:pPr>
            <w:r w:rsidRPr="00950125">
              <w:rPr>
                <w:rFonts w:eastAsia="Calibri"/>
              </w:rPr>
              <w:t>The access to clean fuel and technologies (ACFT), Renewable energy consumption level, energy efficiency.</w:t>
            </w:r>
          </w:p>
        </w:tc>
        <w:tc>
          <w:tcPr>
            <w:tcW w:w="1620" w:type="dxa"/>
            <w:tcBorders>
              <w:top w:val="single" w:sz="4" w:space="0" w:color="auto"/>
              <w:left w:val="single" w:sz="4" w:space="0" w:color="auto"/>
              <w:bottom w:val="single" w:sz="4" w:space="0" w:color="auto"/>
              <w:right w:val="single" w:sz="4" w:space="0" w:color="auto"/>
            </w:tcBorders>
            <w:hideMark/>
          </w:tcPr>
          <w:p w14:paraId="4EDA5DE9" w14:textId="77777777" w:rsidR="0063158A" w:rsidRPr="00950125" w:rsidRDefault="0063158A" w:rsidP="00D46E36">
            <w:pPr>
              <w:spacing w:line="276" w:lineRule="auto"/>
              <w:jc w:val="center"/>
              <w:rPr>
                <w:rFonts w:eastAsia="Calibri"/>
              </w:rPr>
            </w:pPr>
            <w:r w:rsidRPr="00950125">
              <w:rPr>
                <w:rFonts w:eastAsia="Calibri"/>
              </w:rPr>
              <w:t>ICT trade openness (import/export of ICT commodities)</w:t>
            </w:r>
          </w:p>
        </w:tc>
        <w:tc>
          <w:tcPr>
            <w:tcW w:w="1800" w:type="dxa"/>
            <w:tcBorders>
              <w:top w:val="single" w:sz="4" w:space="0" w:color="auto"/>
              <w:left w:val="single" w:sz="4" w:space="0" w:color="auto"/>
              <w:bottom w:val="single" w:sz="4" w:space="0" w:color="auto"/>
              <w:right w:val="single" w:sz="4" w:space="0" w:color="auto"/>
            </w:tcBorders>
            <w:hideMark/>
          </w:tcPr>
          <w:p w14:paraId="2A518518" w14:textId="77777777" w:rsidR="0063158A" w:rsidRPr="00950125" w:rsidRDefault="0063158A" w:rsidP="00D46E36">
            <w:pPr>
              <w:spacing w:line="276" w:lineRule="auto"/>
              <w:jc w:val="center"/>
              <w:rPr>
                <w:rFonts w:eastAsia="Calibri"/>
              </w:rPr>
            </w:pPr>
            <w:r w:rsidRPr="00950125">
              <w:rPr>
                <w:rFonts w:eastAsia="Calibri"/>
              </w:rPr>
              <w:t>The linear econometric models.</w:t>
            </w:r>
          </w:p>
        </w:tc>
        <w:tc>
          <w:tcPr>
            <w:tcW w:w="1080" w:type="dxa"/>
            <w:tcBorders>
              <w:top w:val="single" w:sz="4" w:space="0" w:color="auto"/>
              <w:left w:val="single" w:sz="4" w:space="0" w:color="auto"/>
              <w:bottom w:val="single" w:sz="4" w:space="0" w:color="auto"/>
              <w:right w:val="single" w:sz="4" w:space="0" w:color="auto"/>
            </w:tcBorders>
          </w:tcPr>
          <w:p w14:paraId="146BAE35" w14:textId="77777777" w:rsidR="0063158A" w:rsidRPr="00950125" w:rsidRDefault="002E336E" w:rsidP="00D46E36">
            <w:pPr>
              <w:spacing w:line="276" w:lineRule="auto"/>
              <w:jc w:val="center"/>
              <w:rPr>
                <w:rFonts w:eastAsia="Calibri"/>
              </w:rPr>
            </w:pPr>
            <w:r w:rsidRPr="00950125">
              <w:rPr>
                <w:rFonts w:eastAsia="Calibri"/>
              </w:rPr>
              <w:t>Positive</w:t>
            </w:r>
          </w:p>
        </w:tc>
        <w:tc>
          <w:tcPr>
            <w:tcW w:w="900" w:type="dxa"/>
            <w:tcBorders>
              <w:top w:val="single" w:sz="4" w:space="0" w:color="auto"/>
              <w:left w:val="single" w:sz="4" w:space="0" w:color="auto"/>
              <w:bottom w:val="single" w:sz="4" w:space="0" w:color="auto"/>
              <w:right w:val="single" w:sz="4" w:space="0" w:color="auto"/>
            </w:tcBorders>
          </w:tcPr>
          <w:p w14:paraId="0206DB7C" w14:textId="77777777" w:rsidR="0063158A" w:rsidRPr="00950125" w:rsidRDefault="0063158A" w:rsidP="00D46E36">
            <w:pPr>
              <w:spacing w:line="276" w:lineRule="auto"/>
              <w:jc w:val="center"/>
              <w:rPr>
                <w:rFonts w:eastAsia="Calibri"/>
              </w:rPr>
            </w:pPr>
          </w:p>
        </w:tc>
      </w:tr>
      <w:tr w:rsidR="0063158A" w:rsidRPr="00950125" w14:paraId="58895770" w14:textId="77777777" w:rsidTr="0014422F">
        <w:tc>
          <w:tcPr>
            <w:tcW w:w="1350" w:type="dxa"/>
            <w:tcBorders>
              <w:top w:val="single" w:sz="4" w:space="0" w:color="auto"/>
              <w:left w:val="single" w:sz="4" w:space="0" w:color="auto"/>
              <w:bottom w:val="single" w:sz="4" w:space="0" w:color="auto"/>
              <w:right w:val="single" w:sz="4" w:space="0" w:color="auto"/>
            </w:tcBorders>
            <w:hideMark/>
          </w:tcPr>
          <w:p w14:paraId="23F77B9C" w14:textId="77777777" w:rsidR="0063158A" w:rsidRPr="00950125" w:rsidRDefault="0063158A" w:rsidP="00D46E36">
            <w:pPr>
              <w:spacing w:line="276" w:lineRule="auto"/>
              <w:jc w:val="center"/>
              <w:rPr>
                <w:rStyle w:val="15"/>
                <w:rFonts w:ascii="Times New Roman" w:hAnsi="Times New Roman" w:cs="Times New Roman"/>
              </w:rPr>
            </w:pPr>
            <w:r w:rsidRPr="00950125">
              <w:rPr>
                <w:rStyle w:val="15"/>
                <w:rFonts w:ascii="Times New Roman" w:eastAsiaTheme="majorEastAsia" w:hAnsi="Times New Roman" w:cs="Times New Roman"/>
              </w:rPr>
              <w:t>Amogh Talan,</w:t>
            </w:r>
          </w:p>
          <w:p w14:paraId="684DD248"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Amar Rao,</w:t>
            </w:r>
          </w:p>
          <w:p w14:paraId="0C89005B"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Gagan Deep Sharma,</w:t>
            </w:r>
          </w:p>
          <w:p w14:paraId="7EDF619F"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lastRenderedPageBreak/>
              <w:t>Simona-Andreea Apostu,</w:t>
            </w:r>
          </w:p>
          <w:p w14:paraId="5AB1044D"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Shujaat Abbas</w:t>
            </w:r>
          </w:p>
          <w:p w14:paraId="53FEDB68"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(2023)</w:t>
            </w:r>
          </w:p>
        </w:tc>
        <w:tc>
          <w:tcPr>
            <w:tcW w:w="1080" w:type="dxa"/>
            <w:tcBorders>
              <w:top w:val="single" w:sz="4" w:space="0" w:color="auto"/>
              <w:left w:val="single" w:sz="4" w:space="0" w:color="auto"/>
              <w:bottom w:val="single" w:sz="4" w:space="0" w:color="auto"/>
              <w:right w:val="single" w:sz="4" w:space="0" w:color="auto"/>
            </w:tcBorders>
            <w:hideMark/>
          </w:tcPr>
          <w:p w14:paraId="73341206" w14:textId="77777777" w:rsidR="0063158A" w:rsidRPr="00950125" w:rsidRDefault="0063158A" w:rsidP="00D46E36">
            <w:pPr>
              <w:spacing w:line="276" w:lineRule="auto"/>
              <w:jc w:val="center"/>
              <w:rPr>
                <w:rFonts w:eastAsia="Calibri"/>
              </w:rPr>
            </w:pPr>
            <w:r w:rsidRPr="00950125">
              <w:rPr>
                <w:rFonts w:eastAsia="Calibri"/>
              </w:rPr>
              <w:lastRenderedPageBreak/>
              <w:t>G7 countries</w:t>
            </w:r>
          </w:p>
        </w:tc>
        <w:tc>
          <w:tcPr>
            <w:tcW w:w="1350" w:type="dxa"/>
            <w:tcBorders>
              <w:top w:val="single" w:sz="4" w:space="0" w:color="auto"/>
              <w:left w:val="single" w:sz="4" w:space="0" w:color="auto"/>
              <w:bottom w:val="single" w:sz="4" w:space="0" w:color="auto"/>
              <w:right w:val="single" w:sz="4" w:space="0" w:color="auto"/>
            </w:tcBorders>
            <w:hideMark/>
          </w:tcPr>
          <w:p w14:paraId="2FA469F1" w14:textId="77777777" w:rsidR="0063158A" w:rsidRPr="00950125" w:rsidRDefault="0063158A" w:rsidP="00D46E36">
            <w:pPr>
              <w:spacing w:line="276" w:lineRule="auto"/>
              <w:jc w:val="center"/>
              <w:rPr>
                <w:rFonts w:eastAsia="Calibri"/>
              </w:rPr>
            </w:pPr>
            <w:r w:rsidRPr="00950125">
              <w:rPr>
                <w:rFonts w:eastAsia="Calibri"/>
              </w:rPr>
              <w:t>Renewable/</w:t>
            </w:r>
          </w:p>
          <w:p w14:paraId="5180FC78" w14:textId="77777777" w:rsidR="0063158A" w:rsidRPr="00950125" w:rsidRDefault="0063158A" w:rsidP="00D46E36">
            <w:pPr>
              <w:spacing w:line="276" w:lineRule="auto"/>
              <w:jc w:val="center"/>
              <w:rPr>
                <w:rFonts w:eastAsia="Calibri"/>
              </w:rPr>
            </w:pPr>
            <w:r w:rsidRPr="00950125">
              <w:rPr>
                <w:rFonts w:eastAsia="Calibri"/>
              </w:rPr>
              <w:t>clean energy use</w:t>
            </w:r>
          </w:p>
        </w:tc>
        <w:tc>
          <w:tcPr>
            <w:tcW w:w="1620" w:type="dxa"/>
            <w:tcBorders>
              <w:top w:val="single" w:sz="4" w:space="0" w:color="auto"/>
              <w:left w:val="single" w:sz="4" w:space="0" w:color="auto"/>
              <w:bottom w:val="single" w:sz="4" w:space="0" w:color="auto"/>
              <w:right w:val="single" w:sz="4" w:space="0" w:color="auto"/>
            </w:tcBorders>
            <w:hideMark/>
          </w:tcPr>
          <w:p w14:paraId="5C627117" w14:textId="77777777" w:rsidR="0063158A" w:rsidRPr="00950125" w:rsidRDefault="0063158A" w:rsidP="00D46E36">
            <w:pPr>
              <w:spacing w:line="276" w:lineRule="auto"/>
              <w:jc w:val="center"/>
              <w:rPr>
                <w:rFonts w:eastAsia="Calibri"/>
              </w:rPr>
            </w:pPr>
            <w:r w:rsidRPr="00950125">
              <w:rPr>
                <w:rFonts w:eastAsia="Calibri"/>
              </w:rPr>
              <w:t xml:space="preserve">ICT infrastructure, financial inclusion, fossil fuels and </w:t>
            </w:r>
            <w:r w:rsidRPr="00950125">
              <w:rPr>
                <w:rFonts w:eastAsia="Calibri"/>
              </w:rPr>
              <w:lastRenderedPageBreak/>
              <w:t>participatory democracy.</w:t>
            </w:r>
          </w:p>
        </w:tc>
        <w:tc>
          <w:tcPr>
            <w:tcW w:w="1800" w:type="dxa"/>
            <w:tcBorders>
              <w:top w:val="single" w:sz="4" w:space="0" w:color="auto"/>
              <w:left w:val="single" w:sz="4" w:space="0" w:color="auto"/>
              <w:bottom w:val="single" w:sz="4" w:space="0" w:color="auto"/>
              <w:right w:val="single" w:sz="4" w:space="0" w:color="auto"/>
            </w:tcBorders>
            <w:hideMark/>
          </w:tcPr>
          <w:p w14:paraId="479975F8" w14:textId="77777777" w:rsidR="0063158A" w:rsidRPr="00950125" w:rsidRDefault="0063158A" w:rsidP="00D46E36">
            <w:pPr>
              <w:spacing w:line="276" w:lineRule="auto"/>
              <w:jc w:val="center"/>
              <w:rPr>
                <w:rFonts w:eastAsia="Calibri"/>
              </w:rPr>
            </w:pPr>
            <w:r w:rsidRPr="00950125">
              <w:rPr>
                <w:rFonts w:eastAsia="Calibri"/>
              </w:rPr>
              <w:lastRenderedPageBreak/>
              <w:t>Co-integration test, Granger non-causality test.</w:t>
            </w:r>
          </w:p>
        </w:tc>
        <w:tc>
          <w:tcPr>
            <w:tcW w:w="1080" w:type="dxa"/>
            <w:tcBorders>
              <w:top w:val="single" w:sz="4" w:space="0" w:color="auto"/>
              <w:left w:val="single" w:sz="4" w:space="0" w:color="auto"/>
              <w:bottom w:val="single" w:sz="4" w:space="0" w:color="auto"/>
              <w:right w:val="single" w:sz="4" w:space="0" w:color="auto"/>
            </w:tcBorders>
          </w:tcPr>
          <w:p w14:paraId="654F732C" w14:textId="77777777" w:rsidR="0063158A" w:rsidRPr="00950125" w:rsidRDefault="002E336E" w:rsidP="00D46E36">
            <w:pPr>
              <w:spacing w:line="276" w:lineRule="auto"/>
              <w:jc w:val="center"/>
              <w:rPr>
                <w:rFonts w:eastAsia="Calibri"/>
              </w:rPr>
            </w:pPr>
            <w:r w:rsidRPr="00950125">
              <w:rPr>
                <w:rFonts w:eastAsia="Calibri"/>
              </w:rPr>
              <w:t>Positive</w:t>
            </w:r>
          </w:p>
        </w:tc>
        <w:tc>
          <w:tcPr>
            <w:tcW w:w="900" w:type="dxa"/>
            <w:tcBorders>
              <w:top w:val="single" w:sz="4" w:space="0" w:color="auto"/>
              <w:left w:val="single" w:sz="4" w:space="0" w:color="auto"/>
              <w:bottom w:val="single" w:sz="4" w:space="0" w:color="auto"/>
              <w:right w:val="single" w:sz="4" w:space="0" w:color="auto"/>
            </w:tcBorders>
          </w:tcPr>
          <w:p w14:paraId="34025526" w14:textId="77777777" w:rsidR="0063158A" w:rsidRPr="00950125" w:rsidRDefault="0063158A" w:rsidP="00D46E36">
            <w:pPr>
              <w:spacing w:line="276" w:lineRule="auto"/>
              <w:jc w:val="center"/>
              <w:rPr>
                <w:rFonts w:eastAsia="Calibri"/>
              </w:rPr>
            </w:pPr>
          </w:p>
        </w:tc>
      </w:tr>
      <w:tr w:rsidR="0063158A" w:rsidRPr="00950125" w14:paraId="14A98027" w14:textId="77777777" w:rsidTr="0014422F">
        <w:tc>
          <w:tcPr>
            <w:tcW w:w="1350" w:type="dxa"/>
            <w:tcBorders>
              <w:top w:val="single" w:sz="4" w:space="0" w:color="auto"/>
              <w:left w:val="single" w:sz="4" w:space="0" w:color="auto"/>
              <w:bottom w:val="single" w:sz="4" w:space="0" w:color="auto"/>
              <w:right w:val="single" w:sz="4" w:space="0" w:color="auto"/>
            </w:tcBorders>
            <w:hideMark/>
          </w:tcPr>
          <w:p w14:paraId="27EC4C37" w14:textId="77777777" w:rsidR="0063158A" w:rsidRPr="00950125" w:rsidRDefault="0063158A" w:rsidP="00D46E36">
            <w:pPr>
              <w:spacing w:line="276" w:lineRule="auto"/>
              <w:jc w:val="center"/>
              <w:rPr>
                <w:rFonts w:eastAsia="Calibri"/>
                <w:color w:val="1F1F1F"/>
              </w:rPr>
            </w:pPr>
            <w:r w:rsidRPr="00950125">
              <w:rPr>
                <w:rStyle w:val="15"/>
                <w:rFonts w:ascii="Times New Roman" w:eastAsiaTheme="majorEastAsia" w:hAnsi="Times New Roman" w:cs="Times New Roman"/>
              </w:rPr>
              <w:t>Zahoor</w:t>
            </w:r>
            <w:r w:rsidRPr="00950125">
              <w:rPr>
                <w:rStyle w:val="16"/>
                <w:rFonts w:ascii="Times New Roman" w:eastAsiaTheme="majorEastAsia" w:hAnsi="Times New Roman" w:cs="Times New Roman"/>
              </w:rPr>
              <w:t> </w:t>
            </w:r>
            <w:r w:rsidRPr="00950125">
              <w:rPr>
                <w:rStyle w:val="17"/>
                <w:rFonts w:ascii="Times New Roman" w:hAnsi="Times New Roman" w:cs="Times New Roman"/>
              </w:rPr>
              <w:t>Ahmed</w:t>
            </w:r>
            <w:r w:rsidRPr="00950125">
              <w:rPr>
                <w:rFonts w:eastAsia="Calibri"/>
                <w:color w:val="1F1F1F"/>
              </w:rPr>
              <w:t>, </w:t>
            </w:r>
            <w:r w:rsidRPr="00950125">
              <w:rPr>
                <w:rStyle w:val="15"/>
                <w:rFonts w:ascii="Times New Roman" w:eastAsiaTheme="majorEastAsia" w:hAnsi="Times New Roman" w:cs="Times New Roman"/>
              </w:rPr>
              <w:t>Mahmood</w:t>
            </w:r>
            <w:r w:rsidRPr="00950125">
              <w:rPr>
                <w:rStyle w:val="16"/>
                <w:rFonts w:ascii="Times New Roman" w:eastAsiaTheme="majorEastAsia" w:hAnsi="Times New Roman" w:cs="Times New Roman"/>
              </w:rPr>
              <w:t> </w:t>
            </w:r>
            <w:r w:rsidRPr="00950125">
              <w:rPr>
                <w:rStyle w:val="17"/>
                <w:rFonts w:ascii="Times New Roman" w:hAnsi="Times New Roman" w:cs="Times New Roman"/>
              </w:rPr>
              <w:t>Ahmad</w:t>
            </w:r>
            <w:r w:rsidRPr="00950125">
              <w:rPr>
                <w:rFonts w:eastAsia="Calibri"/>
                <w:color w:val="1F1F1F"/>
              </w:rPr>
              <w:t>, </w:t>
            </w:r>
            <w:r w:rsidRPr="00950125">
              <w:rPr>
                <w:rStyle w:val="15"/>
                <w:rFonts w:ascii="Times New Roman" w:eastAsiaTheme="majorEastAsia" w:hAnsi="Times New Roman" w:cs="Times New Roman"/>
              </w:rPr>
              <w:t>Muntasir</w:t>
            </w:r>
            <w:r w:rsidRPr="00950125">
              <w:rPr>
                <w:rStyle w:val="16"/>
                <w:rFonts w:ascii="Times New Roman" w:eastAsiaTheme="majorEastAsia" w:hAnsi="Times New Roman" w:cs="Times New Roman"/>
              </w:rPr>
              <w:t> </w:t>
            </w:r>
            <w:r w:rsidRPr="00950125">
              <w:rPr>
                <w:rStyle w:val="17"/>
                <w:rFonts w:ascii="Times New Roman" w:hAnsi="Times New Roman" w:cs="Times New Roman"/>
              </w:rPr>
              <w:t>Murshed</w:t>
            </w:r>
            <w:r w:rsidRPr="00950125">
              <w:rPr>
                <w:rFonts w:eastAsia="Calibri"/>
                <w:color w:val="1F1F1F"/>
              </w:rPr>
              <w:t>,</w:t>
            </w:r>
          </w:p>
          <w:p w14:paraId="2F349C5E" w14:textId="77777777" w:rsidR="0063158A" w:rsidRPr="00950125" w:rsidRDefault="0063158A" w:rsidP="00D46E36">
            <w:pPr>
              <w:spacing w:line="276" w:lineRule="auto"/>
              <w:jc w:val="center"/>
              <w:rPr>
                <w:rStyle w:val="16"/>
                <w:rFonts w:ascii="Times New Roman" w:hAnsi="Times New Roman" w:cs="Times New Roman"/>
              </w:rPr>
            </w:pPr>
            <w:r w:rsidRPr="00950125">
              <w:rPr>
                <w:rStyle w:val="15"/>
                <w:rFonts w:ascii="Times New Roman" w:eastAsiaTheme="majorEastAsia" w:hAnsi="Times New Roman" w:cs="Times New Roman"/>
              </w:rPr>
              <w:t>Muhammad</w:t>
            </w:r>
          </w:p>
          <w:p w14:paraId="105F9971" w14:textId="77777777" w:rsidR="0063158A" w:rsidRPr="00950125" w:rsidRDefault="0063158A" w:rsidP="00D46E36">
            <w:pPr>
              <w:spacing w:line="276" w:lineRule="auto"/>
              <w:jc w:val="center"/>
              <w:rPr>
                <w:rStyle w:val="17"/>
                <w:rFonts w:ascii="Times New Roman" w:eastAsiaTheme="majorEastAsia" w:hAnsi="Times New Roman" w:cs="Times New Roman"/>
              </w:rPr>
            </w:pPr>
            <w:r w:rsidRPr="00950125">
              <w:rPr>
                <w:rStyle w:val="17"/>
                <w:rFonts w:ascii="Times New Roman" w:hAnsi="Times New Roman" w:cs="Times New Roman"/>
              </w:rPr>
              <w:t>Ibrahim Shah</w:t>
            </w:r>
            <w:r w:rsidRPr="00950125">
              <w:rPr>
                <w:rFonts w:eastAsia="Calibri"/>
                <w:color w:val="1F1F1F"/>
              </w:rPr>
              <w:t>, </w:t>
            </w:r>
            <w:r w:rsidRPr="00950125">
              <w:rPr>
                <w:rStyle w:val="15"/>
                <w:rFonts w:ascii="Times New Roman" w:eastAsiaTheme="majorEastAsia" w:hAnsi="Times New Roman" w:cs="Times New Roman"/>
              </w:rPr>
              <w:t>Haider</w:t>
            </w:r>
            <w:r w:rsidRPr="00950125">
              <w:rPr>
                <w:rStyle w:val="16"/>
                <w:rFonts w:ascii="Times New Roman" w:eastAsiaTheme="majorEastAsia" w:hAnsi="Times New Roman" w:cs="Times New Roman"/>
              </w:rPr>
              <w:t> </w:t>
            </w:r>
            <w:r w:rsidRPr="00950125">
              <w:rPr>
                <w:rStyle w:val="17"/>
                <w:rFonts w:ascii="Times New Roman" w:hAnsi="Times New Roman" w:cs="Times New Roman"/>
              </w:rPr>
              <w:t>Mahmood</w:t>
            </w:r>
            <w:r w:rsidRPr="00950125">
              <w:rPr>
                <w:rFonts w:eastAsia="Calibri"/>
                <w:color w:val="1F1F1F"/>
              </w:rPr>
              <w:t>, </w:t>
            </w:r>
            <w:r w:rsidRPr="00950125">
              <w:rPr>
                <w:rStyle w:val="15"/>
                <w:rFonts w:ascii="Times New Roman" w:eastAsiaTheme="majorEastAsia" w:hAnsi="Times New Roman" w:cs="Times New Roman"/>
              </w:rPr>
              <w:t>Shujaat</w:t>
            </w:r>
            <w:r w:rsidRPr="00950125">
              <w:rPr>
                <w:rStyle w:val="16"/>
                <w:rFonts w:ascii="Times New Roman" w:eastAsiaTheme="majorEastAsia" w:hAnsi="Times New Roman" w:cs="Times New Roman"/>
              </w:rPr>
              <w:t> </w:t>
            </w:r>
            <w:r w:rsidRPr="00950125">
              <w:rPr>
                <w:rStyle w:val="17"/>
                <w:rFonts w:ascii="Times New Roman" w:hAnsi="Times New Roman" w:cs="Times New Roman"/>
              </w:rPr>
              <w:t>Abbas</w:t>
            </w:r>
          </w:p>
          <w:p w14:paraId="3E8E4EFB" w14:textId="77777777" w:rsidR="0063158A" w:rsidRPr="00950125" w:rsidRDefault="0063158A" w:rsidP="00D46E36">
            <w:pPr>
              <w:spacing w:line="276" w:lineRule="auto"/>
              <w:jc w:val="center"/>
              <w:rPr>
                <w:rStyle w:val="15"/>
                <w:rFonts w:ascii="Times New Roman" w:eastAsia="Calibri" w:hAnsi="Times New Roman" w:cs="Times New Roman"/>
                <w:b/>
                <w:color w:val="1F1F1F"/>
              </w:rPr>
            </w:pPr>
            <w:r w:rsidRPr="00950125">
              <w:rPr>
                <w:rStyle w:val="17"/>
                <w:rFonts w:ascii="Times New Roman" w:hAnsi="Times New Roman" w:cs="Times New Roman"/>
              </w:rPr>
              <w:t>(2022)</w:t>
            </w:r>
          </w:p>
        </w:tc>
        <w:tc>
          <w:tcPr>
            <w:tcW w:w="1080" w:type="dxa"/>
            <w:tcBorders>
              <w:top w:val="single" w:sz="4" w:space="0" w:color="auto"/>
              <w:left w:val="single" w:sz="4" w:space="0" w:color="auto"/>
              <w:bottom w:val="single" w:sz="4" w:space="0" w:color="auto"/>
              <w:right w:val="single" w:sz="4" w:space="0" w:color="auto"/>
            </w:tcBorders>
            <w:hideMark/>
          </w:tcPr>
          <w:p w14:paraId="7478BF3C" w14:textId="77777777" w:rsidR="0063158A" w:rsidRPr="00950125" w:rsidRDefault="0063158A" w:rsidP="00D46E36">
            <w:pPr>
              <w:spacing w:line="276" w:lineRule="auto"/>
              <w:jc w:val="center"/>
              <w:rPr>
                <w:rFonts w:eastAsia="Calibri"/>
              </w:rPr>
            </w:pPr>
            <w:r w:rsidRPr="00950125">
              <w:rPr>
                <w:rFonts w:eastAsia="Calibri"/>
              </w:rPr>
              <w:t>G-7 countries</w:t>
            </w:r>
          </w:p>
        </w:tc>
        <w:tc>
          <w:tcPr>
            <w:tcW w:w="1350" w:type="dxa"/>
            <w:tcBorders>
              <w:top w:val="single" w:sz="4" w:space="0" w:color="auto"/>
              <w:left w:val="single" w:sz="4" w:space="0" w:color="auto"/>
              <w:bottom w:val="single" w:sz="4" w:space="0" w:color="auto"/>
              <w:right w:val="single" w:sz="4" w:space="0" w:color="auto"/>
            </w:tcBorders>
            <w:hideMark/>
          </w:tcPr>
          <w:p w14:paraId="574D48A5" w14:textId="77777777" w:rsidR="0063158A" w:rsidRPr="00950125" w:rsidRDefault="0063158A" w:rsidP="00D46E36">
            <w:pPr>
              <w:spacing w:line="276" w:lineRule="auto"/>
              <w:jc w:val="center"/>
              <w:rPr>
                <w:rFonts w:eastAsia="Calibri"/>
              </w:rPr>
            </w:pPr>
            <w:r w:rsidRPr="00950125">
              <w:rPr>
                <w:rFonts w:eastAsia="Calibri"/>
              </w:rPr>
              <w:t>Renewable energy supply shares and carbon dioxide emissions.</w:t>
            </w:r>
          </w:p>
        </w:tc>
        <w:tc>
          <w:tcPr>
            <w:tcW w:w="1620" w:type="dxa"/>
            <w:tcBorders>
              <w:top w:val="single" w:sz="4" w:space="0" w:color="auto"/>
              <w:left w:val="single" w:sz="4" w:space="0" w:color="auto"/>
              <w:bottom w:val="single" w:sz="4" w:space="0" w:color="auto"/>
              <w:right w:val="single" w:sz="4" w:space="0" w:color="auto"/>
            </w:tcBorders>
            <w:hideMark/>
          </w:tcPr>
          <w:p w14:paraId="4AE8D8DA" w14:textId="77777777" w:rsidR="0063158A" w:rsidRPr="00950125" w:rsidRDefault="0063158A" w:rsidP="00D46E36">
            <w:pPr>
              <w:spacing w:line="276" w:lineRule="auto"/>
              <w:jc w:val="center"/>
              <w:rPr>
                <w:rFonts w:eastAsia="Calibri"/>
              </w:rPr>
            </w:pPr>
            <w:r w:rsidRPr="00950125">
              <w:rPr>
                <w:rFonts w:eastAsia="Calibri"/>
              </w:rPr>
              <w:t>Public investments in research and development related to renewable energy AND technological innovation.</w:t>
            </w:r>
          </w:p>
        </w:tc>
        <w:tc>
          <w:tcPr>
            <w:tcW w:w="1800" w:type="dxa"/>
            <w:tcBorders>
              <w:top w:val="single" w:sz="4" w:space="0" w:color="auto"/>
              <w:left w:val="single" w:sz="4" w:space="0" w:color="auto"/>
              <w:bottom w:val="single" w:sz="4" w:space="0" w:color="auto"/>
              <w:right w:val="single" w:sz="4" w:space="0" w:color="auto"/>
            </w:tcBorders>
            <w:hideMark/>
          </w:tcPr>
          <w:p w14:paraId="61D40726" w14:textId="77777777" w:rsidR="0063158A" w:rsidRPr="00950125" w:rsidRDefault="0063158A" w:rsidP="00D46E36">
            <w:pPr>
              <w:spacing w:line="276" w:lineRule="auto"/>
              <w:jc w:val="center"/>
              <w:rPr>
                <w:rFonts w:eastAsia="Calibri"/>
              </w:rPr>
            </w:pPr>
            <w:r w:rsidRPr="00950125">
              <w:rPr>
                <w:rFonts w:eastAsia="Calibri"/>
              </w:rPr>
              <w:t>Double-log models.</w:t>
            </w:r>
          </w:p>
        </w:tc>
        <w:tc>
          <w:tcPr>
            <w:tcW w:w="1080" w:type="dxa"/>
            <w:tcBorders>
              <w:top w:val="single" w:sz="4" w:space="0" w:color="auto"/>
              <w:left w:val="single" w:sz="4" w:space="0" w:color="auto"/>
              <w:bottom w:val="single" w:sz="4" w:space="0" w:color="auto"/>
              <w:right w:val="single" w:sz="4" w:space="0" w:color="auto"/>
            </w:tcBorders>
          </w:tcPr>
          <w:p w14:paraId="1E23227C" w14:textId="77777777" w:rsidR="0063158A" w:rsidRPr="00950125" w:rsidRDefault="002E336E" w:rsidP="00D46E36">
            <w:pPr>
              <w:spacing w:line="276" w:lineRule="auto"/>
              <w:jc w:val="center"/>
              <w:rPr>
                <w:rFonts w:eastAsia="Calibri"/>
              </w:rPr>
            </w:pPr>
            <w:r w:rsidRPr="00950125">
              <w:rPr>
                <w:rFonts w:eastAsia="Calibri"/>
              </w:rPr>
              <w:t>Positive</w:t>
            </w:r>
          </w:p>
        </w:tc>
        <w:tc>
          <w:tcPr>
            <w:tcW w:w="900" w:type="dxa"/>
            <w:tcBorders>
              <w:top w:val="single" w:sz="4" w:space="0" w:color="auto"/>
              <w:left w:val="single" w:sz="4" w:space="0" w:color="auto"/>
              <w:bottom w:val="single" w:sz="4" w:space="0" w:color="auto"/>
              <w:right w:val="single" w:sz="4" w:space="0" w:color="auto"/>
            </w:tcBorders>
          </w:tcPr>
          <w:p w14:paraId="44EEB52E" w14:textId="77777777" w:rsidR="0063158A" w:rsidRPr="00950125" w:rsidRDefault="0063158A" w:rsidP="00D46E36">
            <w:pPr>
              <w:spacing w:line="276" w:lineRule="auto"/>
              <w:jc w:val="center"/>
              <w:rPr>
                <w:rFonts w:eastAsia="Calibri"/>
              </w:rPr>
            </w:pPr>
          </w:p>
        </w:tc>
      </w:tr>
      <w:tr w:rsidR="0063158A" w:rsidRPr="00950125" w14:paraId="028D70F5" w14:textId="77777777" w:rsidTr="0014422F">
        <w:trPr>
          <w:trHeight w:val="1372"/>
        </w:trPr>
        <w:tc>
          <w:tcPr>
            <w:tcW w:w="1350" w:type="dxa"/>
            <w:tcBorders>
              <w:top w:val="single" w:sz="4" w:space="0" w:color="auto"/>
              <w:left w:val="single" w:sz="4" w:space="0" w:color="auto"/>
              <w:bottom w:val="single" w:sz="4" w:space="0" w:color="auto"/>
              <w:right w:val="single" w:sz="4" w:space="0" w:color="auto"/>
            </w:tcBorders>
            <w:hideMark/>
          </w:tcPr>
          <w:p w14:paraId="45A614DC"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Chien-Chiang Lee,</w:t>
            </w:r>
          </w:p>
          <w:p w14:paraId="0F7B1AB6"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Zhi-Wen He,</w:t>
            </w:r>
          </w:p>
          <w:p w14:paraId="00BC62FB"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Fu Xiao</w:t>
            </w:r>
          </w:p>
          <w:p w14:paraId="562DE6C3"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(2022)</w:t>
            </w:r>
          </w:p>
        </w:tc>
        <w:tc>
          <w:tcPr>
            <w:tcW w:w="1080" w:type="dxa"/>
            <w:tcBorders>
              <w:top w:val="single" w:sz="4" w:space="0" w:color="auto"/>
              <w:left w:val="single" w:sz="4" w:space="0" w:color="auto"/>
              <w:bottom w:val="single" w:sz="4" w:space="0" w:color="auto"/>
              <w:right w:val="single" w:sz="4" w:space="0" w:color="auto"/>
            </w:tcBorders>
            <w:hideMark/>
          </w:tcPr>
          <w:p w14:paraId="39FAADCB" w14:textId="77777777" w:rsidR="0063158A" w:rsidRPr="00950125" w:rsidRDefault="0063158A" w:rsidP="00D46E36">
            <w:pPr>
              <w:spacing w:line="276" w:lineRule="auto"/>
              <w:jc w:val="center"/>
              <w:rPr>
                <w:rFonts w:eastAsia="Calibri"/>
              </w:rPr>
            </w:pPr>
            <w:r w:rsidRPr="00950125">
              <w:rPr>
                <w:rFonts w:eastAsia="Calibri"/>
              </w:rPr>
              <w:t>70 countries worldwide</w:t>
            </w:r>
          </w:p>
        </w:tc>
        <w:tc>
          <w:tcPr>
            <w:tcW w:w="1350" w:type="dxa"/>
            <w:tcBorders>
              <w:top w:val="single" w:sz="4" w:space="0" w:color="auto"/>
              <w:left w:val="single" w:sz="4" w:space="0" w:color="auto"/>
              <w:bottom w:val="single" w:sz="4" w:space="0" w:color="auto"/>
              <w:right w:val="single" w:sz="4" w:space="0" w:color="auto"/>
            </w:tcBorders>
            <w:hideMark/>
          </w:tcPr>
          <w:p w14:paraId="60EA19B7" w14:textId="77777777" w:rsidR="0063158A" w:rsidRPr="00950125" w:rsidRDefault="0063158A" w:rsidP="00D46E36">
            <w:pPr>
              <w:spacing w:line="276" w:lineRule="auto"/>
              <w:jc w:val="center"/>
              <w:rPr>
                <w:rFonts w:eastAsia="Calibri"/>
              </w:rPr>
            </w:pPr>
            <w:r w:rsidRPr="00950125">
              <w:rPr>
                <w:rFonts w:eastAsia="Calibri"/>
              </w:rPr>
              <w:t>Renewable energy technology innovation (RETI)</w:t>
            </w:r>
          </w:p>
        </w:tc>
        <w:tc>
          <w:tcPr>
            <w:tcW w:w="1620" w:type="dxa"/>
            <w:tcBorders>
              <w:top w:val="single" w:sz="4" w:space="0" w:color="auto"/>
              <w:left w:val="single" w:sz="4" w:space="0" w:color="auto"/>
              <w:bottom w:val="single" w:sz="4" w:space="0" w:color="auto"/>
              <w:right w:val="single" w:sz="4" w:space="0" w:color="auto"/>
            </w:tcBorders>
            <w:hideMark/>
          </w:tcPr>
          <w:p w14:paraId="0FE95A93" w14:textId="77777777" w:rsidR="0063158A" w:rsidRPr="00950125" w:rsidRDefault="0063158A" w:rsidP="00D46E36">
            <w:pPr>
              <w:spacing w:line="276" w:lineRule="auto"/>
              <w:jc w:val="center"/>
              <w:rPr>
                <w:rFonts w:eastAsia="Calibri"/>
              </w:rPr>
            </w:pPr>
            <w:r w:rsidRPr="00950125">
              <w:rPr>
                <w:rFonts w:eastAsia="Calibri"/>
              </w:rPr>
              <w:t>ICT</w:t>
            </w:r>
          </w:p>
        </w:tc>
        <w:tc>
          <w:tcPr>
            <w:tcW w:w="1800" w:type="dxa"/>
            <w:tcBorders>
              <w:top w:val="single" w:sz="4" w:space="0" w:color="auto"/>
              <w:left w:val="single" w:sz="4" w:space="0" w:color="auto"/>
              <w:bottom w:val="single" w:sz="4" w:space="0" w:color="auto"/>
              <w:right w:val="single" w:sz="4" w:space="0" w:color="auto"/>
            </w:tcBorders>
            <w:hideMark/>
          </w:tcPr>
          <w:p w14:paraId="06446BC2" w14:textId="77777777" w:rsidR="0063158A" w:rsidRPr="00950125" w:rsidRDefault="0063158A" w:rsidP="00D46E36">
            <w:pPr>
              <w:spacing w:line="276" w:lineRule="auto"/>
              <w:jc w:val="center"/>
              <w:rPr>
                <w:rFonts w:eastAsia="Calibri"/>
              </w:rPr>
            </w:pPr>
            <w:r w:rsidRPr="00950125">
              <w:rPr>
                <w:rFonts w:eastAsia="Calibri"/>
              </w:rPr>
              <w:t>The transmission mechanism analysis, heterogeneity analysis .</w:t>
            </w:r>
          </w:p>
        </w:tc>
        <w:tc>
          <w:tcPr>
            <w:tcW w:w="1080" w:type="dxa"/>
            <w:tcBorders>
              <w:top w:val="single" w:sz="4" w:space="0" w:color="auto"/>
              <w:left w:val="single" w:sz="4" w:space="0" w:color="auto"/>
              <w:bottom w:val="single" w:sz="4" w:space="0" w:color="auto"/>
              <w:right w:val="single" w:sz="4" w:space="0" w:color="auto"/>
            </w:tcBorders>
          </w:tcPr>
          <w:p w14:paraId="09E6A75B" w14:textId="77777777" w:rsidR="0063158A" w:rsidRPr="00950125" w:rsidRDefault="002E336E" w:rsidP="00D46E36">
            <w:pPr>
              <w:spacing w:line="276" w:lineRule="auto"/>
              <w:jc w:val="center"/>
              <w:rPr>
                <w:rFonts w:eastAsia="Calibri"/>
              </w:rPr>
            </w:pPr>
            <w:r w:rsidRPr="00950125">
              <w:rPr>
                <w:rFonts w:eastAsia="Calibri"/>
              </w:rPr>
              <w:t>Positive</w:t>
            </w:r>
          </w:p>
        </w:tc>
        <w:tc>
          <w:tcPr>
            <w:tcW w:w="900" w:type="dxa"/>
            <w:tcBorders>
              <w:top w:val="single" w:sz="4" w:space="0" w:color="auto"/>
              <w:left w:val="single" w:sz="4" w:space="0" w:color="auto"/>
              <w:bottom w:val="single" w:sz="4" w:space="0" w:color="auto"/>
              <w:right w:val="single" w:sz="4" w:space="0" w:color="auto"/>
            </w:tcBorders>
          </w:tcPr>
          <w:p w14:paraId="70AEF22C" w14:textId="77777777" w:rsidR="0063158A" w:rsidRPr="00950125" w:rsidRDefault="0063158A" w:rsidP="00D46E36">
            <w:pPr>
              <w:spacing w:line="276" w:lineRule="auto"/>
              <w:jc w:val="center"/>
              <w:rPr>
                <w:rFonts w:eastAsia="Calibri"/>
              </w:rPr>
            </w:pPr>
          </w:p>
        </w:tc>
      </w:tr>
      <w:tr w:rsidR="0063158A" w:rsidRPr="00950125" w14:paraId="7390CF76" w14:textId="77777777" w:rsidTr="0014422F">
        <w:trPr>
          <w:trHeight w:val="98"/>
        </w:trPr>
        <w:tc>
          <w:tcPr>
            <w:tcW w:w="1350" w:type="dxa"/>
            <w:tcBorders>
              <w:top w:val="single" w:sz="4" w:space="0" w:color="auto"/>
              <w:left w:val="single" w:sz="4" w:space="0" w:color="auto"/>
              <w:bottom w:val="single" w:sz="4" w:space="0" w:color="auto"/>
              <w:right w:val="single" w:sz="4" w:space="0" w:color="auto"/>
            </w:tcBorders>
            <w:hideMark/>
          </w:tcPr>
          <w:p w14:paraId="07331AEF" w14:textId="77777777" w:rsidR="0063158A" w:rsidRPr="00950125" w:rsidRDefault="0063158A" w:rsidP="00D46E36">
            <w:pPr>
              <w:spacing w:line="276" w:lineRule="auto"/>
              <w:jc w:val="center"/>
              <w:rPr>
                <w:rStyle w:val="15"/>
                <w:rFonts w:ascii="Times New Roman" w:hAnsi="Times New Roman" w:cs="Times New Roman"/>
              </w:rPr>
            </w:pPr>
            <w:r w:rsidRPr="00950125">
              <w:rPr>
                <w:rStyle w:val="15"/>
                <w:rFonts w:ascii="Times New Roman" w:eastAsiaTheme="majorEastAsia" w:hAnsi="Times New Roman" w:cs="Times New Roman"/>
              </w:rPr>
              <w:t>Qian</w:t>
            </w:r>
            <w:r w:rsidRPr="00950125">
              <w:rPr>
                <w:rStyle w:val="16"/>
                <w:rFonts w:ascii="Times New Roman" w:eastAsiaTheme="majorEastAsia" w:hAnsi="Times New Roman" w:cs="Times New Roman"/>
              </w:rPr>
              <w:t> </w:t>
            </w:r>
            <w:r w:rsidRPr="00950125">
              <w:rPr>
                <w:rStyle w:val="17"/>
                <w:rFonts w:ascii="Times New Roman" w:hAnsi="Times New Roman" w:cs="Times New Roman"/>
              </w:rPr>
              <w:t>Ding</w:t>
            </w:r>
            <w:r w:rsidRPr="00950125">
              <w:rPr>
                <w:rFonts w:eastAsia="Calibri"/>
                <w:color w:val="1F1F1F"/>
              </w:rPr>
              <w:t>, </w:t>
            </w:r>
            <w:r w:rsidRPr="00950125">
              <w:rPr>
                <w:rStyle w:val="15"/>
                <w:rFonts w:ascii="Times New Roman" w:eastAsiaTheme="majorEastAsia" w:hAnsi="Times New Roman" w:cs="Times New Roman"/>
              </w:rPr>
              <w:t>Jianbai</w:t>
            </w:r>
            <w:r w:rsidRPr="00950125">
              <w:rPr>
                <w:rStyle w:val="16"/>
                <w:rFonts w:ascii="Times New Roman" w:eastAsiaTheme="majorEastAsia" w:hAnsi="Times New Roman" w:cs="Times New Roman"/>
              </w:rPr>
              <w:t> </w:t>
            </w:r>
            <w:r w:rsidRPr="00950125">
              <w:rPr>
                <w:rStyle w:val="17"/>
                <w:rFonts w:ascii="Times New Roman" w:hAnsi="Times New Roman" w:cs="Times New Roman"/>
              </w:rPr>
              <w:t>Huang</w:t>
            </w:r>
            <w:r w:rsidRPr="00950125">
              <w:rPr>
                <w:rFonts w:eastAsia="Calibri"/>
                <w:color w:val="1F1F1F"/>
              </w:rPr>
              <w:t>, </w:t>
            </w:r>
            <w:r w:rsidRPr="00950125">
              <w:rPr>
                <w:rStyle w:val="15"/>
                <w:rFonts w:ascii="Times New Roman" w:eastAsiaTheme="majorEastAsia" w:hAnsi="Times New Roman" w:cs="Times New Roman"/>
              </w:rPr>
              <w:t>Jinyu</w:t>
            </w:r>
            <w:r w:rsidRPr="00950125">
              <w:rPr>
                <w:rStyle w:val="16"/>
                <w:rFonts w:ascii="Times New Roman" w:eastAsiaTheme="majorEastAsia" w:hAnsi="Times New Roman" w:cs="Times New Roman"/>
              </w:rPr>
              <w:t> </w:t>
            </w:r>
            <w:r w:rsidRPr="00950125">
              <w:rPr>
                <w:rStyle w:val="17"/>
                <w:rFonts w:ascii="Times New Roman" w:hAnsi="Times New Roman" w:cs="Times New Roman"/>
              </w:rPr>
              <w:t>Chen</w:t>
            </w:r>
            <w:r w:rsidRPr="00950125">
              <w:rPr>
                <w:rFonts w:eastAsia="Calibri"/>
                <w:color w:val="1F1F1F"/>
              </w:rPr>
              <w:t>, </w:t>
            </w:r>
            <w:r w:rsidRPr="00950125">
              <w:rPr>
                <w:rStyle w:val="15"/>
                <w:rFonts w:ascii="Times New Roman" w:eastAsiaTheme="majorEastAsia" w:hAnsi="Times New Roman" w:cs="Times New Roman"/>
              </w:rPr>
              <w:t>Dali</w:t>
            </w:r>
            <w:r w:rsidRPr="00950125">
              <w:rPr>
                <w:rStyle w:val="16"/>
                <w:rFonts w:ascii="Times New Roman" w:eastAsiaTheme="majorEastAsia" w:hAnsi="Times New Roman" w:cs="Times New Roman"/>
              </w:rPr>
              <w:t xml:space="preserve">     </w:t>
            </w:r>
            <w:r w:rsidRPr="00950125">
              <w:rPr>
                <w:rStyle w:val="17"/>
                <w:rFonts w:ascii="Times New Roman" w:hAnsi="Times New Roman" w:cs="Times New Roman"/>
              </w:rPr>
              <w:t>Tao</w:t>
            </w:r>
          </w:p>
        </w:tc>
        <w:tc>
          <w:tcPr>
            <w:tcW w:w="1080" w:type="dxa"/>
            <w:tcBorders>
              <w:top w:val="single" w:sz="4" w:space="0" w:color="auto"/>
              <w:left w:val="single" w:sz="4" w:space="0" w:color="auto"/>
              <w:bottom w:val="single" w:sz="4" w:space="0" w:color="auto"/>
              <w:right w:val="single" w:sz="4" w:space="0" w:color="auto"/>
            </w:tcBorders>
          </w:tcPr>
          <w:p w14:paraId="4E9CF195" w14:textId="77777777" w:rsidR="0063158A" w:rsidRPr="00950125" w:rsidRDefault="0063158A" w:rsidP="00D46E36">
            <w:pPr>
              <w:spacing w:line="276" w:lineRule="auto"/>
              <w:jc w:val="center"/>
              <w:rPr>
                <w:rFonts w:eastAsia="Calibri"/>
              </w:rPr>
            </w:pPr>
          </w:p>
        </w:tc>
        <w:tc>
          <w:tcPr>
            <w:tcW w:w="1350" w:type="dxa"/>
            <w:tcBorders>
              <w:top w:val="single" w:sz="4" w:space="0" w:color="auto"/>
              <w:left w:val="single" w:sz="4" w:space="0" w:color="auto"/>
              <w:bottom w:val="single" w:sz="4" w:space="0" w:color="auto"/>
              <w:right w:val="single" w:sz="4" w:space="0" w:color="auto"/>
            </w:tcBorders>
            <w:hideMark/>
          </w:tcPr>
          <w:p w14:paraId="75ECB8C8" w14:textId="77777777" w:rsidR="0063158A" w:rsidRPr="00950125" w:rsidRDefault="0063158A" w:rsidP="00D46E36">
            <w:pPr>
              <w:spacing w:line="276" w:lineRule="auto"/>
              <w:jc w:val="center"/>
              <w:rPr>
                <w:rFonts w:eastAsia="Calibri"/>
              </w:rPr>
            </w:pPr>
            <w:r w:rsidRPr="00950125">
              <w:rPr>
                <w:rFonts w:eastAsia="Calibri"/>
              </w:rPr>
              <w:t>Renewable Energy,Technological Innovation (RETI)</w:t>
            </w:r>
          </w:p>
        </w:tc>
        <w:tc>
          <w:tcPr>
            <w:tcW w:w="1620" w:type="dxa"/>
            <w:tcBorders>
              <w:top w:val="single" w:sz="4" w:space="0" w:color="auto"/>
              <w:left w:val="single" w:sz="4" w:space="0" w:color="auto"/>
              <w:bottom w:val="single" w:sz="4" w:space="0" w:color="auto"/>
              <w:right w:val="single" w:sz="4" w:space="0" w:color="auto"/>
            </w:tcBorders>
            <w:hideMark/>
          </w:tcPr>
          <w:p w14:paraId="1579D582" w14:textId="77777777" w:rsidR="0063158A" w:rsidRPr="00950125" w:rsidRDefault="0063158A" w:rsidP="00D46E36">
            <w:pPr>
              <w:spacing w:line="276" w:lineRule="auto"/>
              <w:jc w:val="center"/>
              <w:rPr>
                <w:rFonts w:eastAsia="Calibri"/>
              </w:rPr>
            </w:pPr>
            <w:r w:rsidRPr="00950125">
              <w:rPr>
                <w:rFonts w:eastAsia="Calibri"/>
              </w:rPr>
              <w:t>Internet Development, Institutional Quality (Moderator)</w:t>
            </w:r>
          </w:p>
        </w:tc>
        <w:tc>
          <w:tcPr>
            <w:tcW w:w="1800" w:type="dxa"/>
            <w:tcBorders>
              <w:top w:val="single" w:sz="4" w:space="0" w:color="auto"/>
              <w:left w:val="single" w:sz="4" w:space="0" w:color="auto"/>
              <w:bottom w:val="single" w:sz="4" w:space="0" w:color="auto"/>
              <w:right w:val="single" w:sz="4" w:space="0" w:color="auto"/>
            </w:tcBorders>
            <w:hideMark/>
          </w:tcPr>
          <w:p w14:paraId="7E0091A6" w14:textId="77777777" w:rsidR="0063158A" w:rsidRPr="00950125" w:rsidRDefault="0063158A" w:rsidP="00D46E36">
            <w:pPr>
              <w:spacing w:line="276" w:lineRule="auto"/>
              <w:jc w:val="center"/>
              <w:rPr>
                <w:rFonts w:eastAsia="Calibri"/>
              </w:rPr>
            </w:pPr>
            <w:r w:rsidRPr="00950125">
              <w:rPr>
                <w:rFonts w:eastAsia="Calibri"/>
              </w:rPr>
              <w:t>Benchmark linear regression model</w:t>
            </w:r>
          </w:p>
        </w:tc>
        <w:tc>
          <w:tcPr>
            <w:tcW w:w="1080" w:type="dxa"/>
            <w:tcBorders>
              <w:top w:val="single" w:sz="4" w:space="0" w:color="auto"/>
              <w:left w:val="single" w:sz="4" w:space="0" w:color="auto"/>
              <w:bottom w:val="single" w:sz="4" w:space="0" w:color="auto"/>
              <w:right w:val="single" w:sz="4" w:space="0" w:color="auto"/>
            </w:tcBorders>
          </w:tcPr>
          <w:p w14:paraId="76E07AB2" w14:textId="77777777" w:rsidR="0063158A" w:rsidRPr="00950125" w:rsidRDefault="002E336E" w:rsidP="00D46E36">
            <w:pPr>
              <w:spacing w:line="276" w:lineRule="auto"/>
              <w:jc w:val="center"/>
              <w:rPr>
                <w:rFonts w:eastAsia="Calibri"/>
              </w:rPr>
            </w:pPr>
            <w:r w:rsidRPr="00950125">
              <w:rPr>
                <w:rFonts w:eastAsia="Calibri"/>
              </w:rPr>
              <w:t>Positive</w:t>
            </w:r>
          </w:p>
        </w:tc>
        <w:tc>
          <w:tcPr>
            <w:tcW w:w="900" w:type="dxa"/>
            <w:tcBorders>
              <w:top w:val="single" w:sz="4" w:space="0" w:color="auto"/>
              <w:left w:val="single" w:sz="4" w:space="0" w:color="auto"/>
              <w:bottom w:val="single" w:sz="4" w:space="0" w:color="auto"/>
              <w:right w:val="single" w:sz="4" w:space="0" w:color="auto"/>
            </w:tcBorders>
          </w:tcPr>
          <w:p w14:paraId="1CD0065D" w14:textId="77777777" w:rsidR="0063158A" w:rsidRPr="00950125" w:rsidRDefault="002E336E" w:rsidP="00D46E36">
            <w:pPr>
              <w:spacing w:line="276" w:lineRule="auto"/>
              <w:jc w:val="center"/>
              <w:rPr>
                <w:rFonts w:eastAsia="Calibri"/>
              </w:rPr>
            </w:pPr>
            <w:r w:rsidRPr="00950125">
              <w:rPr>
                <w:rFonts w:eastAsia="Calibri"/>
              </w:rPr>
              <w:t>Moderating Effect</w:t>
            </w:r>
          </w:p>
        </w:tc>
      </w:tr>
      <w:tr w:rsidR="0063158A" w:rsidRPr="00950125" w14:paraId="576DDCB9" w14:textId="77777777" w:rsidTr="0014422F">
        <w:trPr>
          <w:trHeight w:val="1343"/>
        </w:trPr>
        <w:tc>
          <w:tcPr>
            <w:tcW w:w="1350" w:type="dxa"/>
            <w:tcBorders>
              <w:top w:val="single" w:sz="4" w:space="0" w:color="auto"/>
              <w:left w:val="single" w:sz="4" w:space="0" w:color="auto"/>
              <w:bottom w:val="single" w:sz="4" w:space="0" w:color="auto"/>
              <w:right w:val="single" w:sz="4" w:space="0" w:color="auto"/>
            </w:tcBorders>
            <w:hideMark/>
          </w:tcPr>
          <w:p w14:paraId="1573CC1E"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Jiajia</w:t>
            </w:r>
            <w:r w:rsidRPr="00950125">
              <w:rPr>
                <w:rStyle w:val="16"/>
                <w:rFonts w:ascii="Times New Roman" w:eastAsiaTheme="majorEastAsia" w:hAnsi="Times New Roman" w:cs="Times New Roman"/>
              </w:rPr>
              <w:t> </w:t>
            </w:r>
            <w:r w:rsidRPr="00950125">
              <w:rPr>
                <w:rStyle w:val="17"/>
                <w:rFonts w:ascii="Times New Roman" w:hAnsi="Times New Roman" w:cs="Times New Roman"/>
              </w:rPr>
              <w:t>Zheng</w:t>
            </w:r>
            <w:r w:rsidRPr="00950125">
              <w:rPr>
                <w:rFonts w:eastAsia="Calibri"/>
                <w:color w:val="1F1F1F"/>
              </w:rPr>
              <w:t>, </w:t>
            </w:r>
            <w:r w:rsidRPr="00950125">
              <w:rPr>
                <w:rStyle w:val="15"/>
                <w:rFonts w:ascii="Times New Roman" w:eastAsiaTheme="majorEastAsia" w:hAnsi="Times New Roman" w:cs="Times New Roman"/>
              </w:rPr>
              <w:t>Xingwu</w:t>
            </w:r>
            <w:r w:rsidRPr="00950125">
              <w:rPr>
                <w:rStyle w:val="16"/>
                <w:rFonts w:ascii="Times New Roman" w:eastAsiaTheme="majorEastAsia" w:hAnsi="Times New Roman" w:cs="Times New Roman"/>
              </w:rPr>
              <w:t> </w:t>
            </w:r>
            <w:r w:rsidRPr="00950125">
              <w:rPr>
                <w:rStyle w:val="17"/>
                <w:rFonts w:ascii="Times New Roman" w:hAnsi="Times New Roman" w:cs="Times New Roman"/>
              </w:rPr>
              <w:t>Wang (2021)</w:t>
            </w:r>
          </w:p>
        </w:tc>
        <w:tc>
          <w:tcPr>
            <w:tcW w:w="1080" w:type="dxa"/>
            <w:tcBorders>
              <w:top w:val="single" w:sz="4" w:space="0" w:color="auto"/>
              <w:left w:val="single" w:sz="4" w:space="0" w:color="auto"/>
              <w:bottom w:val="single" w:sz="4" w:space="0" w:color="auto"/>
              <w:right w:val="single" w:sz="4" w:space="0" w:color="auto"/>
            </w:tcBorders>
            <w:hideMark/>
          </w:tcPr>
          <w:p w14:paraId="166A6442" w14:textId="77777777" w:rsidR="0063158A" w:rsidRPr="00950125" w:rsidRDefault="0063158A" w:rsidP="00D46E36">
            <w:pPr>
              <w:spacing w:line="276" w:lineRule="auto"/>
              <w:jc w:val="center"/>
              <w:rPr>
                <w:rFonts w:eastAsia="Calibri"/>
              </w:rPr>
            </w:pPr>
            <w:r w:rsidRPr="00950125">
              <w:rPr>
                <w:rFonts w:eastAsia="Calibri"/>
              </w:rPr>
              <w:t>USA, Canada, UK, Germany, Italy, Netherlands and Poland.</w:t>
            </w:r>
          </w:p>
        </w:tc>
        <w:tc>
          <w:tcPr>
            <w:tcW w:w="1350" w:type="dxa"/>
            <w:tcBorders>
              <w:top w:val="single" w:sz="4" w:space="0" w:color="auto"/>
              <w:left w:val="single" w:sz="4" w:space="0" w:color="auto"/>
              <w:bottom w:val="single" w:sz="4" w:space="0" w:color="auto"/>
              <w:right w:val="single" w:sz="4" w:space="0" w:color="auto"/>
            </w:tcBorders>
            <w:hideMark/>
          </w:tcPr>
          <w:p w14:paraId="0A94E4CA" w14:textId="77777777" w:rsidR="0063158A" w:rsidRPr="00950125" w:rsidRDefault="0063158A" w:rsidP="00D46E36">
            <w:pPr>
              <w:spacing w:line="276" w:lineRule="auto"/>
              <w:jc w:val="center"/>
              <w:rPr>
                <w:rFonts w:eastAsia="Calibri"/>
              </w:rPr>
            </w:pPr>
            <w:r w:rsidRPr="00950125">
              <w:rPr>
                <w:rFonts w:eastAsia="Calibri"/>
              </w:rPr>
              <w:t>Renewable energy generation.</w:t>
            </w:r>
          </w:p>
        </w:tc>
        <w:tc>
          <w:tcPr>
            <w:tcW w:w="1620" w:type="dxa"/>
            <w:tcBorders>
              <w:top w:val="single" w:sz="4" w:space="0" w:color="auto"/>
              <w:left w:val="single" w:sz="4" w:space="0" w:color="auto"/>
              <w:bottom w:val="single" w:sz="4" w:space="0" w:color="auto"/>
              <w:right w:val="single" w:sz="4" w:space="0" w:color="auto"/>
            </w:tcBorders>
            <w:hideMark/>
          </w:tcPr>
          <w:p w14:paraId="0D19BE53" w14:textId="77777777" w:rsidR="0063158A" w:rsidRPr="00950125" w:rsidRDefault="0063158A" w:rsidP="00D46E36">
            <w:pPr>
              <w:spacing w:line="276" w:lineRule="auto"/>
              <w:jc w:val="center"/>
              <w:rPr>
                <w:rFonts w:eastAsia="Calibri"/>
              </w:rPr>
            </w:pPr>
            <w:r w:rsidRPr="00950125">
              <w:rPr>
                <w:rFonts w:eastAsia="Calibri"/>
              </w:rPr>
              <w:t>ICT, economic development, primary energy consumptions and carbon reductions, population.</w:t>
            </w:r>
          </w:p>
        </w:tc>
        <w:tc>
          <w:tcPr>
            <w:tcW w:w="1800" w:type="dxa"/>
            <w:tcBorders>
              <w:top w:val="single" w:sz="4" w:space="0" w:color="auto"/>
              <w:left w:val="single" w:sz="4" w:space="0" w:color="auto"/>
              <w:bottom w:val="single" w:sz="4" w:space="0" w:color="auto"/>
              <w:right w:val="single" w:sz="4" w:space="0" w:color="auto"/>
            </w:tcBorders>
            <w:hideMark/>
          </w:tcPr>
          <w:p w14:paraId="2FA73EAF" w14:textId="77777777" w:rsidR="0063158A" w:rsidRPr="00950125" w:rsidRDefault="0063158A" w:rsidP="00D46E36">
            <w:pPr>
              <w:spacing w:line="276" w:lineRule="auto"/>
              <w:jc w:val="center"/>
              <w:rPr>
                <w:rFonts w:eastAsia="Calibri"/>
              </w:rPr>
            </w:pPr>
            <w:r w:rsidRPr="00950125">
              <w:rPr>
                <w:rFonts w:eastAsia="Calibri"/>
              </w:rPr>
              <w:t>STIRPAT model.</w:t>
            </w:r>
          </w:p>
        </w:tc>
        <w:tc>
          <w:tcPr>
            <w:tcW w:w="1080" w:type="dxa"/>
            <w:tcBorders>
              <w:top w:val="single" w:sz="4" w:space="0" w:color="auto"/>
              <w:left w:val="single" w:sz="4" w:space="0" w:color="auto"/>
              <w:bottom w:val="single" w:sz="4" w:space="0" w:color="auto"/>
              <w:right w:val="single" w:sz="4" w:space="0" w:color="auto"/>
            </w:tcBorders>
          </w:tcPr>
          <w:p w14:paraId="3E1C92D2" w14:textId="77777777" w:rsidR="0063158A" w:rsidRPr="00950125" w:rsidRDefault="002E336E" w:rsidP="00D46E36">
            <w:pPr>
              <w:spacing w:line="276" w:lineRule="auto"/>
              <w:jc w:val="center"/>
              <w:rPr>
                <w:rFonts w:eastAsia="Calibri"/>
              </w:rPr>
            </w:pPr>
            <w:r w:rsidRPr="00950125">
              <w:rPr>
                <w:rFonts w:eastAsia="Calibri"/>
              </w:rPr>
              <w:t>Positive</w:t>
            </w:r>
          </w:p>
        </w:tc>
        <w:tc>
          <w:tcPr>
            <w:tcW w:w="900" w:type="dxa"/>
            <w:tcBorders>
              <w:top w:val="single" w:sz="4" w:space="0" w:color="auto"/>
              <w:left w:val="single" w:sz="4" w:space="0" w:color="auto"/>
              <w:bottom w:val="single" w:sz="4" w:space="0" w:color="auto"/>
              <w:right w:val="single" w:sz="4" w:space="0" w:color="auto"/>
            </w:tcBorders>
          </w:tcPr>
          <w:p w14:paraId="6939548F" w14:textId="77777777" w:rsidR="0063158A" w:rsidRPr="00950125" w:rsidRDefault="0063158A" w:rsidP="00D46E36">
            <w:pPr>
              <w:spacing w:line="276" w:lineRule="auto"/>
              <w:jc w:val="center"/>
              <w:rPr>
                <w:rFonts w:eastAsia="Calibri"/>
              </w:rPr>
            </w:pPr>
          </w:p>
        </w:tc>
      </w:tr>
      <w:tr w:rsidR="0063158A" w:rsidRPr="00950125" w14:paraId="1C638FA8" w14:textId="77777777" w:rsidTr="0014422F">
        <w:trPr>
          <w:trHeight w:val="1343"/>
        </w:trPr>
        <w:tc>
          <w:tcPr>
            <w:tcW w:w="1350" w:type="dxa"/>
            <w:tcBorders>
              <w:top w:val="single" w:sz="4" w:space="0" w:color="auto"/>
              <w:left w:val="single" w:sz="4" w:space="0" w:color="auto"/>
              <w:bottom w:val="single" w:sz="4" w:space="0" w:color="auto"/>
              <w:right w:val="single" w:sz="4" w:space="0" w:color="auto"/>
            </w:tcBorders>
            <w:hideMark/>
          </w:tcPr>
          <w:p w14:paraId="2CB978D4" w14:textId="77777777" w:rsidR="0063158A" w:rsidRPr="00950125" w:rsidRDefault="0063158A" w:rsidP="00D46E36">
            <w:pPr>
              <w:spacing w:line="276" w:lineRule="auto"/>
              <w:jc w:val="center"/>
              <w:rPr>
                <w:rStyle w:val="15"/>
                <w:rFonts w:ascii="Times New Roman" w:hAnsi="Times New Roman" w:cs="Times New Roman"/>
              </w:rPr>
            </w:pPr>
            <w:r w:rsidRPr="00950125">
              <w:rPr>
                <w:rStyle w:val="15"/>
                <w:rFonts w:ascii="Times New Roman" w:eastAsiaTheme="majorEastAsia" w:hAnsi="Times New Roman" w:cs="Times New Roman"/>
              </w:rPr>
              <w:t>Umut Uzar (2020)</w:t>
            </w:r>
          </w:p>
        </w:tc>
        <w:tc>
          <w:tcPr>
            <w:tcW w:w="1080" w:type="dxa"/>
            <w:tcBorders>
              <w:top w:val="single" w:sz="4" w:space="0" w:color="auto"/>
              <w:left w:val="single" w:sz="4" w:space="0" w:color="auto"/>
              <w:bottom w:val="single" w:sz="4" w:space="0" w:color="auto"/>
              <w:right w:val="single" w:sz="4" w:space="0" w:color="auto"/>
            </w:tcBorders>
            <w:hideMark/>
          </w:tcPr>
          <w:p w14:paraId="625D2BC3" w14:textId="77777777" w:rsidR="0063158A" w:rsidRPr="00950125" w:rsidRDefault="0063158A" w:rsidP="00D46E36">
            <w:pPr>
              <w:spacing w:line="276" w:lineRule="auto"/>
              <w:jc w:val="center"/>
              <w:rPr>
                <w:rFonts w:eastAsia="Calibri"/>
              </w:rPr>
            </w:pPr>
            <w:r w:rsidRPr="00950125">
              <w:rPr>
                <w:rFonts w:eastAsia="Calibri"/>
              </w:rPr>
              <w:t>38 countries</w:t>
            </w:r>
          </w:p>
        </w:tc>
        <w:tc>
          <w:tcPr>
            <w:tcW w:w="1350" w:type="dxa"/>
            <w:tcBorders>
              <w:top w:val="single" w:sz="4" w:space="0" w:color="auto"/>
              <w:left w:val="single" w:sz="4" w:space="0" w:color="auto"/>
              <w:bottom w:val="single" w:sz="4" w:space="0" w:color="auto"/>
              <w:right w:val="single" w:sz="4" w:space="0" w:color="auto"/>
            </w:tcBorders>
            <w:hideMark/>
          </w:tcPr>
          <w:p w14:paraId="2B64D45F" w14:textId="77777777" w:rsidR="0063158A" w:rsidRPr="00950125" w:rsidRDefault="0063158A" w:rsidP="00D46E36">
            <w:pPr>
              <w:spacing w:line="276" w:lineRule="auto"/>
              <w:jc w:val="center"/>
              <w:rPr>
                <w:rFonts w:eastAsia="Calibri"/>
              </w:rPr>
            </w:pPr>
            <w:r w:rsidRPr="00950125">
              <w:rPr>
                <w:rFonts w:eastAsia="Calibri"/>
              </w:rPr>
              <w:t>Renewable energy consumption.</w:t>
            </w:r>
          </w:p>
        </w:tc>
        <w:tc>
          <w:tcPr>
            <w:tcW w:w="1620" w:type="dxa"/>
            <w:tcBorders>
              <w:top w:val="single" w:sz="4" w:space="0" w:color="auto"/>
              <w:left w:val="single" w:sz="4" w:space="0" w:color="auto"/>
              <w:bottom w:val="single" w:sz="4" w:space="0" w:color="auto"/>
              <w:right w:val="single" w:sz="4" w:space="0" w:color="auto"/>
            </w:tcBorders>
          </w:tcPr>
          <w:p w14:paraId="56341601" w14:textId="77777777" w:rsidR="0063158A" w:rsidRPr="00950125" w:rsidRDefault="0063158A" w:rsidP="00D46E36">
            <w:pPr>
              <w:spacing w:line="276" w:lineRule="auto"/>
              <w:jc w:val="center"/>
              <w:rPr>
                <w:rFonts w:eastAsia="Calibri"/>
              </w:rPr>
            </w:pPr>
            <w:r w:rsidRPr="00950125">
              <w:rPr>
                <w:rFonts w:eastAsia="Calibri"/>
              </w:rPr>
              <w:t>Institutional Quality</w:t>
            </w:r>
          </w:p>
          <w:p w14:paraId="273D07DF" w14:textId="77777777" w:rsidR="0063158A" w:rsidRPr="00950125" w:rsidRDefault="0063158A" w:rsidP="00D46E36">
            <w:pPr>
              <w:spacing w:line="276" w:lineRule="auto"/>
              <w:jc w:val="center"/>
              <w:rPr>
                <w:rFonts w:eastAsia="Calibri"/>
              </w:rPr>
            </w:pPr>
          </w:p>
          <w:p w14:paraId="6B63B1E1" w14:textId="77777777" w:rsidR="0063158A" w:rsidRPr="00950125" w:rsidRDefault="0063158A" w:rsidP="00D46E36">
            <w:pPr>
              <w:spacing w:line="276" w:lineRule="auto"/>
              <w:jc w:val="center"/>
              <w:rPr>
                <w:rFonts w:eastAsia="Calibri"/>
              </w:rPr>
            </w:pPr>
            <w:r w:rsidRPr="00950125">
              <w:rPr>
                <w:rFonts w:eastAsia="Calibri"/>
              </w:rPr>
              <w:t>CV</w:t>
            </w:r>
          </w:p>
          <w:p w14:paraId="6AABE398" w14:textId="77777777" w:rsidR="0063158A" w:rsidRPr="00950125" w:rsidRDefault="0063158A" w:rsidP="00D46E36">
            <w:pPr>
              <w:spacing w:line="276" w:lineRule="auto"/>
              <w:jc w:val="center"/>
              <w:rPr>
                <w:rFonts w:eastAsia="Calibri"/>
              </w:rPr>
            </w:pPr>
            <w:r w:rsidRPr="00950125">
              <w:rPr>
                <w:rFonts w:eastAsia="Calibri"/>
              </w:rPr>
              <w:t>Economic growth, Carbon emission</w:t>
            </w:r>
          </w:p>
        </w:tc>
        <w:tc>
          <w:tcPr>
            <w:tcW w:w="1800" w:type="dxa"/>
            <w:tcBorders>
              <w:top w:val="single" w:sz="4" w:space="0" w:color="auto"/>
              <w:left w:val="single" w:sz="4" w:space="0" w:color="auto"/>
              <w:bottom w:val="single" w:sz="4" w:space="0" w:color="auto"/>
              <w:right w:val="single" w:sz="4" w:space="0" w:color="auto"/>
            </w:tcBorders>
            <w:hideMark/>
          </w:tcPr>
          <w:p w14:paraId="5F473CEC" w14:textId="77777777" w:rsidR="0063158A" w:rsidRPr="00950125" w:rsidRDefault="0063158A" w:rsidP="00D46E36">
            <w:pPr>
              <w:spacing w:line="276" w:lineRule="auto"/>
              <w:jc w:val="center"/>
              <w:rPr>
                <w:rFonts w:eastAsia="Calibri"/>
              </w:rPr>
            </w:pPr>
            <w:r w:rsidRPr="00950125">
              <w:rPr>
                <w:rFonts w:eastAsia="Calibri"/>
              </w:rPr>
              <w:t>ARDL-PMG model.</w:t>
            </w:r>
          </w:p>
        </w:tc>
        <w:tc>
          <w:tcPr>
            <w:tcW w:w="1080" w:type="dxa"/>
            <w:tcBorders>
              <w:top w:val="single" w:sz="4" w:space="0" w:color="auto"/>
              <w:left w:val="single" w:sz="4" w:space="0" w:color="auto"/>
              <w:bottom w:val="single" w:sz="4" w:space="0" w:color="auto"/>
              <w:right w:val="single" w:sz="4" w:space="0" w:color="auto"/>
            </w:tcBorders>
          </w:tcPr>
          <w:p w14:paraId="4AF9097E" w14:textId="77777777" w:rsidR="0063158A" w:rsidRPr="00950125" w:rsidRDefault="0063158A" w:rsidP="00D46E36">
            <w:pPr>
              <w:spacing w:line="276" w:lineRule="auto"/>
              <w:jc w:val="center"/>
              <w:rPr>
                <w:rFonts w:eastAsia="Calibri"/>
              </w:rPr>
            </w:pPr>
          </w:p>
        </w:tc>
        <w:tc>
          <w:tcPr>
            <w:tcW w:w="900" w:type="dxa"/>
            <w:tcBorders>
              <w:top w:val="single" w:sz="4" w:space="0" w:color="auto"/>
              <w:left w:val="single" w:sz="4" w:space="0" w:color="auto"/>
              <w:bottom w:val="single" w:sz="4" w:space="0" w:color="auto"/>
              <w:right w:val="single" w:sz="4" w:space="0" w:color="auto"/>
            </w:tcBorders>
          </w:tcPr>
          <w:p w14:paraId="4EEE05DB" w14:textId="77777777" w:rsidR="0063158A" w:rsidRPr="00950125" w:rsidRDefault="002E336E" w:rsidP="00D46E36">
            <w:pPr>
              <w:spacing w:line="276" w:lineRule="auto"/>
              <w:jc w:val="center"/>
              <w:rPr>
                <w:rFonts w:eastAsia="Calibri"/>
              </w:rPr>
            </w:pPr>
            <w:r w:rsidRPr="00950125">
              <w:rPr>
                <w:rFonts w:eastAsia="Calibri"/>
              </w:rPr>
              <w:t>Positive</w:t>
            </w:r>
          </w:p>
        </w:tc>
      </w:tr>
      <w:tr w:rsidR="0063158A" w:rsidRPr="00950125" w14:paraId="7718E8A8" w14:textId="77777777" w:rsidTr="0014422F">
        <w:trPr>
          <w:trHeight w:val="1343"/>
        </w:trPr>
        <w:tc>
          <w:tcPr>
            <w:tcW w:w="1350" w:type="dxa"/>
            <w:tcBorders>
              <w:top w:val="single" w:sz="4" w:space="0" w:color="auto"/>
              <w:left w:val="single" w:sz="4" w:space="0" w:color="auto"/>
              <w:bottom w:val="single" w:sz="4" w:space="0" w:color="auto"/>
              <w:right w:val="single" w:sz="4" w:space="0" w:color="auto"/>
            </w:tcBorders>
            <w:hideMark/>
          </w:tcPr>
          <w:p w14:paraId="328AE57E" w14:textId="77777777" w:rsidR="0063158A" w:rsidRPr="00950125" w:rsidRDefault="0063158A" w:rsidP="00D46E36">
            <w:pPr>
              <w:spacing w:line="276" w:lineRule="auto"/>
              <w:jc w:val="center"/>
              <w:rPr>
                <w:rStyle w:val="15"/>
                <w:rFonts w:ascii="Times New Roman" w:hAnsi="Times New Roman" w:cs="Times New Roman"/>
              </w:rPr>
            </w:pPr>
            <w:r w:rsidRPr="00950125">
              <w:rPr>
                <w:rStyle w:val="15"/>
                <w:rFonts w:ascii="Times New Roman" w:eastAsiaTheme="majorEastAsia" w:hAnsi="Times New Roman" w:cs="Times New Roman"/>
              </w:rPr>
              <w:t>Mohammad Mafizur Rahman,</w:t>
            </w:r>
          </w:p>
          <w:p w14:paraId="1592D4DD"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Nahid Sultana (2022)</w:t>
            </w:r>
          </w:p>
        </w:tc>
        <w:tc>
          <w:tcPr>
            <w:tcW w:w="1080" w:type="dxa"/>
            <w:tcBorders>
              <w:top w:val="single" w:sz="4" w:space="0" w:color="auto"/>
              <w:left w:val="single" w:sz="4" w:space="0" w:color="auto"/>
              <w:bottom w:val="single" w:sz="4" w:space="0" w:color="auto"/>
              <w:right w:val="single" w:sz="4" w:space="0" w:color="auto"/>
            </w:tcBorders>
            <w:hideMark/>
          </w:tcPr>
          <w:p w14:paraId="3CFCDDB4" w14:textId="77777777" w:rsidR="0063158A" w:rsidRPr="00950125" w:rsidRDefault="0063158A" w:rsidP="00D46E36">
            <w:pPr>
              <w:spacing w:line="276" w:lineRule="auto"/>
              <w:jc w:val="center"/>
              <w:rPr>
                <w:rFonts w:eastAsia="Calibri"/>
              </w:rPr>
            </w:pPr>
            <w:r w:rsidRPr="00950125">
              <w:rPr>
                <w:rFonts w:eastAsia="Calibri"/>
              </w:rPr>
              <w:t>19 emerging countries.</w:t>
            </w:r>
          </w:p>
        </w:tc>
        <w:tc>
          <w:tcPr>
            <w:tcW w:w="1350" w:type="dxa"/>
            <w:tcBorders>
              <w:top w:val="single" w:sz="4" w:space="0" w:color="auto"/>
              <w:left w:val="single" w:sz="4" w:space="0" w:color="auto"/>
              <w:bottom w:val="single" w:sz="4" w:space="0" w:color="auto"/>
              <w:right w:val="single" w:sz="4" w:space="0" w:color="auto"/>
            </w:tcBorders>
            <w:hideMark/>
          </w:tcPr>
          <w:p w14:paraId="4BD21DCE" w14:textId="77777777" w:rsidR="0063158A" w:rsidRPr="00950125" w:rsidRDefault="0063158A" w:rsidP="00D46E36">
            <w:pPr>
              <w:spacing w:line="276" w:lineRule="auto"/>
              <w:jc w:val="center"/>
              <w:rPr>
                <w:rFonts w:eastAsia="Calibri"/>
              </w:rPr>
            </w:pPr>
            <w:r w:rsidRPr="00950125">
              <w:rPr>
                <w:rFonts w:eastAsia="Calibri"/>
              </w:rPr>
              <w:t>Renewable energy consumption.</w:t>
            </w:r>
          </w:p>
        </w:tc>
        <w:tc>
          <w:tcPr>
            <w:tcW w:w="1620" w:type="dxa"/>
            <w:tcBorders>
              <w:top w:val="single" w:sz="4" w:space="0" w:color="auto"/>
              <w:left w:val="single" w:sz="4" w:space="0" w:color="auto"/>
              <w:bottom w:val="single" w:sz="4" w:space="0" w:color="auto"/>
              <w:right w:val="single" w:sz="4" w:space="0" w:color="auto"/>
            </w:tcBorders>
            <w:hideMark/>
          </w:tcPr>
          <w:p w14:paraId="56CE3263" w14:textId="77777777" w:rsidR="0063158A" w:rsidRPr="00950125" w:rsidRDefault="0063158A" w:rsidP="00D46E36">
            <w:pPr>
              <w:spacing w:line="276" w:lineRule="auto"/>
              <w:jc w:val="center"/>
              <w:rPr>
                <w:rFonts w:eastAsia="Calibri"/>
              </w:rPr>
            </w:pPr>
            <w:r w:rsidRPr="00950125">
              <w:rPr>
                <w:rFonts w:eastAsia="Calibri"/>
              </w:rPr>
              <w:t>Institutional quality, economic growth, and exports.</w:t>
            </w:r>
          </w:p>
        </w:tc>
        <w:tc>
          <w:tcPr>
            <w:tcW w:w="1800" w:type="dxa"/>
            <w:tcBorders>
              <w:top w:val="single" w:sz="4" w:space="0" w:color="auto"/>
              <w:left w:val="single" w:sz="4" w:space="0" w:color="auto"/>
              <w:bottom w:val="single" w:sz="4" w:space="0" w:color="auto"/>
              <w:right w:val="single" w:sz="4" w:space="0" w:color="auto"/>
            </w:tcBorders>
            <w:hideMark/>
          </w:tcPr>
          <w:p w14:paraId="3F6FF5E7" w14:textId="77777777" w:rsidR="0063158A" w:rsidRPr="00950125" w:rsidRDefault="0063158A" w:rsidP="00D46E36">
            <w:pPr>
              <w:spacing w:line="276" w:lineRule="auto"/>
              <w:jc w:val="center"/>
              <w:rPr>
                <w:rFonts w:eastAsia="Calibri"/>
              </w:rPr>
            </w:pPr>
            <w:r w:rsidRPr="00950125">
              <w:rPr>
                <w:rFonts w:eastAsia="Calibri"/>
              </w:rPr>
              <w:t>PMG-ARDL approach.</w:t>
            </w:r>
          </w:p>
        </w:tc>
        <w:tc>
          <w:tcPr>
            <w:tcW w:w="1080" w:type="dxa"/>
            <w:tcBorders>
              <w:top w:val="single" w:sz="4" w:space="0" w:color="auto"/>
              <w:left w:val="single" w:sz="4" w:space="0" w:color="auto"/>
              <w:bottom w:val="single" w:sz="4" w:space="0" w:color="auto"/>
              <w:right w:val="single" w:sz="4" w:space="0" w:color="auto"/>
            </w:tcBorders>
          </w:tcPr>
          <w:p w14:paraId="45397503" w14:textId="77777777" w:rsidR="0063158A" w:rsidRPr="00950125" w:rsidRDefault="0063158A" w:rsidP="00D46E36">
            <w:pPr>
              <w:spacing w:line="276" w:lineRule="auto"/>
              <w:jc w:val="center"/>
              <w:rPr>
                <w:rFonts w:eastAsia="Calibri"/>
              </w:rPr>
            </w:pPr>
          </w:p>
        </w:tc>
        <w:tc>
          <w:tcPr>
            <w:tcW w:w="900" w:type="dxa"/>
            <w:tcBorders>
              <w:top w:val="single" w:sz="4" w:space="0" w:color="auto"/>
              <w:left w:val="single" w:sz="4" w:space="0" w:color="auto"/>
              <w:bottom w:val="single" w:sz="4" w:space="0" w:color="auto"/>
              <w:right w:val="single" w:sz="4" w:space="0" w:color="auto"/>
            </w:tcBorders>
          </w:tcPr>
          <w:p w14:paraId="484AC29D" w14:textId="77777777" w:rsidR="0063158A" w:rsidRPr="00950125" w:rsidRDefault="00643A27" w:rsidP="00D46E36">
            <w:pPr>
              <w:spacing w:line="276" w:lineRule="auto"/>
              <w:jc w:val="center"/>
              <w:rPr>
                <w:rFonts w:eastAsia="Calibri"/>
              </w:rPr>
            </w:pPr>
            <w:r w:rsidRPr="00950125">
              <w:rPr>
                <w:rFonts w:eastAsia="Calibri"/>
              </w:rPr>
              <w:t>Positive</w:t>
            </w:r>
          </w:p>
        </w:tc>
      </w:tr>
      <w:tr w:rsidR="0063158A" w:rsidRPr="00950125" w14:paraId="4343768E" w14:textId="77777777" w:rsidTr="0014422F">
        <w:trPr>
          <w:trHeight w:val="1343"/>
        </w:trPr>
        <w:tc>
          <w:tcPr>
            <w:tcW w:w="1350" w:type="dxa"/>
            <w:tcBorders>
              <w:top w:val="single" w:sz="4" w:space="0" w:color="auto"/>
              <w:left w:val="single" w:sz="4" w:space="0" w:color="auto"/>
              <w:bottom w:val="single" w:sz="4" w:space="0" w:color="auto"/>
              <w:right w:val="single" w:sz="4" w:space="0" w:color="auto"/>
            </w:tcBorders>
            <w:hideMark/>
          </w:tcPr>
          <w:p w14:paraId="11A27D41" w14:textId="77777777" w:rsidR="0063158A" w:rsidRPr="00950125" w:rsidRDefault="0063158A" w:rsidP="00D46E36">
            <w:pPr>
              <w:spacing w:line="276" w:lineRule="auto"/>
              <w:jc w:val="center"/>
              <w:rPr>
                <w:rStyle w:val="15"/>
                <w:rFonts w:ascii="Times New Roman" w:hAnsi="Times New Roman" w:cs="Times New Roman"/>
              </w:rPr>
            </w:pPr>
            <w:r w:rsidRPr="00950125">
              <w:rPr>
                <w:rStyle w:val="15"/>
                <w:rFonts w:ascii="Times New Roman" w:eastAsiaTheme="majorEastAsia" w:hAnsi="Times New Roman" w:cs="Times New Roman"/>
              </w:rPr>
              <w:lastRenderedPageBreak/>
              <w:t>Erhong Wang,</w:t>
            </w:r>
          </w:p>
          <w:p w14:paraId="21ABE2C8"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Giray Gozgor,</w:t>
            </w:r>
          </w:p>
          <w:p w14:paraId="5A27E706"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Mantu Kumar Mahalik,</w:t>
            </w:r>
          </w:p>
          <w:p w14:paraId="47D6BF40"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Gupteswar Patel,</w:t>
            </w:r>
          </w:p>
          <w:p w14:paraId="1473CD93"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Guoheng Hu</w:t>
            </w:r>
          </w:p>
          <w:p w14:paraId="39A23348" w14:textId="77777777" w:rsidR="0063158A" w:rsidRPr="00950125" w:rsidRDefault="0063158A" w:rsidP="00D46E36">
            <w:pPr>
              <w:spacing w:line="276" w:lineRule="auto"/>
              <w:jc w:val="center"/>
              <w:rPr>
                <w:rStyle w:val="15"/>
                <w:rFonts w:ascii="Times New Roman" w:eastAsiaTheme="majorEastAsia" w:hAnsi="Times New Roman" w:cs="Times New Roman"/>
              </w:rPr>
            </w:pPr>
            <w:r w:rsidRPr="00950125">
              <w:rPr>
                <w:rStyle w:val="15"/>
                <w:rFonts w:ascii="Times New Roman" w:eastAsiaTheme="majorEastAsia" w:hAnsi="Times New Roman" w:cs="Times New Roman"/>
              </w:rPr>
              <w:t>(2022)</w:t>
            </w:r>
          </w:p>
        </w:tc>
        <w:tc>
          <w:tcPr>
            <w:tcW w:w="1080" w:type="dxa"/>
            <w:tcBorders>
              <w:top w:val="single" w:sz="4" w:space="0" w:color="auto"/>
              <w:left w:val="single" w:sz="4" w:space="0" w:color="auto"/>
              <w:bottom w:val="single" w:sz="4" w:space="0" w:color="auto"/>
              <w:right w:val="single" w:sz="4" w:space="0" w:color="auto"/>
            </w:tcBorders>
            <w:hideMark/>
          </w:tcPr>
          <w:p w14:paraId="1E961172" w14:textId="77777777" w:rsidR="0063158A" w:rsidRPr="00950125" w:rsidRDefault="0063158A" w:rsidP="00D46E36">
            <w:pPr>
              <w:spacing w:line="276" w:lineRule="auto"/>
              <w:jc w:val="center"/>
              <w:rPr>
                <w:rFonts w:eastAsia="Calibri"/>
              </w:rPr>
            </w:pPr>
            <w:r w:rsidRPr="00950125">
              <w:rPr>
                <w:rFonts w:eastAsia="Calibri"/>
              </w:rPr>
              <w:t>32 OECD countries</w:t>
            </w:r>
          </w:p>
        </w:tc>
        <w:tc>
          <w:tcPr>
            <w:tcW w:w="1350" w:type="dxa"/>
            <w:tcBorders>
              <w:top w:val="single" w:sz="4" w:space="0" w:color="auto"/>
              <w:left w:val="single" w:sz="4" w:space="0" w:color="auto"/>
              <w:bottom w:val="single" w:sz="4" w:space="0" w:color="auto"/>
              <w:right w:val="single" w:sz="4" w:space="0" w:color="auto"/>
            </w:tcBorders>
            <w:hideMark/>
          </w:tcPr>
          <w:p w14:paraId="7E281668" w14:textId="77777777" w:rsidR="0063158A" w:rsidRPr="00950125" w:rsidRDefault="0063158A" w:rsidP="00D46E36">
            <w:pPr>
              <w:spacing w:line="276" w:lineRule="auto"/>
              <w:jc w:val="center"/>
              <w:rPr>
                <w:rFonts w:eastAsia="Calibri"/>
              </w:rPr>
            </w:pPr>
            <w:r w:rsidRPr="00950125">
              <w:rPr>
                <w:rFonts w:eastAsia="Calibri"/>
              </w:rPr>
              <w:t>Renewable energy consumption</w:t>
            </w:r>
          </w:p>
        </w:tc>
        <w:tc>
          <w:tcPr>
            <w:tcW w:w="1620" w:type="dxa"/>
            <w:tcBorders>
              <w:top w:val="single" w:sz="4" w:space="0" w:color="auto"/>
              <w:left w:val="single" w:sz="4" w:space="0" w:color="auto"/>
              <w:bottom w:val="single" w:sz="4" w:space="0" w:color="auto"/>
              <w:right w:val="single" w:sz="4" w:space="0" w:color="auto"/>
            </w:tcBorders>
            <w:hideMark/>
          </w:tcPr>
          <w:p w14:paraId="62F0855F" w14:textId="77777777" w:rsidR="0063158A" w:rsidRPr="00950125" w:rsidRDefault="0063158A" w:rsidP="00D46E36">
            <w:pPr>
              <w:spacing w:line="276" w:lineRule="auto"/>
              <w:jc w:val="center"/>
              <w:rPr>
                <w:rFonts w:eastAsia="Calibri"/>
              </w:rPr>
            </w:pPr>
            <w:r w:rsidRPr="00950125">
              <w:rPr>
                <w:rFonts w:eastAsia="Calibri"/>
              </w:rPr>
              <w:t>Institutional quality, Income level, economic globalization, political risk.</w:t>
            </w:r>
          </w:p>
        </w:tc>
        <w:tc>
          <w:tcPr>
            <w:tcW w:w="1800" w:type="dxa"/>
            <w:tcBorders>
              <w:top w:val="single" w:sz="4" w:space="0" w:color="auto"/>
              <w:left w:val="single" w:sz="4" w:space="0" w:color="auto"/>
              <w:bottom w:val="single" w:sz="4" w:space="0" w:color="auto"/>
              <w:right w:val="single" w:sz="4" w:space="0" w:color="auto"/>
            </w:tcBorders>
            <w:hideMark/>
          </w:tcPr>
          <w:p w14:paraId="40397570" w14:textId="77777777" w:rsidR="0063158A" w:rsidRPr="00950125" w:rsidRDefault="0063158A" w:rsidP="00D46E36">
            <w:pPr>
              <w:spacing w:line="276" w:lineRule="auto"/>
              <w:jc w:val="center"/>
              <w:rPr>
                <w:rFonts w:eastAsia="Calibri"/>
              </w:rPr>
            </w:pPr>
            <w:r w:rsidRPr="00950125">
              <w:rPr>
                <w:rFonts w:eastAsia="Calibri"/>
              </w:rPr>
              <w:t>Cross-sectional dependence.</w:t>
            </w:r>
          </w:p>
        </w:tc>
        <w:tc>
          <w:tcPr>
            <w:tcW w:w="1080" w:type="dxa"/>
            <w:tcBorders>
              <w:top w:val="single" w:sz="4" w:space="0" w:color="auto"/>
              <w:left w:val="single" w:sz="4" w:space="0" w:color="auto"/>
              <w:bottom w:val="single" w:sz="4" w:space="0" w:color="auto"/>
              <w:right w:val="single" w:sz="4" w:space="0" w:color="auto"/>
            </w:tcBorders>
          </w:tcPr>
          <w:p w14:paraId="775B210D" w14:textId="77777777" w:rsidR="0063158A" w:rsidRPr="00950125" w:rsidRDefault="0063158A" w:rsidP="00D46E36">
            <w:pPr>
              <w:spacing w:line="276" w:lineRule="auto"/>
              <w:jc w:val="center"/>
              <w:rPr>
                <w:rFonts w:eastAsia="Calibri"/>
              </w:rPr>
            </w:pPr>
          </w:p>
        </w:tc>
        <w:tc>
          <w:tcPr>
            <w:tcW w:w="900" w:type="dxa"/>
            <w:tcBorders>
              <w:top w:val="single" w:sz="4" w:space="0" w:color="auto"/>
              <w:left w:val="single" w:sz="4" w:space="0" w:color="auto"/>
              <w:bottom w:val="single" w:sz="4" w:space="0" w:color="auto"/>
              <w:right w:val="single" w:sz="4" w:space="0" w:color="auto"/>
            </w:tcBorders>
          </w:tcPr>
          <w:p w14:paraId="7E0FE7FB" w14:textId="77777777" w:rsidR="0063158A" w:rsidRPr="00950125" w:rsidRDefault="00643A27" w:rsidP="00D46E36">
            <w:pPr>
              <w:spacing w:line="276" w:lineRule="auto"/>
              <w:jc w:val="center"/>
              <w:rPr>
                <w:rFonts w:eastAsia="Calibri"/>
              </w:rPr>
            </w:pPr>
            <w:r w:rsidRPr="00950125">
              <w:rPr>
                <w:rFonts w:eastAsia="Calibri"/>
              </w:rPr>
              <w:t>Positive</w:t>
            </w:r>
          </w:p>
        </w:tc>
      </w:tr>
      <w:tr w:rsidR="0063158A" w:rsidRPr="00950125" w14:paraId="129881D2" w14:textId="77777777" w:rsidTr="0014422F">
        <w:trPr>
          <w:trHeight w:val="1343"/>
        </w:trPr>
        <w:tc>
          <w:tcPr>
            <w:tcW w:w="1350" w:type="dxa"/>
            <w:tcBorders>
              <w:top w:val="single" w:sz="4" w:space="0" w:color="auto"/>
              <w:left w:val="single" w:sz="4" w:space="0" w:color="auto"/>
              <w:bottom w:val="single" w:sz="4" w:space="0" w:color="auto"/>
              <w:right w:val="single" w:sz="4" w:space="0" w:color="auto"/>
            </w:tcBorders>
            <w:hideMark/>
          </w:tcPr>
          <w:p w14:paraId="0E27EE7F" w14:textId="77777777" w:rsidR="0063158A" w:rsidRPr="00950125" w:rsidRDefault="0063158A" w:rsidP="00D46E36">
            <w:pPr>
              <w:spacing w:line="276" w:lineRule="auto"/>
              <w:jc w:val="center"/>
              <w:rPr>
                <w:rStyle w:val="15"/>
                <w:rFonts w:ascii="Times New Roman" w:hAnsi="Times New Roman" w:cs="Times New Roman"/>
              </w:rPr>
            </w:pPr>
            <w:r w:rsidRPr="00950125">
              <w:rPr>
                <w:rStyle w:val="15"/>
                <w:rFonts w:ascii="Times New Roman" w:eastAsiaTheme="majorEastAsia" w:hAnsi="Times New Roman" w:cs="Times New Roman"/>
              </w:rPr>
              <w:t>Alpon Satrianto, Akmil Ikhsan, Evo Yunanda Dirma, Candrianto, Egy Juniardi, Mia Ayu Gusti (2024)</w:t>
            </w:r>
          </w:p>
        </w:tc>
        <w:tc>
          <w:tcPr>
            <w:tcW w:w="1080" w:type="dxa"/>
            <w:tcBorders>
              <w:top w:val="single" w:sz="4" w:space="0" w:color="auto"/>
              <w:left w:val="single" w:sz="4" w:space="0" w:color="auto"/>
              <w:bottom w:val="single" w:sz="4" w:space="0" w:color="auto"/>
              <w:right w:val="single" w:sz="4" w:space="0" w:color="auto"/>
            </w:tcBorders>
            <w:hideMark/>
          </w:tcPr>
          <w:p w14:paraId="2CF52780" w14:textId="77777777" w:rsidR="0063158A" w:rsidRPr="00950125" w:rsidRDefault="0063158A" w:rsidP="00D46E36">
            <w:pPr>
              <w:spacing w:line="276" w:lineRule="auto"/>
              <w:jc w:val="center"/>
              <w:rPr>
                <w:rFonts w:eastAsia="Calibri"/>
              </w:rPr>
            </w:pPr>
            <w:r w:rsidRPr="00950125">
              <w:rPr>
                <w:rFonts w:eastAsia="Calibri"/>
              </w:rPr>
              <w:t>Developing countries</w:t>
            </w:r>
          </w:p>
        </w:tc>
        <w:tc>
          <w:tcPr>
            <w:tcW w:w="1350" w:type="dxa"/>
            <w:tcBorders>
              <w:top w:val="single" w:sz="4" w:space="0" w:color="auto"/>
              <w:left w:val="single" w:sz="4" w:space="0" w:color="auto"/>
              <w:bottom w:val="single" w:sz="4" w:space="0" w:color="auto"/>
              <w:right w:val="single" w:sz="4" w:space="0" w:color="auto"/>
            </w:tcBorders>
            <w:hideMark/>
          </w:tcPr>
          <w:p w14:paraId="53F9172A" w14:textId="77777777" w:rsidR="0063158A" w:rsidRPr="00950125" w:rsidRDefault="0063158A" w:rsidP="00D46E36">
            <w:pPr>
              <w:spacing w:line="276" w:lineRule="auto"/>
              <w:jc w:val="center"/>
              <w:rPr>
                <w:rFonts w:eastAsia="Calibri"/>
              </w:rPr>
            </w:pPr>
            <w:r w:rsidRPr="00950125">
              <w:rPr>
                <w:rFonts w:eastAsia="Calibri"/>
              </w:rPr>
              <w:t>Renewable energy transition.</w:t>
            </w:r>
          </w:p>
        </w:tc>
        <w:tc>
          <w:tcPr>
            <w:tcW w:w="1620" w:type="dxa"/>
            <w:tcBorders>
              <w:top w:val="single" w:sz="4" w:space="0" w:color="auto"/>
              <w:left w:val="single" w:sz="4" w:space="0" w:color="auto"/>
              <w:bottom w:val="single" w:sz="4" w:space="0" w:color="auto"/>
              <w:right w:val="single" w:sz="4" w:space="0" w:color="auto"/>
            </w:tcBorders>
            <w:hideMark/>
          </w:tcPr>
          <w:p w14:paraId="15FA92E8" w14:textId="77777777" w:rsidR="0063158A" w:rsidRPr="00950125" w:rsidRDefault="0063158A" w:rsidP="00D46E36">
            <w:pPr>
              <w:spacing w:line="276" w:lineRule="auto"/>
              <w:jc w:val="center"/>
              <w:rPr>
                <w:rFonts w:eastAsia="Calibri"/>
              </w:rPr>
            </w:pPr>
            <w:r w:rsidRPr="00950125">
              <w:rPr>
                <w:rFonts w:eastAsia="Calibri"/>
              </w:rPr>
              <w:t>IQ (Government effectiveness, Regulatory quality, Rule of law, Voice and accountability) Government expenditure, Tax revenue, Foreign direct investment</w:t>
            </w:r>
          </w:p>
          <w:p w14:paraId="48E2904B" w14:textId="77777777" w:rsidR="0063158A" w:rsidRPr="00950125" w:rsidRDefault="0063158A" w:rsidP="00D46E36">
            <w:pPr>
              <w:spacing w:line="276" w:lineRule="auto"/>
              <w:jc w:val="center"/>
              <w:rPr>
                <w:rFonts w:eastAsia="Calibri"/>
              </w:rPr>
            </w:pPr>
            <w:r w:rsidRPr="00950125">
              <w:rPr>
                <w:rFonts w:eastAsia="Calibri"/>
              </w:rPr>
              <w:t>,Domestic credit</w:t>
            </w:r>
          </w:p>
        </w:tc>
        <w:tc>
          <w:tcPr>
            <w:tcW w:w="1800" w:type="dxa"/>
            <w:tcBorders>
              <w:top w:val="single" w:sz="4" w:space="0" w:color="auto"/>
              <w:left w:val="single" w:sz="4" w:space="0" w:color="auto"/>
              <w:bottom w:val="single" w:sz="4" w:space="0" w:color="auto"/>
              <w:right w:val="single" w:sz="4" w:space="0" w:color="auto"/>
            </w:tcBorders>
            <w:hideMark/>
          </w:tcPr>
          <w:p w14:paraId="36C6680F" w14:textId="77777777" w:rsidR="0063158A" w:rsidRPr="00950125" w:rsidRDefault="0063158A" w:rsidP="00D46E36">
            <w:pPr>
              <w:spacing w:line="276" w:lineRule="auto"/>
              <w:jc w:val="center"/>
              <w:rPr>
                <w:rFonts w:eastAsia="Calibri"/>
              </w:rPr>
            </w:pPr>
            <w:r w:rsidRPr="00950125">
              <w:rPr>
                <w:rFonts w:eastAsia="Calibri"/>
              </w:rPr>
              <w:t>Chow test, Lagrange multiplier test, Hausman test</w:t>
            </w:r>
          </w:p>
        </w:tc>
        <w:tc>
          <w:tcPr>
            <w:tcW w:w="1080" w:type="dxa"/>
            <w:tcBorders>
              <w:top w:val="single" w:sz="4" w:space="0" w:color="auto"/>
              <w:left w:val="single" w:sz="4" w:space="0" w:color="auto"/>
              <w:bottom w:val="single" w:sz="4" w:space="0" w:color="auto"/>
              <w:right w:val="single" w:sz="4" w:space="0" w:color="auto"/>
            </w:tcBorders>
          </w:tcPr>
          <w:p w14:paraId="7492E6FB" w14:textId="77777777" w:rsidR="0063158A" w:rsidRPr="00950125" w:rsidRDefault="0063158A" w:rsidP="00D46E36">
            <w:pPr>
              <w:spacing w:line="276" w:lineRule="auto"/>
              <w:jc w:val="center"/>
              <w:rPr>
                <w:rFonts w:eastAsia="Calibri"/>
              </w:rPr>
            </w:pPr>
          </w:p>
        </w:tc>
        <w:tc>
          <w:tcPr>
            <w:tcW w:w="900" w:type="dxa"/>
            <w:tcBorders>
              <w:top w:val="single" w:sz="4" w:space="0" w:color="auto"/>
              <w:left w:val="single" w:sz="4" w:space="0" w:color="auto"/>
              <w:bottom w:val="single" w:sz="4" w:space="0" w:color="auto"/>
              <w:right w:val="single" w:sz="4" w:space="0" w:color="auto"/>
            </w:tcBorders>
          </w:tcPr>
          <w:p w14:paraId="42B41BBA" w14:textId="77777777" w:rsidR="0063158A" w:rsidRPr="00950125" w:rsidRDefault="00643A27" w:rsidP="00D46E36">
            <w:pPr>
              <w:spacing w:line="276" w:lineRule="auto"/>
              <w:jc w:val="center"/>
              <w:rPr>
                <w:rFonts w:eastAsia="Calibri"/>
              </w:rPr>
            </w:pPr>
            <w:r w:rsidRPr="00950125">
              <w:rPr>
                <w:rFonts w:eastAsia="Calibri"/>
              </w:rPr>
              <w:t>Positive</w:t>
            </w:r>
          </w:p>
        </w:tc>
      </w:tr>
    </w:tbl>
    <w:p w14:paraId="7FB90132" w14:textId="77777777" w:rsidR="007C2A66" w:rsidRPr="00950125" w:rsidRDefault="007C2A66" w:rsidP="00D46E36">
      <w:pPr>
        <w:spacing w:line="276" w:lineRule="auto"/>
        <w:jc w:val="center"/>
        <w:rPr>
          <w:rFonts w:ascii="Times New Roman" w:eastAsia="Calibri" w:hAnsi="Times New Roman" w:cs="Times New Roman"/>
        </w:rPr>
      </w:pPr>
      <w:r w:rsidRPr="00950125">
        <w:rPr>
          <w:rFonts w:ascii="Times New Roman" w:eastAsia="Calibri" w:hAnsi="Times New Roman" w:cs="Times New Roman"/>
        </w:rPr>
        <w:t xml:space="preserve"> </w:t>
      </w:r>
    </w:p>
    <w:p w14:paraId="776FC5EF" w14:textId="5F7FA724" w:rsidR="007C2A66" w:rsidRPr="00950125" w:rsidRDefault="00F4455B" w:rsidP="00D46E36">
      <w:pPr>
        <w:pStyle w:val="Caption"/>
        <w:spacing w:line="276" w:lineRule="auto"/>
        <w:rPr>
          <w:rFonts w:ascii="Times New Roman" w:eastAsia="Calibri" w:hAnsi="Times New Roman" w:cs="Times New Roman"/>
          <w:b/>
          <w:i w:val="0"/>
        </w:rPr>
      </w:pPr>
      <w:bookmarkStart w:id="22" w:name="_Toc204723232"/>
      <w:r>
        <w:t xml:space="preserve">Table </w:t>
      </w:r>
      <w:r w:rsidR="0029645F">
        <w:rPr>
          <w:noProof/>
        </w:rPr>
        <w:fldChar w:fldCharType="begin"/>
      </w:r>
      <w:r w:rsidR="0029645F">
        <w:rPr>
          <w:noProof/>
        </w:rPr>
        <w:instrText xml:space="preserve"> SEQ Table \* ARABIC </w:instrText>
      </w:r>
      <w:r w:rsidR="0029645F">
        <w:rPr>
          <w:noProof/>
        </w:rPr>
        <w:fldChar w:fldCharType="separate"/>
      </w:r>
      <w:r w:rsidR="003F2868">
        <w:rPr>
          <w:noProof/>
        </w:rPr>
        <w:t>2</w:t>
      </w:r>
      <w:r w:rsidR="0029645F">
        <w:rPr>
          <w:noProof/>
        </w:rPr>
        <w:fldChar w:fldCharType="end"/>
      </w:r>
      <w:r>
        <w:t xml:space="preserve">: </w:t>
      </w:r>
      <w:r w:rsidR="007C2A66" w:rsidRPr="00950125">
        <w:rPr>
          <w:rFonts w:ascii="Times New Roman" w:eastAsia="Calibri" w:hAnsi="Times New Roman" w:cs="Times New Roman"/>
          <w:b/>
          <w:i w:val="0"/>
        </w:rPr>
        <w:t>Summary Literature</w:t>
      </w:r>
      <w:bookmarkEnd w:id="22"/>
    </w:p>
    <w:tbl>
      <w:tblPr>
        <w:tblStyle w:val="TableGrid"/>
        <w:tblW w:w="9270" w:type="dxa"/>
        <w:tblInd w:w="-5" w:type="dxa"/>
        <w:tblLayout w:type="fixed"/>
        <w:tblLook w:val="04A0" w:firstRow="1" w:lastRow="0" w:firstColumn="1" w:lastColumn="0" w:noHBand="0" w:noVBand="1"/>
      </w:tblPr>
      <w:tblGrid>
        <w:gridCol w:w="1800"/>
        <w:gridCol w:w="1620"/>
        <w:gridCol w:w="1350"/>
        <w:gridCol w:w="1710"/>
        <w:gridCol w:w="1620"/>
        <w:gridCol w:w="1170"/>
      </w:tblGrid>
      <w:tr w:rsidR="00643A27" w:rsidRPr="00950125" w14:paraId="5167E3B9" w14:textId="77777777" w:rsidTr="00336DF6">
        <w:tc>
          <w:tcPr>
            <w:tcW w:w="1800" w:type="dxa"/>
            <w:tcBorders>
              <w:top w:val="single" w:sz="4" w:space="0" w:color="auto"/>
              <w:left w:val="single" w:sz="4" w:space="0" w:color="auto"/>
              <w:bottom w:val="single" w:sz="4" w:space="0" w:color="auto"/>
              <w:right w:val="single" w:sz="4" w:space="0" w:color="auto"/>
            </w:tcBorders>
            <w:hideMark/>
          </w:tcPr>
          <w:p w14:paraId="16095BE3" w14:textId="77777777" w:rsidR="00643A27" w:rsidRPr="00950125" w:rsidRDefault="00643A27" w:rsidP="00D46E36">
            <w:pPr>
              <w:spacing w:line="276" w:lineRule="auto"/>
              <w:jc w:val="center"/>
              <w:rPr>
                <w:rFonts w:eastAsia="Calibri"/>
              </w:rPr>
            </w:pPr>
            <w:r w:rsidRPr="00950125">
              <w:rPr>
                <w:rFonts w:eastAsia="Calibri"/>
              </w:rPr>
              <w:t>Authors (Year)</w:t>
            </w:r>
          </w:p>
        </w:tc>
        <w:tc>
          <w:tcPr>
            <w:tcW w:w="1620" w:type="dxa"/>
            <w:tcBorders>
              <w:top w:val="single" w:sz="4" w:space="0" w:color="auto"/>
              <w:left w:val="single" w:sz="4" w:space="0" w:color="auto"/>
              <w:bottom w:val="single" w:sz="4" w:space="0" w:color="auto"/>
              <w:right w:val="single" w:sz="4" w:space="0" w:color="auto"/>
            </w:tcBorders>
            <w:hideMark/>
          </w:tcPr>
          <w:p w14:paraId="0016C2E6" w14:textId="77777777" w:rsidR="00643A27" w:rsidRPr="00950125" w:rsidRDefault="00643A27" w:rsidP="00D46E36">
            <w:pPr>
              <w:spacing w:line="276" w:lineRule="auto"/>
              <w:jc w:val="center"/>
              <w:rPr>
                <w:rFonts w:eastAsia="Calibri"/>
              </w:rPr>
            </w:pPr>
            <w:r w:rsidRPr="00950125">
              <w:rPr>
                <w:rFonts w:eastAsia="Calibri"/>
              </w:rPr>
              <w:t>Country</w:t>
            </w:r>
          </w:p>
        </w:tc>
        <w:tc>
          <w:tcPr>
            <w:tcW w:w="1350" w:type="dxa"/>
            <w:tcBorders>
              <w:top w:val="single" w:sz="4" w:space="0" w:color="auto"/>
              <w:left w:val="single" w:sz="4" w:space="0" w:color="auto"/>
              <w:bottom w:val="single" w:sz="4" w:space="0" w:color="auto"/>
              <w:right w:val="single" w:sz="4" w:space="0" w:color="auto"/>
            </w:tcBorders>
            <w:hideMark/>
          </w:tcPr>
          <w:p w14:paraId="043FA436" w14:textId="77777777" w:rsidR="00643A27" w:rsidRPr="00950125" w:rsidRDefault="00643A27" w:rsidP="00D46E36">
            <w:pPr>
              <w:spacing w:line="276" w:lineRule="auto"/>
              <w:jc w:val="center"/>
              <w:rPr>
                <w:rFonts w:eastAsia="Calibri"/>
              </w:rPr>
            </w:pPr>
            <w:r w:rsidRPr="00950125">
              <w:rPr>
                <w:rFonts w:eastAsia="Calibri"/>
              </w:rPr>
              <w:t>Dependent Variable</w:t>
            </w:r>
          </w:p>
        </w:tc>
        <w:tc>
          <w:tcPr>
            <w:tcW w:w="1710" w:type="dxa"/>
            <w:tcBorders>
              <w:top w:val="single" w:sz="4" w:space="0" w:color="auto"/>
              <w:left w:val="single" w:sz="4" w:space="0" w:color="auto"/>
              <w:bottom w:val="single" w:sz="4" w:space="0" w:color="auto"/>
              <w:right w:val="single" w:sz="4" w:space="0" w:color="auto"/>
            </w:tcBorders>
            <w:hideMark/>
          </w:tcPr>
          <w:p w14:paraId="188B5701" w14:textId="77777777" w:rsidR="00643A27" w:rsidRPr="00950125" w:rsidRDefault="00643A27" w:rsidP="00D46E36">
            <w:pPr>
              <w:spacing w:line="276" w:lineRule="auto"/>
              <w:jc w:val="center"/>
              <w:rPr>
                <w:rFonts w:eastAsia="Calibri"/>
              </w:rPr>
            </w:pPr>
            <w:r w:rsidRPr="00950125">
              <w:rPr>
                <w:rFonts w:eastAsia="Calibri"/>
              </w:rPr>
              <w:t>Independent Variable</w:t>
            </w:r>
          </w:p>
        </w:tc>
        <w:tc>
          <w:tcPr>
            <w:tcW w:w="1620" w:type="dxa"/>
            <w:tcBorders>
              <w:top w:val="single" w:sz="4" w:space="0" w:color="auto"/>
              <w:left w:val="single" w:sz="4" w:space="0" w:color="auto"/>
              <w:bottom w:val="single" w:sz="4" w:space="0" w:color="auto"/>
              <w:right w:val="single" w:sz="4" w:space="0" w:color="auto"/>
            </w:tcBorders>
            <w:hideMark/>
          </w:tcPr>
          <w:p w14:paraId="34958904" w14:textId="77777777" w:rsidR="00643A27" w:rsidRPr="00950125" w:rsidRDefault="00643A27" w:rsidP="00D46E36">
            <w:pPr>
              <w:spacing w:line="276" w:lineRule="auto"/>
              <w:jc w:val="center"/>
              <w:rPr>
                <w:rFonts w:eastAsia="Calibri"/>
              </w:rPr>
            </w:pPr>
            <w:r w:rsidRPr="00950125">
              <w:rPr>
                <w:rFonts w:eastAsia="Calibri"/>
              </w:rPr>
              <w:t>Methods</w:t>
            </w:r>
          </w:p>
        </w:tc>
        <w:tc>
          <w:tcPr>
            <w:tcW w:w="1170" w:type="dxa"/>
            <w:tcBorders>
              <w:top w:val="single" w:sz="4" w:space="0" w:color="auto"/>
              <w:left w:val="single" w:sz="4" w:space="0" w:color="auto"/>
              <w:bottom w:val="single" w:sz="4" w:space="0" w:color="auto"/>
              <w:right w:val="single" w:sz="4" w:space="0" w:color="auto"/>
            </w:tcBorders>
          </w:tcPr>
          <w:p w14:paraId="67B622F4" w14:textId="77777777" w:rsidR="00643A27" w:rsidRPr="00950125" w:rsidRDefault="00643A27" w:rsidP="00D46E36">
            <w:pPr>
              <w:spacing w:line="276" w:lineRule="auto"/>
              <w:jc w:val="center"/>
              <w:rPr>
                <w:rFonts w:eastAsia="Calibri"/>
              </w:rPr>
            </w:pPr>
            <w:r w:rsidRPr="00950125">
              <w:rPr>
                <w:rFonts w:eastAsia="Calibri"/>
              </w:rPr>
              <w:t>LCF</w:t>
            </w:r>
          </w:p>
        </w:tc>
      </w:tr>
      <w:tr w:rsidR="00643A27" w:rsidRPr="00950125" w14:paraId="080131C9" w14:textId="77777777" w:rsidTr="00336DF6">
        <w:tc>
          <w:tcPr>
            <w:tcW w:w="1800" w:type="dxa"/>
            <w:tcBorders>
              <w:top w:val="single" w:sz="4" w:space="0" w:color="auto"/>
              <w:left w:val="single" w:sz="4" w:space="0" w:color="auto"/>
              <w:bottom w:val="single" w:sz="4" w:space="0" w:color="auto"/>
              <w:right w:val="single" w:sz="4" w:space="0" w:color="auto"/>
            </w:tcBorders>
            <w:hideMark/>
          </w:tcPr>
          <w:p w14:paraId="19981E6E" w14:textId="77777777" w:rsidR="00643A27" w:rsidRPr="00950125" w:rsidRDefault="00643A27" w:rsidP="00D46E36">
            <w:pPr>
              <w:spacing w:line="276" w:lineRule="auto"/>
              <w:jc w:val="center"/>
              <w:rPr>
                <w:rFonts w:eastAsia="Calibri"/>
              </w:rPr>
            </w:pPr>
            <w:r w:rsidRPr="00950125">
              <w:rPr>
                <w:rFonts w:eastAsia="Calibri"/>
              </w:rPr>
              <w:t>Mucahit Aydin,</w:t>
            </w:r>
          </w:p>
          <w:p w14:paraId="7BD41CDA" w14:textId="77777777" w:rsidR="00643A27" w:rsidRPr="00950125" w:rsidRDefault="00643A27" w:rsidP="00D46E36">
            <w:pPr>
              <w:spacing w:line="276" w:lineRule="auto"/>
              <w:jc w:val="center"/>
              <w:rPr>
                <w:rFonts w:eastAsia="Calibri"/>
              </w:rPr>
            </w:pPr>
            <w:r w:rsidRPr="00950125">
              <w:rPr>
                <w:rFonts w:eastAsia="Calibri"/>
              </w:rPr>
              <w:t>Azad Erdem,</w:t>
            </w:r>
          </w:p>
          <w:p w14:paraId="1363CE8F" w14:textId="77777777" w:rsidR="00643A27" w:rsidRPr="00950125" w:rsidRDefault="00643A27" w:rsidP="00D46E36">
            <w:pPr>
              <w:spacing w:line="276" w:lineRule="auto"/>
              <w:jc w:val="center"/>
              <w:rPr>
                <w:rFonts w:eastAsia="Calibri"/>
              </w:rPr>
            </w:pPr>
            <w:r w:rsidRPr="00950125">
              <w:rPr>
                <w:rFonts w:eastAsia="Calibri"/>
              </w:rPr>
              <w:t>Yasin Sogut,</w:t>
            </w:r>
          </w:p>
          <w:p w14:paraId="76F8050F" w14:textId="77777777" w:rsidR="00643A27" w:rsidRPr="00950125" w:rsidRDefault="00643A27" w:rsidP="00D46E36">
            <w:pPr>
              <w:spacing w:line="276" w:lineRule="auto"/>
              <w:jc w:val="center"/>
              <w:rPr>
                <w:rFonts w:eastAsia="Calibri"/>
              </w:rPr>
            </w:pPr>
            <w:r w:rsidRPr="00950125">
              <w:rPr>
                <w:rFonts w:eastAsia="Calibri"/>
              </w:rPr>
              <w:t>Zahoor Ahmed (2024)</w:t>
            </w:r>
          </w:p>
        </w:tc>
        <w:tc>
          <w:tcPr>
            <w:tcW w:w="1620" w:type="dxa"/>
            <w:tcBorders>
              <w:top w:val="single" w:sz="4" w:space="0" w:color="auto"/>
              <w:left w:val="single" w:sz="4" w:space="0" w:color="auto"/>
              <w:bottom w:val="single" w:sz="4" w:space="0" w:color="auto"/>
              <w:right w:val="single" w:sz="4" w:space="0" w:color="auto"/>
            </w:tcBorders>
            <w:hideMark/>
          </w:tcPr>
          <w:p w14:paraId="23E70ABC" w14:textId="77777777" w:rsidR="00643A27" w:rsidRPr="00950125" w:rsidRDefault="00643A27" w:rsidP="00D46E36">
            <w:pPr>
              <w:spacing w:line="276" w:lineRule="auto"/>
              <w:jc w:val="center"/>
              <w:rPr>
                <w:rFonts w:eastAsia="Calibri"/>
              </w:rPr>
            </w:pPr>
            <w:r w:rsidRPr="00950125">
              <w:rPr>
                <w:rFonts w:eastAsia="Calibri"/>
              </w:rPr>
              <w:t>Luxembourg, Germany, Austria, Australia, Canada, Denmark, Netherlands, United Kingdom, Chile, Singapore, New Zealand, United States of America, Belgium, Finland, Uruguay, Latvia, Spain, Sweden, and Switzerland</w:t>
            </w:r>
          </w:p>
        </w:tc>
        <w:tc>
          <w:tcPr>
            <w:tcW w:w="1350" w:type="dxa"/>
            <w:tcBorders>
              <w:top w:val="single" w:sz="4" w:space="0" w:color="auto"/>
              <w:left w:val="single" w:sz="4" w:space="0" w:color="auto"/>
              <w:bottom w:val="single" w:sz="4" w:space="0" w:color="auto"/>
              <w:right w:val="single" w:sz="4" w:space="0" w:color="auto"/>
            </w:tcBorders>
            <w:hideMark/>
          </w:tcPr>
          <w:p w14:paraId="7193928E" w14:textId="77777777" w:rsidR="00643A27" w:rsidRPr="00950125" w:rsidRDefault="00643A27" w:rsidP="00D46E36">
            <w:pPr>
              <w:spacing w:line="276" w:lineRule="auto"/>
              <w:jc w:val="center"/>
              <w:rPr>
                <w:rFonts w:eastAsia="Calibri"/>
              </w:rPr>
            </w:pPr>
            <w:r w:rsidRPr="00950125">
              <w:rPr>
                <w:rFonts w:eastAsia="Calibri"/>
              </w:rPr>
              <w:t>Load capacity factor</w:t>
            </w:r>
          </w:p>
        </w:tc>
        <w:tc>
          <w:tcPr>
            <w:tcW w:w="1710" w:type="dxa"/>
            <w:tcBorders>
              <w:top w:val="single" w:sz="4" w:space="0" w:color="auto"/>
              <w:left w:val="single" w:sz="4" w:space="0" w:color="auto"/>
              <w:bottom w:val="single" w:sz="4" w:space="0" w:color="auto"/>
              <w:right w:val="single" w:sz="4" w:space="0" w:color="auto"/>
            </w:tcBorders>
            <w:hideMark/>
          </w:tcPr>
          <w:p w14:paraId="456A3DA2" w14:textId="77777777" w:rsidR="00643A27" w:rsidRPr="00950125" w:rsidRDefault="00643A27" w:rsidP="00D46E36">
            <w:pPr>
              <w:spacing w:line="276" w:lineRule="auto"/>
              <w:jc w:val="center"/>
              <w:rPr>
                <w:rFonts w:eastAsia="Calibri"/>
              </w:rPr>
            </w:pPr>
            <w:r w:rsidRPr="00950125">
              <w:rPr>
                <w:rFonts w:eastAsia="Calibri"/>
              </w:rPr>
              <w:t>Investment freedom, Technological innovation, Renewable energy</w:t>
            </w:r>
          </w:p>
        </w:tc>
        <w:tc>
          <w:tcPr>
            <w:tcW w:w="1620" w:type="dxa"/>
            <w:tcBorders>
              <w:top w:val="single" w:sz="4" w:space="0" w:color="auto"/>
              <w:left w:val="single" w:sz="4" w:space="0" w:color="auto"/>
              <w:bottom w:val="single" w:sz="4" w:space="0" w:color="auto"/>
              <w:right w:val="single" w:sz="4" w:space="0" w:color="auto"/>
            </w:tcBorders>
            <w:hideMark/>
          </w:tcPr>
          <w:p w14:paraId="17CB46FF" w14:textId="77777777" w:rsidR="00643A27" w:rsidRPr="00950125" w:rsidRDefault="00643A27" w:rsidP="00D46E36">
            <w:pPr>
              <w:spacing w:line="276" w:lineRule="auto"/>
              <w:jc w:val="center"/>
              <w:rPr>
                <w:rFonts w:eastAsia="Calibri"/>
              </w:rPr>
            </w:pPr>
            <w:r w:rsidRPr="00950125">
              <w:rPr>
                <w:rFonts w:eastAsia="Calibri"/>
              </w:rPr>
              <w:t>The Regularized Common Correlated Effects (rCCE), Common Correlated Effects (CCE)</w:t>
            </w:r>
          </w:p>
        </w:tc>
        <w:tc>
          <w:tcPr>
            <w:tcW w:w="1170" w:type="dxa"/>
            <w:tcBorders>
              <w:top w:val="single" w:sz="4" w:space="0" w:color="auto"/>
              <w:left w:val="single" w:sz="4" w:space="0" w:color="auto"/>
              <w:bottom w:val="single" w:sz="4" w:space="0" w:color="auto"/>
              <w:right w:val="single" w:sz="4" w:space="0" w:color="auto"/>
            </w:tcBorders>
          </w:tcPr>
          <w:p w14:paraId="6C6F61A0" w14:textId="77777777" w:rsidR="00643A27" w:rsidRPr="00950125" w:rsidRDefault="00643A27" w:rsidP="00D46E36">
            <w:pPr>
              <w:spacing w:line="276" w:lineRule="auto"/>
              <w:jc w:val="center"/>
              <w:rPr>
                <w:rFonts w:eastAsia="Calibri"/>
              </w:rPr>
            </w:pPr>
            <w:r w:rsidRPr="00950125">
              <w:rPr>
                <w:rFonts w:eastAsia="Calibri"/>
              </w:rPr>
              <w:t>Invalid</w:t>
            </w:r>
          </w:p>
        </w:tc>
      </w:tr>
      <w:tr w:rsidR="00643A27" w:rsidRPr="00950125" w14:paraId="25363AED" w14:textId="77777777" w:rsidTr="00336DF6">
        <w:tc>
          <w:tcPr>
            <w:tcW w:w="1800" w:type="dxa"/>
            <w:tcBorders>
              <w:top w:val="single" w:sz="4" w:space="0" w:color="auto"/>
              <w:left w:val="single" w:sz="4" w:space="0" w:color="auto"/>
              <w:bottom w:val="single" w:sz="4" w:space="0" w:color="auto"/>
              <w:right w:val="single" w:sz="4" w:space="0" w:color="auto"/>
            </w:tcBorders>
            <w:hideMark/>
          </w:tcPr>
          <w:p w14:paraId="30DFACD5" w14:textId="77777777" w:rsidR="00643A27" w:rsidRPr="00950125" w:rsidRDefault="00643A27" w:rsidP="00D46E36">
            <w:pPr>
              <w:spacing w:line="276" w:lineRule="auto"/>
              <w:jc w:val="center"/>
              <w:rPr>
                <w:rFonts w:eastAsia="Calibri"/>
              </w:rPr>
            </w:pPr>
            <w:r w:rsidRPr="00950125">
              <w:rPr>
                <w:rFonts w:eastAsia="Calibri"/>
              </w:rPr>
              <w:t>Oktay Ozkan, Mehmet Akif Destek, Sercan Aydin (2024)</w:t>
            </w:r>
          </w:p>
        </w:tc>
        <w:tc>
          <w:tcPr>
            <w:tcW w:w="1620" w:type="dxa"/>
            <w:tcBorders>
              <w:top w:val="single" w:sz="4" w:space="0" w:color="auto"/>
              <w:left w:val="single" w:sz="4" w:space="0" w:color="auto"/>
              <w:bottom w:val="single" w:sz="4" w:space="0" w:color="auto"/>
              <w:right w:val="single" w:sz="4" w:space="0" w:color="auto"/>
            </w:tcBorders>
            <w:hideMark/>
          </w:tcPr>
          <w:p w14:paraId="0FF645CB" w14:textId="77777777" w:rsidR="00643A27" w:rsidRPr="00950125" w:rsidRDefault="00643A27" w:rsidP="00D46E36">
            <w:pPr>
              <w:spacing w:line="276" w:lineRule="auto"/>
              <w:jc w:val="center"/>
              <w:rPr>
                <w:rFonts w:eastAsia="Calibri"/>
              </w:rPr>
            </w:pPr>
            <w:r w:rsidRPr="00950125">
              <w:rPr>
                <w:rFonts w:eastAsia="Calibri"/>
              </w:rPr>
              <w:t>Germany</w:t>
            </w:r>
          </w:p>
        </w:tc>
        <w:tc>
          <w:tcPr>
            <w:tcW w:w="1350" w:type="dxa"/>
            <w:tcBorders>
              <w:top w:val="single" w:sz="4" w:space="0" w:color="auto"/>
              <w:left w:val="single" w:sz="4" w:space="0" w:color="auto"/>
              <w:bottom w:val="single" w:sz="4" w:space="0" w:color="auto"/>
              <w:right w:val="single" w:sz="4" w:space="0" w:color="auto"/>
            </w:tcBorders>
            <w:hideMark/>
          </w:tcPr>
          <w:p w14:paraId="75E02B20" w14:textId="77777777" w:rsidR="00643A27" w:rsidRPr="00950125" w:rsidRDefault="00643A27" w:rsidP="00D46E36">
            <w:pPr>
              <w:spacing w:line="276" w:lineRule="auto"/>
              <w:jc w:val="center"/>
              <w:rPr>
                <w:rFonts w:eastAsia="Calibri"/>
              </w:rPr>
            </w:pPr>
            <w:r w:rsidRPr="00950125">
              <w:rPr>
                <w:rFonts w:eastAsia="Calibri"/>
              </w:rPr>
              <w:t>Environmental quality</w:t>
            </w:r>
          </w:p>
        </w:tc>
        <w:tc>
          <w:tcPr>
            <w:tcW w:w="1710" w:type="dxa"/>
            <w:tcBorders>
              <w:top w:val="single" w:sz="4" w:space="0" w:color="auto"/>
              <w:left w:val="single" w:sz="4" w:space="0" w:color="auto"/>
              <w:bottom w:val="single" w:sz="4" w:space="0" w:color="auto"/>
              <w:right w:val="single" w:sz="4" w:space="0" w:color="auto"/>
            </w:tcBorders>
            <w:hideMark/>
          </w:tcPr>
          <w:p w14:paraId="33E3552D" w14:textId="77777777" w:rsidR="00643A27" w:rsidRPr="00950125" w:rsidRDefault="00643A27" w:rsidP="00D46E36">
            <w:pPr>
              <w:spacing w:line="276" w:lineRule="auto"/>
              <w:jc w:val="center"/>
              <w:rPr>
                <w:rFonts w:eastAsia="Calibri"/>
              </w:rPr>
            </w:pPr>
            <w:r w:rsidRPr="00950125">
              <w:rPr>
                <w:rFonts w:eastAsia="Calibri"/>
              </w:rPr>
              <w:t xml:space="preserve">Financial globalization, Financial development, Economic growth, </w:t>
            </w:r>
            <w:r w:rsidRPr="00950125">
              <w:rPr>
                <w:rFonts w:eastAsia="Calibri"/>
              </w:rPr>
              <w:lastRenderedPageBreak/>
              <w:t>Natural resource rent.</w:t>
            </w:r>
          </w:p>
        </w:tc>
        <w:tc>
          <w:tcPr>
            <w:tcW w:w="1620" w:type="dxa"/>
            <w:tcBorders>
              <w:top w:val="single" w:sz="4" w:space="0" w:color="auto"/>
              <w:left w:val="single" w:sz="4" w:space="0" w:color="auto"/>
              <w:bottom w:val="single" w:sz="4" w:space="0" w:color="auto"/>
              <w:right w:val="single" w:sz="4" w:space="0" w:color="auto"/>
            </w:tcBorders>
            <w:hideMark/>
          </w:tcPr>
          <w:p w14:paraId="33475E37" w14:textId="77777777" w:rsidR="00643A27" w:rsidRPr="00950125" w:rsidRDefault="00643A27" w:rsidP="00D46E36">
            <w:pPr>
              <w:spacing w:line="276" w:lineRule="auto"/>
              <w:jc w:val="center"/>
              <w:rPr>
                <w:rFonts w:eastAsia="Calibri"/>
              </w:rPr>
            </w:pPr>
            <w:r w:rsidRPr="00950125">
              <w:rPr>
                <w:rFonts w:eastAsia="Calibri"/>
              </w:rPr>
              <w:lastRenderedPageBreak/>
              <w:t>Novel quantile-based approaches.</w:t>
            </w:r>
          </w:p>
        </w:tc>
        <w:tc>
          <w:tcPr>
            <w:tcW w:w="1170" w:type="dxa"/>
            <w:tcBorders>
              <w:top w:val="single" w:sz="4" w:space="0" w:color="auto"/>
              <w:left w:val="single" w:sz="4" w:space="0" w:color="auto"/>
              <w:bottom w:val="single" w:sz="4" w:space="0" w:color="auto"/>
              <w:right w:val="single" w:sz="4" w:space="0" w:color="auto"/>
            </w:tcBorders>
          </w:tcPr>
          <w:p w14:paraId="53F626AA" w14:textId="77777777" w:rsidR="00643A27" w:rsidRPr="00950125" w:rsidRDefault="00643A27" w:rsidP="00D46E36">
            <w:pPr>
              <w:spacing w:line="276" w:lineRule="auto"/>
              <w:jc w:val="center"/>
              <w:rPr>
                <w:rFonts w:eastAsia="Calibri"/>
              </w:rPr>
            </w:pPr>
            <w:r w:rsidRPr="00950125">
              <w:rPr>
                <w:rFonts w:eastAsia="Calibri"/>
              </w:rPr>
              <w:t>Yes (Positive)</w:t>
            </w:r>
          </w:p>
        </w:tc>
      </w:tr>
      <w:tr w:rsidR="00643A27" w:rsidRPr="00950125" w14:paraId="61476550" w14:textId="77777777" w:rsidTr="00336DF6">
        <w:tc>
          <w:tcPr>
            <w:tcW w:w="1800" w:type="dxa"/>
            <w:tcBorders>
              <w:top w:val="single" w:sz="4" w:space="0" w:color="auto"/>
              <w:left w:val="single" w:sz="4" w:space="0" w:color="auto"/>
              <w:bottom w:val="single" w:sz="4" w:space="0" w:color="auto"/>
              <w:right w:val="single" w:sz="4" w:space="0" w:color="auto"/>
            </w:tcBorders>
            <w:hideMark/>
          </w:tcPr>
          <w:p w14:paraId="2C7F508B" w14:textId="77777777" w:rsidR="00643A27" w:rsidRPr="00950125" w:rsidRDefault="00643A27" w:rsidP="00D46E36">
            <w:pPr>
              <w:spacing w:line="276" w:lineRule="auto"/>
              <w:jc w:val="center"/>
              <w:rPr>
                <w:rFonts w:eastAsia="Calibri"/>
              </w:rPr>
            </w:pPr>
            <w:r w:rsidRPr="00950125">
              <w:rPr>
                <w:rFonts w:eastAsia="Calibri"/>
              </w:rPr>
              <w:t>Abdullah Emre Caglar,Salih Bortecine Avci,Muhammet Daştan &amp;Mehmet Akif Destekd</w:t>
            </w:r>
          </w:p>
          <w:p w14:paraId="2B41B20C" w14:textId="77777777" w:rsidR="00643A27" w:rsidRPr="00950125" w:rsidRDefault="00643A27" w:rsidP="00D46E36">
            <w:pPr>
              <w:spacing w:line="276" w:lineRule="auto"/>
              <w:jc w:val="center"/>
              <w:rPr>
                <w:rFonts w:eastAsia="Calibri"/>
              </w:rPr>
            </w:pPr>
            <w:r w:rsidRPr="00950125">
              <w:rPr>
                <w:rFonts w:eastAsia="Calibri"/>
              </w:rPr>
              <w:t>(2024)</w:t>
            </w:r>
          </w:p>
        </w:tc>
        <w:tc>
          <w:tcPr>
            <w:tcW w:w="1620" w:type="dxa"/>
            <w:tcBorders>
              <w:top w:val="single" w:sz="4" w:space="0" w:color="auto"/>
              <w:left w:val="single" w:sz="4" w:space="0" w:color="auto"/>
              <w:bottom w:val="single" w:sz="4" w:space="0" w:color="auto"/>
              <w:right w:val="single" w:sz="4" w:space="0" w:color="auto"/>
            </w:tcBorders>
            <w:hideMark/>
          </w:tcPr>
          <w:p w14:paraId="12585020" w14:textId="77777777" w:rsidR="00643A27" w:rsidRPr="00950125" w:rsidRDefault="00643A27" w:rsidP="00D46E36">
            <w:pPr>
              <w:spacing w:line="276" w:lineRule="auto"/>
              <w:jc w:val="center"/>
              <w:rPr>
                <w:rFonts w:eastAsia="Calibri"/>
              </w:rPr>
            </w:pPr>
            <w:r w:rsidRPr="00950125">
              <w:rPr>
                <w:rFonts w:eastAsia="Calibri"/>
              </w:rPr>
              <w:t>Russia</w:t>
            </w:r>
          </w:p>
        </w:tc>
        <w:tc>
          <w:tcPr>
            <w:tcW w:w="1350" w:type="dxa"/>
            <w:tcBorders>
              <w:top w:val="single" w:sz="4" w:space="0" w:color="auto"/>
              <w:left w:val="single" w:sz="4" w:space="0" w:color="auto"/>
              <w:bottom w:val="single" w:sz="4" w:space="0" w:color="auto"/>
              <w:right w:val="single" w:sz="4" w:space="0" w:color="auto"/>
            </w:tcBorders>
            <w:hideMark/>
          </w:tcPr>
          <w:p w14:paraId="6106A654" w14:textId="77777777" w:rsidR="00643A27" w:rsidRPr="00950125" w:rsidRDefault="00643A27" w:rsidP="00D46E36">
            <w:pPr>
              <w:spacing w:line="276" w:lineRule="auto"/>
              <w:jc w:val="center"/>
              <w:rPr>
                <w:rFonts w:eastAsia="Calibri"/>
              </w:rPr>
            </w:pPr>
            <w:r w:rsidRPr="00950125">
              <w:rPr>
                <w:rFonts w:eastAsia="Calibri"/>
              </w:rPr>
              <w:t>Environment Quality</w:t>
            </w:r>
          </w:p>
        </w:tc>
        <w:tc>
          <w:tcPr>
            <w:tcW w:w="1710" w:type="dxa"/>
            <w:tcBorders>
              <w:top w:val="single" w:sz="4" w:space="0" w:color="auto"/>
              <w:left w:val="single" w:sz="4" w:space="0" w:color="auto"/>
              <w:bottom w:val="single" w:sz="4" w:space="0" w:color="auto"/>
              <w:right w:val="single" w:sz="4" w:space="0" w:color="auto"/>
            </w:tcBorders>
            <w:hideMark/>
          </w:tcPr>
          <w:p w14:paraId="5727C206" w14:textId="77777777" w:rsidR="00643A27" w:rsidRPr="00950125" w:rsidRDefault="00643A27" w:rsidP="00D46E36">
            <w:pPr>
              <w:spacing w:line="276" w:lineRule="auto"/>
              <w:jc w:val="center"/>
              <w:rPr>
                <w:rFonts w:eastAsia="Calibri"/>
              </w:rPr>
            </w:pPr>
            <w:r w:rsidRPr="00950125">
              <w:rPr>
                <w:rFonts w:eastAsia="Calibri"/>
              </w:rPr>
              <w:t>Natural resource extraction, income growth, renewable energy consumption and human capital upgrade.</w:t>
            </w:r>
          </w:p>
        </w:tc>
        <w:tc>
          <w:tcPr>
            <w:tcW w:w="1620" w:type="dxa"/>
            <w:tcBorders>
              <w:top w:val="single" w:sz="4" w:space="0" w:color="auto"/>
              <w:left w:val="single" w:sz="4" w:space="0" w:color="auto"/>
              <w:bottom w:val="single" w:sz="4" w:space="0" w:color="auto"/>
              <w:right w:val="single" w:sz="4" w:space="0" w:color="auto"/>
            </w:tcBorders>
            <w:hideMark/>
          </w:tcPr>
          <w:p w14:paraId="2B4B5465" w14:textId="77777777" w:rsidR="00643A27" w:rsidRPr="00950125" w:rsidRDefault="00643A27" w:rsidP="00D46E36">
            <w:pPr>
              <w:spacing w:line="276" w:lineRule="auto"/>
              <w:jc w:val="center"/>
              <w:rPr>
                <w:rFonts w:eastAsia="Calibri"/>
              </w:rPr>
            </w:pPr>
            <w:r w:rsidRPr="00950125">
              <w:rPr>
                <w:rFonts w:eastAsia="Calibri"/>
              </w:rPr>
              <w:t>N-ARDL model, artificial intelligence unit root and asymmetric Fourier causality approach.</w:t>
            </w:r>
          </w:p>
        </w:tc>
        <w:tc>
          <w:tcPr>
            <w:tcW w:w="1170" w:type="dxa"/>
            <w:tcBorders>
              <w:top w:val="single" w:sz="4" w:space="0" w:color="auto"/>
              <w:left w:val="single" w:sz="4" w:space="0" w:color="auto"/>
              <w:bottom w:val="single" w:sz="4" w:space="0" w:color="auto"/>
              <w:right w:val="single" w:sz="4" w:space="0" w:color="auto"/>
            </w:tcBorders>
          </w:tcPr>
          <w:p w14:paraId="03F175F8" w14:textId="77777777" w:rsidR="00643A27" w:rsidRPr="00950125" w:rsidRDefault="00643A27" w:rsidP="00D46E36">
            <w:pPr>
              <w:spacing w:line="276" w:lineRule="auto"/>
              <w:jc w:val="center"/>
              <w:rPr>
                <w:rFonts w:eastAsia="Calibri"/>
              </w:rPr>
            </w:pPr>
            <w:r w:rsidRPr="00950125">
              <w:rPr>
                <w:rFonts w:eastAsia="Calibri"/>
              </w:rPr>
              <w:t>Yes</w:t>
            </w:r>
          </w:p>
        </w:tc>
      </w:tr>
      <w:tr w:rsidR="00643A27" w:rsidRPr="00950125" w14:paraId="766F8840" w14:textId="77777777" w:rsidTr="00336DF6">
        <w:tc>
          <w:tcPr>
            <w:tcW w:w="1800" w:type="dxa"/>
            <w:tcBorders>
              <w:top w:val="single" w:sz="4" w:space="0" w:color="auto"/>
              <w:left w:val="single" w:sz="4" w:space="0" w:color="auto"/>
              <w:bottom w:val="single" w:sz="4" w:space="0" w:color="auto"/>
              <w:right w:val="single" w:sz="4" w:space="0" w:color="auto"/>
            </w:tcBorders>
            <w:hideMark/>
          </w:tcPr>
          <w:p w14:paraId="0B068D13" w14:textId="77777777" w:rsidR="00643A27" w:rsidRPr="00950125" w:rsidRDefault="00643A27" w:rsidP="00D46E36">
            <w:pPr>
              <w:spacing w:line="276" w:lineRule="auto"/>
              <w:jc w:val="center"/>
              <w:rPr>
                <w:rFonts w:eastAsia="Calibri"/>
              </w:rPr>
            </w:pPr>
            <w:r w:rsidRPr="00950125">
              <w:rPr>
                <w:rFonts w:eastAsia="Calibri"/>
              </w:rPr>
              <w:t>Ugur Korkut Pata, Mustafa Tevfik Kartal, Mehmet Metin Dam, Funda Kaya</w:t>
            </w:r>
          </w:p>
          <w:p w14:paraId="155ED1AB" w14:textId="77777777" w:rsidR="00643A27" w:rsidRPr="00950125" w:rsidRDefault="00643A27" w:rsidP="00D46E36">
            <w:pPr>
              <w:spacing w:line="276" w:lineRule="auto"/>
              <w:jc w:val="center"/>
              <w:rPr>
                <w:rFonts w:eastAsia="Calibri"/>
              </w:rPr>
            </w:pPr>
            <w:r w:rsidRPr="00950125">
              <w:rPr>
                <w:rFonts w:eastAsia="Calibri"/>
              </w:rPr>
              <w:t>(2023)</w:t>
            </w:r>
          </w:p>
        </w:tc>
        <w:tc>
          <w:tcPr>
            <w:tcW w:w="1620" w:type="dxa"/>
            <w:tcBorders>
              <w:top w:val="single" w:sz="4" w:space="0" w:color="auto"/>
              <w:left w:val="single" w:sz="4" w:space="0" w:color="auto"/>
              <w:bottom w:val="single" w:sz="4" w:space="0" w:color="auto"/>
              <w:right w:val="single" w:sz="4" w:space="0" w:color="auto"/>
            </w:tcBorders>
            <w:hideMark/>
          </w:tcPr>
          <w:p w14:paraId="719E56B3" w14:textId="77777777" w:rsidR="00643A27" w:rsidRPr="00950125" w:rsidRDefault="00643A27" w:rsidP="00D46E36">
            <w:pPr>
              <w:spacing w:line="276" w:lineRule="auto"/>
              <w:jc w:val="center"/>
              <w:rPr>
                <w:rFonts w:eastAsia="Calibri"/>
              </w:rPr>
            </w:pPr>
            <w:r w:rsidRPr="00950125">
              <w:rPr>
                <w:rFonts w:eastAsia="Calibri"/>
              </w:rPr>
              <w:t>Latin American and Caribbean (LAC) Countries</w:t>
            </w:r>
          </w:p>
        </w:tc>
        <w:tc>
          <w:tcPr>
            <w:tcW w:w="1350" w:type="dxa"/>
            <w:tcBorders>
              <w:top w:val="single" w:sz="4" w:space="0" w:color="auto"/>
              <w:left w:val="single" w:sz="4" w:space="0" w:color="auto"/>
              <w:bottom w:val="single" w:sz="4" w:space="0" w:color="auto"/>
              <w:right w:val="single" w:sz="4" w:space="0" w:color="auto"/>
            </w:tcBorders>
            <w:hideMark/>
          </w:tcPr>
          <w:p w14:paraId="6270F91A" w14:textId="77777777" w:rsidR="00643A27" w:rsidRPr="00950125" w:rsidRDefault="00643A27" w:rsidP="00D46E36">
            <w:pPr>
              <w:spacing w:line="276" w:lineRule="auto"/>
              <w:jc w:val="center"/>
              <w:rPr>
                <w:rFonts w:eastAsia="Calibri"/>
              </w:rPr>
            </w:pPr>
            <w:r w:rsidRPr="00950125">
              <w:rPr>
                <w:rFonts w:eastAsia="Calibri"/>
              </w:rPr>
              <w:t>LCF</w:t>
            </w:r>
          </w:p>
        </w:tc>
        <w:tc>
          <w:tcPr>
            <w:tcW w:w="1710" w:type="dxa"/>
            <w:tcBorders>
              <w:top w:val="single" w:sz="4" w:space="0" w:color="auto"/>
              <w:left w:val="single" w:sz="4" w:space="0" w:color="auto"/>
              <w:bottom w:val="single" w:sz="4" w:space="0" w:color="auto"/>
              <w:right w:val="single" w:sz="4" w:space="0" w:color="auto"/>
            </w:tcBorders>
            <w:hideMark/>
          </w:tcPr>
          <w:p w14:paraId="23113FD3" w14:textId="77777777" w:rsidR="00643A27" w:rsidRPr="00950125" w:rsidRDefault="00643A27" w:rsidP="00D46E36">
            <w:pPr>
              <w:spacing w:line="276" w:lineRule="auto"/>
              <w:jc w:val="center"/>
              <w:rPr>
                <w:rFonts w:eastAsia="Calibri"/>
                <w:color w:val="000000"/>
                <w:shd w:val="clear" w:color="auto" w:fill="FFFFFF"/>
              </w:rPr>
            </w:pPr>
            <w:r w:rsidRPr="00950125">
              <w:rPr>
                <w:rFonts w:eastAsia="Calibri"/>
                <w:color w:val="000000"/>
                <w:shd w:val="clear" w:color="auto" w:fill="FFFFFF"/>
              </w:rPr>
              <w:t>Renewable energy, Trade openness, globalization.</w:t>
            </w:r>
          </w:p>
        </w:tc>
        <w:tc>
          <w:tcPr>
            <w:tcW w:w="1620" w:type="dxa"/>
            <w:tcBorders>
              <w:top w:val="single" w:sz="4" w:space="0" w:color="auto"/>
              <w:left w:val="single" w:sz="4" w:space="0" w:color="auto"/>
              <w:bottom w:val="single" w:sz="4" w:space="0" w:color="auto"/>
              <w:right w:val="single" w:sz="4" w:space="0" w:color="auto"/>
            </w:tcBorders>
            <w:hideMark/>
          </w:tcPr>
          <w:p w14:paraId="67CA5246" w14:textId="77777777" w:rsidR="00643A27" w:rsidRPr="00950125" w:rsidRDefault="00643A27" w:rsidP="00D46E36">
            <w:pPr>
              <w:spacing w:line="276" w:lineRule="auto"/>
              <w:jc w:val="center"/>
              <w:rPr>
                <w:rFonts w:eastAsia="Calibri"/>
              </w:rPr>
            </w:pPr>
            <w:r w:rsidRPr="00950125">
              <w:rPr>
                <w:rFonts w:eastAsia="Calibri"/>
              </w:rPr>
              <w:t>Pooled mean group autoregressive distributed lag (PMG-ARDL) and performs panel Toda-Yamamoto (PTY) causality test</w:t>
            </w:r>
          </w:p>
        </w:tc>
        <w:tc>
          <w:tcPr>
            <w:tcW w:w="1170" w:type="dxa"/>
            <w:tcBorders>
              <w:top w:val="single" w:sz="4" w:space="0" w:color="auto"/>
              <w:left w:val="single" w:sz="4" w:space="0" w:color="auto"/>
              <w:bottom w:val="single" w:sz="4" w:space="0" w:color="auto"/>
              <w:right w:val="single" w:sz="4" w:space="0" w:color="auto"/>
            </w:tcBorders>
          </w:tcPr>
          <w:p w14:paraId="57C3325A" w14:textId="77777777" w:rsidR="00643A27" w:rsidRPr="00950125" w:rsidRDefault="00643A27" w:rsidP="00D46E36">
            <w:pPr>
              <w:spacing w:line="276" w:lineRule="auto"/>
              <w:jc w:val="center"/>
              <w:rPr>
                <w:rFonts w:eastAsia="Calibri"/>
              </w:rPr>
            </w:pPr>
            <w:r w:rsidRPr="00950125">
              <w:rPr>
                <w:rFonts w:eastAsia="Calibri"/>
              </w:rPr>
              <w:t>Yes</w:t>
            </w:r>
          </w:p>
        </w:tc>
      </w:tr>
      <w:tr w:rsidR="00643A27" w:rsidRPr="00950125" w14:paraId="66F08908" w14:textId="77777777" w:rsidTr="00336DF6">
        <w:tc>
          <w:tcPr>
            <w:tcW w:w="1800" w:type="dxa"/>
            <w:tcBorders>
              <w:top w:val="single" w:sz="4" w:space="0" w:color="auto"/>
              <w:left w:val="single" w:sz="4" w:space="0" w:color="auto"/>
              <w:bottom w:val="single" w:sz="4" w:space="0" w:color="auto"/>
              <w:right w:val="single" w:sz="4" w:space="0" w:color="auto"/>
            </w:tcBorders>
            <w:hideMark/>
          </w:tcPr>
          <w:p w14:paraId="2FCAEC1F" w14:textId="77777777" w:rsidR="00643A27" w:rsidRPr="00950125" w:rsidRDefault="00643A27" w:rsidP="00D46E36">
            <w:pPr>
              <w:pStyle w:val="tw-antialiased"/>
              <w:shd w:val="clear" w:color="auto" w:fill="FFFFFF"/>
              <w:spacing w:before="0" w:beforeAutospacing="0" w:after="0" w:afterAutospacing="0" w:line="276" w:lineRule="auto"/>
              <w:jc w:val="center"/>
              <w:rPr>
                <w:color w:val="4A4A4A"/>
              </w:rPr>
            </w:pPr>
            <w:r w:rsidRPr="00950125">
              <w:rPr>
                <w:color w:val="4A4A4A"/>
              </w:rPr>
              <w:t>İlyas Kays İMAMOĞLU</w:t>
            </w:r>
          </w:p>
          <w:p w14:paraId="16D13842" w14:textId="77777777" w:rsidR="00643A27" w:rsidRPr="00950125" w:rsidRDefault="00643A27" w:rsidP="00D46E36">
            <w:pPr>
              <w:pStyle w:val="tw-antialiased"/>
              <w:shd w:val="clear" w:color="auto" w:fill="FFFFFF"/>
              <w:spacing w:before="0" w:beforeAutospacing="0" w:after="0" w:afterAutospacing="0" w:line="276" w:lineRule="auto"/>
              <w:jc w:val="center"/>
              <w:rPr>
                <w:color w:val="4A4A4A"/>
              </w:rPr>
            </w:pPr>
            <w:r w:rsidRPr="00950125">
              <w:rPr>
                <w:color w:val="4A4A4A"/>
              </w:rPr>
              <w:t>Dilek Özdemir</w:t>
            </w:r>
          </w:p>
          <w:p w14:paraId="7367EB07" w14:textId="77777777" w:rsidR="00643A27" w:rsidRPr="00950125" w:rsidRDefault="00643A27" w:rsidP="00D46E36">
            <w:pPr>
              <w:spacing w:line="276" w:lineRule="auto"/>
              <w:jc w:val="center"/>
              <w:rPr>
                <w:rFonts w:eastAsia="Calibri"/>
              </w:rPr>
            </w:pPr>
            <w:r w:rsidRPr="00950125">
              <w:rPr>
                <w:rFonts w:eastAsia="Calibri"/>
              </w:rPr>
              <w:t>(2023)</w:t>
            </w:r>
          </w:p>
        </w:tc>
        <w:tc>
          <w:tcPr>
            <w:tcW w:w="1620" w:type="dxa"/>
            <w:tcBorders>
              <w:top w:val="single" w:sz="4" w:space="0" w:color="auto"/>
              <w:left w:val="single" w:sz="4" w:space="0" w:color="auto"/>
              <w:bottom w:val="single" w:sz="4" w:space="0" w:color="auto"/>
              <w:right w:val="single" w:sz="4" w:space="0" w:color="auto"/>
            </w:tcBorders>
            <w:hideMark/>
          </w:tcPr>
          <w:p w14:paraId="74B06E71" w14:textId="77777777" w:rsidR="00643A27" w:rsidRPr="00950125" w:rsidRDefault="00643A27" w:rsidP="00D46E36">
            <w:pPr>
              <w:spacing w:line="276" w:lineRule="auto"/>
              <w:jc w:val="center"/>
              <w:rPr>
                <w:rFonts w:eastAsia="Calibri"/>
              </w:rPr>
            </w:pPr>
            <w:r w:rsidRPr="00950125">
              <w:rPr>
                <w:rFonts w:eastAsia="Calibri"/>
                <w:color w:val="000000"/>
                <w:shd w:val="clear" w:color="auto" w:fill="FFFFFF"/>
              </w:rPr>
              <w:t>35 OECD countries</w:t>
            </w:r>
          </w:p>
        </w:tc>
        <w:tc>
          <w:tcPr>
            <w:tcW w:w="1350" w:type="dxa"/>
            <w:tcBorders>
              <w:top w:val="single" w:sz="4" w:space="0" w:color="auto"/>
              <w:left w:val="single" w:sz="4" w:space="0" w:color="auto"/>
              <w:bottom w:val="single" w:sz="4" w:space="0" w:color="auto"/>
              <w:right w:val="single" w:sz="4" w:space="0" w:color="auto"/>
            </w:tcBorders>
            <w:hideMark/>
          </w:tcPr>
          <w:p w14:paraId="2F89CB7B" w14:textId="77777777" w:rsidR="00643A27" w:rsidRPr="00950125" w:rsidRDefault="00643A27" w:rsidP="00D46E36">
            <w:pPr>
              <w:spacing w:line="276" w:lineRule="auto"/>
              <w:jc w:val="center"/>
              <w:rPr>
                <w:rFonts w:eastAsia="Calibri"/>
              </w:rPr>
            </w:pPr>
            <w:r w:rsidRPr="00950125">
              <w:rPr>
                <w:rFonts w:eastAsia="Calibri"/>
              </w:rPr>
              <w:t>Load Capacity Curve and Environmental Quality.</w:t>
            </w:r>
          </w:p>
        </w:tc>
        <w:tc>
          <w:tcPr>
            <w:tcW w:w="1710" w:type="dxa"/>
            <w:tcBorders>
              <w:top w:val="single" w:sz="4" w:space="0" w:color="auto"/>
              <w:left w:val="single" w:sz="4" w:space="0" w:color="auto"/>
              <w:bottom w:val="single" w:sz="4" w:space="0" w:color="auto"/>
              <w:right w:val="single" w:sz="4" w:space="0" w:color="auto"/>
            </w:tcBorders>
            <w:hideMark/>
          </w:tcPr>
          <w:p w14:paraId="544FECD9" w14:textId="77777777" w:rsidR="00643A27" w:rsidRPr="00950125" w:rsidRDefault="00643A27" w:rsidP="00D46E36">
            <w:pPr>
              <w:spacing w:line="276" w:lineRule="auto"/>
              <w:jc w:val="center"/>
              <w:rPr>
                <w:rFonts w:eastAsia="Calibri"/>
              </w:rPr>
            </w:pPr>
            <w:r w:rsidRPr="00950125">
              <w:rPr>
                <w:rFonts w:eastAsia="Calibri"/>
                <w:color w:val="000000"/>
                <w:shd w:val="clear" w:color="auto" w:fill="FFFFFF"/>
              </w:rPr>
              <w:t>Renewable energy consumption, Economic freedom, Economic growth.</w:t>
            </w:r>
          </w:p>
        </w:tc>
        <w:tc>
          <w:tcPr>
            <w:tcW w:w="1620" w:type="dxa"/>
            <w:tcBorders>
              <w:top w:val="single" w:sz="4" w:space="0" w:color="auto"/>
              <w:left w:val="single" w:sz="4" w:space="0" w:color="auto"/>
              <w:bottom w:val="single" w:sz="4" w:space="0" w:color="auto"/>
              <w:right w:val="single" w:sz="4" w:space="0" w:color="auto"/>
            </w:tcBorders>
            <w:hideMark/>
          </w:tcPr>
          <w:p w14:paraId="193E1F65" w14:textId="77777777" w:rsidR="00643A27" w:rsidRPr="00950125" w:rsidRDefault="00643A27" w:rsidP="00D46E36">
            <w:pPr>
              <w:spacing w:line="276" w:lineRule="auto"/>
              <w:jc w:val="center"/>
              <w:rPr>
                <w:rFonts w:eastAsia="Calibri"/>
              </w:rPr>
            </w:pPr>
            <w:r w:rsidRPr="00950125">
              <w:rPr>
                <w:rFonts w:eastAsia="Calibri"/>
              </w:rPr>
              <w:t>Pesaran's CD test, Pesaran and Yamagata's Delta test, Pesaran's CIPS Unit Root test, OLS</w:t>
            </w:r>
          </w:p>
        </w:tc>
        <w:tc>
          <w:tcPr>
            <w:tcW w:w="1170" w:type="dxa"/>
            <w:tcBorders>
              <w:top w:val="single" w:sz="4" w:space="0" w:color="auto"/>
              <w:left w:val="single" w:sz="4" w:space="0" w:color="auto"/>
              <w:bottom w:val="single" w:sz="4" w:space="0" w:color="auto"/>
              <w:right w:val="single" w:sz="4" w:space="0" w:color="auto"/>
            </w:tcBorders>
          </w:tcPr>
          <w:p w14:paraId="7F472201" w14:textId="77777777" w:rsidR="00643A27" w:rsidRPr="00950125" w:rsidRDefault="00643A27" w:rsidP="00D46E36">
            <w:pPr>
              <w:spacing w:line="276" w:lineRule="auto"/>
              <w:jc w:val="center"/>
              <w:rPr>
                <w:rFonts w:eastAsia="Calibri"/>
              </w:rPr>
            </w:pPr>
            <w:r w:rsidRPr="00950125">
              <w:rPr>
                <w:rFonts w:eastAsia="Calibri"/>
              </w:rPr>
              <w:t>Yes</w:t>
            </w:r>
          </w:p>
        </w:tc>
      </w:tr>
      <w:tr w:rsidR="00643A27" w:rsidRPr="00950125" w14:paraId="1A362684" w14:textId="77777777" w:rsidTr="00336DF6">
        <w:tc>
          <w:tcPr>
            <w:tcW w:w="1800" w:type="dxa"/>
            <w:tcBorders>
              <w:top w:val="single" w:sz="4" w:space="0" w:color="auto"/>
              <w:left w:val="single" w:sz="4" w:space="0" w:color="auto"/>
              <w:bottom w:val="single" w:sz="4" w:space="0" w:color="auto"/>
              <w:right w:val="single" w:sz="4" w:space="0" w:color="auto"/>
            </w:tcBorders>
            <w:hideMark/>
          </w:tcPr>
          <w:p w14:paraId="34C5DDBC" w14:textId="77777777" w:rsidR="00643A27" w:rsidRPr="00950125" w:rsidRDefault="00643A27" w:rsidP="00D46E36">
            <w:pPr>
              <w:spacing w:line="276" w:lineRule="auto"/>
              <w:jc w:val="center"/>
              <w:rPr>
                <w:rStyle w:val="17"/>
                <w:rFonts w:ascii="Times New Roman" w:hAnsi="Times New Roman" w:cs="Times New Roman"/>
              </w:rPr>
            </w:pPr>
            <w:r w:rsidRPr="00950125">
              <w:rPr>
                <w:rStyle w:val="15"/>
                <w:rFonts w:ascii="Times New Roman" w:eastAsiaTheme="majorEastAsia" w:hAnsi="Times New Roman" w:cs="Times New Roman"/>
              </w:rPr>
              <w:t>Ahmet</w:t>
            </w:r>
            <w:r w:rsidRPr="00950125">
              <w:rPr>
                <w:rStyle w:val="16"/>
                <w:rFonts w:ascii="Times New Roman" w:eastAsiaTheme="majorEastAsia" w:hAnsi="Times New Roman" w:cs="Times New Roman"/>
              </w:rPr>
              <w:t> </w:t>
            </w:r>
            <w:r w:rsidRPr="00950125">
              <w:rPr>
                <w:rStyle w:val="17"/>
                <w:rFonts w:ascii="Times New Roman" w:hAnsi="Times New Roman" w:cs="Times New Roman"/>
              </w:rPr>
              <w:t>Dogan</w:t>
            </w:r>
            <w:r w:rsidRPr="00950125">
              <w:rPr>
                <w:rFonts w:eastAsia="Calibri"/>
                <w:color w:val="1F1F1F"/>
              </w:rPr>
              <w:t>, </w:t>
            </w:r>
            <w:r w:rsidRPr="00950125">
              <w:rPr>
                <w:rStyle w:val="15"/>
                <w:rFonts w:ascii="Times New Roman" w:eastAsiaTheme="majorEastAsia" w:hAnsi="Times New Roman" w:cs="Times New Roman"/>
              </w:rPr>
              <w:t>Ugur Korkut</w:t>
            </w:r>
            <w:r w:rsidRPr="00950125">
              <w:rPr>
                <w:rStyle w:val="16"/>
                <w:rFonts w:ascii="Times New Roman" w:eastAsiaTheme="majorEastAsia" w:hAnsi="Times New Roman" w:cs="Times New Roman"/>
              </w:rPr>
              <w:t> </w:t>
            </w:r>
            <w:r w:rsidRPr="00950125">
              <w:rPr>
                <w:rStyle w:val="17"/>
                <w:rFonts w:ascii="Times New Roman" w:hAnsi="Times New Roman" w:cs="Times New Roman"/>
              </w:rPr>
              <w:t>Pata</w:t>
            </w:r>
          </w:p>
          <w:p w14:paraId="25D8495E" w14:textId="77777777" w:rsidR="00643A27" w:rsidRPr="00950125" w:rsidRDefault="00643A27" w:rsidP="00D46E36">
            <w:pPr>
              <w:spacing w:line="276" w:lineRule="auto"/>
              <w:jc w:val="center"/>
              <w:rPr>
                <w:rStyle w:val="15"/>
                <w:rFonts w:ascii="Times New Roman" w:eastAsiaTheme="majorEastAsia" w:hAnsi="Times New Roman" w:cs="Times New Roman"/>
              </w:rPr>
            </w:pPr>
            <w:r w:rsidRPr="00950125">
              <w:rPr>
                <w:rStyle w:val="17"/>
                <w:rFonts w:ascii="Times New Roman" w:hAnsi="Times New Roman" w:cs="Times New Roman"/>
              </w:rPr>
              <w:t>(2022)</w:t>
            </w:r>
          </w:p>
        </w:tc>
        <w:tc>
          <w:tcPr>
            <w:tcW w:w="1620" w:type="dxa"/>
            <w:tcBorders>
              <w:top w:val="single" w:sz="4" w:space="0" w:color="auto"/>
              <w:left w:val="single" w:sz="4" w:space="0" w:color="auto"/>
              <w:bottom w:val="single" w:sz="4" w:space="0" w:color="auto"/>
              <w:right w:val="single" w:sz="4" w:space="0" w:color="auto"/>
            </w:tcBorders>
            <w:hideMark/>
          </w:tcPr>
          <w:p w14:paraId="75836D58" w14:textId="77777777" w:rsidR="00643A27" w:rsidRPr="00950125" w:rsidRDefault="00643A27" w:rsidP="00D46E36">
            <w:pPr>
              <w:spacing w:line="276" w:lineRule="auto"/>
              <w:jc w:val="center"/>
              <w:rPr>
                <w:rFonts w:eastAsia="Calibri"/>
                <w:color w:val="000000"/>
                <w:shd w:val="clear" w:color="auto" w:fill="FFFFFF"/>
              </w:rPr>
            </w:pPr>
            <w:r w:rsidRPr="00950125">
              <w:rPr>
                <w:rFonts w:eastAsia="Calibri"/>
                <w:color w:val="000000"/>
                <w:shd w:val="clear" w:color="auto" w:fill="FFFFFF"/>
              </w:rPr>
              <w:t>G-7 economies</w:t>
            </w:r>
          </w:p>
        </w:tc>
        <w:tc>
          <w:tcPr>
            <w:tcW w:w="1350" w:type="dxa"/>
            <w:tcBorders>
              <w:top w:val="single" w:sz="4" w:space="0" w:color="auto"/>
              <w:left w:val="single" w:sz="4" w:space="0" w:color="auto"/>
              <w:bottom w:val="single" w:sz="4" w:space="0" w:color="auto"/>
              <w:right w:val="single" w:sz="4" w:space="0" w:color="auto"/>
            </w:tcBorders>
            <w:hideMark/>
          </w:tcPr>
          <w:p w14:paraId="4E06ACC6" w14:textId="77777777" w:rsidR="00643A27" w:rsidRPr="00950125" w:rsidRDefault="00643A27" w:rsidP="00D46E36">
            <w:pPr>
              <w:spacing w:line="276" w:lineRule="auto"/>
              <w:jc w:val="center"/>
              <w:rPr>
                <w:rFonts w:eastAsia="Calibri"/>
                <w:color w:val="000000"/>
                <w:shd w:val="clear" w:color="auto" w:fill="FFFFFF"/>
              </w:rPr>
            </w:pPr>
            <w:r w:rsidRPr="00950125">
              <w:rPr>
                <w:rFonts w:eastAsia="Calibri"/>
                <w:color w:val="000000"/>
                <w:shd w:val="clear" w:color="auto" w:fill="FFFFFF"/>
              </w:rPr>
              <w:t>Environmental quality</w:t>
            </w:r>
          </w:p>
        </w:tc>
        <w:tc>
          <w:tcPr>
            <w:tcW w:w="1710" w:type="dxa"/>
            <w:tcBorders>
              <w:top w:val="single" w:sz="4" w:space="0" w:color="auto"/>
              <w:left w:val="single" w:sz="4" w:space="0" w:color="auto"/>
              <w:bottom w:val="single" w:sz="4" w:space="0" w:color="auto"/>
              <w:right w:val="single" w:sz="4" w:space="0" w:color="auto"/>
            </w:tcBorders>
            <w:hideMark/>
          </w:tcPr>
          <w:p w14:paraId="711EFFAB" w14:textId="77777777" w:rsidR="00643A27" w:rsidRPr="00950125" w:rsidRDefault="00643A27" w:rsidP="00D46E36">
            <w:pPr>
              <w:spacing w:line="276" w:lineRule="auto"/>
              <w:jc w:val="center"/>
              <w:rPr>
                <w:rFonts w:eastAsia="Calibri"/>
                <w:color w:val="000000"/>
                <w:shd w:val="clear" w:color="auto" w:fill="FFFFFF"/>
              </w:rPr>
            </w:pPr>
            <w:r w:rsidRPr="00950125">
              <w:rPr>
                <w:rFonts w:eastAsia="Calibri"/>
                <w:color w:val="000000"/>
                <w:shd w:val="clear" w:color="auto" w:fill="FFFFFF"/>
              </w:rPr>
              <w:t>ICT, R&amp;D spending and renewable energy consumption, Income.</w:t>
            </w:r>
          </w:p>
        </w:tc>
        <w:tc>
          <w:tcPr>
            <w:tcW w:w="1620" w:type="dxa"/>
            <w:tcBorders>
              <w:top w:val="single" w:sz="4" w:space="0" w:color="auto"/>
              <w:left w:val="single" w:sz="4" w:space="0" w:color="auto"/>
              <w:bottom w:val="single" w:sz="4" w:space="0" w:color="auto"/>
              <w:right w:val="single" w:sz="4" w:space="0" w:color="auto"/>
            </w:tcBorders>
            <w:hideMark/>
          </w:tcPr>
          <w:p w14:paraId="4D4337DC" w14:textId="77777777" w:rsidR="00643A27" w:rsidRPr="00950125" w:rsidRDefault="00643A27" w:rsidP="00D46E36">
            <w:pPr>
              <w:spacing w:line="276" w:lineRule="auto"/>
              <w:jc w:val="center"/>
              <w:rPr>
                <w:rFonts w:eastAsia="Calibri"/>
                <w:color w:val="000000"/>
                <w:shd w:val="clear" w:color="auto" w:fill="FFFFFF"/>
              </w:rPr>
            </w:pPr>
            <w:r w:rsidRPr="00950125">
              <w:rPr>
                <w:rFonts w:eastAsia="Calibri"/>
                <w:color w:val="000000"/>
                <w:shd w:val="clear" w:color="auto" w:fill="FFFFFF"/>
              </w:rPr>
              <w:t>CS-ARDL and AMG methods</w:t>
            </w:r>
          </w:p>
        </w:tc>
        <w:tc>
          <w:tcPr>
            <w:tcW w:w="1170" w:type="dxa"/>
            <w:tcBorders>
              <w:top w:val="single" w:sz="4" w:space="0" w:color="auto"/>
              <w:left w:val="single" w:sz="4" w:space="0" w:color="auto"/>
              <w:bottom w:val="single" w:sz="4" w:space="0" w:color="auto"/>
              <w:right w:val="single" w:sz="4" w:space="0" w:color="auto"/>
            </w:tcBorders>
          </w:tcPr>
          <w:p w14:paraId="26C2CCC3" w14:textId="77777777" w:rsidR="00643A27" w:rsidRPr="00950125" w:rsidRDefault="00643A27" w:rsidP="00D46E36">
            <w:pPr>
              <w:spacing w:line="276" w:lineRule="auto"/>
              <w:jc w:val="center"/>
              <w:rPr>
                <w:rFonts w:eastAsia="Calibri"/>
                <w:color w:val="000000"/>
                <w:shd w:val="clear" w:color="auto" w:fill="FFFFFF"/>
              </w:rPr>
            </w:pPr>
            <w:r w:rsidRPr="00950125">
              <w:rPr>
                <w:rFonts w:eastAsia="Calibri"/>
                <w:color w:val="000000"/>
                <w:shd w:val="clear" w:color="auto" w:fill="FFFFFF"/>
              </w:rPr>
              <w:t>Yes</w:t>
            </w:r>
          </w:p>
        </w:tc>
      </w:tr>
      <w:tr w:rsidR="00643A27" w:rsidRPr="00950125" w14:paraId="6B85CEB7" w14:textId="77777777" w:rsidTr="00336DF6">
        <w:tc>
          <w:tcPr>
            <w:tcW w:w="1800" w:type="dxa"/>
            <w:tcBorders>
              <w:top w:val="single" w:sz="4" w:space="0" w:color="auto"/>
              <w:left w:val="single" w:sz="4" w:space="0" w:color="auto"/>
              <w:bottom w:val="single" w:sz="4" w:space="0" w:color="auto"/>
              <w:right w:val="single" w:sz="4" w:space="0" w:color="auto"/>
            </w:tcBorders>
            <w:hideMark/>
          </w:tcPr>
          <w:p w14:paraId="2A7048FB" w14:textId="77777777" w:rsidR="00643A27" w:rsidRPr="00950125" w:rsidRDefault="00643A27" w:rsidP="00D46E36">
            <w:pPr>
              <w:spacing w:line="276" w:lineRule="auto"/>
              <w:jc w:val="center"/>
              <w:rPr>
                <w:rFonts w:eastAsia="Calibri"/>
              </w:rPr>
            </w:pPr>
            <w:r w:rsidRPr="00950125">
              <w:rPr>
                <w:rFonts w:eastAsia="Calibri"/>
              </w:rPr>
              <w:t>Qiang Wang,</w:t>
            </w:r>
          </w:p>
          <w:p w14:paraId="30AC9369" w14:textId="77777777" w:rsidR="00643A27" w:rsidRPr="00950125" w:rsidRDefault="00643A27" w:rsidP="00D46E36">
            <w:pPr>
              <w:spacing w:line="276" w:lineRule="auto"/>
              <w:jc w:val="center"/>
              <w:rPr>
                <w:rFonts w:eastAsia="Calibri"/>
              </w:rPr>
            </w:pPr>
            <w:r w:rsidRPr="00950125">
              <w:rPr>
                <w:rFonts w:eastAsia="Calibri"/>
              </w:rPr>
              <w:t>Jiayi Sun,</w:t>
            </w:r>
          </w:p>
          <w:p w14:paraId="679FEEE5" w14:textId="77777777" w:rsidR="00643A27" w:rsidRPr="00950125" w:rsidRDefault="00643A27" w:rsidP="00D46E36">
            <w:pPr>
              <w:spacing w:line="276" w:lineRule="auto"/>
              <w:jc w:val="center"/>
              <w:rPr>
                <w:rFonts w:eastAsia="Calibri"/>
              </w:rPr>
            </w:pPr>
            <w:r w:rsidRPr="00950125">
              <w:rPr>
                <w:rFonts w:eastAsia="Calibri"/>
              </w:rPr>
              <w:t>Rongrong Li,</w:t>
            </w:r>
          </w:p>
          <w:p w14:paraId="7D9CB987" w14:textId="77777777" w:rsidR="00643A27" w:rsidRPr="00950125" w:rsidRDefault="00643A27" w:rsidP="00D46E36">
            <w:pPr>
              <w:spacing w:line="276" w:lineRule="auto"/>
              <w:jc w:val="center"/>
              <w:rPr>
                <w:rFonts w:eastAsia="Calibri"/>
              </w:rPr>
            </w:pPr>
            <w:r w:rsidRPr="00950125">
              <w:rPr>
                <w:rFonts w:eastAsia="Calibri"/>
              </w:rPr>
              <w:t>Ugur Korkut Pata</w:t>
            </w:r>
          </w:p>
          <w:p w14:paraId="0086774B" w14:textId="77777777" w:rsidR="00643A27" w:rsidRPr="00950125" w:rsidRDefault="00643A27" w:rsidP="00D46E36">
            <w:pPr>
              <w:spacing w:line="276" w:lineRule="auto"/>
              <w:jc w:val="center"/>
              <w:rPr>
                <w:rFonts w:eastAsia="Calibri"/>
              </w:rPr>
            </w:pPr>
            <w:r w:rsidRPr="00950125">
              <w:rPr>
                <w:rFonts w:eastAsia="Calibri"/>
              </w:rPr>
              <w:t>(2024)</w:t>
            </w:r>
          </w:p>
        </w:tc>
        <w:tc>
          <w:tcPr>
            <w:tcW w:w="1620" w:type="dxa"/>
            <w:tcBorders>
              <w:top w:val="single" w:sz="4" w:space="0" w:color="auto"/>
              <w:left w:val="single" w:sz="4" w:space="0" w:color="auto"/>
              <w:bottom w:val="single" w:sz="4" w:space="0" w:color="auto"/>
              <w:right w:val="single" w:sz="4" w:space="0" w:color="auto"/>
            </w:tcBorders>
            <w:hideMark/>
          </w:tcPr>
          <w:p w14:paraId="419B267A" w14:textId="77777777" w:rsidR="00643A27" w:rsidRPr="00950125" w:rsidRDefault="00643A27" w:rsidP="00D46E36">
            <w:pPr>
              <w:spacing w:line="276" w:lineRule="auto"/>
              <w:jc w:val="center"/>
              <w:rPr>
                <w:rFonts w:eastAsia="Calibri"/>
                <w:color w:val="000000"/>
                <w:shd w:val="clear" w:color="auto" w:fill="FFFFFF"/>
              </w:rPr>
            </w:pPr>
            <w:r w:rsidRPr="00950125">
              <w:rPr>
                <w:rFonts w:eastAsia="Calibri"/>
                <w:color w:val="000000"/>
                <w:shd w:val="clear" w:color="auto" w:fill="FFFFFF"/>
              </w:rPr>
              <w:t>96 developing countries</w:t>
            </w:r>
          </w:p>
        </w:tc>
        <w:tc>
          <w:tcPr>
            <w:tcW w:w="1350" w:type="dxa"/>
            <w:tcBorders>
              <w:top w:val="single" w:sz="4" w:space="0" w:color="auto"/>
              <w:left w:val="single" w:sz="4" w:space="0" w:color="auto"/>
              <w:bottom w:val="single" w:sz="4" w:space="0" w:color="auto"/>
              <w:right w:val="single" w:sz="4" w:space="0" w:color="auto"/>
            </w:tcBorders>
            <w:hideMark/>
          </w:tcPr>
          <w:p w14:paraId="781FF2EE" w14:textId="77777777" w:rsidR="00643A27" w:rsidRPr="00950125" w:rsidRDefault="00643A27" w:rsidP="00D46E36">
            <w:pPr>
              <w:spacing w:line="276" w:lineRule="auto"/>
              <w:jc w:val="center"/>
              <w:rPr>
                <w:rFonts w:eastAsia="Calibri"/>
                <w:color w:val="000000"/>
                <w:shd w:val="clear" w:color="auto" w:fill="FFFFFF"/>
              </w:rPr>
            </w:pPr>
            <w:r w:rsidRPr="00950125">
              <w:rPr>
                <w:rFonts w:eastAsia="Calibri"/>
                <w:color w:val="000000"/>
                <w:shd w:val="clear" w:color="auto" w:fill="FFFFFF"/>
              </w:rPr>
              <w:t>load capacity factor (LCF)</w:t>
            </w:r>
          </w:p>
        </w:tc>
        <w:tc>
          <w:tcPr>
            <w:tcW w:w="1710" w:type="dxa"/>
            <w:tcBorders>
              <w:top w:val="single" w:sz="4" w:space="0" w:color="auto"/>
              <w:left w:val="single" w:sz="4" w:space="0" w:color="auto"/>
              <w:bottom w:val="single" w:sz="4" w:space="0" w:color="auto"/>
              <w:right w:val="single" w:sz="4" w:space="0" w:color="auto"/>
            </w:tcBorders>
            <w:hideMark/>
          </w:tcPr>
          <w:p w14:paraId="7CB78D3E" w14:textId="77777777" w:rsidR="00643A27" w:rsidRPr="00950125" w:rsidRDefault="00643A27" w:rsidP="00D46E36">
            <w:pPr>
              <w:spacing w:line="276" w:lineRule="auto"/>
              <w:jc w:val="center"/>
              <w:rPr>
                <w:rFonts w:eastAsia="Calibri"/>
                <w:color w:val="000000"/>
                <w:shd w:val="clear" w:color="auto" w:fill="FFFFFF"/>
              </w:rPr>
            </w:pPr>
            <w:r w:rsidRPr="00950125">
              <w:rPr>
                <w:rFonts w:eastAsia="Calibri"/>
                <w:color w:val="000000"/>
                <w:shd w:val="clear" w:color="auto" w:fill="FFFFFF"/>
              </w:rPr>
              <w:t>Trade openness, natural resource rents, corruption control.</w:t>
            </w:r>
          </w:p>
        </w:tc>
        <w:tc>
          <w:tcPr>
            <w:tcW w:w="1620" w:type="dxa"/>
            <w:tcBorders>
              <w:top w:val="single" w:sz="4" w:space="0" w:color="auto"/>
              <w:left w:val="single" w:sz="4" w:space="0" w:color="auto"/>
              <w:bottom w:val="single" w:sz="4" w:space="0" w:color="auto"/>
              <w:right w:val="single" w:sz="4" w:space="0" w:color="auto"/>
            </w:tcBorders>
            <w:hideMark/>
          </w:tcPr>
          <w:p w14:paraId="28B27C3C" w14:textId="77777777" w:rsidR="00643A27" w:rsidRPr="00950125" w:rsidRDefault="00643A27" w:rsidP="00D46E36">
            <w:pPr>
              <w:spacing w:line="276" w:lineRule="auto"/>
              <w:jc w:val="center"/>
              <w:rPr>
                <w:rFonts w:eastAsia="Calibri"/>
                <w:color w:val="000000"/>
                <w:shd w:val="clear" w:color="auto" w:fill="FFFFFF"/>
              </w:rPr>
            </w:pPr>
            <w:r w:rsidRPr="00950125">
              <w:rPr>
                <w:rFonts w:eastAsia="Calibri"/>
                <w:color w:val="000000"/>
                <w:shd w:val="clear" w:color="auto" w:fill="FFFFFF"/>
              </w:rPr>
              <w:t>Panel data threshold regression model</w:t>
            </w:r>
          </w:p>
        </w:tc>
        <w:tc>
          <w:tcPr>
            <w:tcW w:w="1170" w:type="dxa"/>
            <w:tcBorders>
              <w:top w:val="single" w:sz="4" w:space="0" w:color="auto"/>
              <w:left w:val="single" w:sz="4" w:space="0" w:color="auto"/>
              <w:bottom w:val="single" w:sz="4" w:space="0" w:color="auto"/>
              <w:right w:val="single" w:sz="4" w:space="0" w:color="auto"/>
            </w:tcBorders>
          </w:tcPr>
          <w:p w14:paraId="6254D53F" w14:textId="77777777" w:rsidR="00643A27" w:rsidRPr="00950125" w:rsidRDefault="00BA157C" w:rsidP="00D46E36">
            <w:pPr>
              <w:spacing w:line="276" w:lineRule="auto"/>
              <w:jc w:val="center"/>
              <w:rPr>
                <w:rFonts w:eastAsia="Calibri"/>
                <w:color w:val="000000"/>
                <w:shd w:val="clear" w:color="auto" w:fill="FFFFFF"/>
              </w:rPr>
            </w:pPr>
            <w:r w:rsidRPr="00950125">
              <w:rPr>
                <w:rFonts w:eastAsia="Calibri"/>
                <w:color w:val="000000"/>
                <w:shd w:val="clear" w:color="auto" w:fill="FFFFFF"/>
              </w:rPr>
              <w:t>Yes</w:t>
            </w:r>
          </w:p>
        </w:tc>
      </w:tr>
      <w:tr w:rsidR="00643A27" w:rsidRPr="00950125" w14:paraId="5E75EDD7" w14:textId="77777777" w:rsidTr="00336DF6">
        <w:tc>
          <w:tcPr>
            <w:tcW w:w="1800" w:type="dxa"/>
            <w:tcBorders>
              <w:top w:val="single" w:sz="4" w:space="0" w:color="auto"/>
              <w:left w:val="single" w:sz="4" w:space="0" w:color="auto"/>
              <w:bottom w:val="single" w:sz="4" w:space="0" w:color="auto"/>
              <w:right w:val="single" w:sz="4" w:space="0" w:color="auto"/>
            </w:tcBorders>
            <w:hideMark/>
          </w:tcPr>
          <w:p w14:paraId="075833DA" w14:textId="77777777" w:rsidR="00643A27" w:rsidRPr="00950125" w:rsidRDefault="00643A27" w:rsidP="00D46E36">
            <w:pPr>
              <w:spacing w:line="276" w:lineRule="auto"/>
              <w:jc w:val="center"/>
              <w:rPr>
                <w:rFonts w:eastAsia="Calibri"/>
              </w:rPr>
            </w:pPr>
            <w:r w:rsidRPr="00950125">
              <w:rPr>
                <w:rFonts w:eastAsia="Calibri"/>
              </w:rPr>
              <w:t>Asif Raihan, ,Mamunur Rashid,Liton Chandra Voumik, Salma Akter, Miguel Angel Esquivias</w:t>
            </w:r>
          </w:p>
          <w:p w14:paraId="5DC9DEED" w14:textId="77777777" w:rsidR="00643A27" w:rsidRPr="00950125" w:rsidRDefault="00643A27" w:rsidP="00D46E36">
            <w:pPr>
              <w:spacing w:line="276" w:lineRule="auto"/>
              <w:jc w:val="center"/>
              <w:rPr>
                <w:rFonts w:eastAsia="Calibri"/>
              </w:rPr>
            </w:pPr>
            <w:r w:rsidRPr="00950125">
              <w:rPr>
                <w:rFonts w:eastAsia="Calibri"/>
              </w:rPr>
              <w:t>(2023)</w:t>
            </w:r>
          </w:p>
        </w:tc>
        <w:tc>
          <w:tcPr>
            <w:tcW w:w="1620" w:type="dxa"/>
            <w:tcBorders>
              <w:top w:val="single" w:sz="4" w:space="0" w:color="auto"/>
              <w:left w:val="single" w:sz="4" w:space="0" w:color="auto"/>
              <w:bottom w:val="single" w:sz="4" w:space="0" w:color="auto"/>
              <w:right w:val="single" w:sz="4" w:space="0" w:color="auto"/>
            </w:tcBorders>
            <w:hideMark/>
          </w:tcPr>
          <w:p w14:paraId="247A14CC" w14:textId="77777777" w:rsidR="00643A27" w:rsidRPr="00950125" w:rsidRDefault="00643A27" w:rsidP="00D46E36">
            <w:pPr>
              <w:spacing w:line="276" w:lineRule="auto"/>
              <w:jc w:val="center"/>
              <w:rPr>
                <w:rFonts w:eastAsia="Calibri"/>
              </w:rPr>
            </w:pPr>
            <w:r w:rsidRPr="00950125">
              <w:rPr>
                <w:rFonts w:eastAsia="Calibri"/>
              </w:rPr>
              <w:t>Mexico</w:t>
            </w:r>
          </w:p>
        </w:tc>
        <w:tc>
          <w:tcPr>
            <w:tcW w:w="1350" w:type="dxa"/>
            <w:tcBorders>
              <w:top w:val="single" w:sz="4" w:space="0" w:color="auto"/>
              <w:left w:val="single" w:sz="4" w:space="0" w:color="auto"/>
              <w:bottom w:val="single" w:sz="4" w:space="0" w:color="auto"/>
              <w:right w:val="single" w:sz="4" w:space="0" w:color="auto"/>
            </w:tcBorders>
            <w:hideMark/>
          </w:tcPr>
          <w:p w14:paraId="7A7CA2C2" w14:textId="77777777" w:rsidR="00643A27" w:rsidRPr="00950125" w:rsidRDefault="00643A27" w:rsidP="00D46E36">
            <w:pPr>
              <w:spacing w:line="276" w:lineRule="auto"/>
              <w:jc w:val="center"/>
              <w:rPr>
                <w:rFonts w:eastAsia="Calibri"/>
              </w:rPr>
            </w:pPr>
            <w:r w:rsidRPr="00950125">
              <w:rPr>
                <w:rFonts w:eastAsia="Calibri"/>
              </w:rPr>
              <w:t>Load capacity factor (bio-capacity and ecological effect)</w:t>
            </w:r>
          </w:p>
        </w:tc>
        <w:tc>
          <w:tcPr>
            <w:tcW w:w="1710" w:type="dxa"/>
            <w:tcBorders>
              <w:top w:val="single" w:sz="4" w:space="0" w:color="auto"/>
              <w:left w:val="single" w:sz="4" w:space="0" w:color="auto"/>
              <w:bottom w:val="single" w:sz="4" w:space="0" w:color="auto"/>
              <w:right w:val="single" w:sz="4" w:space="0" w:color="auto"/>
            </w:tcBorders>
          </w:tcPr>
          <w:p w14:paraId="1A7CE5B7" w14:textId="77777777" w:rsidR="00643A27" w:rsidRPr="00950125" w:rsidRDefault="00643A27" w:rsidP="00D46E36">
            <w:pPr>
              <w:spacing w:line="276" w:lineRule="auto"/>
              <w:jc w:val="center"/>
              <w:rPr>
                <w:rFonts w:eastAsia="Calibri"/>
              </w:rPr>
            </w:pPr>
            <w:r w:rsidRPr="00950125">
              <w:rPr>
                <w:rFonts w:eastAsia="Calibri"/>
              </w:rPr>
              <w:t>Economic growth, fossil fuel usage, urbanization</w:t>
            </w:r>
          </w:p>
          <w:p w14:paraId="44854D0F" w14:textId="77777777" w:rsidR="00643A27" w:rsidRPr="00950125" w:rsidRDefault="00643A27" w:rsidP="00D46E36">
            <w:pPr>
              <w:spacing w:line="276" w:lineRule="auto"/>
              <w:jc w:val="center"/>
              <w:rPr>
                <w:rFonts w:eastAsia="Calibri"/>
              </w:rPr>
            </w:pPr>
          </w:p>
        </w:tc>
        <w:tc>
          <w:tcPr>
            <w:tcW w:w="1620" w:type="dxa"/>
            <w:tcBorders>
              <w:top w:val="single" w:sz="4" w:space="0" w:color="auto"/>
              <w:left w:val="single" w:sz="4" w:space="0" w:color="auto"/>
              <w:bottom w:val="single" w:sz="4" w:space="0" w:color="auto"/>
              <w:right w:val="single" w:sz="4" w:space="0" w:color="auto"/>
            </w:tcBorders>
            <w:hideMark/>
          </w:tcPr>
          <w:p w14:paraId="48EA1F67" w14:textId="77777777" w:rsidR="00643A27" w:rsidRPr="00950125" w:rsidRDefault="00643A27" w:rsidP="00D46E36">
            <w:pPr>
              <w:spacing w:line="276" w:lineRule="auto"/>
              <w:jc w:val="center"/>
              <w:rPr>
                <w:rFonts w:eastAsia="Calibri"/>
              </w:rPr>
            </w:pPr>
            <w:r w:rsidRPr="00950125">
              <w:rPr>
                <w:rFonts w:eastAsia="Calibri"/>
              </w:rPr>
              <w:t>ARDL method, dynamic ordinary least squares, fully modified least squares, and canonical cointegrating regression</w:t>
            </w:r>
          </w:p>
        </w:tc>
        <w:tc>
          <w:tcPr>
            <w:tcW w:w="1170" w:type="dxa"/>
            <w:tcBorders>
              <w:top w:val="single" w:sz="4" w:space="0" w:color="auto"/>
              <w:left w:val="single" w:sz="4" w:space="0" w:color="auto"/>
              <w:bottom w:val="single" w:sz="4" w:space="0" w:color="auto"/>
              <w:right w:val="single" w:sz="4" w:space="0" w:color="auto"/>
            </w:tcBorders>
          </w:tcPr>
          <w:p w14:paraId="58C37BEC" w14:textId="77777777" w:rsidR="00643A27" w:rsidRPr="00950125" w:rsidRDefault="00BA157C" w:rsidP="00D46E36">
            <w:pPr>
              <w:spacing w:line="276" w:lineRule="auto"/>
              <w:jc w:val="center"/>
              <w:rPr>
                <w:rFonts w:eastAsia="Calibri"/>
              </w:rPr>
            </w:pPr>
            <w:r w:rsidRPr="00950125">
              <w:rPr>
                <w:rFonts w:eastAsia="Calibri"/>
              </w:rPr>
              <w:t>Yes (Positive)</w:t>
            </w:r>
          </w:p>
        </w:tc>
      </w:tr>
      <w:tr w:rsidR="00643A27" w:rsidRPr="00950125" w14:paraId="1970077C" w14:textId="77777777" w:rsidTr="00336DF6">
        <w:tc>
          <w:tcPr>
            <w:tcW w:w="1800" w:type="dxa"/>
            <w:tcBorders>
              <w:top w:val="single" w:sz="4" w:space="0" w:color="auto"/>
              <w:left w:val="single" w:sz="4" w:space="0" w:color="auto"/>
              <w:bottom w:val="single" w:sz="4" w:space="0" w:color="auto"/>
              <w:right w:val="single" w:sz="4" w:space="0" w:color="auto"/>
            </w:tcBorders>
            <w:hideMark/>
          </w:tcPr>
          <w:p w14:paraId="6D323A87" w14:textId="77777777" w:rsidR="00643A27" w:rsidRPr="00950125" w:rsidRDefault="00643A27" w:rsidP="00D46E36">
            <w:pPr>
              <w:spacing w:line="276" w:lineRule="auto"/>
              <w:jc w:val="center"/>
              <w:rPr>
                <w:rStyle w:val="16"/>
                <w:rFonts w:ascii="Times New Roman" w:eastAsiaTheme="majorEastAsia" w:hAnsi="Times New Roman" w:cs="Times New Roman"/>
              </w:rPr>
            </w:pPr>
            <w:r w:rsidRPr="00950125">
              <w:rPr>
                <w:rStyle w:val="15"/>
                <w:rFonts w:ascii="Times New Roman" w:eastAsia="Calibri" w:hAnsi="Times New Roman" w:cs="Times New Roman"/>
              </w:rPr>
              <w:t>Ugur Korkut</w:t>
            </w:r>
            <w:r w:rsidRPr="00950125">
              <w:rPr>
                <w:rStyle w:val="16"/>
                <w:rFonts w:ascii="Times New Roman" w:eastAsia="Calibri" w:hAnsi="Times New Roman" w:cs="Times New Roman"/>
              </w:rPr>
              <w:t> </w:t>
            </w:r>
            <w:r w:rsidRPr="00950125">
              <w:rPr>
                <w:rStyle w:val="17"/>
                <w:rFonts w:ascii="Times New Roman" w:eastAsia="Calibri" w:hAnsi="Times New Roman" w:cs="Times New Roman"/>
              </w:rPr>
              <w:t>Pata</w:t>
            </w:r>
            <w:r w:rsidRPr="00950125">
              <w:rPr>
                <w:rFonts w:eastAsia="Calibri"/>
                <w:color w:val="1F1F1F"/>
              </w:rPr>
              <w:t>, </w:t>
            </w:r>
            <w:r w:rsidRPr="00950125">
              <w:rPr>
                <w:rStyle w:val="15"/>
                <w:rFonts w:ascii="Times New Roman" w:eastAsia="Calibri" w:hAnsi="Times New Roman" w:cs="Times New Roman"/>
              </w:rPr>
              <w:t xml:space="preserve">Mustafa </w:t>
            </w:r>
            <w:r w:rsidRPr="00950125">
              <w:rPr>
                <w:rStyle w:val="15"/>
                <w:rFonts w:ascii="Times New Roman" w:eastAsia="Calibri" w:hAnsi="Times New Roman" w:cs="Times New Roman"/>
              </w:rPr>
              <w:lastRenderedPageBreak/>
              <w:t>Tevfik</w:t>
            </w:r>
            <w:r w:rsidRPr="00950125">
              <w:rPr>
                <w:rStyle w:val="16"/>
                <w:rFonts w:ascii="Times New Roman" w:eastAsia="Calibri" w:hAnsi="Times New Roman" w:cs="Times New Roman"/>
              </w:rPr>
              <w:t> </w:t>
            </w:r>
            <w:r w:rsidRPr="00950125">
              <w:rPr>
                <w:rStyle w:val="17"/>
                <w:rFonts w:ascii="Times New Roman" w:eastAsia="Calibri" w:hAnsi="Times New Roman" w:cs="Times New Roman"/>
              </w:rPr>
              <w:t>Kartal</w:t>
            </w:r>
            <w:r w:rsidRPr="00950125">
              <w:rPr>
                <w:rFonts w:eastAsia="Calibri"/>
                <w:color w:val="1F1F1F"/>
              </w:rPr>
              <w:t>, </w:t>
            </w:r>
            <w:r w:rsidRPr="00950125">
              <w:rPr>
                <w:rStyle w:val="15"/>
                <w:rFonts w:ascii="Times New Roman" w:eastAsia="Calibri" w:hAnsi="Times New Roman" w:cs="Times New Roman"/>
              </w:rPr>
              <w:t>Sinan</w:t>
            </w:r>
            <w:r w:rsidRPr="00950125">
              <w:rPr>
                <w:rStyle w:val="16"/>
                <w:rFonts w:ascii="Times New Roman" w:eastAsia="Calibri" w:hAnsi="Times New Roman" w:cs="Times New Roman"/>
              </w:rPr>
              <w:t> </w:t>
            </w:r>
            <w:r w:rsidRPr="00950125">
              <w:rPr>
                <w:rStyle w:val="17"/>
                <w:rFonts w:ascii="Times New Roman" w:eastAsia="Calibri" w:hAnsi="Times New Roman" w:cs="Times New Roman"/>
              </w:rPr>
              <w:t>Erdogan</w:t>
            </w:r>
            <w:r w:rsidRPr="00950125">
              <w:rPr>
                <w:rFonts w:eastAsia="Calibri"/>
                <w:color w:val="1F1F1F"/>
              </w:rPr>
              <w:t>, </w:t>
            </w:r>
            <w:r w:rsidRPr="00950125">
              <w:rPr>
                <w:rStyle w:val="15"/>
                <w:rFonts w:ascii="Times New Roman" w:eastAsia="Calibri" w:hAnsi="Times New Roman" w:cs="Times New Roman"/>
              </w:rPr>
              <w:t>Samue, Asumadu</w:t>
            </w:r>
            <w:r w:rsidRPr="00950125">
              <w:rPr>
                <w:rStyle w:val="16"/>
                <w:rFonts w:ascii="Times New Roman" w:eastAsia="Calibri" w:hAnsi="Times New Roman" w:cs="Times New Roman"/>
              </w:rPr>
              <w:t> </w:t>
            </w:r>
            <w:r w:rsidRPr="00950125">
              <w:rPr>
                <w:rStyle w:val="17"/>
                <w:rFonts w:ascii="Times New Roman" w:eastAsia="Calibri" w:hAnsi="Times New Roman" w:cs="Times New Roman"/>
              </w:rPr>
              <w:t>Sarkodie</w:t>
            </w:r>
          </w:p>
          <w:p w14:paraId="3AFC3CB0" w14:textId="77777777" w:rsidR="00643A27" w:rsidRPr="00950125" w:rsidRDefault="00643A27" w:rsidP="00D46E36">
            <w:pPr>
              <w:spacing w:line="276" w:lineRule="auto"/>
              <w:jc w:val="center"/>
              <w:rPr>
                <w:rFonts w:eastAsia="Calibri"/>
              </w:rPr>
            </w:pPr>
            <w:r w:rsidRPr="00950125">
              <w:rPr>
                <w:rStyle w:val="16"/>
                <w:rFonts w:ascii="Times New Roman" w:eastAsia="Calibri" w:hAnsi="Times New Roman" w:cs="Times New Roman"/>
              </w:rPr>
              <w:t>(2023)</w:t>
            </w:r>
          </w:p>
        </w:tc>
        <w:tc>
          <w:tcPr>
            <w:tcW w:w="1620" w:type="dxa"/>
            <w:tcBorders>
              <w:top w:val="single" w:sz="4" w:space="0" w:color="auto"/>
              <w:left w:val="single" w:sz="4" w:space="0" w:color="auto"/>
              <w:bottom w:val="single" w:sz="4" w:space="0" w:color="auto"/>
              <w:right w:val="single" w:sz="4" w:space="0" w:color="auto"/>
            </w:tcBorders>
            <w:hideMark/>
          </w:tcPr>
          <w:p w14:paraId="79B0F849" w14:textId="77777777" w:rsidR="00643A27" w:rsidRPr="00950125" w:rsidRDefault="00643A27" w:rsidP="00D46E36">
            <w:pPr>
              <w:spacing w:line="276" w:lineRule="auto"/>
              <w:jc w:val="center"/>
              <w:rPr>
                <w:rFonts w:eastAsia="Calibri"/>
              </w:rPr>
            </w:pPr>
            <w:r w:rsidRPr="00950125">
              <w:rPr>
                <w:rFonts w:eastAsia="Calibri"/>
              </w:rPr>
              <w:lastRenderedPageBreak/>
              <w:t>Germany</w:t>
            </w:r>
          </w:p>
        </w:tc>
        <w:tc>
          <w:tcPr>
            <w:tcW w:w="1350" w:type="dxa"/>
            <w:tcBorders>
              <w:top w:val="single" w:sz="4" w:space="0" w:color="auto"/>
              <w:left w:val="single" w:sz="4" w:space="0" w:color="auto"/>
              <w:bottom w:val="single" w:sz="4" w:space="0" w:color="auto"/>
              <w:right w:val="single" w:sz="4" w:space="0" w:color="auto"/>
            </w:tcBorders>
            <w:hideMark/>
          </w:tcPr>
          <w:p w14:paraId="15320C3F" w14:textId="77777777" w:rsidR="00643A27" w:rsidRPr="00950125" w:rsidRDefault="00643A27" w:rsidP="00D46E36">
            <w:pPr>
              <w:spacing w:before="240" w:line="276" w:lineRule="auto"/>
              <w:jc w:val="center"/>
              <w:rPr>
                <w:rFonts w:eastAsia="Calibri"/>
              </w:rPr>
            </w:pPr>
            <w:r w:rsidRPr="00950125">
              <w:rPr>
                <w:rFonts w:eastAsia="Calibri"/>
              </w:rPr>
              <w:t xml:space="preserve">Environment-al quality  </w:t>
            </w:r>
            <w:r w:rsidRPr="00950125">
              <w:rPr>
                <w:rFonts w:eastAsia="Calibri"/>
              </w:rPr>
              <w:lastRenderedPageBreak/>
              <w:t>(carbon emissions, ecological footprint-EF, and load capacity factor).</w:t>
            </w:r>
          </w:p>
        </w:tc>
        <w:tc>
          <w:tcPr>
            <w:tcW w:w="1710" w:type="dxa"/>
            <w:tcBorders>
              <w:top w:val="single" w:sz="4" w:space="0" w:color="auto"/>
              <w:left w:val="single" w:sz="4" w:space="0" w:color="auto"/>
              <w:bottom w:val="single" w:sz="4" w:space="0" w:color="auto"/>
              <w:right w:val="single" w:sz="4" w:space="0" w:color="auto"/>
            </w:tcBorders>
            <w:hideMark/>
          </w:tcPr>
          <w:p w14:paraId="3C0C8CF3" w14:textId="77777777" w:rsidR="00643A27" w:rsidRPr="00950125" w:rsidRDefault="00643A27" w:rsidP="00D46E36">
            <w:pPr>
              <w:spacing w:line="276" w:lineRule="auto"/>
              <w:jc w:val="center"/>
              <w:rPr>
                <w:rFonts w:eastAsia="Calibri"/>
              </w:rPr>
            </w:pPr>
            <w:r w:rsidRPr="00950125">
              <w:rPr>
                <w:rFonts w:eastAsia="Calibri"/>
              </w:rPr>
              <w:lastRenderedPageBreak/>
              <w:t xml:space="preserve">Renewable energy research &amp; development </w:t>
            </w:r>
            <w:r w:rsidRPr="00950125">
              <w:rPr>
                <w:rFonts w:eastAsia="Calibri"/>
              </w:rPr>
              <w:lastRenderedPageBreak/>
              <w:t>(RRD) and nuclear energy research &amp; development (NRD) expenditures.</w:t>
            </w:r>
          </w:p>
        </w:tc>
        <w:tc>
          <w:tcPr>
            <w:tcW w:w="1620" w:type="dxa"/>
            <w:tcBorders>
              <w:top w:val="single" w:sz="4" w:space="0" w:color="auto"/>
              <w:left w:val="single" w:sz="4" w:space="0" w:color="auto"/>
              <w:bottom w:val="single" w:sz="4" w:space="0" w:color="auto"/>
              <w:right w:val="single" w:sz="4" w:space="0" w:color="auto"/>
            </w:tcBorders>
            <w:hideMark/>
          </w:tcPr>
          <w:p w14:paraId="48882BBB" w14:textId="77777777" w:rsidR="00643A27" w:rsidRPr="00950125" w:rsidRDefault="00643A27" w:rsidP="00D46E36">
            <w:pPr>
              <w:spacing w:line="276" w:lineRule="auto"/>
              <w:jc w:val="center"/>
              <w:rPr>
                <w:rFonts w:eastAsia="Calibri"/>
              </w:rPr>
            </w:pPr>
            <w:r w:rsidRPr="00950125">
              <w:rPr>
                <w:rFonts w:eastAsia="Calibri"/>
              </w:rPr>
              <w:lastRenderedPageBreak/>
              <w:t xml:space="preserve">FADL based FMOLS approach as the </w:t>
            </w:r>
            <w:r w:rsidRPr="00950125">
              <w:rPr>
                <w:rFonts w:eastAsia="Calibri"/>
              </w:rPr>
              <w:lastRenderedPageBreak/>
              <w:t>main model, and applies FADL based DOLS approach and Fourier wavelet causality test.</w:t>
            </w:r>
          </w:p>
        </w:tc>
        <w:tc>
          <w:tcPr>
            <w:tcW w:w="1170" w:type="dxa"/>
            <w:tcBorders>
              <w:top w:val="single" w:sz="4" w:space="0" w:color="auto"/>
              <w:left w:val="single" w:sz="4" w:space="0" w:color="auto"/>
              <w:bottom w:val="single" w:sz="4" w:space="0" w:color="auto"/>
              <w:right w:val="single" w:sz="4" w:space="0" w:color="auto"/>
            </w:tcBorders>
          </w:tcPr>
          <w:p w14:paraId="2B027C87" w14:textId="77777777" w:rsidR="00643A27" w:rsidRPr="00950125" w:rsidRDefault="00BA157C" w:rsidP="00D46E36">
            <w:pPr>
              <w:spacing w:line="276" w:lineRule="auto"/>
              <w:jc w:val="center"/>
              <w:rPr>
                <w:rFonts w:eastAsia="Calibri"/>
              </w:rPr>
            </w:pPr>
            <w:r w:rsidRPr="00950125">
              <w:rPr>
                <w:rFonts w:eastAsia="Calibri"/>
              </w:rPr>
              <w:lastRenderedPageBreak/>
              <w:t>Invalid</w:t>
            </w:r>
          </w:p>
        </w:tc>
      </w:tr>
      <w:tr w:rsidR="00643A27" w:rsidRPr="00950125" w14:paraId="182F691B" w14:textId="77777777" w:rsidTr="00336DF6">
        <w:tc>
          <w:tcPr>
            <w:tcW w:w="1800" w:type="dxa"/>
            <w:tcBorders>
              <w:top w:val="single" w:sz="4" w:space="0" w:color="auto"/>
              <w:left w:val="single" w:sz="4" w:space="0" w:color="auto"/>
              <w:bottom w:val="single" w:sz="4" w:space="0" w:color="auto"/>
              <w:right w:val="single" w:sz="4" w:space="0" w:color="auto"/>
            </w:tcBorders>
            <w:hideMark/>
          </w:tcPr>
          <w:p w14:paraId="79DBDB9D" w14:textId="77777777" w:rsidR="00643A27" w:rsidRPr="00950125" w:rsidRDefault="00643A27" w:rsidP="00D46E36">
            <w:pPr>
              <w:spacing w:line="276" w:lineRule="auto"/>
              <w:jc w:val="center"/>
              <w:rPr>
                <w:rFonts w:eastAsia="Calibri"/>
              </w:rPr>
            </w:pPr>
            <w:r w:rsidRPr="00950125">
              <w:rPr>
                <w:rFonts w:eastAsia="Calibri"/>
              </w:rPr>
              <w:t>Taha Abdulmagid Basheer Agila, Wagdi M S Khalifa, Seyi Saint Akadiri, Tomiwa Sunday Adebayo, Mehmet Altuntaş (2022)</w:t>
            </w:r>
          </w:p>
        </w:tc>
        <w:tc>
          <w:tcPr>
            <w:tcW w:w="1620" w:type="dxa"/>
            <w:tcBorders>
              <w:top w:val="single" w:sz="4" w:space="0" w:color="auto"/>
              <w:left w:val="single" w:sz="4" w:space="0" w:color="auto"/>
              <w:bottom w:val="single" w:sz="4" w:space="0" w:color="auto"/>
              <w:right w:val="single" w:sz="4" w:space="0" w:color="auto"/>
            </w:tcBorders>
            <w:hideMark/>
          </w:tcPr>
          <w:p w14:paraId="0284FF63" w14:textId="77777777" w:rsidR="00643A27" w:rsidRPr="00950125" w:rsidRDefault="00643A27" w:rsidP="00D46E36">
            <w:pPr>
              <w:spacing w:line="276" w:lineRule="auto"/>
              <w:jc w:val="center"/>
              <w:rPr>
                <w:rFonts w:eastAsia="Calibri"/>
              </w:rPr>
            </w:pPr>
            <w:r w:rsidRPr="00950125">
              <w:rPr>
                <w:rFonts w:eastAsia="Calibri"/>
              </w:rPr>
              <w:t>South  Korea</w:t>
            </w:r>
          </w:p>
        </w:tc>
        <w:tc>
          <w:tcPr>
            <w:tcW w:w="1350" w:type="dxa"/>
            <w:tcBorders>
              <w:top w:val="single" w:sz="4" w:space="0" w:color="auto"/>
              <w:left w:val="single" w:sz="4" w:space="0" w:color="auto"/>
              <w:bottom w:val="single" w:sz="4" w:space="0" w:color="auto"/>
              <w:right w:val="single" w:sz="4" w:space="0" w:color="auto"/>
            </w:tcBorders>
            <w:hideMark/>
          </w:tcPr>
          <w:p w14:paraId="43463B6D" w14:textId="77777777" w:rsidR="00643A27" w:rsidRPr="00950125" w:rsidRDefault="00643A27" w:rsidP="00D46E36">
            <w:pPr>
              <w:spacing w:line="276" w:lineRule="auto"/>
              <w:jc w:val="center"/>
              <w:rPr>
                <w:rFonts w:eastAsia="Calibri"/>
              </w:rPr>
            </w:pPr>
            <w:r w:rsidRPr="00950125">
              <w:rPr>
                <w:rFonts w:eastAsia="Calibri"/>
              </w:rPr>
              <w:t>Load capacity factor</w:t>
            </w:r>
          </w:p>
        </w:tc>
        <w:tc>
          <w:tcPr>
            <w:tcW w:w="1710" w:type="dxa"/>
            <w:tcBorders>
              <w:top w:val="single" w:sz="4" w:space="0" w:color="auto"/>
              <w:left w:val="single" w:sz="4" w:space="0" w:color="auto"/>
              <w:bottom w:val="single" w:sz="4" w:space="0" w:color="auto"/>
              <w:right w:val="single" w:sz="4" w:space="0" w:color="auto"/>
            </w:tcBorders>
            <w:hideMark/>
          </w:tcPr>
          <w:p w14:paraId="7862A2DB" w14:textId="77777777" w:rsidR="00643A27" w:rsidRPr="00950125" w:rsidRDefault="00643A27" w:rsidP="00D46E36">
            <w:pPr>
              <w:spacing w:line="276" w:lineRule="auto"/>
              <w:jc w:val="center"/>
              <w:rPr>
                <w:rFonts w:eastAsia="Calibri"/>
              </w:rPr>
            </w:pPr>
            <w:r w:rsidRPr="00950125">
              <w:rPr>
                <w:rFonts w:eastAsia="Calibri"/>
              </w:rPr>
              <w:t>Structural change and trade globalization</w:t>
            </w:r>
          </w:p>
          <w:p w14:paraId="7B0EAFBB" w14:textId="77777777" w:rsidR="00643A27" w:rsidRPr="00950125" w:rsidRDefault="00643A27" w:rsidP="00D46E36">
            <w:pPr>
              <w:spacing w:line="276" w:lineRule="auto"/>
              <w:jc w:val="center"/>
              <w:rPr>
                <w:rFonts w:eastAsia="Calibri"/>
              </w:rPr>
            </w:pPr>
            <w:r w:rsidRPr="00950125">
              <w:rPr>
                <w:rFonts w:eastAsia="Calibri"/>
              </w:rPr>
              <w:t>economic growth, energies (renewable and nonrenewable), and trade globalization</w:t>
            </w:r>
          </w:p>
        </w:tc>
        <w:tc>
          <w:tcPr>
            <w:tcW w:w="1620" w:type="dxa"/>
            <w:tcBorders>
              <w:top w:val="single" w:sz="4" w:space="0" w:color="auto"/>
              <w:left w:val="single" w:sz="4" w:space="0" w:color="auto"/>
              <w:bottom w:val="single" w:sz="4" w:space="0" w:color="auto"/>
              <w:right w:val="single" w:sz="4" w:space="0" w:color="auto"/>
            </w:tcBorders>
            <w:hideMark/>
          </w:tcPr>
          <w:p w14:paraId="7D7882A7" w14:textId="77777777" w:rsidR="00643A27" w:rsidRPr="00950125" w:rsidRDefault="00643A27" w:rsidP="00D46E36">
            <w:pPr>
              <w:spacing w:line="276" w:lineRule="auto"/>
              <w:jc w:val="center"/>
              <w:rPr>
                <w:rFonts w:eastAsia="Calibri"/>
              </w:rPr>
            </w:pPr>
            <w:r w:rsidRPr="00950125">
              <w:rPr>
                <w:rFonts w:eastAsia="Calibri"/>
              </w:rPr>
              <w:t>Nonparametric causality and quantile-on-quantile (QQ) regression approaches</w:t>
            </w:r>
          </w:p>
        </w:tc>
        <w:tc>
          <w:tcPr>
            <w:tcW w:w="1170" w:type="dxa"/>
            <w:tcBorders>
              <w:top w:val="single" w:sz="4" w:space="0" w:color="auto"/>
              <w:left w:val="single" w:sz="4" w:space="0" w:color="auto"/>
              <w:bottom w:val="single" w:sz="4" w:space="0" w:color="auto"/>
              <w:right w:val="single" w:sz="4" w:space="0" w:color="auto"/>
            </w:tcBorders>
          </w:tcPr>
          <w:p w14:paraId="13394C43" w14:textId="77777777" w:rsidR="00643A27" w:rsidRPr="00950125" w:rsidRDefault="00BA157C" w:rsidP="00D46E36">
            <w:pPr>
              <w:spacing w:line="276" w:lineRule="auto"/>
              <w:jc w:val="center"/>
              <w:rPr>
                <w:rFonts w:eastAsia="Calibri"/>
              </w:rPr>
            </w:pPr>
            <w:r w:rsidRPr="00950125">
              <w:rPr>
                <w:rFonts w:eastAsia="Calibri"/>
              </w:rPr>
              <w:t>Yes</w:t>
            </w:r>
          </w:p>
        </w:tc>
      </w:tr>
      <w:tr w:rsidR="00643A27" w:rsidRPr="00950125" w14:paraId="40F7646C" w14:textId="77777777" w:rsidTr="00336DF6">
        <w:tc>
          <w:tcPr>
            <w:tcW w:w="1800" w:type="dxa"/>
            <w:tcBorders>
              <w:top w:val="single" w:sz="4" w:space="0" w:color="auto"/>
              <w:left w:val="single" w:sz="4" w:space="0" w:color="auto"/>
              <w:bottom w:val="single" w:sz="4" w:space="0" w:color="auto"/>
              <w:right w:val="single" w:sz="4" w:space="0" w:color="auto"/>
            </w:tcBorders>
            <w:hideMark/>
          </w:tcPr>
          <w:p w14:paraId="6DDFDE36" w14:textId="77777777" w:rsidR="00643A27" w:rsidRPr="00950125" w:rsidRDefault="00643A27" w:rsidP="00D46E36">
            <w:pPr>
              <w:spacing w:line="276" w:lineRule="auto"/>
              <w:jc w:val="center"/>
              <w:rPr>
                <w:rFonts w:eastAsia="Calibri"/>
              </w:rPr>
            </w:pPr>
            <w:r w:rsidRPr="00950125">
              <w:rPr>
                <w:rFonts w:eastAsia="Calibri"/>
              </w:rPr>
              <w:t>Abraham Ayobamiji Awosusi, Kaan Kutlay, Mehmet Altuntaş, Bakhtiyor Khodjiev, Ephraim Bonah Agyekum, Mokhtar Shouran, Mohamed Elgbaily, Salah Kamel</w:t>
            </w:r>
          </w:p>
          <w:p w14:paraId="405CC0AB" w14:textId="77777777" w:rsidR="00643A27" w:rsidRPr="00950125" w:rsidRDefault="00643A27" w:rsidP="00D46E36">
            <w:pPr>
              <w:spacing w:line="276" w:lineRule="auto"/>
              <w:jc w:val="center"/>
              <w:rPr>
                <w:rFonts w:eastAsia="Calibri"/>
              </w:rPr>
            </w:pPr>
            <w:r w:rsidRPr="00950125">
              <w:rPr>
                <w:rFonts w:eastAsia="Calibri"/>
              </w:rPr>
              <w:t>(2022)</w:t>
            </w:r>
          </w:p>
        </w:tc>
        <w:tc>
          <w:tcPr>
            <w:tcW w:w="1620" w:type="dxa"/>
            <w:tcBorders>
              <w:top w:val="single" w:sz="4" w:space="0" w:color="auto"/>
              <w:left w:val="single" w:sz="4" w:space="0" w:color="auto"/>
              <w:bottom w:val="single" w:sz="4" w:space="0" w:color="auto"/>
              <w:right w:val="single" w:sz="4" w:space="0" w:color="auto"/>
            </w:tcBorders>
            <w:hideMark/>
          </w:tcPr>
          <w:p w14:paraId="41582E1F" w14:textId="77777777" w:rsidR="00643A27" w:rsidRPr="00950125" w:rsidRDefault="00643A27" w:rsidP="00D46E36">
            <w:pPr>
              <w:spacing w:line="276" w:lineRule="auto"/>
              <w:jc w:val="center"/>
              <w:rPr>
                <w:rFonts w:eastAsia="Calibri"/>
              </w:rPr>
            </w:pPr>
            <w:r w:rsidRPr="00950125">
              <w:rPr>
                <w:rFonts w:eastAsia="Calibri"/>
              </w:rPr>
              <w:t>South Africa</w:t>
            </w:r>
          </w:p>
        </w:tc>
        <w:tc>
          <w:tcPr>
            <w:tcW w:w="1350" w:type="dxa"/>
            <w:tcBorders>
              <w:top w:val="single" w:sz="4" w:space="0" w:color="auto"/>
              <w:left w:val="single" w:sz="4" w:space="0" w:color="auto"/>
              <w:bottom w:val="single" w:sz="4" w:space="0" w:color="auto"/>
              <w:right w:val="single" w:sz="4" w:space="0" w:color="auto"/>
            </w:tcBorders>
            <w:hideMark/>
          </w:tcPr>
          <w:p w14:paraId="6EEE3878" w14:textId="77777777" w:rsidR="00643A27" w:rsidRPr="00950125" w:rsidRDefault="00643A27" w:rsidP="00D46E36">
            <w:pPr>
              <w:spacing w:line="276" w:lineRule="auto"/>
              <w:jc w:val="center"/>
              <w:rPr>
                <w:rFonts w:eastAsia="Calibri"/>
              </w:rPr>
            </w:pPr>
            <w:r w:rsidRPr="00950125">
              <w:rPr>
                <w:rFonts w:eastAsia="Calibri"/>
              </w:rPr>
              <w:t>Environment quality, LC factors.</w:t>
            </w:r>
          </w:p>
        </w:tc>
        <w:tc>
          <w:tcPr>
            <w:tcW w:w="1710" w:type="dxa"/>
            <w:tcBorders>
              <w:top w:val="single" w:sz="4" w:space="0" w:color="auto"/>
              <w:left w:val="single" w:sz="4" w:space="0" w:color="auto"/>
              <w:bottom w:val="single" w:sz="4" w:space="0" w:color="auto"/>
              <w:right w:val="single" w:sz="4" w:space="0" w:color="auto"/>
            </w:tcBorders>
            <w:hideMark/>
          </w:tcPr>
          <w:p w14:paraId="43F9524C" w14:textId="77777777" w:rsidR="00643A27" w:rsidRPr="00950125" w:rsidRDefault="00643A27" w:rsidP="00D46E36">
            <w:pPr>
              <w:spacing w:line="276" w:lineRule="auto"/>
              <w:jc w:val="center"/>
              <w:rPr>
                <w:rFonts w:eastAsia="Calibri"/>
              </w:rPr>
            </w:pPr>
            <w:r w:rsidRPr="00950125">
              <w:rPr>
                <w:rFonts w:eastAsia="Calibri"/>
              </w:rPr>
              <w:t>Nonrenewable energy usage and economic growth contribute, technological innovation and trade globalization.</w:t>
            </w:r>
          </w:p>
        </w:tc>
        <w:tc>
          <w:tcPr>
            <w:tcW w:w="1620" w:type="dxa"/>
            <w:tcBorders>
              <w:top w:val="single" w:sz="4" w:space="0" w:color="auto"/>
              <w:left w:val="single" w:sz="4" w:space="0" w:color="auto"/>
              <w:bottom w:val="single" w:sz="4" w:space="0" w:color="auto"/>
              <w:right w:val="single" w:sz="4" w:space="0" w:color="auto"/>
            </w:tcBorders>
            <w:hideMark/>
          </w:tcPr>
          <w:p w14:paraId="4ED70D71" w14:textId="77777777" w:rsidR="00643A27" w:rsidRPr="00950125" w:rsidRDefault="00643A27" w:rsidP="00D46E36">
            <w:pPr>
              <w:spacing w:line="276" w:lineRule="auto"/>
              <w:jc w:val="center"/>
              <w:rPr>
                <w:rFonts w:eastAsia="Calibri"/>
              </w:rPr>
            </w:pPr>
            <w:r w:rsidRPr="00950125">
              <w:rPr>
                <w:rFonts w:eastAsia="Calibri"/>
              </w:rPr>
              <w:t>The bound co-integration test, the ARDL model, the frequency-domain causality test.</w:t>
            </w:r>
          </w:p>
        </w:tc>
        <w:tc>
          <w:tcPr>
            <w:tcW w:w="1170" w:type="dxa"/>
            <w:tcBorders>
              <w:top w:val="single" w:sz="4" w:space="0" w:color="auto"/>
              <w:left w:val="single" w:sz="4" w:space="0" w:color="auto"/>
              <w:bottom w:val="single" w:sz="4" w:space="0" w:color="auto"/>
              <w:right w:val="single" w:sz="4" w:space="0" w:color="auto"/>
            </w:tcBorders>
          </w:tcPr>
          <w:p w14:paraId="2B2B8E1B" w14:textId="77777777" w:rsidR="00643A27" w:rsidRPr="00950125" w:rsidRDefault="00BA157C" w:rsidP="00D46E36">
            <w:pPr>
              <w:spacing w:line="276" w:lineRule="auto"/>
              <w:jc w:val="center"/>
              <w:rPr>
                <w:rFonts w:eastAsia="Calibri"/>
              </w:rPr>
            </w:pPr>
            <w:r w:rsidRPr="00950125">
              <w:rPr>
                <w:rFonts w:eastAsia="Calibri"/>
              </w:rPr>
              <w:t>Yes</w:t>
            </w:r>
          </w:p>
        </w:tc>
      </w:tr>
    </w:tbl>
    <w:p w14:paraId="2BAE9DFD" w14:textId="77777777" w:rsidR="008B11CD" w:rsidRPr="00950125" w:rsidRDefault="008B74EE" w:rsidP="00D46E36">
      <w:pPr>
        <w:spacing w:line="276" w:lineRule="auto"/>
        <w:rPr>
          <w:rFonts w:ascii="Times New Roman" w:hAnsi="Times New Roman" w:cs="Times New Roman"/>
        </w:rPr>
      </w:pPr>
      <w:r w:rsidRPr="00950125">
        <w:rPr>
          <w:rFonts w:ascii="Times New Roman" w:hAnsi="Times New Roman" w:cs="Times New Roman"/>
        </w:rPr>
        <w:t xml:space="preserve"> </w:t>
      </w:r>
    </w:p>
    <w:p w14:paraId="6DD44911" w14:textId="7716D4F3" w:rsidR="00BA157C" w:rsidRPr="00950125" w:rsidRDefault="008B11CD" w:rsidP="00D46E36">
      <w:pPr>
        <w:pStyle w:val="Heading2"/>
        <w:numPr>
          <w:ilvl w:val="0"/>
          <w:numId w:val="2"/>
        </w:numPr>
        <w:spacing w:line="276" w:lineRule="auto"/>
        <w:rPr>
          <w:rFonts w:ascii="Times New Roman" w:hAnsi="Times New Roman" w:cs="Times New Roman"/>
          <w:b/>
          <w:sz w:val="28"/>
          <w:u w:val="single"/>
        </w:rPr>
      </w:pPr>
      <w:r w:rsidRPr="00950125">
        <w:rPr>
          <w:rFonts w:ascii="Times New Roman" w:hAnsi="Times New Roman" w:cs="Times New Roman"/>
          <w:b/>
          <w:sz w:val="28"/>
          <w:u w:val="single"/>
        </w:rPr>
        <w:t xml:space="preserve"> </w:t>
      </w:r>
      <w:bookmarkStart w:id="23" w:name="_Toc204723890"/>
      <w:r w:rsidR="00BA157C" w:rsidRPr="00950125">
        <w:rPr>
          <w:rFonts w:ascii="Times New Roman" w:hAnsi="Times New Roman" w:cs="Times New Roman"/>
          <w:b/>
          <w:sz w:val="28"/>
          <w:u w:val="single"/>
        </w:rPr>
        <w:t>Literature Gap</w:t>
      </w:r>
      <w:bookmarkEnd w:id="23"/>
    </w:p>
    <w:p w14:paraId="0403F61C" w14:textId="77777777" w:rsidR="009C5CCE" w:rsidRPr="00950125" w:rsidRDefault="00805FE5" w:rsidP="00D46E36">
      <w:pPr>
        <w:pStyle w:val="NormalWeb"/>
        <w:spacing w:line="276" w:lineRule="auto"/>
        <w:jc w:val="both"/>
      </w:pPr>
      <w:r w:rsidRPr="00950125">
        <w:t>Despite</w:t>
      </w:r>
      <w:r w:rsidR="00111BB6" w:rsidRPr="00950125">
        <w:t xml:space="preserve"> a substantial amount of research has studied the role of institutional quality, information and communication technology (ICT)</w:t>
      </w:r>
      <w:r w:rsidR="00A927CA" w:rsidRPr="00950125">
        <w:t xml:space="preserve"> and economic freedom in shaping the trajectory of sustainable development</w:t>
      </w:r>
      <w:r w:rsidRPr="00950125">
        <w:t xml:space="preserve">, </w:t>
      </w:r>
      <w:r w:rsidR="00A927CA" w:rsidRPr="00950125">
        <w:t>a notable gap in co</w:t>
      </w:r>
      <w:r w:rsidRPr="00950125">
        <w:t>mprehending how these variables exert asymmetric effect</w:t>
      </w:r>
      <w:r w:rsidR="009A7E1B" w:rsidRPr="00950125">
        <w:t>-as in, whether positive and negative changes in these variables differentially affects SDG 7 (Affordable and Clean Energy</w:t>
      </w:r>
      <w:r w:rsidR="00DF3E67" w:rsidRPr="00950125">
        <w:t xml:space="preserve">) and 13 (Climate Action). The majority of prior studies implemented symmetric frameworks or linear models, presuming that increases or decreases in institutional quality, ICT development, or economic freedom </w:t>
      </w:r>
      <w:r w:rsidR="00597D1A" w:rsidRPr="00950125">
        <w:t>induces SDG outcomes correspondingly. This assumption may disregard dynamics, in contexts where</w:t>
      </w:r>
      <w:r w:rsidR="00554ABA" w:rsidRPr="00950125">
        <w:t xml:space="preserve"> institutional shocks, technological disruptions, or regulatory regressions may have disproportionately adverse impact on sustainability targets. </w:t>
      </w:r>
    </w:p>
    <w:p w14:paraId="27053710" w14:textId="77777777" w:rsidR="006C3FF2" w:rsidRPr="00950125" w:rsidRDefault="005B4189" w:rsidP="00D46E36">
      <w:pPr>
        <w:pStyle w:val="NormalWeb"/>
        <w:spacing w:line="276" w:lineRule="auto"/>
        <w:jc w:val="both"/>
      </w:pPr>
      <w:r w:rsidRPr="00950125">
        <w:t>Research conducted on SDG 7 often treats progress in institutional quality, ICT access, and economic freedom as uniformly instrumental to energy access and renewable energy adoption.</w:t>
      </w:r>
      <w:r w:rsidR="004D3972" w:rsidRPr="00950125">
        <w:t xml:space="preserve"> But, few studies examine </w:t>
      </w:r>
      <w:r w:rsidR="00215A47" w:rsidRPr="00950125">
        <w:t xml:space="preserve">the asymmetric effects of these variables </w:t>
      </w:r>
      <w:r w:rsidR="004D3972" w:rsidRPr="00950125">
        <w:t xml:space="preserve">whether </w:t>
      </w:r>
      <w:r w:rsidR="00EA3AF2" w:rsidRPr="00950125">
        <w:t>deteriorations i</w:t>
      </w:r>
      <w:r w:rsidR="00E61344" w:rsidRPr="00950125">
        <w:t xml:space="preserve">n these </w:t>
      </w:r>
      <w:r w:rsidR="00E61344" w:rsidRPr="00950125">
        <w:lastRenderedPageBreak/>
        <w:t>variables</w:t>
      </w:r>
      <w:r w:rsidR="008C22B4" w:rsidRPr="00950125">
        <w:t xml:space="preserve"> have more severe </w:t>
      </w:r>
      <w:r w:rsidR="008772F4" w:rsidRPr="00950125">
        <w:t>consequences than the advantages gained from the equivalent advancements on the accomplishment of energy-related goals.</w:t>
      </w:r>
      <w:r w:rsidR="00EF25B7" w:rsidRPr="00950125">
        <w:t xml:space="preserve"> The </w:t>
      </w:r>
      <w:r w:rsidR="004048BE" w:rsidRPr="00950125">
        <w:t>asymmetric nature of these variables</w:t>
      </w:r>
      <w:r w:rsidR="00EF25B7" w:rsidRPr="00950125">
        <w:t xml:space="preserve"> in evaluating climate action is also limited in literature in climate action. While stronger institutions may improve</w:t>
      </w:r>
      <w:r w:rsidR="000D441A" w:rsidRPr="00950125">
        <w:t xml:space="preserve"> </w:t>
      </w:r>
      <w:r w:rsidR="00EF25B7" w:rsidRPr="00950125">
        <w:t xml:space="preserve">climate policy </w:t>
      </w:r>
      <w:r w:rsidR="0004556D" w:rsidRPr="00950125">
        <w:t xml:space="preserve">implementation and renewable energy adoption, a deterioration in institutional integrity could obstruct </w:t>
      </w:r>
      <w:r w:rsidR="006C5571" w:rsidRPr="00950125">
        <w:t>enforcement to a greater extent than an improvement can</w:t>
      </w:r>
      <w:r w:rsidR="00713014" w:rsidRPr="00950125">
        <w:t xml:space="preserve"> promote it. Likewise, ICT advancement is</w:t>
      </w:r>
      <w:r w:rsidR="006C5571" w:rsidRPr="00950125">
        <w:t xml:space="preserve"> integral for environmental </w:t>
      </w:r>
      <w:r w:rsidR="004971D4" w:rsidRPr="00950125">
        <w:t xml:space="preserve">monitoring and renewable energy adaptation, yet the </w:t>
      </w:r>
      <w:r w:rsidR="00713014" w:rsidRPr="00950125">
        <w:t xml:space="preserve">adverse effect of ICT underdevelopment isn’t often contrasted </w:t>
      </w:r>
      <w:r w:rsidR="00116196" w:rsidRPr="00950125">
        <w:t>with the gains of it. Additionally, economic freedom can promote</w:t>
      </w:r>
      <w:r w:rsidR="00580BBC" w:rsidRPr="00950125">
        <w:t xml:space="preserve"> initiatives (e.g. green investments, carbon tracking) to transition towards </w:t>
      </w:r>
      <w:r w:rsidR="00BD730F" w:rsidRPr="00950125">
        <w:t>Sustainable Development Goals. However, its stagnation may have an outsized negative effect on climate mitigation and renewable energy adaptation efforts.</w:t>
      </w:r>
    </w:p>
    <w:p w14:paraId="0E1E1EB5" w14:textId="77777777" w:rsidR="00BD730F" w:rsidRPr="00950125" w:rsidRDefault="00BD730F" w:rsidP="00D46E36">
      <w:pPr>
        <w:pStyle w:val="NormalWeb"/>
        <w:spacing w:line="276" w:lineRule="auto"/>
        <w:jc w:val="both"/>
      </w:pPr>
      <w:r w:rsidRPr="00950125">
        <w:t>Furthermore, exte</w:t>
      </w:r>
      <w:r w:rsidR="008016DF" w:rsidRPr="00950125">
        <w:t>nsive studies</w:t>
      </w:r>
      <w:r w:rsidRPr="00950125">
        <w:t xml:space="preserve"> are scarce </w:t>
      </w:r>
      <w:r w:rsidR="008016DF" w:rsidRPr="00950125">
        <w:t>that incorporate these three variables into a unified asymmetric framework while evaluating their distinct influences on SDG 7 and 13 individually. The majo</w:t>
      </w:r>
      <w:r w:rsidR="00C911D0" w:rsidRPr="00950125">
        <w:t xml:space="preserve">rity of existing models used by researchers are unable to address the non-linear relationship between institutional governance, technology, and economic dynamics on clean energy access and climate resilience contexts. </w:t>
      </w:r>
      <w:r w:rsidR="00045434" w:rsidRPr="00950125">
        <w:t>This limits our understanding of how policy responses sho</w:t>
      </w:r>
      <w:r w:rsidR="00564B50" w:rsidRPr="00950125">
        <w:t>uld differ when faced with both unfavorable and favorable shifts in these three factors</w:t>
      </w:r>
      <w:r w:rsidR="00045434" w:rsidRPr="00950125">
        <w:t xml:space="preserve">- especially for developing and evolving economies, where institutional </w:t>
      </w:r>
      <w:r w:rsidR="00564B50" w:rsidRPr="00950125">
        <w:t>governance is</w:t>
      </w:r>
      <w:r w:rsidR="00045434" w:rsidRPr="00950125">
        <w:t xml:space="preserve"> often volatile and technological infrastructure, economic liberalization progress at uneven rates</w:t>
      </w:r>
      <w:r w:rsidR="00564B50" w:rsidRPr="00950125">
        <w:t>.</w:t>
      </w:r>
    </w:p>
    <w:p w14:paraId="348CBA94" w14:textId="77777777" w:rsidR="00A61773" w:rsidRPr="00950125" w:rsidRDefault="00564B50" w:rsidP="00D46E36">
      <w:pPr>
        <w:pStyle w:val="NormalWeb"/>
        <w:spacing w:line="276" w:lineRule="auto"/>
        <w:jc w:val="both"/>
      </w:pPr>
      <w:r w:rsidRPr="00950125">
        <w:t xml:space="preserve">This research seeks to bridge this gap in the literature through examining the asymmetric effects of institutional quality, ICT, and economic freedom on both SDG 7 and SDG 13 distinctly. By </w:t>
      </w:r>
      <w:r w:rsidR="002658C0" w:rsidRPr="00950125">
        <w:t xml:space="preserve">doing so, it offers a more policy-relevant perspective on how positive and negative changes in these variables influences sustainable goals, adding a new dimension to the research on SDG implementation. </w:t>
      </w:r>
    </w:p>
    <w:p w14:paraId="721A47FF" w14:textId="77777777" w:rsidR="00336DF6" w:rsidRPr="00950125" w:rsidRDefault="00336DF6" w:rsidP="00D46E36">
      <w:pPr>
        <w:spacing w:line="276" w:lineRule="auto"/>
        <w:rPr>
          <w:rFonts w:ascii="Times New Roman" w:eastAsiaTheme="majorEastAsia" w:hAnsi="Times New Roman" w:cs="Times New Roman"/>
          <w:b/>
          <w:color w:val="2E74B5" w:themeColor="accent1" w:themeShade="BF"/>
          <w:sz w:val="36"/>
          <w:szCs w:val="32"/>
          <w:u w:val="single"/>
        </w:rPr>
      </w:pPr>
      <w:r w:rsidRPr="00950125">
        <w:rPr>
          <w:rFonts w:ascii="Times New Roman" w:hAnsi="Times New Roman" w:cs="Times New Roman"/>
          <w:b/>
          <w:sz w:val="36"/>
          <w:u w:val="single"/>
        </w:rPr>
        <w:br w:type="page"/>
      </w:r>
    </w:p>
    <w:p w14:paraId="15DE9BC8" w14:textId="79DEC436" w:rsidR="002131C7" w:rsidRPr="00950125" w:rsidRDefault="00A61773" w:rsidP="00D46E36">
      <w:pPr>
        <w:pStyle w:val="Heading1"/>
        <w:spacing w:line="276" w:lineRule="auto"/>
        <w:jc w:val="center"/>
        <w:rPr>
          <w:rFonts w:ascii="Times New Roman" w:hAnsi="Times New Roman" w:cs="Times New Roman"/>
          <w:b/>
          <w:sz w:val="36"/>
          <w:u w:val="single"/>
        </w:rPr>
      </w:pPr>
      <w:bookmarkStart w:id="24" w:name="_Toc204723891"/>
      <w:r w:rsidRPr="00950125">
        <w:rPr>
          <w:rFonts w:ascii="Times New Roman" w:hAnsi="Times New Roman" w:cs="Times New Roman"/>
          <w:b/>
          <w:sz w:val="36"/>
          <w:u w:val="single"/>
        </w:rPr>
        <w:lastRenderedPageBreak/>
        <w:t>Chapter 3: Data and M</w:t>
      </w:r>
      <w:r w:rsidR="002131C7" w:rsidRPr="00950125">
        <w:rPr>
          <w:rFonts w:ascii="Times New Roman" w:hAnsi="Times New Roman" w:cs="Times New Roman"/>
          <w:b/>
          <w:sz w:val="36"/>
          <w:u w:val="single"/>
        </w:rPr>
        <w:t>ethodolo</w:t>
      </w:r>
      <w:r w:rsidRPr="00950125">
        <w:rPr>
          <w:rFonts w:ascii="Times New Roman" w:hAnsi="Times New Roman" w:cs="Times New Roman"/>
          <w:b/>
          <w:sz w:val="36"/>
          <w:u w:val="single"/>
        </w:rPr>
        <w:t>gy of the Stud</w:t>
      </w:r>
      <w:r w:rsidR="002131C7" w:rsidRPr="00950125">
        <w:rPr>
          <w:rFonts w:ascii="Times New Roman" w:hAnsi="Times New Roman" w:cs="Times New Roman"/>
          <w:b/>
          <w:sz w:val="36"/>
          <w:u w:val="single"/>
        </w:rPr>
        <w:t>y</w:t>
      </w:r>
      <w:bookmarkEnd w:id="24"/>
    </w:p>
    <w:p w14:paraId="180AFD3C" w14:textId="77777777" w:rsidR="00A61773" w:rsidRPr="00950125" w:rsidRDefault="00A61773" w:rsidP="00D46E36">
      <w:pPr>
        <w:pStyle w:val="Heading2"/>
        <w:spacing w:line="276" w:lineRule="auto"/>
        <w:rPr>
          <w:rFonts w:ascii="Times New Roman" w:hAnsi="Times New Roman" w:cs="Times New Roman"/>
        </w:rPr>
      </w:pPr>
    </w:p>
    <w:p w14:paraId="78A19566" w14:textId="77777777" w:rsidR="002131C7" w:rsidRPr="00950125" w:rsidRDefault="00BF77BD" w:rsidP="00D46E36">
      <w:pPr>
        <w:pStyle w:val="Heading2"/>
        <w:numPr>
          <w:ilvl w:val="0"/>
          <w:numId w:val="13"/>
        </w:numPr>
        <w:spacing w:line="276" w:lineRule="auto"/>
        <w:rPr>
          <w:rFonts w:ascii="Times New Roman" w:hAnsi="Times New Roman" w:cs="Times New Roman"/>
          <w:b/>
          <w:u w:val="single"/>
        </w:rPr>
      </w:pPr>
      <w:r w:rsidRPr="00950125">
        <w:rPr>
          <w:rFonts w:ascii="Times New Roman" w:hAnsi="Times New Roman" w:cs="Times New Roman"/>
          <w:b/>
          <w:sz w:val="28"/>
          <w:u w:val="single"/>
        </w:rPr>
        <w:t xml:space="preserve"> </w:t>
      </w:r>
      <w:bookmarkStart w:id="25" w:name="_Toc204723892"/>
      <w:r w:rsidR="002131C7" w:rsidRPr="00950125">
        <w:rPr>
          <w:rFonts w:ascii="Times New Roman" w:hAnsi="Times New Roman" w:cs="Times New Roman"/>
          <w:b/>
          <w:sz w:val="28"/>
          <w:u w:val="single"/>
        </w:rPr>
        <w:t>Model specification</w:t>
      </w:r>
      <w:bookmarkEnd w:id="25"/>
      <w:r w:rsidR="002131C7" w:rsidRPr="00950125">
        <w:rPr>
          <w:rFonts w:ascii="Times New Roman" w:hAnsi="Times New Roman" w:cs="Times New Roman"/>
          <w:b/>
          <w:sz w:val="28"/>
          <w:u w:val="single"/>
        </w:rPr>
        <w:t xml:space="preserve">  </w:t>
      </w:r>
    </w:p>
    <w:p w14:paraId="69ED6981" w14:textId="77777777" w:rsidR="002131C7" w:rsidRPr="00950125" w:rsidRDefault="00BF4867" w:rsidP="00D46E36">
      <w:pPr>
        <w:spacing w:line="276" w:lineRule="auto"/>
        <w:jc w:val="both"/>
        <w:rPr>
          <w:rFonts w:ascii="Times New Roman" w:hAnsi="Times New Roman" w:cs="Times New Roman"/>
        </w:rPr>
      </w:pPr>
      <w:r w:rsidRPr="00950125">
        <w:rPr>
          <w:rFonts w:ascii="Times New Roman" w:hAnsi="Times New Roman" w:cs="Times New Roman"/>
          <w:sz w:val="24"/>
          <w:szCs w:val="24"/>
        </w:rPr>
        <w:t>The relationship between</w:t>
      </w:r>
      <w:r w:rsidRPr="00950125">
        <w:rPr>
          <w:rFonts w:ascii="Times New Roman" w:hAnsi="Times New Roman" w:cs="Times New Roman"/>
        </w:rPr>
        <w:t xml:space="preserve"> </w:t>
      </w:r>
      <w:r w:rsidR="00BF77BD" w:rsidRPr="00950125">
        <w:rPr>
          <w:rFonts w:ascii="Times New Roman" w:hAnsi="Times New Roman" w:cs="Times New Roman"/>
          <w:sz w:val="24"/>
          <w:szCs w:val="24"/>
        </w:rPr>
        <w:t xml:space="preserve">Sustainable Development Goal </w:t>
      </w:r>
      <w:r w:rsidRPr="00950125">
        <w:rPr>
          <w:rFonts w:ascii="Times New Roman" w:hAnsi="Times New Roman" w:cs="Times New Roman"/>
          <w:sz w:val="24"/>
          <w:szCs w:val="24"/>
        </w:rPr>
        <w:t>7, Institutional quality, ICT, Economic freedom</w:t>
      </w:r>
      <w:r w:rsidR="0073376E" w:rsidRPr="00950125">
        <w:rPr>
          <w:rFonts w:ascii="Times New Roman" w:hAnsi="Times New Roman" w:cs="Times New Roman"/>
          <w:sz w:val="24"/>
          <w:szCs w:val="24"/>
        </w:rPr>
        <w:t>.</w:t>
      </w:r>
    </w:p>
    <w:p w14:paraId="53F57904" w14:textId="77777777" w:rsidR="002131C7" w:rsidRPr="00950125" w:rsidRDefault="002131C7" w:rsidP="00D46E36">
      <w:pPr>
        <w:spacing w:line="276" w:lineRule="auto"/>
        <w:jc w:val="center"/>
        <w:rPr>
          <w:rFonts w:ascii="Times New Roman" w:hAnsi="Times New Roman" w:cs="Times New Roman"/>
          <w:sz w:val="36"/>
          <w:szCs w:val="24"/>
        </w:rPr>
      </w:pPr>
      <w:r w:rsidRPr="00950125">
        <w:rPr>
          <w:rFonts w:ascii="Times New Roman" w:hAnsi="Times New Roman" w:cs="Times New Roman"/>
          <w:sz w:val="36"/>
          <w:szCs w:val="24"/>
        </w:rPr>
        <w:t xml:space="preserve">SDG7| </w:t>
      </w:r>
      <w:r w:rsidR="00BF4867" w:rsidRPr="00950125">
        <w:rPr>
          <w:rFonts w:ascii="Times New Roman" w:hAnsi="Times New Roman" w:cs="Times New Roman"/>
          <w:sz w:val="36"/>
          <w:szCs w:val="24"/>
        </w:rPr>
        <w:t>IQ</w:t>
      </w:r>
      <w:r w:rsidR="00BF77BD" w:rsidRPr="00950125">
        <w:rPr>
          <w:rFonts w:ascii="Times New Roman" w:hAnsi="Times New Roman" w:cs="Times New Roman"/>
          <w:sz w:val="36"/>
          <w:szCs w:val="24"/>
        </w:rPr>
        <w:t>, ICT, EF</w:t>
      </w:r>
      <w:r w:rsidRPr="00950125">
        <w:rPr>
          <w:rFonts w:ascii="Times New Roman" w:hAnsi="Times New Roman" w:cs="Times New Roman"/>
          <w:sz w:val="36"/>
          <w:szCs w:val="24"/>
        </w:rPr>
        <w:t xml:space="preserve"> (1)</w:t>
      </w:r>
    </w:p>
    <w:p w14:paraId="0B3071A9" w14:textId="301D47C3" w:rsidR="00B02AC9" w:rsidRPr="00950125" w:rsidRDefault="0029645F" w:rsidP="00D46E36">
      <w:pPr>
        <w:spacing w:line="276" w:lineRule="auto"/>
        <w:jc w:val="center"/>
        <w:rPr>
          <w:rFonts w:ascii="Times New Roman" w:hAnsi="Times New Roman" w:cs="Times New Roman"/>
          <w:sz w:val="28"/>
          <w:szCs w:val="24"/>
        </w:rPr>
      </w:pPr>
      <m:oMath>
        <m:sSub>
          <m:sSubPr>
            <m:ctrlPr>
              <w:rPr>
                <w:rFonts w:ascii="Cambria Math" w:hAnsi="Cambria Math" w:cs="Times New Roman"/>
                <w:i/>
                <w:sz w:val="32"/>
                <w:szCs w:val="24"/>
              </w:rPr>
            </m:ctrlPr>
          </m:sSubPr>
          <m:e>
            <m:r>
              <w:rPr>
                <w:rFonts w:ascii="Cambria Math" w:hAnsi="Cambria Math" w:cs="Times New Roman"/>
                <w:sz w:val="32"/>
                <w:szCs w:val="24"/>
              </w:rPr>
              <m:t>REC</m:t>
            </m:r>
          </m:e>
          <m:sub>
            <m:r>
              <w:rPr>
                <w:rFonts w:ascii="Cambria Math" w:hAnsi="Cambria Math" w:cs="Times New Roman"/>
                <w:sz w:val="32"/>
                <w:szCs w:val="24"/>
              </w:rPr>
              <m:t>it</m:t>
            </m:r>
          </m:sub>
        </m:sSub>
        <m:r>
          <w:rPr>
            <w:rFonts w:ascii="Cambria Math" w:hAnsi="Cambria Math" w:cs="Times New Roman"/>
            <w:sz w:val="32"/>
            <w:szCs w:val="24"/>
          </w:rPr>
          <m:t>=</m:t>
        </m:r>
        <m:sSub>
          <m:sSubPr>
            <m:ctrlPr>
              <w:rPr>
                <w:rFonts w:ascii="Cambria Math" w:hAnsi="Cambria Math" w:cs="Times New Roman"/>
                <w:i/>
                <w:sz w:val="32"/>
                <w:szCs w:val="24"/>
              </w:rPr>
            </m:ctrlPr>
          </m:sSubPr>
          <m:e>
            <m:r>
              <w:rPr>
                <w:rFonts w:ascii="Cambria Math" w:hAnsi="Cambria Math" w:cs="Times New Roman"/>
                <w:sz w:val="32"/>
                <w:szCs w:val="24"/>
              </w:rPr>
              <m:t xml:space="preserve"> α</m:t>
            </m:r>
          </m:e>
          <m:sub>
            <m:r>
              <w:rPr>
                <w:rFonts w:ascii="Cambria Math" w:hAnsi="Cambria Math" w:cs="Times New Roman"/>
                <w:sz w:val="32"/>
                <w:szCs w:val="24"/>
              </w:rPr>
              <m:t>it</m:t>
            </m:r>
          </m:sub>
        </m:sSub>
        <m:r>
          <w:rPr>
            <w:rFonts w:ascii="Cambria Math" w:hAnsi="Cambria Math" w:cs="Times New Roman"/>
            <w:sz w:val="32"/>
            <w:szCs w:val="24"/>
          </w:rPr>
          <m:t xml:space="preserve">+ </m:t>
        </m:r>
        <m:sSub>
          <m:sSubPr>
            <m:ctrlPr>
              <w:rPr>
                <w:rFonts w:ascii="Cambria Math" w:hAnsi="Cambria Math" w:cs="Times New Roman"/>
                <w:i/>
                <w:sz w:val="32"/>
                <w:szCs w:val="24"/>
              </w:rPr>
            </m:ctrlPr>
          </m:sSubPr>
          <m:e>
            <m:r>
              <w:rPr>
                <w:rFonts w:ascii="Cambria Math" w:hAnsi="Cambria Math" w:cs="Times New Roman"/>
                <w:sz w:val="32"/>
                <w:szCs w:val="24"/>
              </w:rPr>
              <m:t>β</m:t>
            </m:r>
          </m:e>
          <m:sub>
            <m:r>
              <w:rPr>
                <w:rFonts w:ascii="Cambria Math" w:hAnsi="Cambria Math" w:cs="Times New Roman"/>
                <w:sz w:val="32"/>
                <w:szCs w:val="24"/>
              </w:rPr>
              <m:t>1</m:t>
            </m:r>
          </m:sub>
        </m:sSub>
        <m:sSub>
          <m:sSubPr>
            <m:ctrlPr>
              <w:rPr>
                <w:rFonts w:ascii="Cambria Math" w:hAnsi="Cambria Math" w:cs="Times New Roman"/>
                <w:i/>
                <w:sz w:val="32"/>
                <w:szCs w:val="24"/>
              </w:rPr>
            </m:ctrlPr>
          </m:sSubPr>
          <m:e>
            <m:r>
              <w:rPr>
                <w:rFonts w:ascii="Cambria Math" w:hAnsi="Cambria Math" w:cs="Times New Roman"/>
                <w:sz w:val="32"/>
                <w:szCs w:val="24"/>
              </w:rPr>
              <m:t>IQ</m:t>
            </m:r>
          </m:e>
          <m:sub>
            <m:r>
              <w:rPr>
                <w:rFonts w:ascii="Cambria Math" w:hAnsi="Cambria Math" w:cs="Times New Roman"/>
                <w:sz w:val="32"/>
                <w:szCs w:val="24"/>
              </w:rPr>
              <m:t>IT</m:t>
            </m:r>
          </m:sub>
        </m:sSub>
        <m:r>
          <w:rPr>
            <w:rFonts w:ascii="Cambria Math" w:hAnsi="Cambria Math" w:cs="Times New Roman"/>
            <w:sz w:val="32"/>
            <w:szCs w:val="24"/>
          </w:rPr>
          <m:t xml:space="preserve">+ </m:t>
        </m:r>
        <m:sSub>
          <m:sSubPr>
            <m:ctrlPr>
              <w:rPr>
                <w:rFonts w:ascii="Cambria Math" w:hAnsi="Cambria Math" w:cs="Times New Roman"/>
                <w:i/>
                <w:sz w:val="32"/>
                <w:szCs w:val="24"/>
              </w:rPr>
            </m:ctrlPr>
          </m:sSubPr>
          <m:e>
            <m:r>
              <w:rPr>
                <w:rFonts w:ascii="Cambria Math" w:hAnsi="Cambria Math" w:cs="Times New Roman"/>
                <w:sz w:val="32"/>
                <w:szCs w:val="24"/>
              </w:rPr>
              <m:t>β</m:t>
            </m:r>
          </m:e>
          <m:sub>
            <m:r>
              <w:rPr>
                <w:rFonts w:ascii="Cambria Math" w:hAnsi="Cambria Math" w:cs="Times New Roman"/>
                <w:sz w:val="32"/>
                <w:szCs w:val="24"/>
              </w:rPr>
              <m:t>2</m:t>
            </m:r>
          </m:sub>
        </m:sSub>
        <m:sSub>
          <m:sSubPr>
            <m:ctrlPr>
              <w:rPr>
                <w:rFonts w:ascii="Cambria Math" w:hAnsi="Cambria Math" w:cs="Times New Roman"/>
                <w:i/>
                <w:sz w:val="32"/>
                <w:szCs w:val="24"/>
              </w:rPr>
            </m:ctrlPr>
          </m:sSubPr>
          <m:e>
            <m:r>
              <w:rPr>
                <w:rFonts w:ascii="Cambria Math" w:hAnsi="Cambria Math" w:cs="Times New Roman"/>
                <w:sz w:val="32"/>
                <w:szCs w:val="24"/>
              </w:rPr>
              <m:t>ICT</m:t>
            </m:r>
          </m:e>
          <m:sub>
            <m:r>
              <w:rPr>
                <w:rFonts w:ascii="Cambria Math" w:hAnsi="Cambria Math" w:cs="Times New Roman"/>
                <w:sz w:val="32"/>
                <w:szCs w:val="24"/>
              </w:rPr>
              <m:t>IT</m:t>
            </m:r>
          </m:sub>
        </m:sSub>
        <m:r>
          <w:rPr>
            <w:rFonts w:ascii="Cambria Math" w:hAnsi="Cambria Math" w:cs="Times New Roman"/>
            <w:sz w:val="32"/>
            <w:szCs w:val="24"/>
          </w:rPr>
          <m:t xml:space="preserve">+ </m:t>
        </m:r>
        <m:sSub>
          <m:sSubPr>
            <m:ctrlPr>
              <w:rPr>
                <w:rFonts w:ascii="Cambria Math" w:hAnsi="Cambria Math" w:cs="Times New Roman"/>
                <w:i/>
                <w:sz w:val="32"/>
                <w:szCs w:val="24"/>
              </w:rPr>
            </m:ctrlPr>
          </m:sSubPr>
          <m:e>
            <m:r>
              <w:rPr>
                <w:rFonts w:ascii="Cambria Math" w:hAnsi="Cambria Math" w:cs="Times New Roman"/>
                <w:sz w:val="32"/>
                <w:szCs w:val="24"/>
              </w:rPr>
              <m:t>β</m:t>
            </m:r>
          </m:e>
          <m:sub>
            <m:r>
              <w:rPr>
                <w:rFonts w:ascii="Cambria Math" w:hAnsi="Cambria Math" w:cs="Times New Roman"/>
                <w:sz w:val="32"/>
                <w:szCs w:val="24"/>
              </w:rPr>
              <m:t>3</m:t>
            </m:r>
          </m:sub>
        </m:sSub>
        <m:sSub>
          <m:sSubPr>
            <m:ctrlPr>
              <w:rPr>
                <w:rFonts w:ascii="Cambria Math" w:hAnsi="Cambria Math" w:cs="Times New Roman"/>
                <w:i/>
                <w:sz w:val="32"/>
                <w:szCs w:val="24"/>
              </w:rPr>
            </m:ctrlPr>
          </m:sSubPr>
          <m:e>
            <m:r>
              <w:rPr>
                <w:rFonts w:ascii="Cambria Math" w:hAnsi="Cambria Math" w:cs="Times New Roman"/>
                <w:sz w:val="32"/>
                <w:szCs w:val="24"/>
              </w:rPr>
              <m:t>EF</m:t>
            </m:r>
          </m:e>
          <m:sub>
            <m:r>
              <w:rPr>
                <w:rFonts w:ascii="Cambria Math" w:hAnsi="Cambria Math" w:cs="Times New Roman"/>
                <w:sz w:val="32"/>
                <w:szCs w:val="24"/>
              </w:rPr>
              <m:t>IT</m:t>
            </m:r>
          </m:sub>
        </m:sSub>
      </m:oMath>
      <w:r w:rsidR="00BB4930" w:rsidRPr="00950125">
        <w:rPr>
          <w:rFonts w:ascii="Times New Roman" w:eastAsiaTheme="minorEastAsia" w:hAnsi="Times New Roman" w:cs="Times New Roman"/>
          <w:sz w:val="28"/>
          <w:szCs w:val="24"/>
        </w:rPr>
        <w:t xml:space="preserve"> </w:t>
      </w:r>
    </w:p>
    <w:p w14:paraId="5C8526C0" w14:textId="77777777" w:rsidR="00BF77BD" w:rsidRPr="00950125" w:rsidRDefault="00BF77BD" w:rsidP="00D46E36">
      <w:pPr>
        <w:spacing w:line="276" w:lineRule="auto"/>
        <w:jc w:val="both"/>
        <w:rPr>
          <w:rFonts w:ascii="Times New Roman" w:hAnsi="Times New Roman" w:cs="Times New Roman"/>
        </w:rPr>
      </w:pPr>
      <w:r w:rsidRPr="00950125">
        <w:rPr>
          <w:rFonts w:ascii="Times New Roman" w:hAnsi="Times New Roman" w:cs="Times New Roman"/>
          <w:sz w:val="24"/>
          <w:szCs w:val="24"/>
        </w:rPr>
        <w:t>The relationship between</w:t>
      </w:r>
      <w:r w:rsidRPr="00950125">
        <w:rPr>
          <w:rFonts w:ascii="Times New Roman" w:hAnsi="Times New Roman" w:cs="Times New Roman"/>
        </w:rPr>
        <w:t xml:space="preserve"> </w:t>
      </w:r>
      <w:r w:rsidRPr="00950125">
        <w:rPr>
          <w:rFonts w:ascii="Times New Roman" w:hAnsi="Times New Roman" w:cs="Times New Roman"/>
          <w:sz w:val="24"/>
          <w:szCs w:val="24"/>
        </w:rPr>
        <w:t>Sustainable Development Goal 13, Institutional quality, ICT, Economic freedom</w:t>
      </w:r>
      <w:r w:rsidR="0073376E" w:rsidRPr="00950125">
        <w:rPr>
          <w:rFonts w:ascii="Times New Roman" w:hAnsi="Times New Roman" w:cs="Times New Roman"/>
          <w:sz w:val="24"/>
          <w:szCs w:val="24"/>
        </w:rPr>
        <w:t>.</w:t>
      </w:r>
    </w:p>
    <w:p w14:paraId="7B2C8317" w14:textId="267DEF3A" w:rsidR="002131C7" w:rsidRPr="00950125" w:rsidRDefault="002131C7" w:rsidP="00D46E36">
      <w:pPr>
        <w:spacing w:line="276" w:lineRule="auto"/>
        <w:jc w:val="center"/>
        <w:rPr>
          <w:rFonts w:ascii="Times New Roman" w:hAnsi="Times New Roman" w:cs="Times New Roman"/>
          <w:sz w:val="36"/>
          <w:szCs w:val="24"/>
        </w:rPr>
      </w:pPr>
      <w:r w:rsidRPr="00950125">
        <w:rPr>
          <w:rFonts w:ascii="Times New Roman" w:hAnsi="Times New Roman" w:cs="Times New Roman"/>
          <w:sz w:val="36"/>
          <w:szCs w:val="24"/>
        </w:rPr>
        <w:t xml:space="preserve">SDG13| </w:t>
      </w:r>
      <w:r w:rsidR="00BF77BD" w:rsidRPr="00950125">
        <w:rPr>
          <w:rFonts w:ascii="Times New Roman" w:hAnsi="Times New Roman" w:cs="Times New Roman"/>
          <w:sz w:val="36"/>
          <w:szCs w:val="24"/>
        </w:rPr>
        <w:t>IQ, ICT, EF (</w:t>
      </w:r>
      <w:r w:rsidRPr="00950125">
        <w:rPr>
          <w:rFonts w:ascii="Times New Roman" w:hAnsi="Times New Roman" w:cs="Times New Roman"/>
          <w:sz w:val="36"/>
          <w:szCs w:val="24"/>
        </w:rPr>
        <w:t>2)</w:t>
      </w:r>
    </w:p>
    <w:p w14:paraId="68CBD28D" w14:textId="11B68B5E" w:rsidR="00336DF6" w:rsidRPr="00950125" w:rsidRDefault="0029645F" w:rsidP="00D46E36">
      <w:pPr>
        <w:spacing w:line="276" w:lineRule="auto"/>
        <w:jc w:val="center"/>
        <w:rPr>
          <w:rFonts w:ascii="Times New Roman" w:eastAsiaTheme="minorEastAsia" w:hAnsi="Times New Roman" w:cs="Times New Roman"/>
          <w:sz w:val="32"/>
          <w:szCs w:val="24"/>
        </w:rPr>
      </w:pPr>
      <m:oMathPara>
        <m:oMath>
          <m:sSub>
            <m:sSubPr>
              <m:ctrlPr>
                <w:rPr>
                  <w:rFonts w:ascii="Cambria Math" w:hAnsi="Cambria Math" w:cs="Times New Roman"/>
                  <w:i/>
                  <w:sz w:val="32"/>
                  <w:szCs w:val="24"/>
                </w:rPr>
              </m:ctrlPr>
            </m:sSubPr>
            <m:e>
              <m:r>
                <w:rPr>
                  <w:rFonts w:ascii="Cambria Math" w:hAnsi="Cambria Math" w:cs="Times New Roman"/>
                  <w:sz w:val="32"/>
                  <w:szCs w:val="24"/>
                </w:rPr>
                <m:t>CO2</m:t>
              </m:r>
            </m:e>
            <m:sub>
              <m:r>
                <w:rPr>
                  <w:rFonts w:ascii="Cambria Math" w:hAnsi="Cambria Math" w:cs="Times New Roman"/>
                  <w:sz w:val="32"/>
                  <w:szCs w:val="24"/>
                </w:rPr>
                <m:t>it</m:t>
              </m:r>
            </m:sub>
          </m:sSub>
          <m:r>
            <w:rPr>
              <w:rFonts w:ascii="Cambria Math" w:hAnsi="Cambria Math" w:cs="Times New Roman"/>
              <w:sz w:val="32"/>
              <w:szCs w:val="24"/>
            </w:rPr>
            <m:t>=</m:t>
          </m:r>
          <m:sSub>
            <m:sSubPr>
              <m:ctrlPr>
                <w:rPr>
                  <w:rFonts w:ascii="Cambria Math" w:hAnsi="Cambria Math" w:cs="Times New Roman"/>
                  <w:i/>
                  <w:sz w:val="32"/>
                  <w:szCs w:val="24"/>
                </w:rPr>
              </m:ctrlPr>
            </m:sSubPr>
            <m:e>
              <m:r>
                <w:rPr>
                  <w:rFonts w:ascii="Cambria Math" w:hAnsi="Cambria Math" w:cs="Times New Roman"/>
                  <w:sz w:val="32"/>
                  <w:szCs w:val="24"/>
                </w:rPr>
                <m:t xml:space="preserve"> α</m:t>
              </m:r>
            </m:e>
            <m:sub>
              <m:r>
                <w:rPr>
                  <w:rFonts w:ascii="Cambria Math" w:hAnsi="Cambria Math" w:cs="Times New Roman"/>
                  <w:sz w:val="32"/>
                  <w:szCs w:val="24"/>
                </w:rPr>
                <m:t>it</m:t>
              </m:r>
            </m:sub>
          </m:sSub>
          <m:r>
            <w:rPr>
              <w:rFonts w:ascii="Cambria Math" w:hAnsi="Cambria Math" w:cs="Times New Roman"/>
              <w:sz w:val="32"/>
              <w:szCs w:val="24"/>
            </w:rPr>
            <m:t xml:space="preserve">+ </m:t>
          </m:r>
          <m:sSub>
            <m:sSubPr>
              <m:ctrlPr>
                <w:rPr>
                  <w:rFonts w:ascii="Cambria Math" w:hAnsi="Cambria Math" w:cs="Times New Roman"/>
                  <w:i/>
                  <w:sz w:val="32"/>
                  <w:szCs w:val="24"/>
                </w:rPr>
              </m:ctrlPr>
            </m:sSubPr>
            <m:e>
              <m:r>
                <w:rPr>
                  <w:rFonts w:ascii="Cambria Math" w:hAnsi="Cambria Math" w:cs="Times New Roman"/>
                  <w:sz w:val="32"/>
                  <w:szCs w:val="24"/>
                </w:rPr>
                <m:t>β</m:t>
              </m:r>
            </m:e>
            <m:sub>
              <m:r>
                <w:rPr>
                  <w:rFonts w:ascii="Cambria Math" w:hAnsi="Cambria Math" w:cs="Times New Roman"/>
                  <w:sz w:val="32"/>
                  <w:szCs w:val="24"/>
                </w:rPr>
                <m:t>1</m:t>
              </m:r>
            </m:sub>
          </m:sSub>
          <m:sSub>
            <m:sSubPr>
              <m:ctrlPr>
                <w:rPr>
                  <w:rFonts w:ascii="Cambria Math" w:hAnsi="Cambria Math" w:cs="Times New Roman"/>
                  <w:i/>
                  <w:sz w:val="32"/>
                  <w:szCs w:val="24"/>
                </w:rPr>
              </m:ctrlPr>
            </m:sSubPr>
            <m:e>
              <m:r>
                <w:rPr>
                  <w:rFonts w:ascii="Cambria Math" w:hAnsi="Cambria Math" w:cs="Times New Roman"/>
                  <w:sz w:val="32"/>
                  <w:szCs w:val="24"/>
                </w:rPr>
                <m:t>IQ</m:t>
              </m:r>
            </m:e>
            <m:sub>
              <m:r>
                <w:rPr>
                  <w:rFonts w:ascii="Cambria Math" w:hAnsi="Cambria Math" w:cs="Times New Roman"/>
                  <w:sz w:val="32"/>
                  <w:szCs w:val="24"/>
                </w:rPr>
                <m:t>IT</m:t>
              </m:r>
            </m:sub>
          </m:sSub>
          <m:r>
            <w:rPr>
              <w:rFonts w:ascii="Cambria Math" w:hAnsi="Cambria Math" w:cs="Times New Roman"/>
              <w:sz w:val="32"/>
              <w:szCs w:val="24"/>
            </w:rPr>
            <m:t xml:space="preserve">+ </m:t>
          </m:r>
          <m:sSub>
            <m:sSubPr>
              <m:ctrlPr>
                <w:rPr>
                  <w:rFonts w:ascii="Cambria Math" w:hAnsi="Cambria Math" w:cs="Times New Roman"/>
                  <w:i/>
                  <w:sz w:val="32"/>
                  <w:szCs w:val="24"/>
                </w:rPr>
              </m:ctrlPr>
            </m:sSubPr>
            <m:e>
              <m:r>
                <w:rPr>
                  <w:rFonts w:ascii="Cambria Math" w:hAnsi="Cambria Math" w:cs="Times New Roman"/>
                  <w:sz w:val="32"/>
                  <w:szCs w:val="24"/>
                </w:rPr>
                <m:t>β</m:t>
              </m:r>
            </m:e>
            <m:sub>
              <m:r>
                <w:rPr>
                  <w:rFonts w:ascii="Cambria Math" w:hAnsi="Cambria Math" w:cs="Times New Roman"/>
                  <w:sz w:val="32"/>
                  <w:szCs w:val="24"/>
                </w:rPr>
                <m:t>2</m:t>
              </m:r>
            </m:sub>
          </m:sSub>
          <m:sSub>
            <m:sSubPr>
              <m:ctrlPr>
                <w:rPr>
                  <w:rFonts w:ascii="Cambria Math" w:hAnsi="Cambria Math" w:cs="Times New Roman"/>
                  <w:i/>
                  <w:sz w:val="32"/>
                  <w:szCs w:val="24"/>
                </w:rPr>
              </m:ctrlPr>
            </m:sSubPr>
            <m:e>
              <m:r>
                <w:rPr>
                  <w:rFonts w:ascii="Cambria Math" w:hAnsi="Cambria Math" w:cs="Times New Roman"/>
                  <w:sz w:val="32"/>
                  <w:szCs w:val="24"/>
                </w:rPr>
                <m:t>ICT</m:t>
              </m:r>
            </m:e>
            <m:sub>
              <m:r>
                <w:rPr>
                  <w:rFonts w:ascii="Cambria Math" w:hAnsi="Cambria Math" w:cs="Times New Roman"/>
                  <w:sz w:val="32"/>
                  <w:szCs w:val="24"/>
                </w:rPr>
                <m:t>IT</m:t>
              </m:r>
            </m:sub>
          </m:sSub>
          <m:r>
            <w:rPr>
              <w:rFonts w:ascii="Cambria Math" w:hAnsi="Cambria Math" w:cs="Times New Roman"/>
              <w:sz w:val="32"/>
              <w:szCs w:val="24"/>
            </w:rPr>
            <m:t xml:space="preserve">+ </m:t>
          </m:r>
          <m:sSub>
            <m:sSubPr>
              <m:ctrlPr>
                <w:rPr>
                  <w:rFonts w:ascii="Cambria Math" w:hAnsi="Cambria Math" w:cs="Times New Roman"/>
                  <w:i/>
                  <w:sz w:val="32"/>
                  <w:szCs w:val="24"/>
                </w:rPr>
              </m:ctrlPr>
            </m:sSubPr>
            <m:e>
              <m:r>
                <w:rPr>
                  <w:rFonts w:ascii="Cambria Math" w:hAnsi="Cambria Math" w:cs="Times New Roman"/>
                  <w:sz w:val="32"/>
                  <w:szCs w:val="24"/>
                </w:rPr>
                <m:t>β</m:t>
              </m:r>
            </m:e>
            <m:sub>
              <m:r>
                <w:rPr>
                  <w:rFonts w:ascii="Cambria Math" w:hAnsi="Cambria Math" w:cs="Times New Roman"/>
                  <w:sz w:val="32"/>
                  <w:szCs w:val="24"/>
                </w:rPr>
                <m:t>3</m:t>
              </m:r>
            </m:sub>
          </m:sSub>
          <m:sSub>
            <m:sSubPr>
              <m:ctrlPr>
                <w:rPr>
                  <w:rFonts w:ascii="Cambria Math" w:hAnsi="Cambria Math" w:cs="Times New Roman"/>
                  <w:i/>
                  <w:sz w:val="32"/>
                  <w:szCs w:val="24"/>
                </w:rPr>
              </m:ctrlPr>
            </m:sSubPr>
            <m:e>
              <m:r>
                <w:rPr>
                  <w:rFonts w:ascii="Cambria Math" w:hAnsi="Cambria Math" w:cs="Times New Roman"/>
                  <w:sz w:val="32"/>
                  <w:szCs w:val="24"/>
                </w:rPr>
                <m:t>EF</m:t>
              </m:r>
            </m:e>
            <m:sub>
              <m:r>
                <w:rPr>
                  <w:rFonts w:ascii="Cambria Math" w:hAnsi="Cambria Math" w:cs="Times New Roman"/>
                  <w:sz w:val="32"/>
                  <w:szCs w:val="24"/>
                </w:rPr>
                <m:t>IT</m:t>
              </m:r>
            </m:sub>
          </m:sSub>
        </m:oMath>
      </m:oMathPara>
    </w:p>
    <w:p w14:paraId="230D5584" w14:textId="77777777" w:rsidR="002270FA" w:rsidRPr="00950125" w:rsidRDefault="002270FA" w:rsidP="00D46E36">
      <w:pPr>
        <w:spacing w:line="276" w:lineRule="auto"/>
        <w:jc w:val="center"/>
        <w:rPr>
          <w:rFonts w:ascii="Times New Roman" w:hAnsi="Times New Roman" w:cs="Times New Roman"/>
          <w:sz w:val="36"/>
          <w:szCs w:val="24"/>
        </w:rPr>
      </w:pPr>
    </w:p>
    <w:p w14:paraId="0DAF21B1" w14:textId="43BC1E0A" w:rsidR="002131C7" w:rsidRPr="00950125" w:rsidRDefault="008B11CD" w:rsidP="00D46E36">
      <w:pPr>
        <w:pStyle w:val="Heading2"/>
        <w:numPr>
          <w:ilvl w:val="0"/>
          <w:numId w:val="24"/>
        </w:numPr>
        <w:spacing w:line="276" w:lineRule="auto"/>
        <w:rPr>
          <w:rFonts w:ascii="Times New Roman" w:hAnsi="Times New Roman" w:cs="Times New Roman"/>
          <w:b/>
          <w:sz w:val="28"/>
          <w:u w:val="single"/>
        </w:rPr>
      </w:pPr>
      <w:r w:rsidRPr="00950125">
        <w:rPr>
          <w:rFonts w:ascii="Times New Roman" w:hAnsi="Times New Roman" w:cs="Times New Roman"/>
          <w:b/>
          <w:sz w:val="28"/>
          <w:u w:val="single"/>
        </w:rPr>
        <w:t xml:space="preserve"> </w:t>
      </w:r>
      <w:bookmarkStart w:id="26" w:name="_Toc204723893"/>
      <w:r w:rsidR="002131C7" w:rsidRPr="00950125">
        <w:rPr>
          <w:rFonts w:ascii="Times New Roman" w:hAnsi="Times New Roman" w:cs="Times New Roman"/>
          <w:b/>
          <w:sz w:val="28"/>
          <w:u w:val="single"/>
        </w:rPr>
        <w:t>Variables d</w:t>
      </w:r>
      <w:r w:rsidR="00BF77BD" w:rsidRPr="00950125">
        <w:rPr>
          <w:rFonts w:ascii="Times New Roman" w:hAnsi="Times New Roman" w:cs="Times New Roman"/>
          <w:b/>
          <w:sz w:val="28"/>
          <w:u w:val="single"/>
        </w:rPr>
        <w:t>efinition and proxy</w:t>
      </w:r>
      <w:bookmarkEnd w:id="26"/>
    </w:p>
    <w:p w14:paraId="12AC44A4" w14:textId="77777777" w:rsidR="002013D5" w:rsidRPr="00950125" w:rsidRDefault="00B02AC9" w:rsidP="00D46E36">
      <w:pPr>
        <w:spacing w:line="276" w:lineRule="auto"/>
        <w:jc w:val="both"/>
        <w:rPr>
          <w:rFonts w:ascii="Times New Roman" w:hAnsi="Times New Roman" w:cs="Times New Roman"/>
          <w:sz w:val="24"/>
        </w:rPr>
      </w:pPr>
      <w:r w:rsidRPr="00950125">
        <w:rPr>
          <w:rFonts w:ascii="Times New Roman" w:hAnsi="Times New Roman" w:cs="Times New Roman"/>
          <w:sz w:val="24"/>
        </w:rPr>
        <w:t>The relationship between SDG 7 and SDG 13 and their variables are crucial for understanding how a country's institutional environment, digital capabilities, and economic systems either facilitate or hinder progress toward achieving clean energy access and combating climate change. By examining these factors together, this project aims to provide insights into how these dimensions interact and contribute to the global pursuit of sustainability and climate action. To assess these relationships, several proxies are used to measure the variables involved.</w:t>
      </w:r>
    </w:p>
    <w:p w14:paraId="75D20A09" w14:textId="77777777" w:rsidR="0014422F" w:rsidRPr="00950125" w:rsidRDefault="0014422F" w:rsidP="00D46E36">
      <w:pPr>
        <w:pStyle w:val="NormalWeb"/>
        <w:spacing w:line="276" w:lineRule="auto"/>
        <w:jc w:val="both"/>
      </w:pPr>
      <w:r w:rsidRPr="00950125">
        <w:t>In the context of institutional quality, proxies help to quantify aspects of governance and institutional performance that are essential for understanding a country's ability to foster development, stability, and economic growth. Since these concepts cannot be easily measured through a single metric, proxies simplify the process by using existing, quantifiable data that are closely related to the underlying concept.</w:t>
      </w:r>
    </w:p>
    <w:p w14:paraId="15D7FFE5" w14:textId="53E6E5D5" w:rsidR="00D32216" w:rsidRPr="00950125" w:rsidRDefault="00F4455B" w:rsidP="00D46E36">
      <w:pPr>
        <w:pStyle w:val="Caption"/>
        <w:spacing w:line="276" w:lineRule="auto"/>
        <w:rPr>
          <w:rFonts w:ascii="Times New Roman" w:hAnsi="Times New Roman" w:cs="Times New Roman"/>
          <w:b/>
          <w:i w:val="0"/>
          <w:sz w:val="24"/>
        </w:rPr>
      </w:pPr>
      <w:bookmarkStart w:id="27" w:name="_Toc204723233"/>
      <w:r>
        <w:t xml:space="preserve">Table </w:t>
      </w:r>
      <w:r w:rsidR="0029645F">
        <w:rPr>
          <w:noProof/>
        </w:rPr>
        <w:fldChar w:fldCharType="begin"/>
      </w:r>
      <w:r w:rsidR="0029645F">
        <w:rPr>
          <w:noProof/>
        </w:rPr>
        <w:instrText xml:space="preserve"> SEQ Table \* ARABIC </w:instrText>
      </w:r>
      <w:r w:rsidR="0029645F">
        <w:rPr>
          <w:noProof/>
        </w:rPr>
        <w:fldChar w:fldCharType="separate"/>
      </w:r>
      <w:r w:rsidR="003F2868">
        <w:rPr>
          <w:noProof/>
        </w:rPr>
        <w:t>3</w:t>
      </w:r>
      <w:r w:rsidR="0029645F">
        <w:rPr>
          <w:noProof/>
        </w:rPr>
        <w:fldChar w:fldCharType="end"/>
      </w:r>
      <w:r>
        <w:rPr>
          <w:rFonts w:ascii="Times New Roman" w:hAnsi="Times New Roman" w:cs="Times New Roman"/>
          <w:b/>
          <w:i w:val="0"/>
          <w:sz w:val="24"/>
        </w:rPr>
        <w:t>:</w:t>
      </w:r>
      <w:r w:rsidR="00C3775C" w:rsidRPr="00950125">
        <w:rPr>
          <w:rFonts w:ascii="Times New Roman" w:hAnsi="Times New Roman" w:cs="Times New Roman"/>
          <w:b/>
          <w:i w:val="0"/>
          <w:sz w:val="24"/>
        </w:rPr>
        <w:t xml:space="preserve"> Measurement of IQ</w:t>
      </w:r>
      <w:bookmarkEnd w:id="27"/>
    </w:p>
    <w:tbl>
      <w:tblPr>
        <w:tblStyle w:val="PlainTable5"/>
        <w:tblW w:w="0" w:type="auto"/>
        <w:tblLook w:val="04A0" w:firstRow="1" w:lastRow="0" w:firstColumn="1" w:lastColumn="0" w:noHBand="0" w:noVBand="1"/>
      </w:tblPr>
      <w:tblGrid>
        <w:gridCol w:w="1697"/>
        <w:gridCol w:w="1083"/>
        <w:gridCol w:w="3325"/>
        <w:gridCol w:w="780"/>
        <w:gridCol w:w="2475"/>
      </w:tblGrid>
      <w:tr w:rsidR="00560FD0" w:rsidRPr="00950125" w14:paraId="4AAEB610" w14:textId="77777777" w:rsidTr="00560F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A80BB27" w14:textId="77777777" w:rsidR="002013D5" w:rsidRPr="00950125" w:rsidRDefault="002013D5" w:rsidP="00D46E36">
            <w:pPr>
              <w:spacing w:line="276" w:lineRule="auto"/>
              <w:jc w:val="center"/>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Proxy</w:t>
            </w:r>
          </w:p>
        </w:tc>
        <w:tc>
          <w:tcPr>
            <w:tcW w:w="0" w:type="auto"/>
            <w:hideMark/>
          </w:tcPr>
          <w:p w14:paraId="57987B2B" w14:textId="77777777" w:rsidR="002013D5" w:rsidRPr="00950125" w:rsidRDefault="002013D5" w:rsidP="00D46E3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Notation</w:t>
            </w:r>
          </w:p>
        </w:tc>
        <w:tc>
          <w:tcPr>
            <w:tcW w:w="3325" w:type="dxa"/>
            <w:hideMark/>
          </w:tcPr>
          <w:p w14:paraId="0FB9FCB6" w14:textId="77777777" w:rsidR="002013D5" w:rsidRPr="00950125" w:rsidRDefault="002013D5" w:rsidP="00D46E3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Definition</w:t>
            </w:r>
          </w:p>
        </w:tc>
        <w:tc>
          <w:tcPr>
            <w:tcW w:w="780" w:type="dxa"/>
            <w:hideMark/>
          </w:tcPr>
          <w:p w14:paraId="6D208EA8" w14:textId="77777777" w:rsidR="002013D5" w:rsidRPr="00950125" w:rsidRDefault="002013D5" w:rsidP="00D46E3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Units</w:t>
            </w:r>
          </w:p>
        </w:tc>
        <w:tc>
          <w:tcPr>
            <w:tcW w:w="2475" w:type="dxa"/>
            <w:hideMark/>
          </w:tcPr>
          <w:p w14:paraId="150DBA3F" w14:textId="77777777" w:rsidR="002013D5" w:rsidRPr="00950125" w:rsidRDefault="002013D5" w:rsidP="00D46E3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Data Sources</w:t>
            </w:r>
          </w:p>
        </w:tc>
      </w:tr>
      <w:tr w:rsidR="00560FD0" w:rsidRPr="00950125" w14:paraId="590C66DC" w14:textId="77777777" w:rsidTr="0056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8B5FFA" w14:textId="77777777" w:rsidR="002013D5" w:rsidRPr="00950125" w:rsidRDefault="002013D5" w:rsidP="00D46E36">
            <w:pPr>
              <w:spacing w:line="276" w:lineRule="auto"/>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Regulatory Quality</w:t>
            </w:r>
          </w:p>
        </w:tc>
        <w:tc>
          <w:tcPr>
            <w:tcW w:w="0" w:type="auto"/>
            <w:hideMark/>
          </w:tcPr>
          <w:p w14:paraId="1CEDBD55" w14:textId="77777777" w:rsidR="002013D5" w:rsidRPr="00950125" w:rsidRDefault="002013D5" w:rsidP="00D46E3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RQ</w:t>
            </w:r>
          </w:p>
        </w:tc>
        <w:tc>
          <w:tcPr>
            <w:tcW w:w="3325" w:type="dxa"/>
            <w:hideMark/>
          </w:tcPr>
          <w:p w14:paraId="6785329A" w14:textId="77777777" w:rsidR="002013D5" w:rsidRPr="00950125" w:rsidRDefault="002013D5" w:rsidP="00D46E3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ability of the government to formulate and implement sound policies and regulations promoting private sector development.</w:t>
            </w:r>
          </w:p>
        </w:tc>
        <w:tc>
          <w:tcPr>
            <w:tcW w:w="780" w:type="dxa"/>
            <w:hideMark/>
          </w:tcPr>
          <w:p w14:paraId="7BF33E25" w14:textId="77777777" w:rsidR="002013D5" w:rsidRPr="00950125" w:rsidRDefault="002013D5" w:rsidP="00D46E3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Index  Score (0 to 100)</w:t>
            </w:r>
          </w:p>
        </w:tc>
        <w:tc>
          <w:tcPr>
            <w:tcW w:w="2475" w:type="dxa"/>
            <w:hideMark/>
          </w:tcPr>
          <w:p w14:paraId="3DA4097A" w14:textId="77777777" w:rsidR="002013D5" w:rsidRPr="00950125" w:rsidRDefault="002013D5" w:rsidP="00D46E3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World Bank Governance Indicators (WGI)</w:t>
            </w:r>
            <w:r w:rsidRPr="00950125">
              <w:rPr>
                <w:rFonts w:ascii="Times New Roman" w:eastAsia="Times New Roman" w:hAnsi="Times New Roman" w:cs="Times New Roman"/>
                <w:sz w:val="24"/>
                <w:szCs w:val="24"/>
              </w:rPr>
              <w:t>: Regulations and policy effectiveness</w:t>
            </w:r>
            <w:r w:rsidR="00F873A1" w:rsidRPr="00950125">
              <w:rPr>
                <w:rFonts w:ascii="Times New Roman" w:eastAsia="Times New Roman" w:hAnsi="Times New Roman" w:cs="Times New Roman"/>
                <w:sz w:val="24"/>
                <w:szCs w:val="24"/>
              </w:rPr>
              <w:t xml:space="preserve"> data</w:t>
            </w:r>
            <w:r w:rsidRPr="00950125">
              <w:rPr>
                <w:rFonts w:ascii="Times New Roman" w:eastAsia="Times New Roman" w:hAnsi="Times New Roman" w:cs="Times New Roman"/>
                <w:sz w:val="24"/>
                <w:szCs w:val="24"/>
              </w:rPr>
              <w:t>.</w:t>
            </w:r>
          </w:p>
        </w:tc>
      </w:tr>
      <w:tr w:rsidR="002013D5" w:rsidRPr="00950125" w14:paraId="49D46AA2" w14:textId="77777777" w:rsidTr="00560FD0">
        <w:tc>
          <w:tcPr>
            <w:cnfStyle w:val="001000000000" w:firstRow="0" w:lastRow="0" w:firstColumn="1" w:lastColumn="0" w:oddVBand="0" w:evenVBand="0" w:oddHBand="0" w:evenHBand="0" w:firstRowFirstColumn="0" w:firstRowLastColumn="0" w:lastRowFirstColumn="0" w:lastRowLastColumn="0"/>
            <w:tcW w:w="0" w:type="auto"/>
            <w:hideMark/>
          </w:tcPr>
          <w:p w14:paraId="4BD2E215" w14:textId="77777777" w:rsidR="002013D5" w:rsidRPr="00950125" w:rsidRDefault="002013D5" w:rsidP="00D46E36">
            <w:pPr>
              <w:spacing w:line="276" w:lineRule="auto"/>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lastRenderedPageBreak/>
              <w:t>Government Effectiveness</w:t>
            </w:r>
          </w:p>
        </w:tc>
        <w:tc>
          <w:tcPr>
            <w:tcW w:w="0" w:type="auto"/>
            <w:hideMark/>
          </w:tcPr>
          <w:p w14:paraId="74382980" w14:textId="77777777" w:rsidR="002013D5" w:rsidRPr="00950125" w:rsidRDefault="002013D5" w:rsidP="00D46E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GE</w:t>
            </w:r>
          </w:p>
        </w:tc>
        <w:tc>
          <w:tcPr>
            <w:tcW w:w="3325" w:type="dxa"/>
            <w:hideMark/>
          </w:tcPr>
          <w:p w14:paraId="299D0697" w14:textId="77777777" w:rsidR="002013D5" w:rsidRPr="00950125" w:rsidRDefault="002013D5" w:rsidP="00D46E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quality of public services, the capacity of the civil service, and the degree of its independence from political pressures.</w:t>
            </w:r>
          </w:p>
        </w:tc>
        <w:tc>
          <w:tcPr>
            <w:tcW w:w="780" w:type="dxa"/>
            <w:hideMark/>
          </w:tcPr>
          <w:p w14:paraId="0812A8B3" w14:textId="77777777" w:rsidR="002013D5" w:rsidRPr="00950125" w:rsidRDefault="002013D5" w:rsidP="00D46E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Index Score  (0 to 100)</w:t>
            </w:r>
          </w:p>
        </w:tc>
        <w:tc>
          <w:tcPr>
            <w:tcW w:w="2475" w:type="dxa"/>
            <w:hideMark/>
          </w:tcPr>
          <w:p w14:paraId="4EDE8656" w14:textId="77777777" w:rsidR="002013D5" w:rsidRPr="00950125" w:rsidRDefault="002013D5" w:rsidP="00D46E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WGI</w:t>
            </w:r>
            <w:r w:rsidRPr="00950125">
              <w:rPr>
                <w:rFonts w:ascii="Times New Roman" w:eastAsia="Times New Roman" w:hAnsi="Times New Roman" w:cs="Times New Roman"/>
                <w:sz w:val="24"/>
                <w:szCs w:val="24"/>
              </w:rPr>
              <w:t>: Surveys of government service delivery and efficiency.</w:t>
            </w:r>
          </w:p>
        </w:tc>
      </w:tr>
      <w:tr w:rsidR="00560FD0" w:rsidRPr="00950125" w14:paraId="774B5C92" w14:textId="77777777" w:rsidTr="0056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0B9713" w14:textId="77777777" w:rsidR="002013D5" w:rsidRPr="00950125" w:rsidRDefault="002013D5" w:rsidP="00D46E36">
            <w:pPr>
              <w:spacing w:line="276" w:lineRule="auto"/>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Rule of Law</w:t>
            </w:r>
          </w:p>
        </w:tc>
        <w:tc>
          <w:tcPr>
            <w:tcW w:w="0" w:type="auto"/>
            <w:hideMark/>
          </w:tcPr>
          <w:p w14:paraId="58AFA604" w14:textId="77777777" w:rsidR="002013D5" w:rsidRPr="00950125" w:rsidRDefault="002013D5" w:rsidP="00D46E3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RL</w:t>
            </w:r>
          </w:p>
        </w:tc>
        <w:tc>
          <w:tcPr>
            <w:tcW w:w="3325" w:type="dxa"/>
            <w:hideMark/>
          </w:tcPr>
          <w:p w14:paraId="6580D9DE" w14:textId="77777777" w:rsidR="002013D5" w:rsidRPr="00950125" w:rsidRDefault="002013D5" w:rsidP="00D46E3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extent to which agents have confidence in and abide by the rules of society, including contract enforcement and property rights.</w:t>
            </w:r>
          </w:p>
        </w:tc>
        <w:tc>
          <w:tcPr>
            <w:tcW w:w="780" w:type="dxa"/>
            <w:hideMark/>
          </w:tcPr>
          <w:p w14:paraId="1B330180" w14:textId="77777777" w:rsidR="002013D5" w:rsidRPr="00950125" w:rsidRDefault="002013D5" w:rsidP="00D46E3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Index Score (0 to 100)</w:t>
            </w:r>
          </w:p>
        </w:tc>
        <w:tc>
          <w:tcPr>
            <w:tcW w:w="2475" w:type="dxa"/>
            <w:hideMark/>
          </w:tcPr>
          <w:p w14:paraId="0ECD5BE7" w14:textId="77777777" w:rsidR="002013D5" w:rsidRPr="00950125" w:rsidRDefault="002013D5" w:rsidP="00D46E3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 xml:space="preserve"> WGI</w:t>
            </w:r>
            <w:r w:rsidRPr="00950125">
              <w:rPr>
                <w:rFonts w:ascii="Times New Roman" w:eastAsia="Times New Roman" w:hAnsi="Times New Roman" w:cs="Times New Roman"/>
                <w:sz w:val="24"/>
                <w:szCs w:val="24"/>
              </w:rPr>
              <w:t>: Judicial systems, contract enforcement, and law-abiding behavior</w:t>
            </w:r>
            <w:r w:rsidR="00F873A1" w:rsidRPr="00950125">
              <w:rPr>
                <w:rFonts w:ascii="Times New Roman" w:eastAsia="Times New Roman" w:hAnsi="Times New Roman" w:cs="Times New Roman"/>
                <w:sz w:val="24"/>
                <w:szCs w:val="24"/>
              </w:rPr>
              <w:t xml:space="preserve"> data</w:t>
            </w:r>
            <w:r w:rsidRPr="00950125">
              <w:rPr>
                <w:rFonts w:ascii="Times New Roman" w:eastAsia="Times New Roman" w:hAnsi="Times New Roman" w:cs="Times New Roman"/>
                <w:sz w:val="24"/>
                <w:szCs w:val="24"/>
              </w:rPr>
              <w:t>.</w:t>
            </w:r>
          </w:p>
        </w:tc>
      </w:tr>
      <w:tr w:rsidR="002013D5" w:rsidRPr="00950125" w14:paraId="2279119A" w14:textId="77777777" w:rsidTr="00560FD0">
        <w:tc>
          <w:tcPr>
            <w:cnfStyle w:val="001000000000" w:firstRow="0" w:lastRow="0" w:firstColumn="1" w:lastColumn="0" w:oddVBand="0" w:evenVBand="0" w:oddHBand="0" w:evenHBand="0" w:firstRowFirstColumn="0" w:firstRowLastColumn="0" w:lastRowFirstColumn="0" w:lastRowLastColumn="0"/>
            <w:tcW w:w="0" w:type="auto"/>
            <w:hideMark/>
          </w:tcPr>
          <w:p w14:paraId="212B3AF6" w14:textId="77777777" w:rsidR="002013D5" w:rsidRPr="00950125" w:rsidRDefault="002013D5" w:rsidP="00D46E36">
            <w:pPr>
              <w:spacing w:line="276" w:lineRule="auto"/>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Control of Corruption</w:t>
            </w:r>
          </w:p>
        </w:tc>
        <w:tc>
          <w:tcPr>
            <w:tcW w:w="0" w:type="auto"/>
            <w:hideMark/>
          </w:tcPr>
          <w:p w14:paraId="1281B4D4" w14:textId="77777777" w:rsidR="002013D5" w:rsidRPr="00950125" w:rsidRDefault="002013D5" w:rsidP="00D46E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CC</w:t>
            </w:r>
          </w:p>
        </w:tc>
        <w:tc>
          <w:tcPr>
            <w:tcW w:w="3325" w:type="dxa"/>
            <w:hideMark/>
          </w:tcPr>
          <w:p w14:paraId="1502EB1B" w14:textId="77777777" w:rsidR="002013D5" w:rsidRPr="00950125" w:rsidRDefault="002013D5" w:rsidP="00D46E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extent to which public power is exercised for private gain, including both petty and grand forms of corruption.</w:t>
            </w:r>
          </w:p>
        </w:tc>
        <w:tc>
          <w:tcPr>
            <w:tcW w:w="780" w:type="dxa"/>
            <w:hideMark/>
          </w:tcPr>
          <w:p w14:paraId="2C02263A" w14:textId="77777777" w:rsidR="002013D5" w:rsidRPr="00950125" w:rsidRDefault="002013D5" w:rsidP="00D46E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Index Score (0 to 100)</w:t>
            </w:r>
          </w:p>
        </w:tc>
        <w:tc>
          <w:tcPr>
            <w:tcW w:w="2475" w:type="dxa"/>
            <w:hideMark/>
          </w:tcPr>
          <w:p w14:paraId="69815A7B" w14:textId="77777777" w:rsidR="002013D5" w:rsidRPr="00950125" w:rsidRDefault="002013D5" w:rsidP="00D46E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WGI</w:t>
            </w:r>
            <w:r w:rsidR="00F873A1" w:rsidRPr="00950125">
              <w:rPr>
                <w:rFonts w:ascii="Times New Roman" w:eastAsia="Times New Roman" w:hAnsi="Times New Roman" w:cs="Times New Roman"/>
                <w:sz w:val="24"/>
                <w:szCs w:val="24"/>
              </w:rPr>
              <w:t>: Data</w:t>
            </w:r>
            <w:r w:rsidRPr="00950125">
              <w:rPr>
                <w:rFonts w:ascii="Times New Roman" w:eastAsia="Times New Roman" w:hAnsi="Times New Roman" w:cs="Times New Roman"/>
                <w:sz w:val="24"/>
                <w:szCs w:val="24"/>
              </w:rPr>
              <w:t xml:space="preserve"> of corruption in various sectors such as government, business, and public services.</w:t>
            </w:r>
          </w:p>
        </w:tc>
      </w:tr>
      <w:tr w:rsidR="00560FD0" w:rsidRPr="00950125" w14:paraId="59C58EE7" w14:textId="77777777" w:rsidTr="0056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A51086" w14:textId="77777777" w:rsidR="002013D5" w:rsidRPr="00950125" w:rsidRDefault="002013D5" w:rsidP="00D46E36">
            <w:pPr>
              <w:spacing w:line="276" w:lineRule="auto"/>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Political Stability</w:t>
            </w:r>
          </w:p>
        </w:tc>
        <w:tc>
          <w:tcPr>
            <w:tcW w:w="0" w:type="auto"/>
            <w:hideMark/>
          </w:tcPr>
          <w:p w14:paraId="6C779468" w14:textId="77777777" w:rsidR="002013D5" w:rsidRPr="00950125" w:rsidRDefault="002013D5" w:rsidP="00D46E3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PS</w:t>
            </w:r>
          </w:p>
        </w:tc>
        <w:tc>
          <w:tcPr>
            <w:tcW w:w="3325" w:type="dxa"/>
            <w:hideMark/>
          </w:tcPr>
          <w:p w14:paraId="42854EAB" w14:textId="77777777" w:rsidR="002013D5" w:rsidRPr="00950125" w:rsidRDefault="002013D5" w:rsidP="00D46E3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likelihood of political instability and/or violence, including terrorism.</w:t>
            </w:r>
          </w:p>
        </w:tc>
        <w:tc>
          <w:tcPr>
            <w:tcW w:w="780" w:type="dxa"/>
            <w:hideMark/>
          </w:tcPr>
          <w:p w14:paraId="0F27DDC0" w14:textId="77777777" w:rsidR="002013D5" w:rsidRPr="00950125" w:rsidRDefault="002013D5" w:rsidP="00D46E3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Index Score (0 to 100)</w:t>
            </w:r>
          </w:p>
        </w:tc>
        <w:tc>
          <w:tcPr>
            <w:tcW w:w="2475" w:type="dxa"/>
            <w:hideMark/>
          </w:tcPr>
          <w:p w14:paraId="0772CA3F" w14:textId="77777777" w:rsidR="002013D5" w:rsidRPr="00950125" w:rsidRDefault="002013D5" w:rsidP="00D46E3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WGI</w:t>
            </w:r>
            <w:r w:rsidRPr="00950125">
              <w:rPr>
                <w:rFonts w:ascii="Times New Roman" w:eastAsia="Times New Roman" w:hAnsi="Times New Roman" w:cs="Times New Roman"/>
                <w:sz w:val="24"/>
                <w:szCs w:val="24"/>
              </w:rPr>
              <w:t>: Political stability and incidents of political violence or instability data.</w:t>
            </w:r>
          </w:p>
        </w:tc>
      </w:tr>
      <w:tr w:rsidR="002013D5" w:rsidRPr="00950125" w14:paraId="26DA28CF" w14:textId="77777777" w:rsidTr="00560FD0">
        <w:trPr>
          <w:trHeight w:val="897"/>
        </w:trPr>
        <w:tc>
          <w:tcPr>
            <w:cnfStyle w:val="001000000000" w:firstRow="0" w:lastRow="0" w:firstColumn="1" w:lastColumn="0" w:oddVBand="0" w:evenVBand="0" w:oddHBand="0" w:evenHBand="0" w:firstRowFirstColumn="0" w:firstRowLastColumn="0" w:lastRowFirstColumn="0" w:lastRowLastColumn="0"/>
            <w:tcW w:w="0" w:type="auto"/>
            <w:hideMark/>
          </w:tcPr>
          <w:p w14:paraId="0B0820B8" w14:textId="77777777" w:rsidR="002013D5" w:rsidRPr="00950125" w:rsidRDefault="002013D5" w:rsidP="00D46E36">
            <w:pPr>
              <w:spacing w:line="276" w:lineRule="auto"/>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Voice and Accountability</w:t>
            </w:r>
          </w:p>
        </w:tc>
        <w:tc>
          <w:tcPr>
            <w:tcW w:w="0" w:type="auto"/>
            <w:hideMark/>
          </w:tcPr>
          <w:p w14:paraId="51DBDC6E" w14:textId="77777777" w:rsidR="002013D5" w:rsidRPr="00950125" w:rsidRDefault="002013D5" w:rsidP="00D46E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VA</w:t>
            </w:r>
          </w:p>
        </w:tc>
        <w:tc>
          <w:tcPr>
            <w:tcW w:w="3325" w:type="dxa"/>
            <w:hideMark/>
          </w:tcPr>
          <w:p w14:paraId="7AA43A87" w14:textId="77777777" w:rsidR="002013D5" w:rsidRPr="00950125" w:rsidRDefault="002013D5" w:rsidP="00D46E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extent to which citizens are able to participate in selecting their government, as well as freedom of expression, association, and media.</w:t>
            </w:r>
          </w:p>
        </w:tc>
        <w:tc>
          <w:tcPr>
            <w:tcW w:w="780" w:type="dxa"/>
            <w:hideMark/>
          </w:tcPr>
          <w:p w14:paraId="096653B1" w14:textId="77777777" w:rsidR="002013D5" w:rsidRPr="00950125" w:rsidRDefault="002013D5" w:rsidP="00D46E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Index Score (0 to 100)</w:t>
            </w:r>
          </w:p>
        </w:tc>
        <w:tc>
          <w:tcPr>
            <w:tcW w:w="2475" w:type="dxa"/>
            <w:hideMark/>
          </w:tcPr>
          <w:p w14:paraId="35A57083" w14:textId="77777777" w:rsidR="002013D5" w:rsidRPr="00950125" w:rsidRDefault="002013D5" w:rsidP="00D46E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WGI</w:t>
            </w:r>
            <w:r w:rsidRPr="00950125">
              <w:rPr>
                <w:rFonts w:ascii="Times New Roman" w:eastAsia="Times New Roman" w:hAnsi="Times New Roman" w:cs="Times New Roman"/>
                <w:sz w:val="24"/>
                <w:szCs w:val="24"/>
              </w:rPr>
              <w:t>: Political rights, civil liberties, and media freedom data.</w:t>
            </w:r>
          </w:p>
        </w:tc>
      </w:tr>
    </w:tbl>
    <w:p w14:paraId="1A5C5129" w14:textId="77777777" w:rsidR="00B02AC9" w:rsidRPr="00950125" w:rsidRDefault="00B02AC9"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Regulatory Quality measures the ability of a government to formulate and implement effective policies and regulations that promote private sector development. It reflects how conducive the regulatory environment is to business growth and development, which is crucial for economic progress. </w:t>
      </w:r>
      <w:r w:rsidRPr="00950125">
        <w:rPr>
          <w:rFonts w:ascii="Times New Roman" w:eastAsia="Times New Roman" w:hAnsi="Times New Roman" w:cs="Times New Roman"/>
          <w:bCs/>
          <w:sz w:val="24"/>
          <w:szCs w:val="24"/>
        </w:rPr>
        <w:t>Similarly</w:t>
      </w:r>
      <w:r w:rsidRPr="00950125">
        <w:rPr>
          <w:rFonts w:ascii="Times New Roman" w:eastAsia="Times New Roman" w:hAnsi="Times New Roman" w:cs="Times New Roman"/>
          <w:sz w:val="24"/>
          <w:szCs w:val="24"/>
        </w:rPr>
        <w:t>, Government Effectiveness assesses the quality of public services, the efficiency of the civil service, and the degree of independence from political interference. A high score indicates that the government effectively delivers services and manages public resources, with minimal political pres</w:t>
      </w:r>
      <w:r w:rsidR="00BB4930" w:rsidRPr="00950125">
        <w:rPr>
          <w:rFonts w:ascii="Times New Roman" w:eastAsia="Times New Roman" w:hAnsi="Times New Roman" w:cs="Times New Roman"/>
          <w:sz w:val="24"/>
          <w:szCs w:val="24"/>
        </w:rPr>
        <w:t>sure affecting decision-making.</w:t>
      </w:r>
      <w:r w:rsidRPr="00950125">
        <w:rPr>
          <w:rFonts w:ascii="Times New Roman" w:eastAsia="Times New Roman" w:hAnsi="Times New Roman" w:cs="Times New Roman"/>
          <w:sz w:val="24"/>
          <w:szCs w:val="24"/>
        </w:rPr>
        <w:t xml:space="preserve"> Rule of Law measures the extent to which individuals and institutions trust and abide by the legal framework, including aspects like contract enforcement and property rights. A well-functioning legal system ensures fairness, security, and protection of rights, which is vital for fostering investment and economic activity. </w:t>
      </w:r>
      <w:r w:rsidRPr="00950125">
        <w:rPr>
          <w:rFonts w:ascii="Times New Roman" w:eastAsia="Times New Roman" w:hAnsi="Times New Roman" w:cs="Times New Roman"/>
          <w:bCs/>
          <w:sz w:val="24"/>
          <w:szCs w:val="24"/>
        </w:rPr>
        <w:t>Moreover</w:t>
      </w:r>
      <w:r w:rsidRPr="00950125">
        <w:rPr>
          <w:rFonts w:ascii="Times New Roman" w:eastAsia="Times New Roman" w:hAnsi="Times New Roman" w:cs="Times New Roman"/>
          <w:sz w:val="24"/>
          <w:szCs w:val="24"/>
        </w:rPr>
        <w:t xml:space="preserve">, Control of Corruption reflects the extent to which public power is abused for private gain, including both petty and grand forms of corruption. It is a critical indicator of how well a government curtails corruption, which can have detrimental effects on both economic and social development. </w:t>
      </w:r>
      <w:r w:rsidRPr="00950125">
        <w:rPr>
          <w:rFonts w:ascii="Times New Roman" w:eastAsia="Times New Roman" w:hAnsi="Times New Roman" w:cs="Times New Roman"/>
          <w:bCs/>
          <w:sz w:val="24"/>
          <w:szCs w:val="24"/>
        </w:rPr>
        <w:t>Furthermore</w:t>
      </w:r>
      <w:r w:rsidRPr="00950125">
        <w:rPr>
          <w:rFonts w:ascii="Times New Roman" w:eastAsia="Times New Roman" w:hAnsi="Times New Roman" w:cs="Times New Roman"/>
          <w:sz w:val="24"/>
          <w:szCs w:val="24"/>
        </w:rPr>
        <w:t xml:space="preserve">, Political Stability evaluates the likelihood of political instability and/or violence, including the threat of terrorism. Political stability is key for fostering a safe environment for development and attracting long-term investments. </w:t>
      </w:r>
      <w:r w:rsidRPr="00950125">
        <w:rPr>
          <w:rFonts w:ascii="Times New Roman" w:eastAsia="Times New Roman" w:hAnsi="Times New Roman" w:cs="Times New Roman"/>
          <w:bCs/>
          <w:sz w:val="24"/>
          <w:szCs w:val="24"/>
        </w:rPr>
        <w:t>Finally</w:t>
      </w:r>
      <w:r w:rsidRPr="00950125">
        <w:rPr>
          <w:rFonts w:ascii="Times New Roman" w:eastAsia="Times New Roman" w:hAnsi="Times New Roman" w:cs="Times New Roman"/>
          <w:sz w:val="24"/>
          <w:szCs w:val="24"/>
        </w:rPr>
        <w:t xml:space="preserve">, Voice and Accountability measures </w:t>
      </w:r>
      <w:r w:rsidRPr="00950125">
        <w:rPr>
          <w:rFonts w:ascii="Times New Roman" w:eastAsia="Times New Roman" w:hAnsi="Times New Roman" w:cs="Times New Roman"/>
          <w:sz w:val="24"/>
          <w:szCs w:val="24"/>
        </w:rPr>
        <w:lastRenderedPageBreak/>
        <w:t xml:space="preserve">the degree to which citizens can participate in selecting their government, along with the freedom of expression, association, and media. High scores indicate that people have the right to freely voice their opinions, and there is a high level of political rights and civil liberties. </w:t>
      </w:r>
      <w:r w:rsidRPr="00950125">
        <w:rPr>
          <w:rFonts w:ascii="Times New Roman" w:eastAsia="Times New Roman" w:hAnsi="Times New Roman" w:cs="Times New Roman"/>
          <w:bCs/>
          <w:sz w:val="24"/>
          <w:szCs w:val="24"/>
        </w:rPr>
        <w:t>Altogether</w:t>
      </w:r>
      <w:r w:rsidRPr="00950125">
        <w:rPr>
          <w:rFonts w:ascii="Times New Roman" w:eastAsia="Times New Roman" w:hAnsi="Times New Roman" w:cs="Times New Roman"/>
          <w:sz w:val="24"/>
          <w:szCs w:val="24"/>
        </w:rPr>
        <w:t xml:space="preserve">, these proxies are sourced from the World Bank Governance Indicators (WGI), which compiles data from expert evaluations and surveys on these key governance dimensions. </w:t>
      </w:r>
      <w:r w:rsidRPr="00950125">
        <w:rPr>
          <w:rFonts w:ascii="Times New Roman" w:eastAsia="Times New Roman" w:hAnsi="Times New Roman" w:cs="Times New Roman"/>
          <w:bCs/>
          <w:sz w:val="24"/>
          <w:szCs w:val="24"/>
        </w:rPr>
        <w:t>In essence</w:t>
      </w:r>
      <w:r w:rsidRPr="00950125">
        <w:rPr>
          <w:rFonts w:ascii="Times New Roman" w:eastAsia="Times New Roman" w:hAnsi="Times New Roman" w:cs="Times New Roman"/>
          <w:sz w:val="24"/>
          <w:szCs w:val="24"/>
        </w:rPr>
        <w:t>, these proxies provide an in-depth view of the key dimensions of institutional quality, emphasizing the effectiveness of governments in regulating, governing, and ensuring the rule of law.</w:t>
      </w:r>
      <w:r w:rsidRPr="00950125">
        <w:rPr>
          <w:rFonts w:ascii="Times New Roman" w:eastAsia="Times New Roman" w:hAnsi="Times New Roman" w:cs="Times New Roman"/>
          <w:vanish/>
          <w:sz w:val="24"/>
          <w:szCs w:val="24"/>
        </w:rPr>
        <w:t>Bottom of Form</w:t>
      </w:r>
    </w:p>
    <w:p w14:paraId="62A26211" w14:textId="6BFE391D" w:rsidR="002131C7" w:rsidRPr="00950125" w:rsidRDefault="00F4455B" w:rsidP="00D46E36">
      <w:pPr>
        <w:pStyle w:val="Caption"/>
        <w:spacing w:line="276" w:lineRule="auto"/>
        <w:rPr>
          <w:rFonts w:ascii="Times New Roman" w:hAnsi="Times New Roman" w:cs="Times New Roman"/>
          <w:b/>
          <w:i w:val="0"/>
          <w:sz w:val="24"/>
          <w:szCs w:val="24"/>
        </w:rPr>
      </w:pPr>
      <w:bookmarkStart w:id="28" w:name="_Toc204723234"/>
      <w:r>
        <w:t xml:space="preserve">Table </w:t>
      </w:r>
      <w:r w:rsidR="0029645F">
        <w:rPr>
          <w:noProof/>
        </w:rPr>
        <w:fldChar w:fldCharType="begin"/>
      </w:r>
      <w:r w:rsidR="0029645F">
        <w:rPr>
          <w:noProof/>
        </w:rPr>
        <w:instrText xml:space="preserve"> SEQ Table \* ARABIC </w:instrText>
      </w:r>
      <w:r w:rsidR="0029645F">
        <w:rPr>
          <w:noProof/>
        </w:rPr>
        <w:fldChar w:fldCharType="separate"/>
      </w:r>
      <w:r w:rsidR="003F2868">
        <w:rPr>
          <w:noProof/>
        </w:rPr>
        <w:t>4</w:t>
      </w:r>
      <w:r w:rsidR="0029645F">
        <w:rPr>
          <w:noProof/>
        </w:rPr>
        <w:fldChar w:fldCharType="end"/>
      </w:r>
      <w:r>
        <w:rPr>
          <w:rFonts w:ascii="Times New Roman" w:hAnsi="Times New Roman" w:cs="Times New Roman"/>
          <w:b/>
          <w:i w:val="0"/>
          <w:sz w:val="24"/>
          <w:szCs w:val="24"/>
        </w:rPr>
        <w:t>:</w:t>
      </w:r>
      <w:r w:rsidR="002013D5" w:rsidRPr="00950125">
        <w:rPr>
          <w:rFonts w:ascii="Times New Roman" w:hAnsi="Times New Roman" w:cs="Times New Roman"/>
          <w:b/>
          <w:i w:val="0"/>
          <w:sz w:val="24"/>
          <w:szCs w:val="24"/>
        </w:rPr>
        <w:t xml:space="preserve"> Measurement of ICT</w:t>
      </w:r>
      <w:bookmarkEnd w:id="28"/>
    </w:p>
    <w:tbl>
      <w:tblPr>
        <w:tblStyle w:val="PlainTable5"/>
        <w:tblW w:w="0" w:type="auto"/>
        <w:tblLook w:val="04A0" w:firstRow="1" w:lastRow="0" w:firstColumn="1" w:lastColumn="0" w:noHBand="0" w:noVBand="1"/>
      </w:tblPr>
      <w:tblGrid>
        <w:gridCol w:w="1564"/>
        <w:gridCol w:w="1083"/>
        <w:gridCol w:w="2823"/>
        <w:gridCol w:w="1523"/>
        <w:gridCol w:w="2367"/>
      </w:tblGrid>
      <w:tr w:rsidR="00F873A1" w:rsidRPr="00950125" w14:paraId="086F79AF" w14:textId="77777777" w:rsidTr="00560F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0A990DA8" w14:textId="77777777" w:rsidR="002013D5" w:rsidRPr="00950125" w:rsidRDefault="002013D5" w:rsidP="00D46E36">
            <w:pPr>
              <w:spacing w:line="276" w:lineRule="auto"/>
              <w:jc w:val="both"/>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Proxy</w:t>
            </w:r>
          </w:p>
        </w:tc>
        <w:tc>
          <w:tcPr>
            <w:tcW w:w="0" w:type="auto"/>
            <w:hideMark/>
          </w:tcPr>
          <w:p w14:paraId="2CAD9397" w14:textId="77777777" w:rsidR="002013D5" w:rsidRPr="00950125" w:rsidRDefault="002013D5" w:rsidP="00D46E36">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Notation</w:t>
            </w:r>
          </w:p>
        </w:tc>
        <w:tc>
          <w:tcPr>
            <w:tcW w:w="2980" w:type="dxa"/>
            <w:hideMark/>
          </w:tcPr>
          <w:p w14:paraId="1A03CC1E" w14:textId="77777777" w:rsidR="002013D5" w:rsidRPr="00950125" w:rsidRDefault="002013D5" w:rsidP="00D46E36">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Definition</w:t>
            </w:r>
          </w:p>
        </w:tc>
        <w:tc>
          <w:tcPr>
            <w:tcW w:w="1337" w:type="dxa"/>
            <w:hideMark/>
          </w:tcPr>
          <w:p w14:paraId="1EBA6096" w14:textId="77777777" w:rsidR="002013D5" w:rsidRPr="00950125" w:rsidRDefault="002013D5" w:rsidP="00D46E36">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Units</w:t>
            </w:r>
          </w:p>
        </w:tc>
        <w:tc>
          <w:tcPr>
            <w:tcW w:w="2385" w:type="dxa"/>
            <w:hideMark/>
          </w:tcPr>
          <w:p w14:paraId="6F180B1E" w14:textId="77777777" w:rsidR="002013D5" w:rsidRPr="00950125" w:rsidRDefault="002013D5" w:rsidP="00D46E36">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Data Sources</w:t>
            </w:r>
          </w:p>
        </w:tc>
      </w:tr>
      <w:tr w:rsidR="00F873A1" w:rsidRPr="00950125" w14:paraId="612E796E" w14:textId="77777777" w:rsidTr="0056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9BE4C0" w14:textId="77777777" w:rsidR="002013D5" w:rsidRPr="00950125" w:rsidRDefault="002013D5"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Internet Penetration</w:t>
            </w:r>
          </w:p>
        </w:tc>
        <w:tc>
          <w:tcPr>
            <w:tcW w:w="0" w:type="auto"/>
            <w:hideMark/>
          </w:tcPr>
          <w:p w14:paraId="72A359BC"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IP</w:t>
            </w:r>
          </w:p>
        </w:tc>
        <w:tc>
          <w:tcPr>
            <w:tcW w:w="2980" w:type="dxa"/>
            <w:hideMark/>
          </w:tcPr>
          <w:p w14:paraId="7FB68624"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proportion of individuals in a country who have access to the internet.</w:t>
            </w:r>
          </w:p>
        </w:tc>
        <w:tc>
          <w:tcPr>
            <w:tcW w:w="1337" w:type="dxa"/>
            <w:hideMark/>
          </w:tcPr>
          <w:p w14:paraId="1845153B"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Percentage (%)</w:t>
            </w:r>
          </w:p>
        </w:tc>
        <w:tc>
          <w:tcPr>
            <w:tcW w:w="2385" w:type="dxa"/>
            <w:hideMark/>
          </w:tcPr>
          <w:p w14:paraId="2D4C3F8B"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International Telecommunication Union (ITU)</w:t>
            </w:r>
            <w:r w:rsidR="00F873A1" w:rsidRPr="00950125">
              <w:rPr>
                <w:rFonts w:ascii="Times New Roman" w:eastAsia="Times New Roman" w:hAnsi="Times New Roman" w:cs="Times New Roman"/>
                <w:sz w:val="24"/>
                <w:szCs w:val="24"/>
              </w:rPr>
              <w:t>: Data of</w:t>
            </w:r>
            <w:r w:rsidRPr="00950125">
              <w:rPr>
                <w:rFonts w:ascii="Times New Roman" w:eastAsia="Times New Roman" w:hAnsi="Times New Roman" w:cs="Times New Roman"/>
                <w:sz w:val="24"/>
                <w:szCs w:val="24"/>
              </w:rPr>
              <w:t xml:space="preserve"> surveys on internet access levels in countries worldwide.</w:t>
            </w:r>
          </w:p>
        </w:tc>
      </w:tr>
      <w:tr w:rsidR="00F873A1" w:rsidRPr="00950125" w14:paraId="2A47A860" w14:textId="77777777" w:rsidTr="00560FD0">
        <w:tc>
          <w:tcPr>
            <w:cnfStyle w:val="001000000000" w:firstRow="0" w:lastRow="0" w:firstColumn="1" w:lastColumn="0" w:oddVBand="0" w:evenVBand="0" w:oddHBand="0" w:evenHBand="0" w:firstRowFirstColumn="0" w:firstRowLastColumn="0" w:lastRowFirstColumn="0" w:lastRowLastColumn="0"/>
            <w:tcW w:w="0" w:type="auto"/>
            <w:hideMark/>
          </w:tcPr>
          <w:p w14:paraId="4EF56B2B" w14:textId="77777777" w:rsidR="002013D5" w:rsidRPr="00950125" w:rsidRDefault="002013D5"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Mobile Cellular Subscriptions</w:t>
            </w:r>
          </w:p>
        </w:tc>
        <w:tc>
          <w:tcPr>
            <w:tcW w:w="0" w:type="auto"/>
            <w:hideMark/>
          </w:tcPr>
          <w:p w14:paraId="381D3447" w14:textId="77777777" w:rsidR="002013D5" w:rsidRPr="00950125" w:rsidRDefault="002013D5"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MCS</w:t>
            </w:r>
          </w:p>
        </w:tc>
        <w:tc>
          <w:tcPr>
            <w:tcW w:w="2980" w:type="dxa"/>
            <w:hideMark/>
          </w:tcPr>
          <w:p w14:paraId="536B5199" w14:textId="77777777" w:rsidR="002013D5" w:rsidRPr="00950125" w:rsidRDefault="002013D5"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number of mobile cellular subscriptions per 100 people.</w:t>
            </w:r>
          </w:p>
        </w:tc>
        <w:tc>
          <w:tcPr>
            <w:tcW w:w="1337" w:type="dxa"/>
            <w:hideMark/>
          </w:tcPr>
          <w:p w14:paraId="57263133" w14:textId="77777777" w:rsidR="002013D5" w:rsidRPr="00950125" w:rsidRDefault="002013D5"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Subscriptions per 100 people</w:t>
            </w:r>
          </w:p>
        </w:tc>
        <w:tc>
          <w:tcPr>
            <w:tcW w:w="2385" w:type="dxa"/>
            <w:hideMark/>
          </w:tcPr>
          <w:p w14:paraId="6F3A4A77" w14:textId="77777777" w:rsidR="002013D5" w:rsidRPr="00950125" w:rsidRDefault="00F873A1"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ITU</w:t>
            </w:r>
            <w:r w:rsidR="002013D5" w:rsidRPr="00950125">
              <w:rPr>
                <w:rFonts w:ascii="Times New Roman" w:eastAsia="Times New Roman" w:hAnsi="Times New Roman" w:cs="Times New Roman"/>
                <w:sz w:val="24"/>
                <w:szCs w:val="24"/>
              </w:rPr>
              <w:t>:</w:t>
            </w:r>
            <w:r w:rsidRPr="00950125">
              <w:rPr>
                <w:rFonts w:ascii="Times New Roman" w:eastAsia="Times New Roman" w:hAnsi="Times New Roman" w:cs="Times New Roman"/>
                <w:sz w:val="24"/>
                <w:szCs w:val="24"/>
              </w:rPr>
              <w:t xml:space="preserve"> N</w:t>
            </w:r>
            <w:r w:rsidR="002013D5" w:rsidRPr="00950125">
              <w:rPr>
                <w:rFonts w:ascii="Times New Roman" w:eastAsia="Times New Roman" w:hAnsi="Times New Roman" w:cs="Times New Roman"/>
                <w:sz w:val="24"/>
                <w:szCs w:val="24"/>
              </w:rPr>
              <w:t>ational statistics</w:t>
            </w:r>
            <w:r w:rsidRPr="00950125">
              <w:rPr>
                <w:rFonts w:ascii="Times New Roman" w:eastAsia="Times New Roman" w:hAnsi="Times New Roman" w:cs="Times New Roman"/>
                <w:sz w:val="24"/>
                <w:szCs w:val="24"/>
              </w:rPr>
              <w:t xml:space="preserve"> </w:t>
            </w:r>
            <w:r w:rsidR="002013D5" w:rsidRPr="00950125">
              <w:rPr>
                <w:rFonts w:ascii="Times New Roman" w:eastAsia="Times New Roman" w:hAnsi="Times New Roman" w:cs="Times New Roman"/>
                <w:sz w:val="24"/>
                <w:szCs w:val="24"/>
              </w:rPr>
              <w:t xml:space="preserve"> on mobile coverage.</w:t>
            </w:r>
          </w:p>
        </w:tc>
      </w:tr>
      <w:tr w:rsidR="00F873A1" w:rsidRPr="00950125" w14:paraId="7C14857A" w14:textId="77777777" w:rsidTr="0056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132925" w14:textId="77777777" w:rsidR="002013D5" w:rsidRPr="00950125" w:rsidRDefault="002013D5"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Broadband Speed</w:t>
            </w:r>
          </w:p>
        </w:tc>
        <w:tc>
          <w:tcPr>
            <w:tcW w:w="0" w:type="auto"/>
            <w:hideMark/>
          </w:tcPr>
          <w:p w14:paraId="6C1E21BE"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BS</w:t>
            </w:r>
          </w:p>
        </w:tc>
        <w:tc>
          <w:tcPr>
            <w:tcW w:w="2980" w:type="dxa"/>
            <w:hideMark/>
          </w:tcPr>
          <w:p w14:paraId="5B0163CB"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average internet speed in a country (measured in Mbps).</w:t>
            </w:r>
          </w:p>
        </w:tc>
        <w:tc>
          <w:tcPr>
            <w:tcW w:w="1337" w:type="dxa"/>
            <w:hideMark/>
          </w:tcPr>
          <w:p w14:paraId="5F5E40A1"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Megabits per second (Mbps)</w:t>
            </w:r>
          </w:p>
        </w:tc>
        <w:tc>
          <w:tcPr>
            <w:tcW w:w="2385" w:type="dxa"/>
            <w:hideMark/>
          </w:tcPr>
          <w:p w14:paraId="3DE2512E" w14:textId="77777777" w:rsidR="00F873A1"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Speedtest Global Index</w:t>
            </w:r>
            <w:r w:rsidRPr="00950125">
              <w:rPr>
                <w:rFonts w:ascii="Times New Roman" w:eastAsia="Times New Roman" w:hAnsi="Times New Roman" w:cs="Times New Roman"/>
                <w:sz w:val="24"/>
                <w:szCs w:val="24"/>
              </w:rPr>
              <w:t xml:space="preserve">: Data of speed tests performed by users worldwide. </w:t>
            </w:r>
          </w:p>
          <w:p w14:paraId="2E5132BF"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Aggregated broadband speed data.</w:t>
            </w:r>
          </w:p>
        </w:tc>
      </w:tr>
      <w:tr w:rsidR="00F873A1" w:rsidRPr="00950125" w14:paraId="3B0AF2F6" w14:textId="77777777" w:rsidTr="00560FD0">
        <w:tc>
          <w:tcPr>
            <w:cnfStyle w:val="001000000000" w:firstRow="0" w:lastRow="0" w:firstColumn="1" w:lastColumn="0" w:oddVBand="0" w:evenVBand="0" w:oddHBand="0" w:evenHBand="0" w:firstRowFirstColumn="0" w:firstRowLastColumn="0" w:lastRowFirstColumn="0" w:lastRowLastColumn="0"/>
            <w:tcW w:w="0" w:type="auto"/>
            <w:hideMark/>
          </w:tcPr>
          <w:p w14:paraId="3A518D16" w14:textId="77777777" w:rsidR="002013D5" w:rsidRPr="00950125" w:rsidRDefault="002013D5"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Digital Literacy Rate</w:t>
            </w:r>
          </w:p>
        </w:tc>
        <w:tc>
          <w:tcPr>
            <w:tcW w:w="0" w:type="auto"/>
            <w:hideMark/>
          </w:tcPr>
          <w:p w14:paraId="659E50E5" w14:textId="77777777" w:rsidR="002013D5" w:rsidRPr="00950125" w:rsidRDefault="002013D5"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DLR</w:t>
            </w:r>
          </w:p>
        </w:tc>
        <w:tc>
          <w:tcPr>
            <w:tcW w:w="2980" w:type="dxa"/>
            <w:hideMark/>
          </w:tcPr>
          <w:p w14:paraId="05923B1C" w14:textId="77777777" w:rsidR="002013D5" w:rsidRPr="00950125" w:rsidRDefault="002013D5"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percentage of individuals in a country who are able to effectively use digital technologies.</w:t>
            </w:r>
          </w:p>
        </w:tc>
        <w:tc>
          <w:tcPr>
            <w:tcW w:w="1337" w:type="dxa"/>
            <w:hideMark/>
          </w:tcPr>
          <w:p w14:paraId="55F25373" w14:textId="77777777" w:rsidR="002013D5" w:rsidRPr="00950125" w:rsidRDefault="002013D5"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Percentage (%)</w:t>
            </w:r>
          </w:p>
        </w:tc>
        <w:tc>
          <w:tcPr>
            <w:tcW w:w="2385" w:type="dxa"/>
            <w:hideMark/>
          </w:tcPr>
          <w:p w14:paraId="4C78380C" w14:textId="77777777" w:rsidR="002013D5" w:rsidRPr="00950125" w:rsidRDefault="00F873A1"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ITU</w:t>
            </w:r>
            <w:r w:rsidRPr="00950125">
              <w:rPr>
                <w:rFonts w:ascii="Times New Roman" w:eastAsia="Times New Roman" w:hAnsi="Times New Roman" w:cs="Times New Roman"/>
                <w:sz w:val="24"/>
                <w:szCs w:val="24"/>
              </w:rPr>
              <w:t>: S</w:t>
            </w:r>
            <w:r w:rsidR="002013D5" w:rsidRPr="00950125">
              <w:rPr>
                <w:rFonts w:ascii="Times New Roman" w:eastAsia="Times New Roman" w:hAnsi="Times New Roman" w:cs="Times New Roman"/>
                <w:sz w:val="24"/>
                <w:szCs w:val="24"/>
              </w:rPr>
              <w:t>urveys on ICT skills and digital literacy</w:t>
            </w:r>
            <w:r w:rsidRPr="00950125">
              <w:rPr>
                <w:rFonts w:ascii="Times New Roman" w:eastAsia="Times New Roman" w:hAnsi="Times New Roman" w:cs="Times New Roman"/>
                <w:sz w:val="24"/>
                <w:szCs w:val="24"/>
              </w:rPr>
              <w:t>.</w:t>
            </w:r>
            <w:r w:rsidR="002013D5" w:rsidRPr="00950125">
              <w:rPr>
                <w:rFonts w:ascii="Times New Roman" w:eastAsia="Times New Roman" w:hAnsi="Times New Roman" w:cs="Times New Roman"/>
                <w:sz w:val="24"/>
                <w:szCs w:val="24"/>
              </w:rPr>
              <w:t>.</w:t>
            </w:r>
          </w:p>
        </w:tc>
      </w:tr>
      <w:tr w:rsidR="00F873A1" w:rsidRPr="00950125" w14:paraId="74C5B40E" w14:textId="77777777" w:rsidTr="0056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178F99" w14:textId="77777777" w:rsidR="002013D5" w:rsidRPr="00950125" w:rsidRDefault="002013D5"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ICT Investment</w:t>
            </w:r>
          </w:p>
        </w:tc>
        <w:tc>
          <w:tcPr>
            <w:tcW w:w="0" w:type="auto"/>
            <w:hideMark/>
          </w:tcPr>
          <w:p w14:paraId="58ECBE51"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ICTI</w:t>
            </w:r>
          </w:p>
        </w:tc>
        <w:tc>
          <w:tcPr>
            <w:tcW w:w="2980" w:type="dxa"/>
            <w:hideMark/>
          </w:tcPr>
          <w:p w14:paraId="0D4E0C2F"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amount of investment made in information and communication technologies by governments and private sectors.</w:t>
            </w:r>
          </w:p>
        </w:tc>
        <w:tc>
          <w:tcPr>
            <w:tcW w:w="1337" w:type="dxa"/>
            <w:hideMark/>
          </w:tcPr>
          <w:p w14:paraId="063629FD"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USD (in billions)</w:t>
            </w:r>
          </w:p>
        </w:tc>
        <w:tc>
          <w:tcPr>
            <w:tcW w:w="2385" w:type="dxa"/>
            <w:hideMark/>
          </w:tcPr>
          <w:p w14:paraId="66F58A40"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World Bank</w:t>
            </w:r>
            <w:r w:rsidR="00F873A1" w:rsidRPr="00950125">
              <w:rPr>
                <w:rFonts w:ascii="Times New Roman" w:eastAsia="Times New Roman" w:hAnsi="Times New Roman" w:cs="Times New Roman"/>
                <w:sz w:val="24"/>
                <w:szCs w:val="24"/>
              </w:rPr>
              <w:t>: N</w:t>
            </w:r>
            <w:r w:rsidRPr="00950125">
              <w:rPr>
                <w:rFonts w:ascii="Times New Roman" w:eastAsia="Times New Roman" w:hAnsi="Times New Roman" w:cs="Times New Roman"/>
                <w:sz w:val="24"/>
                <w:szCs w:val="24"/>
              </w:rPr>
              <w:t>ational statistics on ICT investments, including government budgets and private sector spending on digital infrastructure.</w:t>
            </w:r>
          </w:p>
        </w:tc>
      </w:tr>
    </w:tbl>
    <w:p w14:paraId="5F99721F" w14:textId="77777777" w:rsidR="0073504E" w:rsidRPr="00950125" w:rsidRDefault="00722CC8" w:rsidP="00D46E36">
      <w:pPr>
        <w:spacing w:before="100" w:beforeAutospacing="1" w:after="100" w:afterAutospacing="1"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ICT plays a crucial role in enabling the infrastructure for digital services and supporting various sectors such as clean energy, education, and governance. To assess the level of digital </w:t>
      </w:r>
      <w:r w:rsidRPr="00950125">
        <w:rPr>
          <w:rFonts w:ascii="Times New Roman" w:eastAsia="Times New Roman" w:hAnsi="Times New Roman" w:cs="Times New Roman"/>
          <w:sz w:val="24"/>
          <w:szCs w:val="24"/>
        </w:rPr>
        <w:lastRenderedPageBreak/>
        <w:t>infrastructure and capabilities within a country, several proxies are used. Internet Penetration (IP), for instance, measures the proportion of individuals with access to the internet, expressed as a percentage, offering insight into the overall digital connectivity of the population. Similarly, Mobile Cellular Subscriptions (MCS) tracks the number of mobile cellular subscriptions per 100 people, reflecting the accessibility of mobile services, which are often the primary mode of communication and internet access in many regions. Moreover, Broadband Speed (BS) measures the average internet speed in a country, in megabits per second (Mbps), and is important for assessing the quality of internet services, which directly impacts digital activities like online business, education, and e-governance. In addition, Digital Literacy Rate (DLR) reflects the percentage of individuals who can effectively use digital technologies, thus highlighting the population's level of digital skills, which is essential for engaging with ICT services. Finally, ICT Investment (ICTI) measures the amount of investment in ICT by both the government and private sectors, typically expressed in USD (billions), indicating the financial commitment to enhancing digital infrastructure. Collectively, these proxies offer a comprehensive view of a country’s digital infrastructure and its ability to support various sectors, including clean energy, through digital solutions.</w:t>
      </w:r>
      <w:r w:rsidR="0073504E" w:rsidRPr="00950125">
        <w:rPr>
          <w:rFonts w:ascii="Times New Roman" w:eastAsia="Times New Roman" w:hAnsi="Times New Roman" w:cs="Times New Roman"/>
          <w:vanish/>
          <w:sz w:val="24"/>
          <w:szCs w:val="24"/>
        </w:rPr>
        <w:t>Top of FormBottom of Form</w:t>
      </w:r>
    </w:p>
    <w:p w14:paraId="1CBC04FA" w14:textId="5985D652" w:rsidR="002013D5" w:rsidRPr="00950125" w:rsidRDefault="00F4455B" w:rsidP="00D46E36">
      <w:pPr>
        <w:pStyle w:val="Caption"/>
        <w:spacing w:line="276" w:lineRule="auto"/>
        <w:rPr>
          <w:rFonts w:ascii="Times New Roman" w:hAnsi="Times New Roman" w:cs="Times New Roman"/>
          <w:b/>
          <w:i w:val="0"/>
          <w:sz w:val="24"/>
          <w:szCs w:val="24"/>
        </w:rPr>
      </w:pPr>
      <w:bookmarkStart w:id="29" w:name="_Toc204723235"/>
      <w:r>
        <w:t xml:space="preserve">Table </w:t>
      </w:r>
      <w:r w:rsidR="0029645F">
        <w:rPr>
          <w:noProof/>
        </w:rPr>
        <w:fldChar w:fldCharType="begin"/>
      </w:r>
      <w:r w:rsidR="0029645F">
        <w:rPr>
          <w:noProof/>
        </w:rPr>
        <w:instrText xml:space="preserve"> SEQ Table \* ARABIC </w:instrText>
      </w:r>
      <w:r w:rsidR="0029645F">
        <w:rPr>
          <w:noProof/>
        </w:rPr>
        <w:fldChar w:fldCharType="separate"/>
      </w:r>
      <w:r w:rsidR="003F2868">
        <w:rPr>
          <w:noProof/>
        </w:rPr>
        <w:t>5</w:t>
      </w:r>
      <w:r w:rsidR="0029645F">
        <w:rPr>
          <w:noProof/>
        </w:rPr>
        <w:fldChar w:fldCharType="end"/>
      </w:r>
      <w:r>
        <w:rPr>
          <w:rFonts w:ascii="Times New Roman" w:hAnsi="Times New Roman" w:cs="Times New Roman"/>
          <w:b/>
          <w:i w:val="0"/>
          <w:sz w:val="24"/>
          <w:szCs w:val="24"/>
        </w:rPr>
        <w:t>:</w:t>
      </w:r>
      <w:r w:rsidR="002013D5" w:rsidRPr="00950125">
        <w:rPr>
          <w:rFonts w:ascii="Times New Roman" w:hAnsi="Times New Roman" w:cs="Times New Roman"/>
          <w:b/>
          <w:i w:val="0"/>
          <w:sz w:val="24"/>
          <w:szCs w:val="24"/>
        </w:rPr>
        <w:t xml:space="preserve"> Measurement of EF</w:t>
      </w:r>
      <w:bookmarkEnd w:id="29"/>
    </w:p>
    <w:tbl>
      <w:tblPr>
        <w:tblStyle w:val="PlainTable5"/>
        <w:tblW w:w="0" w:type="auto"/>
        <w:tblLook w:val="04A0" w:firstRow="1" w:lastRow="0" w:firstColumn="1" w:lastColumn="0" w:noHBand="0" w:noVBand="1"/>
      </w:tblPr>
      <w:tblGrid>
        <w:gridCol w:w="1547"/>
        <w:gridCol w:w="1083"/>
        <w:gridCol w:w="2554"/>
        <w:gridCol w:w="1050"/>
        <w:gridCol w:w="3105"/>
      </w:tblGrid>
      <w:tr w:rsidR="00F873A1" w:rsidRPr="00950125" w14:paraId="57877585" w14:textId="77777777" w:rsidTr="00560F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47" w:type="dxa"/>
            <w:hideMark/>
          </w:tcPr>
          <w:p w14:paraId="7417AC01" w14:textId="77777777" w:rsidR="002013D5" w:rsidRPr="00950125" w:rsidRDefault="002013D5" w:rsidP="00D46E36">
            <w:pPr>
              <w:spacing w:line="276" w:lineRule="auto"/>
              <w:jc w:val="both"/>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Proxy</w:t>
            </w:r>
          </w:p>
        </w:tc>
        <w:tc>
          <w:tcPr>
            <w:tcW w:w="924" w:type="dxa"/>
            <w:hideMark/>
          </w:tcPr>
          <w:p w14:paraId="4B2EA39D" w14:textId="77777777" w:rsidR="002013D5" w:rsidRPr="00950125" w:rsidRDefault="002013D5" w:rsidP="00D46E36">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Notation</w:t>
            </w:r>
          </w:p>
        </w:tc>
        <w:tc>
          <w:tcPr>
            <w:tcW w:w="2554" w:type="dxa"/>
            <w:hideMark/>
          </w:tcPr>
          <w:p w14:paraId="5747A49C" w14:textId="77777777" w:rsidR="002013D5" w:rsidRPr="00950125" w:rsidRDefault="002013D5" w:rsidP="00D46E36">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Definition</w:t>
            </w:r>
          </w:p>
        </w:tc>
        <w:tc>
          <w:tcPr>
            <w:tcW w:w="1050" w:type="dxa"/>
            <w:hideMark/>
          </w:tcPr>
          <w:p w14:paraId="7282E80F" w14:textId="77777777" w:rsidR="002013D5" w:rsidRPr="00950125" w:rsidRDefault="002013D5" w:rsidP="00D46E36">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Units</w:t>
            </w:r>
          </w:p>
        </w:tc>
        <w:tc>
          <w:tcPr>
            <w:tcW w:w="3105" w:type="dxa"/>
            <w:hideMark/>
          </w:tcPr>
          <w:p w14:paraId="230D7D2A" w14:textId="77777777" w:rsidR="002013D5" w:rsidRPr="00950125" w:rsidRDefault="002013D5" w:rsidP="00D46E36">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950125">
              <w:rPr>
                <w:rFonts w:ascii="Times New Roman" w:eastAsia="Times New Roman" w:hAnsi="Times New Roman" w:cs="Times New Roman"/>
                <w:b/>
                <w:bCs/>
                <w:sz w:val="24"/>
                <w:szCs w:val="24"/>
              </w:rPr>
              <w:t>Data Sources</w:t>
            </w:r>
          </w:p>
        </w:tc>
      </w:tr>
      <w:tr w:rsidR="00F873A1" w:rsidRPr="00950125" w14:paraId="32D72BEE" w14:textId="77777777" w:rsidTr="0056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hideMark/>
          </w:tcPr>
          <w:p w14:paraId="02B4512D" w14:textId="77777777" w:rsidR="002013D5" w:rsidRPr="00950125" w:rsidRDefault="002013D5"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Business Freedom</w:t>
            </w:r>
          </w:p>
        </w:tc>
        <w:tc>
          <w:tcPr>
            <w:tcW w:w="924" w:type="dxa"/>
            <w:hideMark/>
          </w:tcPr>
          <w:p w14:paraId="5A9AE75D"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BF</w:t>
            </w:r>
          </w:p>
        </w:tc>
        <w:tc>
          <w:tcPr>
            <w:tcW w:w="2554" w:type="dxa"/>
            <w:hideMark/>
          </w:tcPr>
          <w:p w14:paraId="03AAC796"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ease with which new businesses can be established, regulated, and operated within a country.</w:t>
            </w:r>
          </w:p>
        </w:tc>
        <w:tc>
          <w:tcPr>
            <w:tcW w:w="1050" w:type="dxa"/>
            <w:hideMark/>
          </w:tcPr>
          <w:p w14:paraId="49B78615"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Index (0 to 100)</w:t>
            </w:r>
          </w:p>
        </w:tc>
        <w:tc>
          <w:tcPr>
            <w:tcW w:w="3105" w:type="dxa"/>
            <w:hideMark/>
          </w:tcPr>
          <w:p w14:paraId="209F9D23" w14:textId="77777777" w:rsidR="00F873A1"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Heritage Foun</w:t>
            </w:r>
            <w:r w:rsidR="00F873A1" w:rsidRPr="00950125">
              <w:rPr>
                <w:rFonts w:ascii="Times New Roman" w:eastAsia="Times New Roman" w:hAnsi="Times New Roman" w:cs="Times New Roman"/>
                <w:b/>
                <w:bCs/>
                <w:sz w:val="24"/>
                <w:szCs w:val="24"/>
              </w:rPr>
              <w:t>dation Index</w:t>
            </w:r>
            <w:r w:rsidR="001D567E" w:rsidRPr="00950125">
              <w:rPr>
                <w:rFonts w:ascii="Times New Roman" w:eastAsia="Times New Roman" w:hAnsi="Times New Roman" w:cs="Times New Roman"/>
                <w:sz w:val="24"/>
                <w:szCs w:val="24"/>
              </w:rPr>
              <w:t>: Data of</w:t>
            </w:r>
            <w:r w:rsidRPr="00950125">
              <w:rPr>
                <w:rFonts w:ascii="Times New Roman" w:eastAsia="Times New Roman" w:hAnsi="Times New Roman" w:cs="Times New Roman"/>
                <w:sz w:val="24"/>
                <w:szCs w:val="24"/>
              </w:rPr>
              <w:t xml:space="preserve"> the regulatory environment for starting and operating a busin</w:t>
            </w:r>
            <w:r w:rsidR="00F873A1" w:rsidRPr="00950125">
              <w:rPr>
                <w:rFonts w:ascii="Times New Roman" w:eastAsia="Times New Roman" w:hAnsi="Times New Roman" w:cs="Times New Roman"/>
                <w:sz w:val="24"/>
                <w:szCs w:val="24"/>
              </w:rPr>
              <w:t>ess</w:t>
            </w:r>
            <w:r w:rsidRPr="00950125">
              <w:rPr>
                <w:rFonts w:ascii="Times New Roman" w:eastAsia="Times New Roman" w:hAnsi="Times New Roman" w:cs="Times New Roman"/>
                <w:sz w:val="24"/>
                <w:szCs w:val="24"/>
              </w:rPr>
              <w:t xml:space="preserve">. </w:t>
            </w:r>
          </w:p>
          <w:p w14:paraId="265C0276"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Fraser Institute</w:t>
            </w:r>
            <w:r w:rsidR="00F873A1" w:rsidRPr="00950125">
              <w:rPr>
                <w:rFonts w:ascii="Times New Roman" w:eastAsia="Times New Roman" w:hAnsi="Times New Roman" w:cs="Times New Roman"/>
                <w:sz w:val="24"/>
                <w:szCs w:val="24"/>
              </w:rPr>
              <w:t>: S</w:t>
            </w:r>
            <w:r w:rsidRPr="00950125">
              <w:rPr>
                <w:rFonts w:ascii="Times New Roman" w:eastAsia="Times New Roman" w:hAnsi="Times New Roman" w:cs="Times New Roman"/>
                <w:sz w:val="24"/>
                <w:szCs w:val="24"/>
              </w:rPr>
              <w:t>urvey data on business operations and barriers to entry.</w:t>
            </w:r>
          </w:p>
        </w:tc>
      </w:tr>
      <w:tr w:rsidR="00F873A1" w:rsidRPr="00950125" w14:paraId="44706CF7" w14:textId="77777777" w:rsidTr="00560FD0">
        <w:tc>
          <w:tcPr>
            <w:cnfStyle w:val="001000000000" w:firstRow="0" w:lastRow="0" w:firstColumn="1" w:lastColumn="0" w:oddVBand="0" w:evenVBand="0" w:oddHBand="0" w:evenHBand="0" w:firstRowFirstColumn="0" w:firstRowLastColumn="0" w:lastRowFirstColumn="0" w:lastRowLastColumn="0"/>
            <w:tcW w:w="1547" w:type="dxa"/>
            <w:hideMark/>
          </w:tcPr>
          <w:p w14:paraId="03BD12BF" w14:textId="77777777" w:rsidR="002013D5" w:rsidRPr="00950125" w:rsidRDefault="002013D5"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Investment Freedom</w:t>
            </w:r>
          </w:p>
        </w:tc>
        <w:tc>
          <w:tcPr>
            <w:tcW w:w="924" w:type="dxa"/>
            <w:hideMark/>
          </w:tcPr>
          <w:p w14:paraId="0784CF3B" w14:textId="77777777" w:rsidR="002013D5" w:rsidRPr="00950125" w:rsidRDefault="002013D5"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IF</w:t>
            </w:r>
          </w:p>
        </w:tc>
        <w:tc>
          <w:tcPr>
            <w:tcW w:w="2554" w:type="dxa"/>
            <w:hideMark/>
          </w:tcPr>
          <w:p w14:paraId="0D0EB37F" w14:textId="77777777" w:rsidR="002013D5" w:rsidRPr="00950125" w:rsidRDefault="002013D5"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degree to which individuals and businesses are free to make investment decisions without government interference.</w:t>
            </w:r>
          </w:p>
        </w:tc>
        <w:tc>
          <w:tcPr>
            <w:tcW w:w="1050" w:type="dxa"/>
            <w:hideMark/>
          </w:tcPr>
          <w:p w14:paraId="0808D74C" w14:textId="77777777" w:rsidR="002013D5" w:rsidRPr="00950125" w:rsidRDefault="002013D5"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Index (0 to 100)</w:t>
            </w:r>
          </w:p>
        </w:tc>
        <w:tc>
          <w:tcPr>
            <w:tcW w:w="3105" w:type="dxa"/>
            <w:hideMark/>
          </w:tcPr>
          <w:p w14:paraId="56382F03" w14:textId="77777777" w:rsidR="002013D5" w:rsidRPr="00950125" w:rsidRDefault="00F873A1"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 xml:space="preserve">Heritage Foundation Index: </w:t>
            </w:r>
            <w:r w:rsidR="002013D5" w:rsidRPr="00950125">
              <w:rPr>
                <w:rFonts w:ascii="Times New Roman" w:eastAsia="Times New Roman" w:hAnsi="Times New Roman" w:cs="Times New Roman"/>
                <w:sz w:val="24"/>
                <w:szCs w:val="24"/>
              </w:rPr>
              <w:t xml:space="preserve">Data derived from government policies and regulations affecting investment flows, capital movement, and market access. </w:t>
            </w:r>
            <w:r w:rsidR="002013D5" w:rsidRPr="00950125">
              <w:rPr>
                <w:rFonts w:ascii="Times New Roman" w:eastAsia="Times New Roman" w:hAnsi="Times New Roman" w:cs="Times New Roman"/>
                <w:b/>
                <w:bCs/>
                <w:sz w:val="24"/>
                <w:szCs w:val="24"/>
              </w:rPr>
              <w:t>Fraser Institute</w:t>
            </w:r>
            <w:r w:rsidRPr="00950125">
              <w:rPr>
                <w:rFonts w:ascii="Times New Roman" w:eastAsia="Times New Roman" w:hAnsi="Times New Roman" w:cs="Times New Roman"/>
                <w:sz w:val="24"/>
                <w:szCs w:val="24"/>
              </w:rPr>
              <w:t>: Data of</w:t>
            </w:r>
            <w:r w:rsidR="002013D5" w:rsidRPr="00950125">
              <w:rPr>
                <w:rFonts w:ascii="Times New Roman" w:eastAsia="Times New Roman" w:hAnsi="Times New Roman" w:cs="Times New Roman"/>
                <w:sz w:val="24"/>
                <w:szCs w:val="24"/>
              </w:rPr>
              <w:t xml:space="preserve"> national regulatory frameworks and barriers to investment.</w:t>
            </w:r>
          </w:p>
        </w:tc>
      </w:tr>
      <w:tr w:rsidR="00F873A1" w:rsidRPr="00950125" w14:paraId="4F81414F" w14:textId="77777777" w:rsidTr="0056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hideMark/>
          </w:tcPr>
          <w:p w14:paraId="281128A2" w14:textId="77777777" w:rsidR="002013D5" w:rsidRPr="00950125" w:rsidRDefault="002013D5"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Trade Freedom</w:t>
            </w:r>
          </w:p>
        </w:tc>
        <w:tc>
          <w:tcPr>
            <w:tcW w:w="924" w:type="dxa"/>
            <w:hideMark/>
          </w:tcPr>
          <w:p w14:paraId="35508DB8"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TF</w:t>
            </w:r>
          </w:p>
        </w:tc>
        <w:tc>
          <w:tcPr>
            <w:tcW w:w="2554" w:type="dxa"/>
            <w:hideMark/>
          </w:tcPr>
          <w:p w14:paraId="6E598E87"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The degree to which countries allow free exchange of goods and services across borders, </w:t>
            </w:r>
            <w:r w:rsidRPr="00950125">
              <w:rPr>
                <w:rFonts w:ascii="Times New Roman" w:eastAsia="Times New Roman" w:hAnsi="Times New Roman" w:cs="Times New Roman"/>
                <w:sz w:val="24"/>
                <w:szCs w:val="24"/>
              </w:rPr>
              <w:lastRenderedPageBreak/>
              <w:t>with minimal restrictions.</w:t>
            </w:r>
          </w:p>
        </w:tc>
        <w:tc>
          <w:tcPr>
            <w:tcW w:w="1050" w:type="dxa"/>
            <w:hideMark/>
          </w:tcPr>
          <w:p w14:paraId="7CBDC434"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lastRenderedPageBreak/>
              <w:t>Index (0 to 100)</w:t>
            </w:r>
          </w:p>
        </w:tc>
        <w:tc>
          <w:tcPr>
            <w:tcW w:w="3105" w:type="dxa"/>
            <w:hideMark/>
          </w:tcPr>
          <w:p w14:paraId="171D0624" w14:textId="77777777" w:rsidR="002013D5" w:rsidRPr="00950125" w:rsidRDefault="002013D5" w:rsidP="00D46E3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t>Heritage Foun</w:t>
            </w:r>
            <w:r w:rsidR="00F873A1" w:rsidRPr="00950125">
              <w:rPr>
                <w:rFonts w:ascii="Times New Roman" w:eastAsia="Times New Roman" w:hAnsi="Times New Roman" w:cs="Times New Roman"/>
                <w:b/>
                <w:bCs/>
                <w:sz w:val="24"/>
                <w:szCs w:val="24"/>
              </w:rPr>
              <w:t xml:space="preserve">dation Index: </w:t>
            </w:r>
            <w:r w:rsidR="00F873A1" w:rsidRPr="00950125">
              <w:rPr>
                <w:rFonts w:ascii="Times New Roman" w:eastAsia="Times New Roman" w:hAnsi="Times New Roman" w:cs="Times New Roman"/>
                <w:bCs/>
                <w:sz w:val="24"/>
                <w:szCs w:val="24"/>
              </w:rPr>
              <w:t>D</w:t>
            </w:r>
            <w:r w:rsidRPr="00950125">
              <w:rPr>
                <w:rFonts w:ascii="Times New Roman" w:eastAsia="Times New Roman" w:hAnsi="Times New Roman" w:cs="Times New Roman"/>
                <w:sz w:val="24"/>
                <w:szCs w:val="24"/>
              </w:rPr>
              <w:t xml:space="preserve">ata on tariffs, quotas, customs regulations, and the overall openness of the </w:t>
            </w:r>
            <w:r w:rsidRPr="00950125">
              <w:rPr>
                <w:rFonts w:ascii="Times New Roman" w:eastAsia="Times New Roman" w:hAnsi="Times New Roman" w:cs="Times New Roman"/>
                <w:sz w:val="24"/>
                <w:szCs w:val="24"/>
              </w:rPr>
              <w:lastRenderedPageBreak/>
              <w:t xml:space="preserve">economy to trade. </w:t>
            </w:r>
            <w:r w:rsidRPr="00950125">
              <w:rPr>
                <w:rFonts w:ascii="Times New Roman" w:eastAsia="Times New Roman" w:hAnsi="Times New Roman" w:cs="Times New Roman"/>
                <w:b/>
                <w:bCs/>
                <w:sz w:val="24"/>
                <w:szCs w:val="24"/>
              </w:rPr>
              <w:t>Fraser Institute</w:t>
            </w:r>
            <w:r w:rsidR="00F873A1" w:rsidRPr="00950125">
              <w:rPr>
                <w:rFonts w:ascii="Times New Roman" w:eastAsia="Times New Roman" w:hAnsi="Times New Roman" w:cs="Times New Roman"/>
                <w:sz w:val="24"/>
                <w:szCs w:val="24"/>
              </w:rPr>
              <w:t>: I</w:t>
            </w:r>
            <w:r w:rsidRPr="00950125">
              <w:rPr>
                <w:rFonts w:ascii="Times New Roman" w:eastAsia="Times New Roman" w:hAnsi="Times New Roman" w:cs="Times New Roman"/>
                <w:sz w:val="24"/>
                <w:szCs w:val="24"/>
              </w:rPr>
              <w:t>nternational trade policie</w:t>
            </w:r>
            <w:r w:rsidR="00F873A1" w:rsidRPr="00950125">
              <w:rPr>
                <w:rFonts w:ascii="Times New Roman" w:eastAsia="Times New Roman" w:hAnsi="Times New Roman" w:cs="Times New Roman"/>
                <w:sz w:val="24"/>
                <w:szCs w:val="24"/>
              </w:rPr>
              <w:t>s and trade barriers data</w:t>
            </w:r>
            <w:r w:rsidRPr="00950125">
              <w:rPr>
                <w:rFonts w:ascii="Times New Roman" w:eastAsia="Times New Roman" w:hAnsi="Times New Roman" w:cs="Times New Roman"/>
                <w:sz w:val="24"/>
                <w:szCs w:val="24"/>
              </w:rPr>
              <w:t>.</w:t>
            </w:r>
          </w:p>
        </w:tc>
      </w:tr>
      <w:tr w:rsidR="00F873A1" w:rsidRPr="00950125" w14:paraId="7D6C9514" w14:textId="77777777" w:rsidTr="00560FD0">
        <w:tc>
          <w:tcPr>
            <w:cnfStyle w:val="001000000000" w:firstRow="0" w:lastRow="0" w:firstColumn="1" w:lastColumn="0" w:oddVBand="0" w:evenVBand="0" w:oddHBand="0" w:evenHBand="0" w:firstRowFirstColumn="0" w:firstRowLastColumn="0" w:lastRowFirstColumn="0" w:lastRowLastColumn="0"/>
            <w:tcW w:w="1547" w:type="dxa"/>
            <w:hideMark/>
          </w:tcPr>
          <w:p w14:paraId="2CB35050" w14:textId="77777777" w:rsidR="002013D5" w:rsidRPr="00950125" w:rsidRDefault="002013D5"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b/>
                <w:bCs/>
                <w:sz w:val="24"/>
                <w:szCs w:val="24"/>
              </w:rPr>
              <w:lastRenderedPageBreak/>
              <w:t>Fiscal Freedom</w:t>
            </w:r>
          </w:p>
        </w:tc>
        <w:tc>
          <w:tcPr>
            <w:tcW w:w="924" w:type="dxa"/>
            <w:hideMark/>
          </w:tcPr>
          <w:p w14:paraId="761CD404" w14:textId="77777777" w:rsidR="002013D5" w:rsidRPr="00950125" w:rsidRDefault="002013D5"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FF</w:t>
            </w:r>
          </w:p>
        </w:tc>
        <w:tc>
          <w:tcPr>
            <w:tcW w:w="2554" w:type="dxa"/>
            <w:hideMark/>
          </w:tcPr>
          <w:p w14:paraId="4AFE9E2E" w14:textId="77777777" w:rsidR="002013D5" w:rsidRPr="00950125" w:rsidRDefault="002013D5"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level of taxation and the degree of government control over the economy through fiscal policy.</w:t>
            </w:r>
          </w:p>
        </w:tc>
        <w:tc>
          <w:tcPr>
            <w:tcW w:w="1050" w:type="dxa"/>
            <w:hideMark/>
          </w:tcPr>
          <w:p w14:paraId="250726F3" w14:textId="77777777" w:rsidR="002013D5" w:rsidRPr="00950125" w:rsidRDefault="002013D5"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Index (0 to 100)</w:t>
            </w:r>
          </w:p>
        </w:tc>
        <w:tc>
          <w:tcPr>
            <w:tcW w:w="3105" w:type="dxa"/>
            <w:hideMark/>
          </w:tcPr>
          <w:p w14:paraId="1E6E02C2" w14:textId="77777777" w:rsidR="002013D5" w:rsidRPr="00950125" w:rsidRDefault="001D567E" w:rsidP="00D46E3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Data of</w:t>
            </w:r>
            <w:r w:rsidR="002013D5" w:rsidRPr="00950125">
              <w:rPr>
                <w:rFonts w:ascii="Times New Roman" w:eastAsia="Times New Roman" w:hAnsi="Times New Roman" w:cs="Times New Roman"/>
                <w:sz w:val="24"/>
                <w:szCs w:val="24"/>
              </w:rPr>
              <w:t xml:space="preserve"> national tax policies, rates, and government fiscal practices, including government spending. </w:t>
            </w:r>
          </w:p>
        </w:tc>
      </w:tr>
    </w:tbl>
    <w:p w14:paraId="49A020D8" w14:textId="77777777" w:rsidR="002013D5" w:rsidRPr="00950125" w:rsidRDefault="002013D5" w:rsidP="00D46E36">
      <w:pPr>
        <w:spacing w:line="276" w:lineRule="auto"/>
        <w:jc w:val="both"/>
        <w:rPr>
          <w:rFonts w:ascii="Times New Roman" w:hAnsi="Times New Roman" w:cs="Times New Roman"/>
          <w:sz w:val="24"/>
          <w:szCs w:val="24"/>
        </w:rPr>
      </w:pPr>
    </w:p>
    <w:p w14:paraId="53112EF5" w14:textId="51965D8D" w:rsidR="002131C7" w:rsidRPr="00950125" w:rsidRDefault="00722CC8" w:rsidP="00D46E36">
      <w:pPr>
        <w:spacing w:line="276" w:lineRule="auto"/>
        <w:jc w:val="both"/>
        <w:rPr>
          <w:rFonts w:ascii="Times New Roman" w:hAnsi="Times New Roman" w:cs="Times New Roman"/>
          <w:sz w:val="24"/>
          <w:szCs w:val="24"/>
        </w:rPr>
      </w:pPr>
      <w:r w:rsidRPr="00950125">
        <w:rPr>
          <w:rFonts w:ascii="Times New Roman" w:hAnsi="Times New Roman" w:cs="Times New Roman"/>
          <w:sz w:val="24"/>
          <w:szCs w:val="24"/>
        </w:rPr>
        <w:t xml:space="preserve">Economic </w:t>
      </w:r>
      <w:r w:rsidRPr="00950125">
        <w:rPr>
          <w:rFonts w:ascii="Times New Roman" w:eastAsia="Times New Roman" w:hAnsi="Times New Roman" w:cs="Times New Roman"/>
          <w:sz w:val="24"/>
          <w:szCs w:val="24"/>
        </w:rPr>
        <w:t xml:space="preserve">freedom is crucial for creating an environment that fosters economic growth, innovation, and efficiency. Several proxies are used to measure economic freedom, each capturing different aspects of the economic landscape. </w:t>
      </w:r>
      <w:r w:rsidRPr="00950125">
        <w:rPr>
          <w:rFonts w:ascii="Times New Roman" w:eastAsia="Times New Roman" w:hAnsi="Times New Roman" w:cs="Times New Roman"/>
          <w:bCs/>
          <w:sz w:val="24"/>
          <w:szCs w:val="24"/>
        </w:rPr>
        <w:t>Business Freedom (BF)</w:t>
      </w:r>
      <w:r w:rsidRPr="00950125">
        <w:rPr>
          <w:rFonts w:ascii="Times New Roman" w:eastAsia="Times New Roman" w:hAnsi="Times New Roman" w:cs="Times New Roman"/>
          <w:sz w:val="24"/>
          <w:szCs w:val="24"/>
        </w:rPr>
        <w:t xml:space="preserve">, for example, gauges how easily new businesses can be established, regulated, and operated within a country, with an index score ranging from 0 to 100. Similarly, </w:t>
      </w:r>
      <w:r w:rsidRPr="00950125">
        <w:rPr>
          <w:rFonts w:ascii="Times New Roman" w:eastAsia="Times New Roman" w:hAnsi="Times New Roman" w:cs="Times New Roman"/>
          <w:bCs/>
          <w:sz w:val="24"/>
          <w:szCs w:val="24"/>
        </w:rPr>
        <w:t>Investment Freedom (IF)</w:t>
      </w:r>
      <w:r w:rsidRPr="00950125">
        <w:rPr>
          <w:rFonts w:ascii="Times New Roman" w:eastAsia="Times New Roman" w:hAnsi="Times New Roman" w:cs="Times New Roman"/>
          <w:sz w:val="24"/>
          <w:szCs w:val="24"/>
        </w:rPr>
        <w:t xml:space="preserve"> assesses the degree to which individuals and businesses can make investment decisions without government interference. </w:t>
      </w:r>
      <w:r w:rsidRPr="00950125">
        <w:rPr>
          <w:rFonts w:ascii="Times New Roman" w:eastAsia="Times New Roman" w:hAnsi="Times New Roman" w:cs="Times New Roman"/>
          <w:bCs/>
          <w:sz w:val="24"/>
          <w:szCs w:val="24"/>
        </w:rPr>
        <w:t>Trade Freedom (TF)</w:t>
      </w:r>
      <w:r w:rsidRPr="00950125">
        <w:rPr>
          <w:rFonts w:ascii="Times New Roman" w:eastAsia="Times New Roman" w:hAnsi="Times New Roman" w:cs="Times New Roman"/>
          <w:sz w:val="24"/>
          <w:szCs w:val="24"/>
        </w:rPr>
        <w:t xml:space="preserve">, on the other hand, measures the degree to which countries allow the free exchange of goods and services across borders, minimizing restrictions. Additionally, </w:t>
      </w:r>
      <w:r w:rsidRPr="00950125">
        <w:rPr>
          <w:rFonts w:ascii="Times New Roman" w:eastAsia="Times New Roman" w:hAnsi="Times New Roman" w:cs="Times New Roman"/>
          <w:bCs/>
          <w:sz w:val="24"/>
          <w:szCs w:val="24"/>
        </w:rPr>
        <w:t>Fiscal Freedom (FF)</w:t>
      </w:r>
      <w:r w:rsidRPr="00950125">
        <w:rPr>
          <w:rFonts w:ascii="Times New Roman" w:eastAsia="Times New Roman" w:hAnsi="Times New Roman" w:cs="Times New Roman"/>
          <w:sz w:val="24"/>
          <w:szCs w:val="24"/>
        </w:rPr>
        <w:t xml:space="preserve"> evaluates the level of taxation and the degree of government control over the economy, including fiscal policies like taxation and government spending. Together, these proxies offer a comprehensive view of a country's economic freedom by reflecting the ease of doing business, making investments, engaging in trade, and the extent of government interventi</w:t>
      </w:r>
      <w:r w:rsidR="00BB4930" w:rsidRPr="00950125">
        <w:rPr>
          <w:rFonts w:ascii="Times New Roman" w:eastAsia="Times New Roman" w:hAnsi="Times New Roman" w:cs="Times New Roman"/>
          <w:sz w:val="24"/>
          <w:szCs w:val="24"/>
        </w:rPr>
        <w:t>on in the economy. T</w:t>
      </w:r>
      <w:r w:rsidRPr="00950125">
        <w:rPr>
          <w:rFonts w:ascii="Times New Roman" w:eastAsia="Times New Roman" w:hAnsi="Times New Roman" w:cs="Times New Roman"/>
          <w:sz w:val="24"/>
          <w:szCs w:val="24"/>
        </w:rPr>
        <w:t xml:space="preserve">he </w:t>
      </w:r>
      <w:r w:rsidRPr="00950125">
        <w:rPr>
          <w:rFonts w:ascii="Times New Roman" w:eastAsia="Times New Roman" w:hAnsi="Times New Roman" w:cs="Times New Roman"/>
          <w:bCs/>
          <w:sz w:val="24"/>
          <w:szCs w:val="24"/>
        </w:rPr>
        <w:t>Heritage Foundation Index</w:t>
      </w:r>
      <w:r w:rsidRPr="00950125">
        <w:rPr>
          <w:rFonts w:ascii="Times New Roman" w:eastAsia="Times New Roman" w:hAnsi="Times New Roman" w:cs="Times New Roman"/>
          <w:sz w:val="24"/>
          <w:szCs w:val="24"/>
        </w:rPr>
        <w:t xml:space="preserve"> and the </w:t>
      </w:r>
      <w:r w:rsidRPr="00950125">
        <w:rPr>
          <w:rFonts w:ascii="Times New Roman" w:eastAsia="Times New Roman" w:hAnsi="Times New Roman" w:cs="Times New Roman"/>
          <w:bCs/>
          <w:sz w:val="24"/>
          <w:szCs w:val="24"/>
        </w:rPr>
        <w:t>Fraser Institute</w:t>
      </w:r>
      <w:r w:rsidRPr="00950125">
        <w:rPr>
          <w:rFonts w:ascii="Times New Roman" w:eastAsia="Times New Roman" w:hAnsi="Times New Roman" w:cs="Times New Roman"/>
          <w:sz w:val="24"/>
          <w:szCs w:val="24"/>
        </w:rPr>
        <w:t xml:space="preserve"> serve as the primary data sources for these proxies, ensuring global consistency</w:t>
      </w:r>
      <w:r w:rsidRPr="00950125">
        <w:rPr>
          <w:rFonts w:ascii="Times New Roman" w:hAnsi="Times New Roman" w:cs="Times New Roman"/>
          <w:sz w:val="24"/>
          <w:szCs w:val="24"/>
        </w:rPr>
        <w:t xml:space="preserve"> in measuring economic freedom.</w:t>
      </w:r>
    </w:p>
    <w:p w14:paraId="108FD7B2" w14:textId="79528999" w:rsidR="002270FA" w:rsidRPr="00950125" w:rsidRDefault="002270FA" w:rsidP="00D46E36">
      <w:pPr>
        <w:spacing w:line="276" w:lineRule="auto"/>
        <w:jc w:val="both"/>
        <w:rPr>
          <w:rFonts w:ascii="Times New Roman" w:hAnsi="Times New Roman" w:cs="Times New Roman"/>
          <w:sz w:val="24"/>
          <w:szCs w:val="24"/>
        </w:rPr>
      </w:pPr>
    </w:p>
    <w:p w14:paraId="3372A51D" w14:textId="2F12A56D" w:rsidR="002270FA" w:rsidRPr="00950125" w:rsidRDefault="008B11CD" w:rsidP="00D46E36">
      <w:pPr>
        <w:pStyle w:val="Heading2"/>
        <w:numPr>
          <w:ilvl w:val="0"/>
          <w:numId w:val="25"/>
        </w:numPr>
        <w:spacing w:line="276" w:lineRule="auto"/>
        <w:rPr>
          <w:rFonts w:ascii="Times New Roman" w:hAnsi="Times New Roman" w:cs="Times New Roman"/>
          <w:b/>
          <w:u w:val="single"/>
        </w:rPr>
      </w:pPr>
      <w:r w:rsidRPr="00950125">
        <w:rPr>
          <w:rFonts w:ascii="Times New Roman" w:hAnsi="Times New Roman" w:cs="Times New Roman"/>
          <w:b/>
        </w:rPr>
        <w:t xml:space="preserve"> </w:t>
      </w:r>
      <w:bookmarkStart w:id="30" w:name="_Toc204723894"/>
      <w:r w:rsidR="002270FA" w:rsidRPr="00950125">
        <w:rPr>
          <w:rFonts w:ascii="Times New Roman" w:hAnsi="Times New Roman" w:cs="Times New Roman"/>
          <w:b/>
          <w:u w:val="single"/>
        </w:rPr>
        <w:t>Ex</w:t>
      </w:r>
      <w:r w:rsidRPr="00950125">
        <w:rPr>
          <w:rFonts w:ascii="Times New Roman" w:hAnsi="Times New Roman" w:cs="Times New Roman"/>
          <w:b/>
          <w:u w:val="single"/>
        </w:rPr>
        <w:t>pected Sign of Each C</w:t>
      </w:r>
      <w:r w:rsidR="00C55B71" w:rsidRPr="00950125">
        <w:rPr>
          <w:rFonts w:ascii="Times New Roman" w:hAnsi="Times New Roman" w:cs="Times New Roman"/>
          <w:b/>
          <w:u w:val="single"/>
        </w:rPr>
        <w:t>oefficient</w:t>
      </w:r>
      <w:r w:rsidRPr="00950125">
        <w:rPr>
          <w:rFonts w:ascii="Times New Roman" w:hAnsi="Times New Roman" w:cs="Times New Roman"/>
          <w:b/>
          <w:u w:val="single"/>
        </w:rPr>
        <w:t xml:space="preserve"> with Literature J</w:t>
      </w:r>
      <w:r w:rsidR="002270FA" w:rsidRPr="00950125">
        <w:rPr>
          <w:rFonts w:ascii="Times New Roman" w:hAnsi="Times New Roman" w:cs="Times New Roman"/>
          <w:b/>
          <w:u w:val="single"/>
        </w:rPr>
        <w:t>ustification</w:t>
      </w:r>
      <w:bookmarkEnd w:id="30"/>
    </w:p>
    <w:p w14:paraId="50351A62" w14:textId="77777777" w:rsidR="002270FA" w:rsidRPr="00950125" w:rsidRDefault="002270FA"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In econometric modeling, understanding the anticipated direction of influence of independent variables on the dependent variable is crucial for hypothesis formulation and interpretation of results. The expected signs of the coefficients in the provided equations are based on a combination of theoretical frameworks and empirical evidence from existing literature. This section will analyze the hypothesized relationships between IQ (β1​), ICT (β2​), and EF (β3​) coefficients and their impact on Sustainable Development Goal 7 (SDG7), represented by Renewable Energy Consumption (REC), and Sustainable Development Goal 13 (SDG13), denoted by Carbon Dioxide (CO2) emissions.</w:t>
      </w:r>
    </w:p>
    <w:p w14:paraId="2041FB11" w14:textId="77777777" w:rsidR="002270FA" w:rsidRPr="00950125" w:rsidRDefault="002270FA" w:rsidP="00D46E36">
      <w:pPr>
        <w:pStyle w:val="Heading3"/>
        <w:spacing w:line="276" w:lineRule="auto"/>
        <w:rPr>
          <w:rFonts w:ascii="Times New Roman" w:hAnsi="Times New Roman" w:cs="Times New Roman"/>
          <w:b/>
        </w:rPr>
      </w:pPr>
      <w:bookmarkStart w:id="31" w:name="_Toc204723895"/>
      <w:r w:rsidRPr="00950125">
        <w:rPr>
          <w:rFonts w:ascii="Times New Roman" w:hAnsi="Times New Roman" w:cs="Times New Roman"/>
          <w:b/>
        </w:rPr>
        <w:t>Equation 1: Renewable Energy Consumption (REC)</w:t>
      </w:r>
      <w:bookmarkEnd w:id="31"/>
    </w:p>
    <w:p w14:paraId="1E49905F" w14:textId="77777777" w:rsidR="002270FA" w:rsidRPr="00950125" w:rsidRDefault="002270FA" w:rsidP="00D46E36">
      <w:pPr>
        <w:spacing w:line="276" w:lineRule="auto"/>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In this equation, we are examining the drivers of renewable energy consumption:</w:t>
      </w:r>
    </w:p>
    <w:p w14:paraId="07345426" w14:textId="77777777" w:rsidR="002270FA" w:rsidRPr="00950125" w:rsidRDefault="0029645F" w:rsidP="00D46E36">
      <w:pPr>
        <w:spacing w:line="276" w:lineRule="auto"/>
        <w:jc w:val="center"/>
        <w:rPr>
          <w:rFonts w:ascii="Times New Roman" w:hAnsi="Times New Roman" w:cs="Times New Roman"/>
          <w:sz w:val="28"/>
          <w:szCs w:val="24"/>
        </w:rPr>
      </w:pPr>
      <m:oMath>
        <m:sSub>
          <m:sSubPr>
            <m:ctrlPr>
              <w:rPr>
                <w:rFonts w:ascii="Cambria Math" w:hAnsi="Cambria Math" w:cs="Times New Roman"/>
                <w:i/>
                <w:sz w:val="32"/>
                <w:szCs w:val="24"/>
              </w:rPr>
            </m:ctrlPr>
          </m:sSubPr>
          <m:e>
            <m:r>
              <w:rPr>
                <w:rFonts w:ascii="Cambria Math" w:hAnsi="Cambria Math" w:cs="Times New Roman"/>
                <w:sz w:val="32"/>
                <w:szCs w:val="24"/>
              </w:rPr>
              <m:t>REC</m:t>
            </m:r>
          </m:e>
          <m:sub>
            <m:r>
              <w:rPr>
                <w:rFonts w:ascii="Cambria Math" w:hAnsi="Cambria Math" w:cs="Times New Roman"/>
                <w:sz w:val="32"/>
                <w:szCs w:val="24"/>
              </w:rPr>
              <m:t>it</m:t>
            </m:r>
          </m:sub>
        </m:sSub>
        <m:r>
          <w:rPr>
            <w:rFonts w:ascii="Cambria Math" w:hAnsi="Cambria Math" w:cs="Times New Roman"/>
            <w:sz w:val="32"/>
            <w:szCs w:val="24"/>
          </w:rPr>
          <m:t>=</m:t>
        </m:r>
        <m:sSub>
          <m:sSubPr>
            <m:ctrlPr>
              <w:rPr>
                <w:rFonts w:ascii="Cambria Math" w:hAnsi="Cambria Math" w:cs="Times New Roman"/>
                <w:i/>
                <w:sz w:val="32"/>
                <w:szCs w:val="24"/>
              </w:rPr>
            </m:ctrlPr>
          </m:sSubPr>
          <m:e>
            <m:r>
              <w:rPr>
                <w:rFonts w:ascii="Cambria Math" w:hAnsi="Cambria Math" w:cs="Times New Roman"/>
                <w:sz w:val="32"/>
                <w:szCs w:val="24"/>
              </w:rPr>
              <m:t xml:space="preserve"> α</m:t>
            </m:r>
          </m:e>
          <m:sub>
            <m:r>
              <w:rPr>
                <w:rFonts w:ascii="Cambria Math" w:hAnsi="Cambria Math" w:cs="Times New Roman"/>
                <w:sz w:val="32"/>
                <w:szCs w:val="24"/>
              </w:rPr>
              <m:t>it</m:t>
            </m:r>
          </m:sub>
        </m:sSub>
        <m:r>
          <w:rPr>
            <w:rFonts w:ascii="Cambria Math" w:hAnsi="Cambria Math" w:cs="Times New Roman"/>
            <w:sz w:val="32"/>
            <w:szCs w:val="24"/>
          </w:rPr>
          <m:t xml:space="preserve">+ </m:t>
        </m:r>
        <m:sSub>
          <m:sSubPr>
            <m:ctrlPr>
              <w:rPr>
                <w:rFonts w:ascii="Cambria Math" w:hAnsi="Cambria Math" w:cs="Times New Roman"/>
                <w:i/>
                <w:sz w:val="32"/>
                <w:szCs w:val="24"/>
              </w:rPr>
            </m:ctrlPr>
          </m:sSubPr>
          <m:e>
            <m:r>
              <w:rPr>
                <w:rFonts w:ascii="Cambria Math" w:hAnsi="Cambria Math" w:cs="Times New Roman"/>
                <w:sz w:val="32"/>
                <w:szCs w:val="24"/>
              </w:rPr>
              <m:t>β</m:t>
            </m:r>
          </m:e>
          <m:sub>
            <m:r>
              <w:rPr>
                <w:rFonts w:ascii="Cambria Math" w:hAnsi="Cambria Math" w:cs="Times New Roman"/>
                <w:sz w:val="32"/>
                <w:szCs w:val="24"/>
              </w:rPr>
              <m:t>1</m:t>
            </m:r>
          </m:sub>
        </m:sSub>
        <m:sSub>
          <m:sSubPr>
            <m:ctrlPr>
              <w:rPr>
                <w:rFonts w:ascii="Cambria Math" w:hAnsi="Cambria Math" w:cs="Times New Roman"/>
                <w:i/>
                <w:sz w:val="32"/>
                <w:szCs w:val="24"/>
              </w:rPr>
            </m:ctrlPr>
          </m:sSubPr>
          <m:e>
            <m:r>
              <w:rPr>
                <w:rFonts w:ascii="Cambria Math" w:hAnsi="Cambria Math" w:cs="Times New Roman"/>
                <w:sz w:val="32"/>
                <w:szCs w:val="24"/>
              </w:rPr>
              <m:t>IQ</m:t>
            </m:r>
          </m:e>
          <m:sub>
            <m:r>
              <w:rPr>
                <w:rFonts w:ascii="Cambria Math" w:hAnsi="Cambria Math" w:cs="Times New Roman"/>
                <w:sz w:val="32"/>
                <w:szCs w:val="24"/>
              </w:rPr>
              <m:t>IT</m:t>
            </m:r>
          </m:sub>
        </m:sSub>
        <m:r>
          <w:rPr>
            <w:rFonts w:ascii="Cambria Math" w:hAnsi="Cambria Math" w:cs="Times New Roman"/>
            <w:sz w:val="32"/>
            <w:szCs w:val="24"/>
          </w:rPr>
          <m:t xml:space="preserve">+ </m:t>
        </m:r>
        <m:sSub>
          <m:sSubPr>
            <m:ctrlPr>
              <w:rPr>
                <w:rFonts w:ascii="Cambria Math" w:hAnsi="Cambria Math" w:cs="Times New Roman"/>
                <w:i/>
                <w:sz w:val="32"/>
                <w:szCs w:val="24"/>
              </w:rPr>
            </m:ctrlPr>
          </m:sSubPr>
          <m:e>
            <m:r>
              <w:rPr>
                <w:rFonts w:ascii="Cambria Math" w:hAnsi="Cambria Math" w:cs="Times New Roman"/>
                <w:sz w:val="32"/>
                <w:szCs w:val="24"/>
              </w:rPr>
              <m:t>β</m:t>
            </m:r>
          </m:e>
          <m:sub>
            <m:r>
              <w:rPr>
                <w:rFonts w:ascii="Cambria Math" w:hAnsi="Cambria Math" w:cs="Times New Roman"/>
                <w:sz w:val="32"/>
                <w:szCs w:val="24"/>
              </w:rPr>
              <m:t>2</m:t>
            </m:r>
          </m:sub>
        </m:sSub>
        <m:sSub>
          <m:sSubPr>
            <m:ctrlPr>
              <w:rPr>
                <w:rFonts w:ascii="Cambria Math" w:hAnsi="Cambria Math" w:cs="Times New Roman"/>
                <w:i/>
                <w:sz w:val="32"/>
                <w:szCs w:val="24"/>
              </w:rPr>
            </m:ctrlPr>
          </m:sSubPr>
          <m:e>
            <m:r>
              <w:rPr>
                <w:rFonts w:ascii="Cambria Math" w:hAnsi="Cambria Math" w:cs="Times New Roman"/>
                <w:sz w:val="32"/>
                <w:szCs w:val="24"/>
              </w:rPr>
              <m:t>ICT</m:t>
            </m:r>
          </m:e>
          <m:sub>
            <m:r>
              <w:rPr>
                <w:rFonts w:ascii="Cambria Math" w:hAnsi="Cambria Math" w:cs="Times New Roman"/>
                <w:sz w:val="32"/>
                <w:szCs w:val="24"/>
              </w:rPr>
              <m:t>IT</m:t>
            </m:r>
          </m:sub>
        </m:sSub>
        <m:r>
          <w:rPr>
            <w:rFonts w:ascii="Cambria Math" w:hAnsi="Cambria Math" w:cs="Times New Roman"/>
            <w:sz w:val="32"/>
            <w:szCs w:val="24"/>
          </w:rPr>
          <m:t xml:space="preserve">+ </m:t>
        </m:r>
        <m:sSub>
          <m:sSubPr>
            <m:ctrlPr>
              <w:rPr>
                <w:rFonts w:ascii="Cambria Math" w:hAnsi="Cambria Math" w:cs="Times New Roman"/>
                <w:i/>
                <w:sz w:val="32"/>
                <w:szCs w:val="24"/>
              </w:rPr>
            </m:ctrlPr>
          </m:sSubPr>
          <m:e>
            <m:r>
              <w:rPr>
                <w:rFonts w:ascii="Cambria Math" w:hAnsi="Cambria Math" w:cs="Times New Roman"/>
                <w:sz w:val="32"/>
                <w:szCs w:val="24"/>
              </w:rPr>
              <m:t>β</m:t>
            </m:r>
          </m:e>
          <m:sub>
            <m:r>
              <w:rPr>
                <w:rFonts w:ascii="Cambria Math" w:hAnsi="Cambria Math" w:cs="Times New Roman"/>
                <w:sz w:val="32"/>
                <w:szCs w:val="24"/>
              </w:rPr>
              <m:t>3</m:t>
            </m:r>
          </m:sub>
        </m:sSub>
        <m:sSub>
          <m:sSubPr>
            <m:ctrlPr>
              <w:rPr>
                <w:rFonts w:ascii="Cambria Math" w:hAnsi="Cambria Math" w:cs="Times New Roman"/>
                <w:i/>
                <w:sz w:val="32"/>
                <w:szCs w:val="24"/>
              </w:rPr>
            </m:ctrlPr>
          </m:sSubPr>
          <m:e>
            <m:r>
              <w:rPr>
                <w:rFonts w:ascii="Cambria Math" w:hAnsi="Cambria Math" w:cs="Times New Roman"/>
                <w:sz w:val="32"/>
                <w:szCs w:val="24"/>
              </w:rPr>
              <m:t>EF</m:t>
            </m:r>
          </m:e>
          <m:sub>
            <m:r>
              <w:rPr>
                <w:rFonts w:ascii="Cambria Math" w:hAnsi="Cambria Math" w:cs="Times New Roman"/>
                <w:sz w:val="32"/>
                <w:szCs w:val="24"/>
              </w:rPr>
              <m:t>IT</m:t>
            </m:r>
          </m:sub>
        </m:sSub>
      </m:oMath>
      <w:r w:rsidR="002270FA" w:rsidRPr="00950125">
        <w:rPr>
          <w:rFonts w:ascii="Times New Roman" w:eastAsiaTheme="minorEastAsia" w:hAnsi="Times New Roman" w:cs="Times New Roman"/>
          <w:sz w:val="28"/>
          <w:szCs w:val="24"/>
        </w:rPr>
        <w:t xml:space="preserve"> </w:t>
      </w:r>
    </w:p>
    <w:p w14:paraId="0A1A9C9C" w14:textId="4034700B" w:rsidR="00321843" w:rsidRPr="00950125" w:rsidRDefault="002270FA"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lastRenderedPageBreak/>
        <w:t>The coefficient of IQ (</w:t>
      </w:r>
      <w:r w:rsidRPr="00950125">
        <w:rPr>
          <w:rFonts w:ascii="Cambria Math" w:eastAsia="Times New Roman" w:hAnsi="Cambria Math" w:cs="Cambria Math"/>
          <w:sz w:val="24"/>
          <w:szCs w:val="24"/>
        </w:rPr>
        <w:t>𝜷𝟏</w:t>
      </w:r>
      <w:r w:rsidRPr="00950125">
        <w:rPr>
          <w:rFonts w:ascii="Times New Roman" w:eastAsia="Times New Roman" w:hAnsi="Times New Roman" w:cs="Times New Roman"/>
          <w:sz w:val="24"/>
          <w:szCs w:val="24"/>
        </w:rPr>
        <w:t>) is expected to be positive and statistically significant (</w:t>
      </w:r>
      <w:r w:rsidRPr="00950125">
        <w:rPr>
          <w:rFonts w:ascii="Cambria Math" w:eastAsia="Times New Roman" w:hAnsi="Cambria Math" w:cs="Cambria Math"/>
          <w:sz w:val="24"/>
          <w:szCs w:val="24"/>
        </w:rPr>
        <w:t>𝜷𝟏</w:t>
      </w:r>
      <w:r w:rsidRPr="00950125">
        <w:rPr>
          <w:rFonts w:ascii="Times New Roman" w:eastAsia="Times New Roman" w:hAnsi="Times New Roman" w:cs="Times New Roman"/>
          <w:sz w:val="24"/>
          <w:szCs w:val="24"/>
        </w:rPr>
        <w:t xml:space="preserve"> &gt; </w:t>
      </w:r>
      <w:r w:rsidRPr="00950125">
        <w:rPr>
          <w:rFonts w:ascii="Cambria Math" w:eastAsia="Times New Roman" w:hAnsi="Cambria Math" w:cs="Cambria Math"/>
          <w:sz w:val="24"/>
          <w:szCs w:val="24"/>
        </w:rPr>
        <w:t>𝟎</w:t>
      </w:r>
      <w:r w:rsidRPr="00950125">
        <w:rPr>
          <w:rFonts w:ascii="Times New Roman" w:eastAsia="Times New Roman" w:hAnsi="Times New Roman" w:cs="Times New Roman"/>
          <w:sz w:val="24"/>
          <w:szCs w:val="24"/>
        </w:rPr>
        <w:t>).</w:t>
      </w:r>
      <w:r w:rsidR="00321843" w:rsidRPr="00950125">
        <w:rPr>
          <w:rFonts w:ascii="Times New Roman" w:eastAsia="Times New Roman" w:hAnsi="Times New Roman" w:cs="Times New Roman"/>
          <w:sz w:val="24"/>
          <w:szCs w:val="24"/>
        </w:rPr>
        <w:t xml:space="preserve"> This indicates that higher quality institutions promote the consumption of renewable energy. Strong institutions, characterized by Regulatory Quality, Government Effectiveness, Rule of Law, Control of Corruption, Political Stability and Voice and Accountability, create a stable and predictable environment, reducing risks and attracting the long-term investment necessary for renewable energy projects. This positive relationship is supported by studies that conclude institutional quality is a key strategic choice for promoting the use of renewable energy. </w:t>
      </w:r>
      <w:r w:rsidRPr="00950125">
        <w:rPr>
          <w:rFonts w:ascii="Times New Roman" w:eastAsia="Times New Roman" w:hAnsi="Times New Roman" w:cs="Times New Roman"/>
          <w:sz w:val="24"/>
          <w:szCs w:val="24"/>
        </w:rPr>
        <w:t xml:space="preserve">  </w:t>
      </w:r>
    </w:p>
    <w:p w14:paraId="5CE76A3C" w14:textId="58DF8EC7" w:rsidR="002270FA" w:rsidRPr="00950125" w:rsidRDefault="006A5AA6"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Empirical studies have found a positive relationship between institutional quality and renewable energy consumption, suggesting that better governance facilitates the transition to cleaner energy sources. Sound legal frameworks protect property rights, which is essential for attracting private sector investment in renewable energy </w:t>
      </w:r>
      <w:r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{"citationID":"jaLBcVs0","properties":{"formattedCitation":"(Uzar, 2020; E. Wang et al., 2022)","plainCitation":"(Uzar, 2020; E. Wang et al., 2022)","noteIndex":0},"citationItems":[{"id":38,"uris":["http://zotero.org/users/local/dRmf8XHr/items/77WR97E7"],"itemData":{"id":38,"type":"article-journal","container-title":"Renewable Energy","DOI":"10.1016/j.renene.2020.03.172","ISSN":"09601481","journalAbbreviation":"Renewable Energy","language":"en","page":"591-603","source":"DOI.org (Crossref)","title":"Political economy of renewable energy: Does institutional quality make a difference in renewable energy consumption?","title-short":"Political economy of renewable energy","volume":"155","author":[{"family":"Uzar","given":"Umut"}],"issued":{"date-parts":[["2020",8]]}}},{"id":37,"uris":["http://zotero.org/users/local/dRmf8XHr/items/SAYAUU7Z"],"itemData":{"id":37,"type":"article-journal","container-title":"Resources Policy","DOI":"10.1016/j.resourpol.2022.103041","ISSN":"03014207","journalAbbreviation":"Resources Policy","language":"en","page":"103041","source":"DOI.org (Crossref)","title":"Effects of institutional quality and political risk on the renewable energy consumption in the OECD countries","volume":"79","author":[{"family":"Wang","given":"Erhong"},{"family":"Gozgor","given":"Giray"},{"family":"Mahalik","given":"Mantu Kumar"},{"family":"Patel","given":"Gupteswar"},{"family":"Hu","given":"Guoheng"}],"issued":{"date-parts":[["2022",12]]}}}],"schema":"https://github.com/citation-style-language/schema/raw/master/csl-citation.json"} </w:instrText>
      </w:r>
      <w:r w:rsidRPr="00950125">
        <w:rPr>
          <w:rFonts w:ascii="Times New Roman" w:eastAsia="Times New Roman" w:hAnsi="Times New Roman" w:cs="Times New Roman"/>
          <w:sz w:val="24"/>
          <w:szCs w:val="24"/>
        </w:rPr>
        <w:fldChar w:fldCharType="separate"/>
      </w:r>
      <w:r w:rsidRPr="00950125">
        <w:rPr>
          <w:rFonts w:ascii="Times New Roman" w:eastAsia="Times New Roman" w:hAnsi="Times New Roman" w:cs="Times New Roman"/>
          <w:sz w:val="24"/>
          <w:szCs w:val="24"/>
        </w:rPr>
        <w:t>(Uzar, 2020; E. Wang et al., 2022)</w:t>
      </w:r>
      <w:r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{"citationID":"zliAJyae","properties":{"formattedCitation":"(Tabash et al., 2023)","plainCitation":"(Tabash et al., 2023)","noteIndex":0},"citationItems":[{"id":92,"uris":["http://zotero.org/users/local/dRmf8XHr/items/ISIQUE6P"],"itemData":{"id":92,"type":"article-journal","abstract":"Due to an increase in energy demands, it has become vital to devise efficient energy policies. Literature has suggested multiple factors influencing the consumption of specific energy types. Among others, institutional quality (INQ) is another factor that can determine energy consumption. Given this, the current study aimed to investigate the impact of INQ on fossil fuel energy (FFE) and renewable energy consumption (REC). The empirical analysis was conducted on 20 years (2000–2019) of data from South Asian economies, and regression among variables was established by employing the dynamic ordinary least square and fully modified ordinary least square models. The selection of both techniques is subject to the existence of cointegration identified by the Johansen cointegration test. Other pre-estimation techniques include cross-section dependence and unit root testing validating the estimation of coefficients in the long run. The analysis mainly reveals the negative impact of INQ on FFE and the positive impact of INQ on REC. The authors further find the asymmetric impact of control variables including foreign direct investment inflow, economic growth, inflation rate, financial sector development and energy investment on the consumption of both types of energy. Given the positive influence of INQ on REC, it is recommended to focus on improving the efficiency of institutions specifically those that are directly linked with energy-related policies. A better INQ can ensure environmental sustainability by enhancing the consumption of renewable energy. Therefore, it is advised to exert more efforts to improve the INQ. In view of the positive influence of INQ on REC, it is recommended to focus on improving the efficiency of institutions specifically that are directly linked with energy-related policies. A better INQ can ensure environmental sustainability by enhancing the consumption of renewable energy. Therefore, it is advised to exert more efforts for improving the INQ. This study offers robustness to the empirical findings of existing literature on the INQ-REC nexus and complements the underdeveloped literature on the INQ-FFE relationship.","container-title":"Management of Environmental Quality: An International Journal","DOI":"10.1108/MEQ-05-2023-0149","ISSN":"1477-7835","issue":"3","journalAbbreviation":"Management of Environmental Quality: An International Journal","page":"712-727","source":"Silverchair","title":"How does institutional quality determine energy consumption? Empirical evidence from the South Asia region","title-short":"How does institutional quality determine energy consumption?","volume":"35","author":[{"family":"Tabash","given":"Mosab I."},{"family":"Farooq","given":"Umar"},{"family":"Ahmed","given":"Adel"}],"issued":{"date-parts":[["2023",11,28]]}}}],"schema":"https://github.com/citation-style-language/schema/raw/master/csl-citation.json"} </w:instrText>
      </w:r>
      <w:r w:rsidRPr="00950125">
        <w:rPr>
          <w:rFonts w:ascii="Times New Roman" w:eastAsia="Times New Roman" w:hAnsi="Times New Roman" w:cs="Times New Roman"/>
          <w:sz w:val="24"/>
          <w:szCs w:val="24"/>
        </w:rPr>
        <w:fldChar w:fldCharType="separate"/>
      </w:r>
      <w:r w:rsidRPr="00950125">
        <w:rPr>
          <w:rFonts w:ascii="Times New Roman" w:eastAsia="Times New Roman" w:hAnsi="Times New Roman" w:cs="Times New Roman"/>
          <w:sz w:val="24"/>
          <w:szCs w:val="24"/>
        </w:rPr>
        <w:t>(Tabash et al., 2023)</w:t>
      </w:r>
      <w:r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xml:space="preserve">. </w:t>
      </w:r>
      <w:r w:rsidR="002270FA" w:rsidRPr="00950125">
        <w:rPr>
          <w:rFonts w:ascii="Times New Roman" w:eastAsia="Times New Roman" w:hAnsi="Times New Roman" w:cs="Times New Roman"/>
          <w:sz w:val="24"/>
          <w:szCs w:val="24"/>
        </w:rPr>
        <w:t>Effectiv</w:t>
      </w:r>
      <w:r w:rsidR="00321843" w:rsidRPr="00950125">
        <w:rPr>
          <w:rFonts w:ascii="Times New Roman" w:eastAsia="Times New Roman" w:hAnsi="Times New Roman" w:cs="Times New Roman"/>
          <w:sz w:val="24"/>
          <w:szCs w:val="24"/>
        </w:rPr>
        <w:t xml:space="preserve">e governance </w:t>
      </w:r>
      <w:r w:rsidR="002270FA" w:rsidRPr="00950125">
        <w:rPr>
          <w:rFonts w:ascii="Times New Roman" w:eastAsia="Times New Roman" w:hAnsi="Times New Roman" w:cs="Times New Roman"/>
          <w:sz w:val="24"/>
          <w:szCs w:val="24"/>
        </w:rPr>
        <w:t>provide a stable and predictable environment for long-term investments in renew</w:t>
      </w:r>
      <w:r w:rsidR="00321843" w:rsidRPr="00950125">
        <w:rPr>
          <w:rFonts w:ascii="Times New Roman" w:eastAsia="Times New Roman" w:hAnsi="Times New Roman" w:cs="Times New Roman"/>
          <w:sz w:val="24"/>
          <w:szCs w:val="24"/>
        </w:rPr>
        <w:t>able energy projects</w:t>
      </w:r>
      <w:r w:rsidR="0080249B" w:rsidRPr="00950125">
        <w:rPr>
          <w:rFonts w:ascii="Times New Roman" w:eastAsia="Times New Roman" w:hAnsi="Times New Roman" w:cs="Times New Roman"/>
          <w:sz w:val="24"/>
          <w:szCs w:val="24"/>
        </w:rPr>
        <w:t xml:space="preserve"> </w:t>
      </w:r>
      <w:r w:rsidR="0080249B"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{"citationID":"iw97tJzk","properties":{"formattedCitation":"(Strand, n.d.)","plainCitation":"(Strand, n.d.)","noteIndex":0},"citationItems":[{"id":95,"uris":["http://zotero.org/users/local/dRmf8XHr/items/WW49CA6S"],"itemData":{"id":95,"type":"article-journal","abstract":"Sustainable development is a frequently used concept these days. It is often captured trough three dimensions of economic, social and ecological sustainability. As the importance of institutions has been accentuated within the first two dimensions, it has lately been the object of study within the dimension of environmental sustainability. As environment is often described as a collective good, the problem with maintaining a sustainable environment can be understood as problems of collective action due to the conflict between individual and collective rationality. High-quality institutions are assumed to generate trust, making people cooperate. They could therefore be the reason why societies manage to elude these collective action problems. The thesis analyzes if institutional quality affects states´ performance in environmental sustainability, trough a quantitative method. Due to the breadth of the concept environmental sustainability, the analysis is divided into two different sets using two different indexes as dependent variables, Environmental Performance Index and Ecological Footprint. The result confirms that institutional quality affects environmental sustainability. The effect is contradictory however, depending on which variable is used as the dependent one. This ambiguous result makes it hard to come to a general conclusion regarding institutional quality and environmental sustainability but rather demonstrates the complexity with broad concepts and their vagueness.","language":"en","source":"Zotero","title":"Environmental sustainability and Institutional quality","author":[{"family":"Strand","given":"Helena"}]}}],"schema":"https://github.com/citation-style-language/schema/raw/master/csl-citation.json"} </w:instrText>
      </w:r>
      <w:r w:rsidR="0080249B" w:rsidRPr="00950125">
        <w:rPr>
          <w:rFonts w:ascii="Times New Roman" w:eastAsia="Times New Roman" w:hAnsi="Times New Roman" w:cs="Times New Roman"/>
          <w:sz w:val="24"/>
          <w:szCs w:val="24"/>
        </w:rPr>
        <w:fldChar w:fldCharType="separate"/>
      </w:r>
      <w:r w:rsidRPr="00950125">
        <w:rPr>
          <w:rFonts w:ascii="Times New Roman" w:eastAsia="Times New Roman" w:hAnsi="Times New Roman" w:cs="Times New Roman"/>
          <w:sz w:val="24"/>
          <w:szCs w:val="24"/>
        </w:rPr>
        <w:t>(Strand, n.d.)</w:t>
      </w:r>
      <w:r w:rsidR="0080249B" w:rsidRPr="00950125">
        <w:rPr>
          <w:rFonts w:ascii="Times New Roman" w:eastAsia="Times New Roman" w:hAnsi="Times New Roman" w:cs="Times New Roman"/>
          <w:sz w:val="24"/>
          <w:szCs w:val="24"/>
        </w:rPr>
        <w:fldChar w:fldCharType="end"/>
      </w:r>
      <w:r w:rsidR="00321843" w:rsidRPr="00950125">
        <w:rPr>
          <w:rFonts w:ascii="Times New Roman" w:eastAsia="Times New Roman" w:hAnsi="Times New Roman" w:cs="Times New Roman"/>
          <w:sz w:val="24"/>
          <w:szCs w:val="24"/>
        </w:rPr>
        <w:t>.</w:t>
      </w:r>
      <w:r w:rsidR="002270FA" w:rsidRPr="00950125">
        <w:rPr>
          <w:rFonts w:ascii="Times New Roman" w:eastAsia="Times New Roman" w:hAnsi="Times New Roman" w:cs="Times New Roman"/>
          <w:sz w:val="24"/>
          <w:szCs w:val="24"/>
        </w:rPr>
        <w:t xml:space="preserve"> Furthermore, governments in countries with strong institutions are more likely to respond to public demand for environmental quality and support clean energy initiatives</w:t>
      </w:r>
      <w:r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{"citationID":"35jQV7Ui","properties":{"formattedCitation":"(Satrianto et al., 2024)","plainCitation":"(Satrianto et al., 2024)","noteIndex":0},"citationItems":[{"id":40,"uris":["http://zotero.org/users/local/dRmf8XHr/items/VR64FBA2"],"itemData":{"id":40,"type":"article-journal","abstract":"Renewable energy has changed the development paradigm by prioritizing environmental sustainability in every stage of the country development. Therefore, this research specifically provides an overview of how the institutional quality is used as a basis for policy in developing countries. The research results show that the institutional quality with indicators of government effectiveness, voice and accountability have a significant effect, while regulatory quality and rule of law do not have a significant effect on renewable energy. Then, tax revenue, foreign direct investment, domestic credit have a significant effect, but government expenditure does not have a significant effect on renewable energy. These results are proof that every country must have strong quality institutions with a clear and comprehensive policy scheme considering that energy transition targets are not carried out easily, so they require large amounts of financing, especially from the private sector. The government fiscal space tends to be narrow, which is an obstacle in developing countries in allocating costs for the energy transition, so it must be directed at financing strategies contained in appropriate policies.","container-title":"International Journal of Energy Economics and Policy","DOI":"10.32479/ijeep.16794","ISSN":"2146-4553","issue":"5","journalAbbreviation":"IJEEP","page":"678-686","source":"DOI.org (Crossref)","title":"The Effect of Institutional Quality on Renewable Energy: Evidence from Developing Countries","title-short":"The Effect of Institutional Quality on Renewable Energy","volume":"14","author":[{"family":"Satrianto","given":"Alpon"},{"family":"Ikhsan","given":"Akmil"},{"family":"Dirma","given":"Evo Yunanda"},{"family":"Candrianto","given":"Candrianto"},{"family":"Juniardi","given":"Egy"},{"family":"Gusti","given":"Mia Ayu"}],"issued":{"date-parts":[["2024",9,7]]}}}],"schema":"https://github.com/citation-style-language/schema/raw/master/csl-citation.json"} </w:instrText>
      </w:r>
      <w:r w:rsidRPr="00950125">
        <w:rPr>
          <w:rFonts w:ascii="Times New Roman" w:eastAsia="Times New Roman" w:hAnsi="Times New Roman" w:cs="Times New Roman"/>
          <w:sz w:val="24"/>
          <w:szCs w:val="24"/>
        </w:rPr>
        <w:fldChar w:fldCharType="separate"/>
      </w:r>
      <w:r w:rsidRPr="00950125">
        <w:rPr>
          <w:rFonts w:ascii="Times New Roman" w:eastAsia="Times New Roman" w:hAnsi="Times New Roman" w:cs="Times New Roman"/>
          <w:sz w:val="24"/>
          <w:szCs w:val="24"/>
        </w:rPr>
        <w:t>(Satrianto et al., 2024)</w:t>
      </w:r>
      <w:r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{"citationID":"qaJYdA5T","properties":{"formattedCitation":"(Uzar, 2020)","plainCitation":"(Uzar, 2020)","noteIndex":0},"citationItems":[{"id":38,"uris":["http://zotero.org/users/local/dRmf8XHr/items/77WR97E7"],"itemData":{"id":38,"type":"article-journal","container-title":"Renewable Energy","DOI":"10.1016/j.renene.2020.03.172","ISSN":"09601481","journalAbbreviation":"Renewable Energy","language":"en","page":"591-603","source":"DOI.org (Crossref)","title":"Political economy of renewable energy: Does institutional quality make a difference in renewable energy consumption?","title-short":"Political economy of renewable energy","volume":"155","author":[{"family":"Uzar","given":"Umut"}],"issued":{"date-parts":[["2020",8]]}}}],"schema":"https://github.com/citation-style-language/schema/raw/master/csl-citation.json"} </w:instrText>
      </w:r>
      <w:r w:rsidRPr="00950125">
        <w:rPr>
          <w:rFonts w:ascii="Times New Roman" w:eastAsia="Times New Roman" w:hAnsi="Times New Roman" w:cs="Times New Roman"/>
          <w:sz w:val="24"/>
          <w:szCs w:val="24"/>
        </w:rPr>
        <w:fldChar w:fldCharType="separate"/>
      </w:r>
      <w:r w:rsidRPr="00950125">
        <w:rPr>
          <w:rFonts w:ascii="Times New Roman" w:eastAsia="Times New Roman" w:hAnsi="Times New Roman" w:cs="Times New Roman"/>
          <w:sz w:val="24"/>
          <w:szCs w:val="24"/>
        </w:rPr>
        <w:t>(Uzar, 2020)</w:t>
      </w:r>
      <w:r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w:t>
      </w:r>
      <w:r w:rsidR="002270FA" w:rsidRPr="00950125">
        <w:rPr>
          <w:rFonts w:ascii="Times New Roman" w:eastAsia="Times New Roman" w:hAnsi="Times New Roman" w:cs="Times New Roman"/>
          <w:sz w:val="24"/>
          <w:szCs w:val="24"/>
        </w:rPr>
        <w:t xml:space="preserve"> </w:t>
      </w:r>
    </w:p>
    <w:p w14:paraId="13754163" w14:textId="53903406" w:rsidR="006A5AA6" w:rsidRPr="00950125" w:rsidRDefault="006A5AA6"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coefficient of ICT (</w:t>
      </w:r>
      <w:r w:rsidRPr="00950125">
        <w:rPr>
          <w:rFonts w:ascii="Cambria Math" w:eastAsia="Times New Roman" w:hAnsi="Cambria Math" w:cs="Cambria Math"/>
          <w:sz w:val="24"/>
          <w:szCs w:val="24"/>
        </w:rPr>
        <w:t>𝜷</w:t>
      </w:r>
      <w:r w:rsidRPr="00950125">
        <w:rPr>
          <w:rFonts w:ascii="Times New Roman" w:eastAsia="Times New Roman" w:hAnsi="Times New Roman" w:cs="Times New Roman"/>
          <w:sz w:val="24"/>
          <w:szCs w:val="24"/>
        </w:rPr>
        <w:t>2) is expected to be positive and statistically significant, so β₂ &gt; 0. This suggests that the advancement and adoption of ICT contribute to an increase in renewable energy consumption</w:t>
      </w:r>
      <w:r w:rsidR="00332710" w:rsidRPr="00950125">
        <w:rPr>
          <w:rFonts w:ascii="Times New Roman" w:eastAsia="Times New Roman" w:hAnsi="Times New Roman" w:cs="Times New Roman"/>
          <w:sz w:val="24"/>
          <w:szCs w:val="24"/>
        </w:rPr>
        <w:t xml:space="preserve"> </w:t>
      </w:r>
      <w:r w:rsidR="00332710" w:rsidRPr="00950125">
        <w:rPr>
          <w:rFonts w:ascii="Times New Roman" w:eastAsia="Times New Roman" w:hAnsi="Times New Roman" w:cs="Times New Roman"/>
          <w:sz w:val="24"/>
          <w:szCs w:val="24"/>
        </w:rPr>
        <w:fldChar w:fldCharType="begin"/>
      </w:r>
      <w:r w:rsidR="00332710" w:rsidRPr="00950125">
        <w:rPr>
          <w:rFonts w:ascii="Times New Roman" w:eastAsia="Times New Roman" w:hAnsi="Times New Roman" w:cs="Times New Roman"/>
          <w:sz w:val="24"/>
          <w:szCs w:val="24"/>
        </w:rPr>
        <w:instrText xml:space="preserve"> ADDIN ZOTERO_ITEM CSL_CITATION {"citationID":"DL7PQEp1","properties":{"formattedCitation":"(Lv et al., 2022)","plainCitation":"(Lv et al., 2022)","noteIndex":0},"citationItems":[{"id":96,"uris":["http://zotero.org/users/local/dRmf8XHr/items/SBVH2YMV"],"itemData":{"id":96,"type":"article-journal","abstract":"Numerous studies have assessed a variety of factors affecting renewable energy consumption, but the role of information and communication technologies (ICT) in affecting renewable energy consumption is neglected. The aim of this paper is thus to investigate the impact of ICT on renewable energy consumption based on panel data of 90 countries over the period 2000–2014. Moreover, we use the spatial econometric approach to determine whether they have spatial spillover effects. The empirical results show that the development of ICT will increase the consumption of renewable energy. Meanwhile, spatial spillover effects have also been confirmed, specifically, in a particular country, a 1% increase in individuals using the Internet, exports of ICT goods, and imports of ICT goods separately lead to 0.137%, 0.087%, and −0.251% changes in renewable energy consumptions in that country, and 0.380%, −0.155% and 0.485% changes in its neighboring countries.","container-title":"Renewable Energy","DOI":"10.1016/j.renene.2022.03.005","journalAbbreviation":"Renewable Energy","source":"ResearchGate","title":"Evaluating the impact of information and communication technology on renewable energy consumption: A spatial econometric approach","title-short":"Evaluating the impact of information and communication technology on renewable energy consumption","volume":"189","author":[{"family":"Lv","given":"Zhike"},{"family":"Liu","given":"Wangxin"},{"family":"Xu","given":"Ting"}],"issued":{"date-parts":[["2022",3,1]]}}}],"schema":"https://github.com/citation-style-language/schema/raw/master/csl-citation.json"} </w:instrText>
      </w:r>
      <w:r w:rsidR="00332710" w:rsidRPr="00950125">
        <w:rPr>
          <w:rFonts w:ascii="Times New Roman" w:eastAsia="Times New Roman" w:hAnsi="Times New Roman" w:cs="Times New Roman"/>
          <w:sz w:val="24"/>
          <w:szCs w:val="24"/>
        </w:rPr>
        <w:fldChar w:fldCharType="separate"/>
      </w:r>
      <w:r w:rsidR="00332710" w:rsidRPr="00950125">
        <w:rPr>
          <w:rFonts w:ascii="Times New Roman" w:eastAsia="Times New Roman" w:hAnsi="Times New Roman" w:cs="Times New Roman"/>
          <w:sz w:val="24"/>
          <w:szCs w:val="24"/>
        </w:rPr>
        <w:t>(Lv et al., 2022)</w:t>
      </w:r>
      <w:r w:rsidR="00332710" w:rsidRPr="00950125">
        <w:rPr>
          <w:rFonts w:ascii="Times New Roman" w:eastAsia="Times New Roman" w:hAnsi="Times New Roman" w:cs="Times New Roman"/>
          <w:sz w:val="24"/>
          <w:szCs w:val="24"/>
        </w:rPr>
        <w:fldChar w:fldCharType="end"/>
      </w:r>
      <w:r w:rsidR="00332710" w:rsidRPr="00950125">
        <w:rPr>
          <w:rFonts w:ascii="Times New Roman" w:eastAsia="Times New Roman" w:hAnsi="Times New Roman" w:cs="Times New Roman"/>
          <w:sz w:val="24"/>
          <w:szCs w:val="24"/>
        </w:rPr>
        <w:t xml:space="preserve"> </w:t>
      </w:r>
      <w:r w:rsidR="00332710" w:rsidRPr="00950125">
        <w:rPr>
          <w:rFonts w:ascii="Times New Roman" w:eastAsia="Times New Roman" w:hAnsi="Times New Roman" w:cs="Times New Roman"/>
          <w:sz w:val="24"/>
          <w:szCs w:val="24"/>
        </w:rPr>
        <w:fldChar w:fldCharType="begin"/>
      </w:r>
      <w:r w:rsidR="00332710" w:rsidRPr="00950125">
        <w:rPr>
          <w:rFonts w:ascii="Times New Roman" w:eastAsia="Times New Roman" w:hAnsi="Times New Roman" w:cs="Times New Roman"/>
          <w:sz w:val="24"/>
          <w:szCs w:val="24"/>
        </w:rPr>
        <w:instrText xml:space="preserve"> ADDIN ZOTERO_ITEM CSL_CITATION {"citationID":"aNeBZ23z","properties":{"formattedCitation":"(Yu et al., 2023)","plainCitation":"(Yu et al., 2023)","noteIndex":0},"citationItems":[{"id":35,"uris":["http://zotero.org/users/local/dRmf8XHr/items/P9HVPZ5Z"],"itemData":{"id":35,"type":"article-journal","container-title":"Journal of Computer Information Systems","DOI":"10.1080/08874417.2022.2049017","ISSN":"0887-4417, 2380-2057","issue":"1","journalAbbreviation":"Journal of Computer Information Systems","language":"en","page":"190-203","source":"DOI.org (Crossref)","title":"ICT, Financial Development and Renewable Energy Consumption","volume":"63","author":[{"family":"Yu","given":"Minli"},{"family":"Jin","given":"Hui"},{"family":"Zhang","given":"Hejie"},{"family":"Chong","given":"Alain Yee Loong"}],"issued":{"date-parts":[["2023",1,2]]}}}],"schema":"https://github.com/citation-style-language/schema/raw/master/csl-citation.json"} </w:instrText>
      </w:r>
      <w:r w:rsidR="00332710" w:rsidRPr="00950125">
        <w:rPr>
          <w:rFonts w:ascii="Times New Roman" w:eastAsia="Times New Roman" w:hAnsi="Times New Roman" w:cs="Times New Roman"/>
          <w:sz w:val="24"/>
          <w:szCs w:val="24"/>
        </w:rPr>
        <w:fldChar w:fldCharType="separate"/>
      </w:r>
      <w:r w:rsidR="00332710" w:rsidRPr="00950125">
        <w:rPr>
          <w:rFonts w:ascii="Times New Roman" w:eastAsia="Times New Roman" w:hAnsi="Times New Roman" w:cs="Times New Roman"/>
          <w:sz w:val="24"/>
          <w:szCs w:val="24"/>
        </w:rPr>
        <w:t>(Yu et al., 2023)</w:t>
      </w:r>
      <w:r w:rsidR="00332710"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xml:space="preserve">. </w:t>
      </w:r>
    </w:p>
    <w:p w14:paraId="36975837" w14:textId="79A6A178" w:rsidR="006A5AA6" w:rsidRPr="00950125" w:rsidRDefault="006A5AA6"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ICT facilitates the integration of intermittent renewable energy sources, like solar and wind, into the grid through smart grid technologies that optimize energy dist</w:t>
      </w:r>
      <w:r w:rsidR="00332710" w:rsidRPr="00950125">
        <w:rPr>
          <w:rFonts w:ascii="Times New Roman" w:eastAsia="Times New Roman" w:hAnsi="Times New Roman" w:cs="Times New Roman"/>
          <w:sz w:val="24"/>
          <w:szCs w:val="24"/>
        </w:rPr>
        <w:t xml:space="preserve">ribution and demand management </w:t>
      </w:r>
      <w:r w:rsidR="00332710" w:rsidRPr="00950125">
        <w:rPr>
          <w:rFonts w:ascii="Times New Roman" w:eastAsia="Times New Roman" w:hAnsi="Times New Roman" w:cs="Times New Roman"/>
          <w:sz w:val="24"/>
          <w:szCs w:val="24"/>
        </w:rPr>
        <w:fldChar w:fldCharType="begin"/>
      </w:r>
      <w:r w:rsidR="00332710" w:rsidRPr="00950125">
        <w:rPr>
          <w:rFonts w:ascii="Times New Roman" w:eastAsia="Times New Roman" w:hAnsi="Times New Roman" w:cs="Times New Roman"/>
          <w:sz w:val="24"/>
          <w:szCs w:val="24"/>
        </w:rPr>
        <w:instrText xml:space="preserve"> ADDIN ZOTERO_ITEM CSL_CITATION {"citationID":"sh5qZS3c","properties":{"formattedCitation":"(Yu et al., 2023)","plainCitation":"(Yu et al., 2023)","noteIndex":0},"citationItems":[{"id":35,"uris":["http://zotero.org/users/local/dRmf8XHr/items/P9HVPZ5Z"],"itemData":{"id":35,"type":"article-journal","container-title":"Journal of Computer Information Systems","DOI":"10.1080/08874417.2022.2049017","ISSN":"0887-4417, 2380-2057","issue":"1","journalAbbreviation":"Journal of Computer Information Systems","language":"en","page":"190-203","source":"DOI.org (Crossref)","title":"ICT, Financial Development and Renewable Energy Consumption","volume":"63","author":[{"family":"Yu","given":"Minli"},{"family":"Jin","given":"Hui"},{"family":"Zhang","given":"Hejie"},{"family":"Chong","given":"Alain Yee Loong"}],"issued":{"date-parts":[["2023",1,2]]}}}],"schema":"https://github.com/citation-style-language/schema/raw/master/csl-citation.json"} </w:instrText>
      </w:r>
      <w:r w:rsidR="00332710" w:rsidRPr="00950125">
        <w:rPr>
          <w:rFonts w:ascii="Times New Roman" w:eastAsia="Times New Roman" w:hAnsi="Times New Roman" w:cs="Times New Roman"/>
          <w:sz w:val="24"/>
          <w:szCs w:val="24"/>
        </w:rPr>
        <w:fldChar w:fldCharType="separate"/>
      </w:r>
      <w:r w:rsidR="00332710" w:rsidRPr="00950125">
        <w:rPr>
          <w:rFonts w:ascii="Times New Roman" w:eastAsia="Times New Roman" w:hAnsi="Times New Roman" w:cs="Times New Roman"/>
          <w:sz w:val="24"/>
          <w:szCs w:val="24"/>
        </w:rPr>
        <w:t>(Yu et al., 2023)</w:t>
      </w:r>
      <w:r w:rsidR="00332710" w:rsidRPr="00950125">
        <w:rPr>
          <w:rFonts w:ascii="Times New Roman" w:eastAsia="Times New Roman" w:hAnsi="Times New Roman" w:cs="Times New Roman"/>
          <w:sz w:val="24"/>
          <w:szCs w:val="24"/>
        </w:rPr>
        <w:fldChar w:fldCharType="end"/>
      </w:r>
      <w:r w:rsidR="00332710"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t xml:space="preserve">It also plays a crucial role in the research and development of new renewable energy </w:t>
      </w:r>
      <w:r w:rsidR="0056768B" w:rsidRPr="00950125">
        <w:rPr>
          <w:rFonts w:ascii="Times New Roman" w:eastAsia="Times New Roman" w:hAnsi="Times New Roman" w:cs="Times New Roman"/>
          <w:sz w:val="24"/>
          <w:szCs w:val="24"/>
        </w:rPr>
        <w:t xml:space="preserve">technologies </w:t>
      </w:r>
      <w:r w:rsidR="0056768B" w:rsidRPr="00950125">
        <w:rPr>
          <w:rFonts w:ascii="Times New Roman" w:eastAsia="Times New Roman" w:hAnsi="Times New Roman" w:cs="Times New Roman"/>
          <w:sz w:val="24"/>
          <w:szCs w:val="24"/>
        </w:rPr>
        <w:fldChar w:fldCharType="begin"/>
      </w:r>
      <w:r w:rsidR="0056768B" w:rsidRPr="00950125">
        <w:rPr>
          <w:rFonts w:ascii="Times New Roman" w:eastAsia="Times New Roman" w:hAnsi="Times New Roman" w:cs="Times New Roman"/>
          <w:sz w:val="24"/>
          <w:szCs w:val="24"/>
        </w:rPr>
        <w:instrText xml:space="preserve"> ADDIN ZOTERO_ITEM CSL_CITATION {"citationID":"Ah7MZBvI","properties":{"formattedCitation":"(Lv et al., 2022)","plainCitation":"(Lv et al., 2022)","noteIndex":0},"citationItems":[{"id":96,"uris":["http://zotero.org/users/local/dRmf8XHr/items/SBVH2YMV"],"itemData":{"id":96,"type":"article-journal","abstract":"Numerous studies have assessed a variety of factors affecting renewable energy consumption, but the role of information and communication technologies (ICT) in affecting renewable energy consumption is neglected. The aim of this paper is thus to investigate the impact of ICT on renewable energy consumption based on panel data of 90 countries over the period 2000–2014. Moreover, we use the spatial econometric approach to determine whether they have spatial spillover effects. The empirical results show that the development of ICT will increase the consumption of renewable energy. Meanwhile, spatial spillover effects have also been confirmed, specifically, in a particular country, a 1% increase in individuals using the Internet, exports of ICT goods, and imports of ICT goods separately lead to 0.137%, 0.087%, and −0.251% changes in renewable energy consumptions in that country, and 0.380%, −0.155% and 0.485% changes in its neighboring countries.","container-title":"Renewable Energy","DOI":"10.1016/j.renene.2022.03.005","journalAbbreviation":"Renewable Energy","source":"ResearchGate","title":"Evaluating the impact of information and communication technology on renewable energy consumption: A spatial econometric approach","title-short":"Evaluating the impact of information and communication technology on renewable energy consumption","volume":"189","author":[{"family":"Lv","given":"Zhike"},{"family":"Liu","given":"Wangxin"},{"family":"Xu","given":"Ting"}],"issued":{"date-parts":[["2022",3,1]]}}}],"schema":"https://github.com/citation-style-language/schema/raw/master/csl-citation.json"} </w:instrText>
      </w:r>
      <w:r w:rsidR="0056768B" w:rsidRPr="00950125">
        <w:rPr>
          <w:rFonts w:ascii="Times New Roman" w:eastAsia="Times New Roman" w:hAnsi="Times New Roman" w:cs="Times New Roman"/>
          <w:sz w:val="24"/>
          <w:szCs w:val="24"/>
        </w:rPr>
        <w:fldChar w:fldCharType="separate"/>
      </w:r>
      <w:r w:rsidR="0056768B" w:rsidRPr="00950125">
        <w:rPr>
          <w:rFonts w:ascii="Times New Roman" w:eastAsia="Times New Roman" w:hAnsi="Times New Roman" w:cs="Times New Roman"/>
          <w:sz w:val="24"/>
          <w:szCs w:val="24"/>
        </w:rPr>
        <w:t>(Lv et al., 2022)</w:t>
      </w:r>
      <w:r w:rsidR="0056768B" w:rsidRPr="00950125">
        <w:rPr>
          <w:rFonts w:ascii="Times New Roman" w:eastAsia="Times New Roman" w:hAnsi="Times New Roman" w:cs="Times New Roman"/>
          <w:sz w:val="24"/>
          <w:szCs w:val="24"/>
        </w:rPr>
        <w:fldChar w:fldCharType="end"/>
      </w:r>
      <w:r w:rsidR="0056768B" w:rsidRPr="00950125">
        <w:rPr>
          <w:rFonts w:ascii="Times New Roman" w:eastAsia="Times New Roman" w:hAnsi="Times New Roman" w:cs="Times New Roman"/>
          <w:sz w:val="24"/>
          <w:szCs w:val="24"/>
        </w:rPr>
        <w:t>.</w:t>
      </w:r>
      <w:r w:rsidRPr="00950125">
        <w:rPr>
          <w:rFonts w:ascii="Times New Roman" w:eastAsia="Times New Roman" w:hAnsi="Times New Roman" w:cs="Times New Roman"/>
          <w:sz w:val="24"/>
          <w:szCs w:val="24"/>
        </w:rPr>
        <w:t xml:space="preserve"> Moreover, ICT can raise public awareness and support for renewable energy thr</w:t>
      </w:r>
      <w:r w:rsidR="0056768B" w:rsidRPr="00950125">
        <w:rPr>
          <w:rFonts w:ascii="Times New Roman" w:eastAsia="Times New Roman" w:hAnsi="Times New Roman" w:cs="Times New Roman"/>
          <w:sz w:val="24"/>
          <w:szCs w:val="24"/>
        </w:rPr>
        <w:t xml:space="preserve">ough information dissemination </w:t>
      </w:r>
      <w:r w:rsidR="0056768B" w:rsidRPr="00950125">
        <w:rPr>
          <w:rFonts w:ascii="Times New Roman" w:eastAsia="Times New Roman" w:hAnsi="Times New Roman" w:cs="Times New Roman"/>
          <w:sz w:val="24"/>
          <w:szCs w:val="24"/>
        </w:rPr>
        <w:fldChar w:fldCharType="begin"/>
      </w:r>
      <w:r w:rsidR="0056768B" w:rsidRPr="00950125">
        <w:rPr>
          <w:rFonts w:ascii="Times New Roman" w:eastAsia="Times New Roman" w:hAnsi="Times New Roman" w:cs="Times New Roman"/>
          <w:sz w:val="24"/>
          <w:szCs w:val="24"/>
        </w:rPr>
        <w:instrText xml:space="preserve"> ADDIN ZOTERO_ITEM CSL_CITATION {"citationID":"t4V3ze3Q","properties":{"formattedCitation":"(Chang et al., 2022)","plainCitation":"(Chang et al., 2022)","noteIndex":0},"citationItems":[{"id":97,"uris":["http://zotero.org/users/local/dRmf8XHr/items/3JNSBBE2"],"itemData":{"id":97,"type":"article-journal","abstract":"This study aims to analyze whether information and communication technology (ICT) and renewable energy (RE) can assist in enhancing environmental quality. This study employs time series data from 1990 to 2019 using econometric techniques. The results show that the use of ICTs in the US, UK, China, Russia, Canada, Australia, Sweden, Norway, Switzerland, and Italy has decreased environmental protection. The results reveal that RE use enhances the sustainability of the environment regardless of the sample size or surrogate utilized for ICT. Impulse response functions show that, on average, the influence of ICT and RE lasts between one and seven years. The error correction model segmentation study verified that ICT and RE contribute to the volatility of carbon dioxide emissions. There is strong evidence that carbon dioxide emissions, ICT, and RE use have a bidirectional causal relationship in most circumstances. Several ICTs and RE strategies have been established and explored to profit from the possible positive influence of ICT and RE usage on environmental quality.","container-title":"Renewable Energy","DOI":"10.1016/j.renene.2022.08.082","journalAbbreviation":"Renewable Energy","source":"ResearchGate","title":"How do ICT and renewable energy impact sustainable development?","volume":"199","author":[{"family":"Chang","given":"Lei"},{"family":"Taghizadeh-Hesary","given":"Farhad"},{"family":"Saydaliev","given":"Hayot Berk"}],"issued":{"date-parts":[["2022",8,1]]}}}],"schema":"https://github.com/citation-style-language/schema/raw/master/csl-citation.json"} </w:instrText>
      </w:r>
      <w:r w:rsidR="0056768B" w:rsidRPr="00950125">
        <w:rPr>
          <w:rFonts w:ascii="Times New Roman" w:eastAsia="Times New Roman" w:hAnsi="Times New Roman" w:cs="Times New Roman"/>
          <w:sz w:val="24"/>
          <w:szCs w:val="24"/>
        </w:rPr>
        <w:fldChar w:fldCharType="separate"/>
      </w:r>
      <w:r w:rsidR="0056768B" w:rsidRPr="00950125">
        <w:rPr>
          <w:rFonts w:ascii="Times New Roman" w:eastAsia="Times New Roman" w:hAnsi="Times New Roman" w:cs="Times New Roman"/>
          <w:sz w:val="24"/>
          <w:szCs w:val="24"/>
        </w:rPr>
        <w:t>(Chang et al., 2022)</w:t>
      </w:r>
      <w:r w:rsidR="0056768B" w:rsidRPr="00950125">
        <w:rPr>
          <w:rFonts w:ascii="Times New Roman" w:eastAsia="Times New Roman" w:hAnsi="Times New Roman" w:cs="Times New Roman"/>
          <w:sz w:val="24"/>
          <w:szCs w:val="24"/>
        </w:rPr>
        <w:fldChar w:fldCharType="end"/>
      </w:r>
      <w:r w:rsidR="0056768B" w:rsidRPr="00950125">
        <w:rPr>
          <w:rFonts w:ascii="Times New Roman" w:eastAsia="Times New Roman" w:hAnsi="Times New Roman" w:cs="Times New Roman"/>
          <w:sz w:val="24"/>
          <w:szCs w:val="24"/>
        </w:rPr>
        <w:t>.</w:t>
      </w:r>
      <w:r w:rsidRPr="00950125">
        <w:rPr>
          <w:rFonts w:ascii="Times New Roman" w:eastAsia="Times New Roman" w:hAnsi="Times New Roman" w:cs="Times New Roman"/>
          <w:sz w:val="24"/>
          <w:szCs w:val="24"/>
        </w:rPr>
        <w:t xml:space="preserve"> Research has shown a positive correlation between ICT development and renewable energy consumption, highlighting its role as an e</w:t>
      </w:r>
      <w:r w:rsidR="0056768B" w:rsidRPr="00950125">
        <w:rPr>
          <w:rFonts w:ascii="Times New Roman" w:eastAsia="Times New Roman" w:hAnsi="Times New Roman" w:cs="Times New Roman"/>
          <w:sz w:val="24"/>
          <w:szCs w:val="24"/>
        </w:rPr>
        <w:t xml:space="preserve">nabler of the green transition </w:t>
      </w:r>
      <w:r w:rsidR="0056768B" w:rsidRPr="00950125">
        <w:rPr>
          <w:rFonts w:ascii="Times New Roman" w:eastAsia="Times New Roman" w:hAnsi="Times New Roman" w:cs="Times New Roman"/>
          <w:sz w:val="24"/>
          <w:szCs w:val="24"/>
        </w:rPr>
        <w:fldChar w:fldCharType="begin"/>
      </w:r>
      <w:r w:rsidR="0056768B" w:rsidRPr="00950125">
        <w:rPr>
          <w:rFonts w:ascii="Times New Roman" w:eastAsia="Times New Roman" w:hAnsi="Times New Roman" w:cs="Times New Roman"/>
          <w:sz w:val="24"/>
          <w:szCs w:val="24"/>
        </w:rPr>
        <w:instrText xml:space="preserve"> ADDIN ZOTERO_ITEM CSL_CITATION {"citationID":"lPrFFpF4","properties":{"formattedCitation":"(Lv et al., 2022; Yu et al., 2023)","plainCitation":"(Lv et al., 2022; Yu et al., 2023)","noteIndex":0},"citationItems":[{"id":96,"uris":["http://zotero.org/users/local/dRmf8XHr/items/SBVH2YMV"],"itemData":{"id":96,"type":"article-journal","abstract":"Numerous studies have assessed a variety of factors affecting renewable energy consumption, but the role of information and communication technologies (ICT) in affecting renewable energy consumption is neglected. The aim of this paper is thus to investigate the impact of ICT on renewable energy consumption based on panel data of 90 countries over the period 2000–2014. Moreover, we use the spatial econometric approach to determine whether they have spatial spillover effects. The empirical results show that the development of ICT will increase the consumption of renewable energy. Meanwhile, spatial spillover effects have also been confirmed, specifically, in a particular country, a 1% increase in individuals using the Internet, exports of ICT goods, and imports of ICT goods separately lead to 0.137%, 0.087%, and −0.251% changes in renewable energy consumptions in that country, and 0.380%, −0.155% and 0.485% changes in its neighboring countries.","container-title":"Renewable Energy","DOI":"10.1016/j.renene.2022.03.005","journalAbbreviation":"Renewable Energy","source":"ResearchGate","title":"Evaluating the impact of information and communication technology on renewable energy consumption: A spatial econometric approach","title-short":"Evaluating the impact of information and communication technology on renewable energy consumption","volume":"189","author":[{"family":"Lv","given":"Zhike"},{"family":"Liu","given":"Wangxin"},{"family":"Xu","given":"Ting"}],"issued":{"date-parts":[["2022",3,1]]}}},{"id":35,"uris":["http://zotero.org/users/local/dRmf8XHr/items/P9HVPZ5Z"],"itemData":{"id":35,"type":"article-journal","container-title":"Journal of Computer Information Systems","DOI":"10.1080/08874417.2022.2049017","ISSN":"0887-4417, 2380-2057","issue":"1","journalAbbreviation":"Journal of Computer Information Systems","language":"en","page":"190-203","source":"DOI.org (Crossref)","title":"ICT, Financial Development and Renewable Energy Consumption","volume":"63","author":[{"family":"Yu","given":"Minli"},{"family":"Jin","given":"Hui"},{"family":"Zhang","given":"Hejie"},{"family":"Chong","given":"Alain Yee Loong"}],"issued":{"date-parts":[["2023",1,2]]}}}],"schema":"https://github.com/citation-style-language/schema/raw/master/csl-citation.json"} </w:instrText>
      </w:r>
      <w:r w:rsidR="0056768B" w:rsidRPr="00950125">
        <w:rPr>
          <w:rFonts w:ascii="Times New Roman" w:eastAsia="Times New Roman" w:hAnsi="Times New Roman" w:cs="Times New Roman"/>
          <w:sz w:val="24"/>
          <w:szCs w:val="24"/>
        </w:rPr>
        <w:fldChar w:fldCharType="separate"/>
      </w:r>
      <w:r w:rsidR="0056768B" w:rsidRPr="00950125">
        <w:rPr>
          <w:rFonts w:ascii="Times New Roman" w:eastAsia="Times New Roman" w:hAnsi="Times New Roman" w:cs="Times New Roman"/>
          <w:sz w:val="24"/>
          <w:szCs w:val="24"/>
        </w:rPr>
        <w:t>(Lv et al., 2022; Yu et al., 2023)</w:t>
      </w:r>
      <w:r w:rsidR="0056768B" w:rsidRPr="00950125">
        <w:rPr>
          <w:rFonts w:ascii="Times New Roman" w:eastAsia="Times New Roman" w:hAnsi="Times New Roman" w:cs="Times New Roman"/>
          <w:sz w:val="24"/>
          <w:szCs w:val="24"/>
        </w:rPr>
        <w:fldChar w:fldCharType="end"/>
      </w:r>
      <w:r w:rsidR="0056768B" w:rsidRPr="00950125">
        <w:rPr>
          <w:rFonts w:ascii="Times New Roman" w:eastAsia="Times New Roman" w:hAnsi="Times New Roman" w:cs="Times New Roman"/>
          <w:sz w:val="24"/>
          <w:szCs w:val="24"/>
        </w:rPr>
        <w:t xml:space="preserve">. </w:t>
      </w:r>
    </w:p>
    <w:p w14:paraId="5250A106" w14:textId="0F295F58" w:rsidR="0056768B" w:rsidRPr="00950125" w:rsidRDefault="006A5AA6"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coefficient of EF (</w:t>
      </w:r>
      <w:r w:rsidRPr="00950125">
        <w:rPr>
          <w:rFonts w:ascii="Cambria Math" w:eastAsia="Times New Roman" w:hAnsi="Cambria Math" w:cs="Cambria Math"/>
          <w:sz w:val="24"/>
          <w:szCs w:val="24"/>
        </w:rPr>
        <w:t>𝜷</w:t>
      </w:r>
      <w:r w:rsidRPr="00950125">
        <w:rPr>
          <w:rFonts w:ascii="Times New Roman" w:eastAsia="Times New Roman" w:hAnsi="Times New Roman" w:cs="Times New Roman"/>
          <w:sz w:val="24"/>
          <w:szCs w:val="24"/>
        </w:rPr>
        <w:t xml:space="preserve">3) </w:t>
      </w:r>
      <w:r w:rsidR="0056768B" w:rsidRPr="00950125">
        <w:rPr>
          <w:rFonts w:ascii="Times New Roman" w:eastAsia="Times New Roman" w:hAnsi="Times New Roman" w:cs="Times New Roman"/>
          <w:sz w:val="24"/>
          <w:szCs w:val="24"/>
        </w:rPr>
        <w:t xml:space="preserve">is theoretically ambiguous and the empirical evidence is mixed. On one hand, greater economic freedom can stimulate innovation and investment </w:t>
      </w:r>
      <w:r w:rsidR="00996935" w:rsidRPr="00950125">
        <w:rPr>
          <w:rFonts w:ascii="Times New Roman" w:eastAsia="Times New Roman" w:hAnsi="Times New Roman" w:cs="Times New Roman"/>
          <w:sz w:val="24"/>
          <w:szCs w:val="24"/>
        </w:rPr>
        <w:t xml:space="preserve">in the renewable energy sector </w:t>
      </w:r>
      <w:r w:rsidR="00996935" w:rsidRPr="00950125">
        <w:rPr>
          <w:rFonts w:ascii="Times New Roman" w:eastAsia="Times New Roman" w:hAnsi="Times New Roman" w:cs="Times New Roman"/>
          <w:sz w:val="24"/>
          <w:szCs w:val="24"/>
        </w:rPr>
        <w:fldChar w:fldCharType="begin"/>
      </w:r>
      <w:r w:rsidR="00996935" w:rsidRPr="00950125">
        <w:rPr>
          <w:rFonts w:ascii="Times New Roman" w:eastAsia="Times New Roman" w:hAnsi="Times New Roman" w:cs="Times New Roman"/>
          <w:sz w:val="24"/>
          <w:szCs w:val="24"/>
        </w:rPr>
        <w:instrText xml:space="preserve"> ADDIN ZOTERO_ITEM CSL_CITATION {"citationID":"5cEPJzbq","properties":{"formattedCitation":"(Sart et al., 2025)","plainCitation":"(Sart et al., 2025)","noteIndex":0},"citationItems":[{"id":98,"uris":["http://zotero.org/users/local/dRmf8XHr/items/T5KGISA6"],"itemData":{"id":98,"type":"article-journal","abstract":"Fossil fuels are among the most crucial factors underlying global environment impairment through CO2 emissions. In addition to this, the globalized world has witnessed significant price volatility, instability and disruptions in the supply of fossil fuels. Therefore, renewable energy transition (RET) has become a mandatory option for countries to tackle these environmental, economic, and energy insecurity problems in energy markets dominated by fossil fuels. But the RET process has remarkably slowed down in recent years due to increasing economic volatility, financial obstacles, geopolitical risks, and bottlenecks in the development of low-carbon technologies. In this regard, this study investigates the effect of market structure proxied by economic freedom and indicators of financial development, together with real GDP per capita and education, on the utilization of renewable energy in post-transition EU member states across the 2000–2021 duration by utilizing causality and cointegration tests. The outcomes of the causality analysis reveal a feedback relationship among renewable energy use, economic freedom, indicators of financial development, and real GDP per capita but a unilateral causality between education and renewable energy use. On the other hand, the outcomes of AMG estimation reveal a positive effect of economic freedom, real GDP per capita, and education on the utilization of renewable energy in some countries but a negative effect of financial institutions’ development on renewable energy use and mixed results on the effect of financial markets’ development regarding renewable energy use. Our results indicate that education is a significant instrument to make progress in renewable energy use via multiple channels, but governments should incentivize the financial system to support the RET process by favorable lending and sustainable finance instruments like green bonds or sustainability-linked loans.","container-title":"Energies","DOI":"10.3390/en18051179","ISSN":"1996-1073","issue":"5","language":"en","license":"http://creativecommons.org/licenses/by/3.0/","note":"number: 5\npublisher: Multidisciplinary Digital Publishing Institute","page":"1179","source":"www.mdpi.com","title":"The Effect of Economic Freedom, Indicators of Financial Sector Development, Income and Education on Renewable Energy Use: An Empirical Analysis of Post-Transition EU Member States","title-short":"The Effect of Economic Freedom, Indicators of Financial Sector Development, Income and Education on Renewable Energy Use","volume":"18","author":[{"family":"Sart","given":"Gamze"},{"family":"Bayar","given":"Yilmaz"},{"family":"Danilina","given":"Marina"}],"issued":{"date-parts":[["2025",1]]}}}],"schema":"https://github.com/citation-style-language/schema/raw/master/csl-citation.json"} </w:instrText>
      </w:r>
      <w:r w:rsidR="00996935" w:rsidRPr="00950125">
        <w:rPr>
          <w:rFonts w:ascii="Times New Roman" w:eastAsia="Times New Roman" w:hAnsi="Times New Roman" w:cs="Times New Roman"/>
          <w:sz w:val="24"/>
          <w:szCs w:val="24"/>
        </w:rPr>
        <w:fldChar w:fldCharType="separate"/>
      </w:r>
      <w:r w:rsidR="00996935" w:rsidRPr="00950125">
        <w:rPr>
          <w:rFonts w:ascii="Times New Roman" w:eastAsia="Times New Roman" w:hAnsi="Times New Roman" w:cs="Times New Roman"/>
          <w:sz w:val="24"/>
          <w:szCs w:val="24"/>
        </w:rPr>
        <w:t>(Sart et al., 2025)</w:t>
      </w:r>
      <w:r w:rsidR="00996935" w:rsidRPr="00950125">
        <w:rPr>
          <w:rFonts w:ascii="Times New Roman" w:eastAsia="Times New Roman" w:hAnsi="Times New Roman" w:cs="Times New Roman"/>
          <w:sz w:val="24"/>
          <w:szCs w:val="24"/>
        </w:rPr>
        <w:fldChar w:fldCharType="end"/>
      </w:r>
      <w:r w:rsidR="00996935" w:rsidRPr="00950125">
        <w:rPr>
          <w:rFonts w:ascii="Times New Roman" w:eastAsia="Times New Roman" w:hAnsi="Times New Roman" w:cs="Times New Roman"/>
          <w:sz w:val="24"/>
          <w:szCs w:val="24"/>
        </w:rPr>
        <w:t>.</w:t>
      </w:r>
      <w:r w:rsidR="0056768B" w:rsidRPr="00950125">
        <w:rPr>
          <w:rFonts w:ascii="Times New Roman" w:eastAsia="Times New Roman" w:hAnsi="Times New Roman" w:cs="Times New Roman"/>
          <w:sz w:val="24"/>
          <w:szCs w:val="24"/>
        </w:rPr>
        <w:t xml:space="preserve"> On the other hand, a high degree of economic freedom might lead to less government intervention and support for renewable energy, which often requires policy incentives to be competitive with fossil fuels.</w:t>
      </w:r>
    </w:p>
    <w:p w14:paraId="020E3FC6" w14:textId="77777777" w:rsidR="00ED33D8" w:rsidRPr="00950125" w:rsidRDefault="0056768B"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Components of economic freedom such as trade freedom and business freedom have been found to increase the share o</w:t>
      </w:r>
      <w:r w:rsidR="00996935" w:rsidRPr="00950125">
        <w:rPr>
          <w:rFonts w:ascii="Times New Roman" w:eastAsia="Times New Roman" w:hAnsi="Times New Roman" w:cs="Times New Roman"/>
          <w:sz w:val="24"/>
          <w:szCs w:val="24"/>
        </w:rPr>
        <w:t xml:space="preserve">f renewable energy consumption </w:t>
      </w:r>
      <w:r w:rsidR="00996935" w:rsidRPr="00950125">
        <w:rPr>
          <w:rFonts w:ascii="Times New Roman" w:eastAsia="Times New Roman" w:hAnsi="Times New Roman" w:cs="Times New Roman"/>
          <w:sz w:val="24"/>
          <w:szCs w:val="24"/>
        </w:rPr>
        <w:fldChar w:fldCharType="begin"/>
      </w:r>
      <w:r w:rsidR="00996935" w:rsidRPr="00950125">
        <w:rPr>
          <w:rFonts w:ascii="Times New Roman" w:eastAsia="Times New Roman" w:hAnsi="Times New Roman" w:cs="Times New Roman"/>
          <w:sz w:val="24"/>
          <w:szCs w:val="24"/>
        </w:rPr>
        <w:instrText xml:space="preserve"> ADDIN ZOTERO_ITEM CSL_CITATION {"citationID":"9tr4aUEi","properties":{"formattedCitation":"(Amoah et al., 2020)","plainCitation":"(Amoah et al., 2020)","noteIndex":0},"citationItems":[{"id":100,"uris":["http://zotero.org/users/local/dRmf8XHr/items/P8KUJPF7"],"itemData":{"id":100,"type":"article-journal","abstract":"This study investigates the role of economic well-being and economic freedom as drivers of renewable energy consumption using the share of renewables in total energy consumption in Africa. To achieve this, the study employs a panel data of 32 African countries over the period 1996-2017. To deal with identification challenges associated with panel time-series data, we use the Dynamic Ordinary Least Squares econometric technique. As part of our findings, first, we have evidence that increasing economic well-being in Africa increases the share of renewables in total energy consumption to a point after which it turns negative (inverted U shape). Second, the disaggregated measures of economic freedom show that both property rights and tax burden decrease the share of renewables in total energy consumption. On the contrary, an increase in trade freedom and business freedom measures increases the share of renewables in total energy consumption. Toward the goal of promoting access to affordable, reliable, sustainable, and modern energy for all by 2030, governments in Africa should actively encourage trade freedom and business freedom to enhance the share of renewable energy consumption. Similarly, reducing the tax burden will promote the share of renewable energy consumption. Likewise, we call for further investigation into our evidence of a negative relationship between property rights and the share of renewables in total energy consumption.","container-title":"Energy, Sustainability and Society","DOI":"10.1186/s13705-020-00264-3","journalAbbreviation":"Energy, Sustainability and Society","page":"32","source":"ResearchGate","title":"Renewable energy consumption in Africa: the role of economic well-being and economic freedom","title-short":"Renewable energy consumption in Africa","volume":"10","author":[{"family":"Amoah","given":"Anthony"},{"family":"Kwablah","given":"Edmund"},{"family":"Korle","given":"Kofi"},{"family":"Offei","given":"Daniel"}],"issued":{"date-parts":[["2020",9,4]]}}}],"schema":"https://github.com/citation-style-language/schema/raw/master/csl-citation.json"} </w:instrText>
      </w:r>
      <w:r w:rsidR="00996935" w:rsidRPr="00950125">
        <w:rPr>
          <w:rFonts w:ascii="Times New Roman" w:eastAsia="Times New Roman" w:hAnsi="Times New Roman" w:cs="Times New Roman"/>
          <w:sz w:val="24"/>
          <w:szCs w:val="24"/>
        </w:rPr>
        <w:fldChar w:fldCharType="separate"/>
      </w:r>
      <w:r w:rsidR="00996935" w:rsidRPr="00950125">
        <w:rPr>
          <w:rFonts w:ascii="Times New Roman" w:eastAsia="Times New Roman" w:hAnsi="Times New Roman" w:cs="Times New Roman"/>
          <w:sz w:val="24"/>
          <w:szCs w:val="24"/>
        </w:rPr>
        <w:t>(Amoah et al., 2020)</w:t>
      </w:r>
      <w:r w:rsidR="00996935" w:rsidRPr="00950125">
        <w:rPr>
          <w:rFonts w:ascii="Times New Roman" w:eastAsia="Times New Roman" w:hAnsi="Times New Roman" w:cs="Times New Roman"/>
          <w:sz w:val="24"/>
          <w:szCs w:val="24"/>
        </w:rPr>
        <w:fldChar w:fldCharType="end"/>
      </w:r>
      <w:r w:rsidR="00996935" w:rsidRPr="00950125">
        <w:rPr>
          <w:rFonts w:ascii="Times New Roman" w:eastAsia="Times New Roman" w:hAnsi="Times New Roman" w:cs="Times New Roman"/>
          <w:sz w:val="24"/>
          <w:szCs w:val="24"/>
        </w:rPr>
        <w:t>.</w:t>
      </w:r>
      <w:r w:rsidRPr="00950125">
        <w:rPr>
          <w:rFonts w:ascii="Times New Roman" w:eastAsia="Times New Roman" w:hAnsi="Times New Roman" w:cs="Times New Roman"/>
          <w:sz w:val="24"/>
          <w:szCs w:val="24"/>
        </w:rPr>
        <w:t xml:space="preserve"> Freer markets can foster competition and drive down the costs of renewable technologies</w:t>
      </w:r>
      <w:r w:rsidR="00996935" w:rsidRPr="00950125">
        <w:rPr>
          <w:rFonts w:ascii="Times New Roman" w:eastAsia="Times New Roman" w:hAnsi="Times New Roman" w:cs="Times New Roman"/>
          <w:sz w:val="24"/>
          <w:szCs w:val="24"/>
        </w:rPr>
        <w:t xml:space="preserve"> </w:t>
      </w:r>
      <w:r w:rsidR="00996935" w:rsidRPr="00950125">
        <w:rPr>
          <w:rFonts w:ascii="Times New Roman" w:eastAsia="Times New Roman" w:hAnsi="Times New Roman" w:cs="Times New Roman"/>
          <w:sz w:val="24"/>
          <w:szCs w:val="24"/>
        </w:rPr>
        <w:fldChar w:fldCharType="begin"/>
      </w:r>
      <w:r w:rsidR="00996935" w:rsidRPr="00950125">
        <w:rPr>
          <w:rFonts w:ascii="Times New Roman" w:eastAsia="Times New Roman" w:hAnsi="Times New Roman" w:cs="Times New Roman"/>
          <w:sz w:val="24"/>
          <w:szCs w:val="24"/>
        </w:rPr>
        <w:instrText xml:space="preserve"> ADDIN ZOTERO_ITEM CSL_CITATION {"citationID":"hvipJVDb","properties":{"formattedCitation":"(Sart et al., 2025)","plainCitation":"(Sart et al., 2025)","noteIndex":0},"citationItems":[{"id":98,"uris":["http://zotero.org/users/local/dRmf8XHr/items/T5KGISA6"],"itemData":{"id":98,"type":"article-journal","abstract":"Fossil fuels are among the most crucial factors underlying global environment impairment through CO2 emissions. In addition to this, the globalized world has witnessed significant price volatility, instability and disruptions in the supply of fossil fuels. Therefore, renewable energy transition (RET) has become a mandatory option for countries to tackle these environmental, economic, and energy insecurity problems in energy markets dominated by fossil fuels. But the RET process has remarkably slowed down in recent years due to increasing economic volatility, financial obstacles, geopolitical risks, and bottlenecks in the development of low-carbon technologies. In this regard, this study investigates the effect of market structure proxied by economic freedom and indicators of financial development, together with real GDP per capita and education, on the utilization of renewable energy in post-transition EU member states across the 2000–2021 duration by utilizing causality and cointegration tests. The outcomes of the causality analysis reveal a feedback relationship among renewable energy use, economic freedom, indicators of financial development, and real GDP per capita but a unilateral causality between education and renewable energy use. On the other hand, the outcomes of AMG estimation reveal a positive effect of economic freedom, real GDP per capita, and education on the utilization of renewable energy in some countries but a negative effect of financial institutions’ development on renewable energy use and mixed results on the effect of financial markets’ development regarding renewable energy use. Our results indicate that education is a significant instrument to make progress in renewable energy use via multiple channels, but governments should incentivize the financial system to support the RET process by favorable lending and sustainable finance instruments like green bonds or sustainability-linked loans.","container-title":"Energies","DOI":"10.3390/en18051179","ISSN":"1996-1073","issue":"5","language":"en","license":"http://creativecommons.org/licenses/by/3.0/","note":"number: 5\npublisher: Multidisciplinary Digital Publishing Institute","page":"1179","source":"www.mdpi.com","title":"The Effect of Economic Freedom, Indicators of Financial Sector Development, Income and Education on Renewable Energy Use: An Empirical Analysis of Post-Transition EU Member States","title-short":"The Effect of Economic Freedom, Indicators of Financial Sector Development, Income and Education on Renewable Energy Use","volume":"18","author":[{"family":"Sart","given":"Gamze"},{"family":"Bayar","given":"Yilmaz"},{"family":"Danilina","given":"Marina"}],"issued":{"date-parts":[["2025",1]]}}}],"schema":"https://github.com/citation-style-language/schema/raw/master/csl-citation.json"} </w:instrText>
      </w:r>
      <w:r w:rsidR="00996935" w:rsidRPr="00950125">
        <w:rPr>
          <w:rFonts w:ascii="Times New Roman" w:eastAsia="Times New Roman" w:hAnsi="Times New Roman" w:cs="Times New Roman"/>
          <w:sz w:val="24"/>
          <w:szCs w:val="24"/>
        </w:rPr>
        <w:fldChar w:fldCharType="separate"/>
      </w:r>
      <w:r w:rsidR="00996935" w:rsidRPr="00950125">
        <w:rPr>
          <w:rFonts w:ascii="Times New Roman" w:eastAsia="Times New Roman" w:hAnsi="Times New Roman" w:cs="Times New Roman"/>
          <w:sz w:val="24"/>
          <w:szCs w:val="24"/>
        </w:rPr>
        <w:t>(Sart et al., 2025)</w:t>
      </w:r>
      <w:r w:rsidR="00996935" w:rsidRPr="00950125">
        <w:rPr>
          <w:rFonts w:ascii="Times New Roman" w:eastAsia="Times New Roman" w:hAnsi="Times New Roman" w:cs="Times New Roman"/>
          <w:sz w:val="24"/>
          <w:szCs w:val="24"/>
        </w:rPr>
        <w:fldChar w:fldCharType="end"/>
      </w:r>
      <w:r w:rsidR="00ED33D8" w:rsidRPr="00950125">
        <w:rPr>
          <w:rFonts w:ascii="Times New Roman" w:eastAsia="Times New Roman" w:hAnsi="Times New Roman" w:cs="Times New Roman"/>
          <w:sz w:val="24"/>
          <w:szCs w:val="24"/>
        </w:rPr>
        <w:t>.</w:t>
      </w:r>
      <w:r w:rsidRPr="00950125">
        <w:rPr>
          <w:rFonts w:ascii="Times New Roman" w:eastAsia="Times New Roman" w:hAnsi="Times New Roman" w:cs="Times New Roman"/>
          <w:sz w:val="24"/>
          <w:szCs w:val="24"/>
        </w:rPr>
        <w:t xml:space="preserve"> However, some aspects of economic freedom, like lower tax burdens, might reduce the government revenue available for suppor</w:t>
      </w:r>
      <w:r w:rsidR="00996935" w:rsidRPr="00950125">
        <w:rPr>
          <w:rFonts w:ascii="Times New Roman" w:eastAsia="Times New Roman" w:hAnsi="Times New Roman" w:cs="Times New Roman"/>
          <w:sz w:val="24"/>
          <w:szCs w:val="24"/>
        </w:rPr>
        <w:t xml:space="preserve">ting renewable energy projects </w:t>
      </w:r>
      <w:r w:rsidR="00996935" w:rsidRPr="00950125">
        <w:rPr>
          <w:rFonts w:ascii="Times New Roman" w:eastAsia="Times New Roman" w:hAnsi="Times New Roman" w:cs="Times New Roman"/>
          <w:sz w:val="24"/>
          <w:szCs w:val="24"/>
        </w:rPr>
        <w:fldChar w:fldCharType="begin"/>
      </w:r>
      <w:r w:rsidR="00996935" w:rsidRPr="00950125">
        <w:rPr>
          <w:rFonts w:ascii="Times New Roman" w:eastAsia="Times New Roman" w:hAnsi="Times New Roman" w:cs="Times New Roman"/>
          <w:sz w:val="24"/>
          <w:szCs w:val="24"/>
        </w:rPr>
        <w:instrText xml:space="preserve"> ADDIN ZOTERO_ITEM CSL_CITATION {"citationID":"UXSM0wfI","properties":{"formattedCitation":"(Amoah et al., 2020)","plainCitation":"(Amoah et al., 2020)","noteIndex":0},"citationItems":[{"id":100,"uris":["http://zotero.org/users/local/dRmf8XHr/items/P8KUJPF7"],"itemData":{"id":100,"type":"article-journal","abstract":"This study investigates the role of economic well-being and economic freedom as drivers of renewable energy consumption using the share of renewables in total energy consumption in Africa. To achieve this, the study employs a panel data of 32 African countries over the period 1996-2017. To deal with identification challenges associated with panel time-series data, we use the Dynamic Ordinary Least Squares econometric technique. As part of our findings, first, we have evidence that increasing economic well-being in Africa increases the share of renewables in total energy consumption to a point after which it turns negative (inverted U shape). Second, the disaggregated measures of economic freedom show that both property rights and tax burden decrease the share of renewables in total energy consumption. On the contrary, an increase in trade freedom and business freedom measures increases the share of renewables in total energy consumption. Toward the goal of promoting access to affordable, reliable, sustainable, and modern energy for all by 2030, governments in Africa should actively encourage trade freedom and business freedom to enhance the share of renewable energy consumption. Similarly, reducing the tax burden will promote the share of renewable energy consumption. Likewise, we call for further investigation into our evidence of a negative relationship between property rights and the share of renewables in total energy consumption.","container-title":"Energy, Sustainability and Society","DOI":"10.1186/s13705-020-00264-3","journalAbbreviation":"Energy, Sustainability and Society","page":"32","source":"ResearchGate","title":"Renewable energy consumption in Africa: the role of economic well-being and economic freedom","title-short":"Renewable energy consumption in Africa","volume":"10","author":[{"family":"Amoah","given":"Anthony"},{"family":"Kwablah","given":"Edmund"},{"family":"Korle","given":"Kofi"},{"family":"Offei","given":"Daniel"}],"issued":{"date-parts":[["2020",9,4]]}}}],"schema":"https://github.com/citation-style-language/schema/raw/master/csl-citation.json"} </w:instrText>
      </w:r>
      <w:r w:rsidR="00996935" w:rsidRPr="00950125">
        <w:rPr>
          <w:rFonts w:ascii="Times New Roman" w:eastAsia="Times New Roman" w:hAnsi="Times New Roman" w:cs="Times New Roman"/>
          <w:sz w:val="24"/>
          <w:szCs w:val="24"/>
        </w:rPr>
        <w:fldChar w:fldCharType="separate"/>
      </w:r>
      <w:r w:rsidR="00996935" w:rsidRPr="00950125">
        <w:rPr>
          <w:rFonts w:ascii="Times New Roman" w:eastAsia="Times New Roman" w:hAnsi="Times New Roman" w:cs="Times New Roman"/>
          <w:sz w:val="24"/>
          <w:szCs w:val="24"/>
        </w:rPr>
        <w:t>(Amoah et al., 2020)</w:t>
      </w:r>
      <w:r w:rsidR="00996935" w:rsidRPr="00950125">
        <w:rPr>
          <w:rFonts w:ascii="Times New Roman" w:eastAsia="Times New Roman" w:hAnsi="Times New Roman" w:cs="Times New Roman"/>
          <w:sz w:val="24"/>
          <w:szCs w:val="24"/>
        </w:rPr>
        <w:fldChar w:fldCharType="end"/>
      </w:r>
      <w:r w:rsidR="00996935" w:rsidRPr="00950125">
        <w:rPr>
          <w:rFonts w:ascii="Times New Roman" w:eastAsia="Times New Roman" w:hAnsi="Times New Roman" w:cs="Times New Roman"/>
          <w:sz w:val="24"/>
          <w:szCs w:val="24"/>
        </w:rPr>
        <w:t>.</w:t>
      </w:r>
      <w:r w:rsidRPr="00950125">
        <w:rPr>
          <w:rFonts w:ascii="Times New Roman" w:eastAsia="Times New Roman" w:hAnsi="Times New Roman" w:cs="Times New Roman"/>
          <w:sz w:val="24"/>
          <w:szCs w:val="24"/>
        </w:rPr>
        <w:t xml:space="preserve"> Some studies have found a positive link, suggesting that economic freedom creates a favorable environment for renewable energy investment, while others show mixed results depending on the specific components of economic freedom considered</w:t>
      </w:r>
      <w:r w:rsidR="00996935" w:rsidRPr="00950125">
        <w:rPr>
          <w:rFonts w:ascii="Times New Roman" w:eastAsia="Times New Roman" w:hAnsi="Times New Roman" w:cs="Times New Roman"/>
          <w:sz w:val="24"/>
          <w:szCs w:val="24"/>
        </w:rPr>
        <w:t xml:space="preserve"> </w:t>
      </w:r>
      <w:r w:rsidR="00996935" w:rsidRPr="00950125">
        <w:rPr>
          <w:rFonts w:ascii="Times New Roman" w:eastAsia="Times New Roman" w:hAnsi="Times New Roman" w:cs="Times New Roman"/>
          <w:sz w:val="24"/>
          <w:szCs w:val="24"/>
        </w:rPr>
        <w:fldChar w:fldCharType="begin"/>
      </w:r>
      <w:r w:rsidR="00996935" w:rsidRPr="00950125">
        <w:rPr>
          <w:rFonts w:ascii="Times New Roman" w:eastAsia="Times New Roman" w:hAnsi="Times New Roman" w:cs="Times New Roman"/>
          <w:sz w:val="24"/>
          <w:szCs w:val="24"/>
        </w:rPr>
        <w:instrText xml:space="preserve"> ADDIN ZOTERO_ITEM CSL_CITATION {"citationID":"yBqJZWip","properties":{"formattedCitation":"(Amoah et al., 2020)","plainCitation":"(Amoah et al., 2020)","noteIndex":0},"citationItems":[{"id":100,"uris":["http://zotero.org/users/local/dRmf8XHr/items/P8KUJPF7"],"itemData":{"id":100,"type":"article-journal","abstract":"This study investigates the role of economic well-being and economic freedom as drivers of renewable energy consumption using the share of renewables in total energy consumption in Africa. To achieve this, the study employs a panel data of 32 African countries over the period 1996-2017. To deal with identification challenges associated with panel time-series data, we use the Dynamic Ordinary Least Squares econometric technique. As part of our findings, first, we have evidence that increasing economic well-being in Africa increases the share of renewables in total energy consumption to a point after which it turns negative (inverted U shape). Second, the disaggregated measures of economic freedom show that both property rights and tax burden decrease the share of renewables in total energy consumption. On the contrary, an increase in trade freedom and business freedom measures increases the share of renewables in total energy consumption. Toward the goal of promoting access to affordable, reliable, sustainable, and modern energy for all by 2030, governments in Africa should actively encourage trade freedom and business freedom to enhance the share of renewable energy consumption. Similarly, reducing the tax burden will promote the share of renewable energy consumption. Likewise, we call for further investigation into our evidence of a negative relationship between property rights and the share of renewables in total energy consumption.","container-title":"Energy, Sustainability and Society","DOI":"10.1186/s13705-020-00264-3","journalAbbreviation":"Energy, Sustainability and Society","page":"32","source":"ResearchGate","title":"Renewable energy consumption in Africa: the role of economic well-being and economic freedom","title-short":"Renewable energy consumption in Africa","volume":"10","author":[{"family":"Amoah","given":"Anthony"},{"family":"Kwablah","given":"Edmund"},{"family":"Korle","given":"Kofi"},{"family":"Offei","given":"Daniel"}],"issued":{"date-parts":[["2020",9,4]]}}}],"schema":"https://github.com/citation-style-language/schema/raw/master/csl-citation.json"} </w:instrText>
      </w:r>
      <w:r w:rsidR="00996935" w:rsidRPr="00950125">
        <w:rPr>
          <w:rFonts w:ascii="Times New Roman" w:eastAsia="Times New Roman" w:hAnsi="Times New Roman" w:cs="Times New Roman"/>
          <w:sz w:val="24"/>
          <w:szCs w:val="24"/>
        </w:rPr>
        <w:fldChar w:fldCharType="separate"/>
      </w:r>
      <w:r w:rsidR="00996935" w:rsidRPr="00950125">
        <w:rPr>
          <w:rFonts w:ascii="Times New Roman" w:eastAsia="Times New Roman" w:hAnsi="Times New Roman" w:cs="Times New Roman"/>
          <w:sz w:val="24"/>
          <w:szCs w:val="24"/>
        </w:rPr>
        <w:t>(Amoah et al., 2020)</w:t>
      </w:r>
      <w:r w:rsidR="00996935" w:rsidRPr="00950125">
        <w:rPr>
          <w:rFonts w:ascii="Times New Roman" w:eastAsia="Times New Roman" w:hAnsi="Times New Roman" w:cs="Times New Roman"/>
          <w:sz w:val="24"/>
          <w:szCs w:val="24"/>
        </w:rPr>
        <w:fldChar w:fldCharType="end"/>
      </w:r>
      <w:r w:rsidR="00996935" w:rsidRPr="00950125">
        <w:rPr>
          <w:rFonts w:ascii="Times New Roman" w:eastAsia="Times New Roman" w:hAnsi="Times New Roman" w:cs="Times New Roman"/>
          <w:sz w:val="24"/>
          <w:szCs w:val="24"/>
        </w:rPr>
        <w:t xml:space="preserve"> </w:t>
      </w:r>
      <w:r w:rsidR="00996935" w:rsidRPr="00950125">
        <w:rPr>
          <w:rFonts w:ascii="Times New Roman" w:eastAsia="Times New Roman" w:hAnsi="Times New Roman" w:cs="Times New Roman"/>
          <w:sz w:val="24"/>
          <w:szCs w:val="24"/>
        </w:rPr>
        <w:fldChar w:fldCharType="begin"/>
      </w:r>
      <w:r w:rsidR="00996935" w:rsidRPr="00950125">
        <w:rPr>
          <w:rFonts w:ascii="Times New Roman" w:eastAsia="Times New Roman" w:hAnsi="Times New Roman" w:cs="Times New Roman"/>
          <w:sz w:val="24"/>
          <w:szCs w:val="24"/>
        </w:rPr>
        <w:instrText xml:space="preserve"> ADDIN ZOTERO_ITEM CSL_CITATION {"citationID":"VF8dUhBq","properties":{"formattedCitation":"(Sart et al., 2025)","plainCitation":"(Sart et al., 2025)","noteIndex":0},"citationItems":[{"id":98,"uris":["http://zotero.org/users/local/dRmf8XHr/items/T5KGISA6"],"itemData":{"id":98,"type":"article-journal","abstract":"Fossil fuels are among the most crucial factors underlying global environment impairment through CO2 emissions. In addition to this, the globalized world has witnessed significant price volatility, instability and disruptions in the supply of fossil fuels. Therefore, renewable energy transition (RET) has become a mandatory option for countries to tackle these environmental, economic, and energy insecurity problems in energy markets dominated by fossil fuels. But the RET process has remarkably slowed down in recent years due to increasing economic volatility, financial obstacles, geopolitical risks, and bottlenecks in the development of low-carbon technologies. In this regard, this study investigates the effect of market structure proxied by economic freedom and indicators of financial development, together with real GDP per capita and education, on the utilization of renewable energy in post-transition EU member states across the 2000–2021 duration by utilizing causality and cointegration tests. The outcomes of the causality analysis reveal a feedback relationship among renewable energy use, economic freedom, indicators of financial development, and real GDP per capita but a unilateral causality between education and renewable energy use. On the other hand, the outcomes of AMG estimation reveal a positive effect of economic freedom, real GDP per capita, and education on the utilization of renewable energy in some countries but a negative effect of financial institutions’ development on renewable energy use and mixed results on the effect of financial markets’ development regarding renewable energy use. Our results indicate that education is a significant instrument to make progress in renewable energy use via multiple channels, but governments should incentivize the financial system to support the RET process by favorable lending and sustainable finance instruments like green bonds or sustainability-linked loans.","container-title":"Energies","DOI":"10.3390/en18051179","ISSN":"1996-1073","issue":"5","language":"en","license":"http://creativecommons.org/licenses/by/3.0/","note":"number: 5\npublisher: Multidisciplinary Digital Publishing Institute","page":"1179","source":"www.mdpi.com","title":"The Effect of Economic Freedom, Indicators of Financial Sector Development, Income and Education on Renewable Energy Use: An Empirical Analysis of Post-Transition EU Member States","title-short":"The Effect of Economic Freedom, Indicators of Financial Sector Development, Income and Education on Renewable Energy Use","volume":"18","author":[{"family":"Sart","given":"Gamze"},{"family":"Bayar","given":"Yilmaz"},{"family":"Danilina","given":"Marina"}],"issued":{"date-parts":[["2025",1]]}}}],"schema":"https://github.com/citation-style-language/schema/raw/master/csl-citation.json"} </w:instrText>
      </w:r>
      <w:r w:rsidR="00996935" w:rsidRPr="00950125">
        <w:rPr>
          <w:rFonts w:ascii="Times New Roman" w:eastAsia="Times New Roman" w:hAnsi="Times New Roman" w:cs="Times New Roman"/>
          <w:sz w:val="24"/>
          <w:szCs w:val="24"/>
        </w:rPr>
        <w:fldChar w:fldCharType="separate"/>
      </w:r>
      <w:r w:rsidR="00996935" w:rsidRPr="00950125">
        <w:rPr>
          <w:rFonts w:ascii="Times New Roman" w:eastAsia="Times New Roman" w:hAnsi="Times New Roman" w:cs="Times New Roman"/>
          <w:sz w:val="24"/>
          <w:szCs w:val="24"/>
        </w:rPr>
        <w:t>(Sart et al., 2025)</w:t>
      </w:r>
      <w:r w:rsidR="00996935" w:rsidRPr="00950125">
        <w:rPr>
          <w:rFonts w:ascii="Times New Roman" w:eastAsia="Times New Roman" w:hAnsi="Times New Roman" w:cs="Times New Roman"/>
          <w:sz w:val="24"/>
          <w:szCs w:val="24"/>
        </w:rPr>
        <w:fldChar w:fldCharType="end"/>
      </w:r>
      <w:r w:rsidR="00ED33D8" w:rsidRPr="00950125">
        <w:rPr>
          <w:rFonts w:ascii="Times New Roman" w:eastAsia="Times New Roman" w:hAnsi="Times New Roman" w:cs="Times New Roman"/>
          <w:sz w:val="24"/>
          <w:szCs w:val="24"/>
        </w:rPr>
        <w:t>.</w:t>
      </w:r>
    </w:p>
    <w:p w14:paraId="1346CAFB" w14:textId="1DE5AE77" w:rsidR="00ED33D8" w:rsidRPr="00950125" w:rsidRDefault="00ED33D8" w:rsidP="00D46E36">
      <w:pPr>
        <w:pStyle w:val="Heading3"/>
        <w:spacing w:line="276" w:lineRule="auto"/>
        <w:rPr>
          <w:rFonts w:ascii="Times New Roman" w:hAnsi="Times New Roman" w:cs="Times New Roman"/>
          <w:b/>
          <w:sz w:val="26"/>
          <w:szCs w:val="26"/>
        </w:rPr>
      </w:pPr>
      <w:bookmarkStart w:id="32" w:name="_Toc204723896"/>
      <w:r w:rsidRPr="00950125">
        <w:rPr>
          <w:rFonts w:ascii="Times New Roman" w:hAnsi="Times New Roman" w:cs="Times New Roman"/>
          <w:b/>
          <w:sz w:val="26"/>
          <w:szCs w:val="26"/>
        </w:rPr>
        <w:lastRenderedPageBreak/>
        <w:t>Equation 2: CO2 Emissions (CO2)</w:t>
      </w:r>
      <w:bookmarkEnd w:id="32"/>
    </w:p>
    <w:p w14:paraId="0F62D650" w14:textId="06398ED4" w:rsidR="00ED33D8" w:rsidRPr="00950125" w:rsidRDefault="00ED33D8"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This equation investigates the determinants of carbon dioxide emissions.</w:t>
      </w:r>
    </w:p>
    <w:p w14:paraId="642564B4" w14:textId="77777777" w:rsidR="00ED33D8" w:rsidRPr="00950125" w:rsidRDefault="0029645F" w:rsidP="00D46E36">
      <w:pPr>
        <w:spacing w:line="276" w:lineRule="auto"/>
        <w:jc w:val="center"/>
        <w:rPr>
          <w:rFonts w:ascii="Times New Roman" w:eastAsiaTheme="minorEastAsia" w:hAnsi="Times New Roman" w:cs="Times New Roman"/>
          <w:sz w:val="32"/>
          <w:szCs w:val="24"/>
        </w:rPr>
      </w:pPr>
      <m:oMathPara>
        <m:oMath>
          <m:sSub>
            <m:sSubPr>
              <m:ctrlPr>
                <w:rPr>
                  <w:rFonts w:ascii="Cambria Math" w:hAnsi="Cambria Math" w:cs="Times New Roman"/>
                  <w:i/>
                  <w:sz w:val="32"/>
                  <w:szCs w:val="24"/>
                </w:rPr>
              </m:ctrlPr>
            </m:sSubPr>
            <m:e>
              <m:r>
                <w:rPr>
                  <w:rFonts w:ascii="Cambria Math" w:hAnsi="Cambria Math" w:cs="Times New Roman"/>
                  <w:sz w:val="32"/>
                  <w:szCs w:val="24"/>
                </w:rPr>
                <m:t>CO2</m:t>
              </m:r>
            </m:e>
            <m:sub>
              <m:r>
                <w:rPr>
                  <w:rFonts w:ascii="Cambria Math" w:hAnsi="Cambria Math" w:cs="Times New Roman"/>
                  <w:sz w:val="32"/>
                  <w:szCs w:val="24"/>
                </w:rPr>
                <m:t>it</m:t>
              </m:r>
            </m:sub>
          </m:sSub>
          <m:r>
            <w:rPr>
              <w:rFonts w:ascii="Cambria Math" w:hAnsi="Cambria Math" w:cs="Times New Roman"/>
              <w:sz w:val="32"/>
              <w:szCs w:val="24"/>
            </w:rPr>
            <m:t>=</m:t>
          </m:r>
          <m:sSub>
            <m:sSubPr>
              <m:ctrlPr>
                <w:rPr>
                  <w:rFonts w:ascii="Cambria Math" w:hAnsi="Cambria Math" w:cs="Times New Roman"/>
                  <w:i/>
                  <w:sz w:val="32"/>
                  <w:szCs w:val="24"/>
                </w:rPr>
              </m:ctrlPr>
            </m:sSubPr>
            <m:e>
              <m:r>
                <w:rPr>
                  <w:rFonts w:ascii="Cambria Math" w:hAnsi="Cambria Math" w:cs="Times New Roman"/>
                  <w:sz w:val="32"/>
                  <w:szCs w:val="24"/>
                </w:rPr>
                <m:t xml:space="preserve"> α</m:t>
              </m:r>
            </m:e>
            <m:sub>
              <m:r>
                <w:rPr>
                  <w:rFonts w:ascii="Cambria Math" w:hAnsi="Cambria Math" w:cs="Times New Roman"/>
                  <w:sz w:val="32"/>
                  <w:szCs w:val="24"/>
                </w:rPr>
                <m:t>it</m:t>
              </m:r>
            </m:sub>
          </m:sSub>
          <m:r>
            <w:rPr>
              <w:rFonts w:ascii="Cambria Math" w:hAnsi="Cambria Math" w:cs="Times New Roman"/>
              <w:sz w:val="32"/>
              <w:szCs w:val="24"/>
            </w:rPr>
            <m:t xml:space="preserve">+ </m:t>
          </m:r>
          <m:sSub>
            <m:sSubPr>
              <m:ctrlPr>
                <w:rPr>
                  <w:rFonts w:ascii="Cambria Math" w:hAnsi="Cambria Math" w:cs="Times New Roman"/>
                  <w:i/>
                  <w:sz w:val="32"/>
                  <w:szCs w:val="24"/>
                </w:rPr>
              </m:ctrlPr>
            </m:sSubPr>
            <m:e>
              <m:r>
                <w:rPr>
                  <w:rFonts w:ascii="Cambria Math" w:hAnsi="Cambria Math" w:cs="Times New Roman"/>
                  <w:sz w:val="32"/>
                  <w:szCs w:val="24"/>
                </w:rPr>
                <m:t>β</m:t>
              </m:r>
            </m:e>
            <m:sub>
              <m:r>
                <w:rPr>
                  <w:rFonts w:ascii="Cambria Math" w:hAnsi="Cambria Math" w:cs="Times New Roman"/>
                  <w:sz w:val="32"/>
                  <w:szCs w:val="24"/>
                </w:rPr>
                <m:t>1</m:t>
              </m:r>
            </m:sub>
          </m:sSub>
          <m:sSub>
            <m:sSubPr>
              <m:ctrlPr>
                <w:rPr>
                  <w:rFonts w:ascii="Cambria Math" w:hAnsi="Cambria Math" w:cs="Times New Roman"/>
                  <w:i/>
                  <w:sz w:val="32"/>
                  <w:szCs w:val="24"/>
                </w:rPr>
              </m:ctrlPr>
            </m:sSubPr>
            <m:e>
              <m:r>
                <w:rPr>
                  <w:rFonts w:ascii="Cambria Math" w:hAnsi="Cambria Math" w:cs="Times New Roman"/>
                  <w:sz w:val="32"/>
                  <w:szCs w:val="24"/>
                </w:rPr>
                <m:t>IQ</m:t>
              </m:r>
            </m:e>
            <m:sub>
              <m:r>
                <w:rPr>
                  <w:rFonts w:ascii="Cambria Math" w:hAnsi="Cambria Math" w:cs="Times New Roman"/>
                  <w:sz w:val="32"/>
                  <w:szCs w:val="24"/>
                </w:rPr>
                <m:t>IT</m:t>
              </m:r>
            </m:sub>
          </m:sSub>
          <m:r>
            <w:rPr>
              <w:rFonts w:ascii="Cambria Math" w:hAnsi="Cambria Math" w:cs="Times New Roman"/>
              <w:sz w:val="32"/>
              <w:szCs w:val="24"/>
            </w:rPr>
            <m:t xml:space="preserve">+ </m:t>
          </m:r>
          <m:sSub>
            <m:sSubPr>
              <m:ctrlPr>
                <w:rPr>
                  <w:rFonts w:ascii="Cambria Math" w:hAnsi="Cambria Math" w:cs="Times New Roman"/>
                  <w:i/>
                  <w:sz w:val="32"/>
                  <w:szCs w:val="24"/>
                </w:rPr>
              </m:ctrlPr>
            </m:sSubPr>
            <m:e>
              <m:r>
                <w:rPr>
                  <w:rFonts w:ascii="Cambria Math" w:hAnsi="Cambria Math" w:cs="Times New Roman"/>
                  <w:sz w:val="32"/>
                  <w:szCs w:val="24"/>
                </w:rPr>
                <m:t>β</m:t>
              </m:r>
            </m:e>
            <m:sub>
              <m:r>
                <w:rPr>
                  <w:rFonts w:ascii="Cambria Math" w:hAnsi="Cambria Math" w:cs="Times New Roman"/>
                  <w:sz w:val="32"/>
                  <w:szCs w:val="24"/>
                </w:rPr>
                <m:t>2</m:t>
              </m:r>
            </m:sub>
          </m:sSub>
          <m:sSub>
            <m:sSubPr>
              <m:ctrlPr>
                <w:rPr>
                  <w:rFonts w:ascii="Cambria Math" w:hAnsi="Cambria Math" w:cs="Times New Roman"/>
                  <w:i/>
                  <w:sz w:val="32"/>
                  <w:szCs w:val="24"/>
                </w:rPr>
              </m:ctrlPr>
            </m:sSubPr>
            <m:e>
              <m:r>
                <w:rPr>
                  <w:rFonts w:ascii="Cambria Math" w:hAnsi="Cambria Math" w:cs="Times New Roman"/>
                  <w:sz w:val="32"/>
                  <w:szCs w:val="24"/>
                </w:rPr>
                <m:t>ICT</m:t>
              </m:r>
            </m:e>
            <m:sub>
              <m:r>
                <w:rPr>
                  <w:rFonts w:ascii="Cambria Math" w:hAnsi="Cambria Math" w:cs="Times New Roman"/>
                  <w:sz w:val="32"/>
                  <w:szCs w:val="24"/>
                </w:rPr>
                <m:t>IT</m:t>
              </m:r>
            </m:sub>
          </m:sSub>
          <m:r>
            <w:rPr>
              <w:rFonts w:ascii="Cambria Math" w:hAnsi="Cambria Math" w:cs="Times New Roman"/>
              <w:sz w:val="32"/>
              <w:szCs w:val="24"/>
            </w:rPr>
            <m:t xml:space="preserve">+ </m:t>
          </m:r>
          <m:sSub>
            <m:sSubPr>
              <m:ctrlPr>
                <w:rPr>
                  <w:rFonts w:ascii="Cambria Math" w:hAnsi="Cambria Math" w:cs="Times New Roman"/>
                  <w:i/>
                  <w:sz w:val="32"/>
                  <w:szCs w:val="24"/>
                </w:rPr>
              </m:ctrlPr>
            </m:sSubPr>
            <m:e>
              <m:r>
                <w:rPr>
                  <w:rFonts w:ascii="Cambria Math" w:hAnsi="Cambria Math" w:cs="Times New Roman"/>
                  <w:sz w:val="32"/>
                  <w:szCs w:val="24"/>
                </w:rPr>
                <m:t>β</m:t>
              </m:r>
            </m:e>
            <m:sub>
              <m:r>
                <w:rPr>
                  <w:rFonts w:ascii="Cambria Math" w:hAnsi="Cambria Math" w:cs="Times New Roman"/>
                  <w:sz w:val="32"/>
                  <w:szCs w:val="24"/>
                </w:rPr>
                <m:t>3</m:t>
              </m:r>
            </m:sub>
          </m:sSub>
          <m:sSub>
            <m:sSubPr>
              <m:ctrlPr>
                <w:rPr>
                  <w:rFonts w:ascii="Cambria Math" w:hAnsi="Cambria Math" w:cs="Times New Roman"/>
                  <w:i/>
                  <w:sz w:val="32"/>
                  <w:szCs w:val="24"/>
                </w:rPr>
              </m:ctrlPr>
            </m:sSubPr>
            <m:e>
              <m:r>
                <w:rPr>
                  <w:rFonts w:ascii="Cambria Math" w:hAnsi="Cambria Math" w:cs="Times New Roman"/>
                  <w:sz w:val="32"/>
                  <w:szCs w:val="24"/>
                </w:rPr>
                <m:t>EF</m:t>
              </m:r>
            </m:e>
            <m:sub>
              <m:r>
                <w:rPr>
                  <w:rFonts w:ascii="Cambria Math" w:hAnsi="Cambria Math" w:cs="Times New Roman"/>
                  <w:sz w:val="32"/>
                  <w:szCs w:val="24"/>
                </w:rPr>
                <m:t>IT</m:t>
              </m:r>
            </m:sub>
          </m:sSub>
        </m:oMath>
      </m:oMathPara>
    </w:p>
    <w:p w14:paraId="69291A8D" w14:textId="0E168860" w:rsidR="00ED33D8" w:rsidRPr="00950125" w:rsidRDefault="00ED33D8"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coefficient of IQ (</w:t>
      </w:r>
      <w:r w:rsidRPr="00950125">
        <w:rPr>
          <w:rFonts w:ascii="Cambria Math" w:eastAsia="Times New Roman" w:hAnsi="Cambria Math" w:cs="Cambria Math"/>
          <w:sz w:val="24"/>
          <w:szCs w:val="24"/>
        </w:rPr>
        <w:t>𝜷𝟏</w:t>
      </w:r>
      <w:r w:rsidRPr="00950125">
        <w:rPr>
          <w:rFonts w:ascii="Times New Roman" w:eastAsia="Times New Roman" w:hAnsi="Times New Roman" w:cs="Times New Roman"/>
          <w:sz w:val="24"/>
          <w:szCs w:val="24"/>
        </w:rPr>
        <w:t>) is expected to be negative and statistically significant (</w:t>
      </w:r>
      <w:r w:rsidRPr="00950125">
        <w:rPr>
          <w:rFonts w:ascii="Cambria Math" w:eastAsia="Times New Roman" w:hAnsi="Cambria Math" w:cs="Cambria Math"/>
          <w:sz w:val="24"/>
          <w:szCs w:val="24"/>
        </w:rPr>
        <w:t>𝜷𝟏</w:t>
      </w:r>
      <w:r w:rsidRPr="00950125">
        <w:rPr>
          <w:rFonts w:ascii="Times New Roman" w:eastAsia="Times New Roman" w:hAnsi="Times New Roman" w:cs="Times New Roman"/>
          <w:sz w:val="24"/>
          <w:szCs w:val="24"/>
        </w:rPr>
        <w:t xml:space="preserve"> &lt;</w:t>
      </w:r>
      <w:r w:rsidRPr="00950125">
        <w:rPr>
          <w:rFonts w:ascii="Cambria Math" w:eastAsia="Times New Roman" w:hAnsi="Cambria Math" w:cs="Cambria Math"/>
          <w:sz w:val="24"/>
          <w:szCs w:val="24"/>
        </w:rPr>
        <w:t>𝟎</w:t>
      </w:r>
      <w:r w:rsidRPr="00950125">
        <w:rPr>
          <w:rFonts w:ascii="Times New Roman" w:eastAsia="Times New Roman" w:hAnsi="Times New Roman" w:cs="Times New Roman"/>
          <w:sz w:val="24"/>
          <w:szCs w:val="24"/>
        </w:rPr>
        <w:t xml:space="preserve">). This implies that countries with stronger institutions tend to have lower CO₂ emissions. </w:t>
      </w:r>
    </w:p>
    <w:p w14:paraId="117A7FB4" w14:textId="509C8E1C" w:rsidR="00ED33D8" w:rsidRPr="00950125" w:rsidRDefault="00ED33D8"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Strong institutions are better equipped to enact and enforce environmental regulations, promote cleaner technologies, and respond to the public's demand for better environmental quality </w:t>
      </w:r>
      <w:r w:rsidR="00FA3E44" w:rsidRPr="00950125">
        <w:rPr>
          <w:rFonts w:ascii="Times New Roman" w:eastAsia="Times New Roman" w:hAnsi="Times New Roman" w:cs="Times New Roman"/>
          <w:sz w:val="24"/>
          <w:szCs w:val="24"/>
        </w:rPr>
        <w:fldChar w:fldCharType="begin"/>
      </w:r>
      <w:r w:rsidR="00FA3E44" w:rsidRPr="00950125">
        <w:rPr>
          <w:rFonts w:ascii="Times New Roman" w:eastAsia="Times New Roman" w:hAnsi="Times New Roman" w:cs="Times New Roman"/>
          <w:sz w:val="24"/>
          <w:szCs w:val="24"/>
        </w:rPr>
        <w:instrText xml:space="preserve"> ADDIN ZOTERO_ITEM CSL_CITATION {"citationID":"LBqZDbhm","properties":{"formattedCitation":"(Ummalla &amp; Goyari, 2024)","plainCitation":"(Ummalla &amp; Goyari, 2024)","noteIndex":0},"citationItems":[{"id":104,"uris":["http://zotero.org/users/local/dRmf8XHr/items/BVTP9RCE"],"itemData":{"id":104,"type":"book","abstract":"The main purpose of the present study is to explore the impact of institutional quality (IQ) on renewable energy consumption (REC) and CO 2 emissions (CO 2 e) in a panel of BRICS countries, spanning the period 1996Q4-2016Q4. To accomplish this, we use several panel econometric techniques on targeted models. The results of the Westerlund panel cointegration test show that there is a significant long-run equilibrium association among the variables. Furthermore, Augmented Mean Group (AMG) estimator outcomes reveal that IQ has a significant positive impact on REC. Non-renewable energy consumption (NREC) has a positive association with CO 2 e, while IQ and REC significantly reduce CO 2 e. Finally, we found no causal nexus between IQ, REC, and CO 2 e in BRICS countries. Our novel study findings not only provide new empirical evidence to the existing literature but also help policymakers strengthen the IQ to promote the uses of renewable energy and mitigate CO 2 e.","note":"DOI: 10.21203/rs.3.rs-4906065/v1","source":"ResearchGate","title":"Does institutional quality matter for renewable energy consumption and CO2 emissions? Evidence from a panel of BRICS countries","title-short":"Does institutional quality matter for renewable energy consumption and CO2 emissions?","author":[{"family":"Ummalla","given":"Mallesh"},{"family":"Goyari","given":"Phanindra"}],"issued":{"date-parts":[["2024",8,13]]}}}],"schema":"https://github.com/citation-style-language/schema/raw/master/csl-citation.json"} </w:instrText>
      </w:r>
      <w:r w:rsidR="00FA3E44" w:rsidRPr="00950125">
        <w:rPr>
          <w:rFonts w:ascii="Times New Roman" w:eastAsia="Times New Roman" w:hAnsi="Times New Roman" w:cs="Times New Roman"/>
          <w:sz w:val="24"/>
          <w:szCs w:val="24"/>
        </w:rPr>
        <w:fldChar w:fldCharType="separate"/>
      </w:r>
      <w:r w:rsidR="00FA3E44" w:rsidRPr="00950125">
        <w:rPr>
          <w:rFonts w:ascii="Times New Roman" w:eastAsia="Times New Roman" w:hAnsi="Times New Roman" w:cs="Times New Roman"/>
          <w:sz w:val="24"/>
          <w:szCs w:val="24"/>
        </w:rPr>
        <w:t>(Ummalla &amp; Goyari, 2024)</w:t>
      </w:r>
      <w:r w:rsidR="00FA3E44" w:rsidRPr="00950125">
        <w:rPr>
          <w:rFonts w:ascii="Times New Roman" w:eastAsia="Times New Roman" w:hAnsi="Times New Roman" w:cs="Times New Roman"/>
          <w:sz w:val="24"/>
          <w:szCs w:val="24"/>
        </w:rPr>
        <w:fldChar w:fldCharType="end"/>
      </w:r>
      <w:r w:rsidR="00FA3E44" w:rsidRPr="00950125">
        <w:rPr>
          <w:rFonts w:ascii="Times New Roman" w:eastAsia="Times New Roman" w:hAnsi="Times New Roman" w:cs="Times New Roman"/>
          <w:sz w:val="24"/>
          <w:szCs w:val="24"/>
        </w:rPr>
        <w:t xml:space="preserve">, </w:t>
      </w:r>
      <w:r w:rsidR="00FA3E44" w:rsidRPr="00950125">
        <w:rPr>
          <w:rFonts w:ascii="Times New Roman" w:eastAsia="Times New Roman" w:hAnsi="Times New Roman" w:cs="Times New Roman"/>
          <w:sz w:val="24"/>
          <w:szCs w:val="24"/>
        </w:rPr>
        <w:fldChar w:fldCharType="begin"/>
      </w:r>
      <w:r w:rsidR="00FA3E44" w:rsidRPr="00950125">
        <w:rPr>
          <w:rFonts w:ascii="Times New Roman" w:eastAsia="Times New Roman" w:hAnsi="Times New Roman" w:cs="Times New Roman"/>
          <w:sz w:val="24"/>
          <w:szCs w:val="24"/>
        </w:rPr>
        <w:instrText xml:space="preserve"> ADDIN ZOTERO_ITEM CSL_CITATION {"citationID":"iuNAfJCq","properties":{"formattedCitation":"(Sheng et al., 2023)","plainCitation":"(Sheng et al., 2023)","noteIndex":0},"citationItems":[{"id":106,"uris":["http://zotero.org/users/local/dRmf8XHr/items/468SCNPA"],"itemData":{"id":106,"type":"article-journal","abstract":"Institutions and energy production sources shape environmental policies and practices. Institutions establish frameworks for renewable energy and enforce environmental protection measures. Conventional energy sources cause pollution and climate change, while green energy sources have lower environmental impacts. In this study we analyzed how quality institutions, along with different types of energy production sources affect the quality of environment in 101 countries that are part of the BRI, a global development project. We used a statistical method called panel quantile regression to analyze data from 2000 to 2020. We found that producing energy from renewable sources, such as wind and solar, reduces CO2 emissions by 0.003% in BRI countries. However, producing energy from non-renewable sources, such as gas and coal, harms the environment more in high-income and middle-income countries. We also found that having better institutional quality reduces CO2 emissions by 3.421%, 2.710%, and 0.006% in different groups of BRI countries. This means that having stronger and fairer institutions can help protect the environment by limiting the use of non-renewable energy sources and encouraging the use of renewable ones. Our study suggests that improving institutional quality is a key factor for achieving green energy and environmental sustainability in BRI countries.","container-title":"PLOS ONE","DOI":"10.1371/journal.pone.0291144","ISSN":"1932-6203","issue":"9","journalAbbreviation":"PLoS One","note":"PMID: 37699037\nPMCID: PMC10497143","page":"e0291144","source":"PubMed Central","title":"How institutional quality, and energy production sources, affect the environmental sustainability of bri countries: A comparison of different income groups","title-short":"How institutional quality, and energy production sources, affect the environmental sustainability of bri countries","volume":"18","author":[{"family":"Sheng","given":"Weiyan"},{"family":"Meng","given":"Fei"},{"family":"Akbar","given":"Muhammad Waqas"}],"issued":{"date-parts":[["2023",9,12]]}}}],"schema":"https://github.com/citation-style-language/schema/raw/master/csl-citation.json"} </w:instrText>
      </w:r>
      <w:r w:rsidR="00FA3E44" w:rsidRPr="00950125">
        <w:rPr>
          <w:rFonts w:ascii="Times New Roman" w:eastAsia="Times New Roman" w:hAnsi="Times New Roman" w:cs="Times New Roman"/>
          <w:sz w:val="24"/>
          <w:szCs w:val="24"/>
        </w:rPr>
        <w:fldChar w:fldCharType="separate"/>
      </w:r>
      <w:r w:rsidR="00FA3E44" w:rsidRPr="00950125">
        <w:rPr>
          <w:rFonts w:ascii="Times New Roman" w:eastAsia="Times New Roman" w:hAnsi="Times New Roman" w:cs="Times New Roman"/>
          <w:sz w:val="24"/>
          <w:szCs w:val="24"/>
        </w:rPr>
        <w:t>(Sheng et al., 2023)</w:t>
      </w:r>
      <w:r w:rsidR="00FA3E44" w:rsidRPr="00950125">
        <w:rPr>
          <w:rFonts w:ascii="Times New Roman" w:eastAsia="Times New Roman" w:hAnsi="Times New Roman" w:cs="Times New Roman"/>
          <w:sz w:val="24"/>
          <w:szCs w:val="24"/>
        </w:rPr>
        <w:fldChar w:fldCharType="end"/>
      </w:r>
      <w:r w:rsidR="00FA3E44" w:rsidRPr="00950125">
        <w:rPr>
          <w:rFonts w:ascii="Times New Roman" w:eastAsia="Times New Roman" w:hAnsi="Times New Roman" w:cs="Times New Roman"/>
          <w:sz w:val="24"/>
          <w:szCs w:val="24"/>
        </w:rPr>
        <w:t xml:space="preserve">, </w:t>
      </w:r>
      <w:r w:rsidR="00FA3E44" w:rsidRPr="00950125">
        <w:rPr>
          <w:rFonts w:ascii="Times New Roman" w:eastAsia="Times New Roman" w:hAnsi="Times New Roman" w:cs="Times New Roman"/>
          <w:sz w:val="24"/>
          <w:szCs w:val="24"/>
        </w:rPr>
        <w:fldChar w:fldCharType="begin"/>
      </w:r>
      <w:r w:rsidR="00FA3E44" w:rsidRPr="00950125">
        <w:rPr>
          <w:rFonts w:ascii="Times New Roman" w:eastAsia="Times New Roman" w:hAnsi="Times New Roman" w:cs="Times New Roman"/>
          <w:sz w:val="24"/>
          <w:szCs w:val="24"/>
        </w:rPr>
        <w:instrText xml:space="preserve"> ADDIN ZOTERO_ITEM CSL_CITATION {"citationID":"iLHQWJQt","properties":{"formattedCitation":"(Abdelkawy &amp; Alzuwaidi, 2025)","plainCitation":"(Abdelkawy &amp; Alzuwaidi, 2025)","noteIndex":0},"citationItems":[{"id":109,"uris":["http://zotero.org/users/local/dRmf8XHr/items/WALJRR3X"],"itemData":{"id":109,"type":"article-journal","abstract":"This study investigates whether institutional quality amplifies the emissions-reducing effect of energy efficiency in hydrocarbon-dependent economies. Addressing a gap in the energy–environment literature, it tests how governance conditions shape the effectiveness of technical mitigation strategies. Using panel data from six Gulf Cooperation Council (GCC) countries between 2000 and 2023, we estimate a fixed-effects model with interaction terms between energy intensity (as a proxy for efficiency) and institutional quality (proxied by Control of Corruption). The results show that energy efficiency is associated with lower CO2 emissions, and this relationship is significantly moderated by institutional quality. We also analyze the emissions impact of natural gas consumption and identify a structural shift following the 2014 energy reforms: while gas use was positively associated with emissions before 2014, the post-reform period shows a weaker or reversed effect. Robustness checks using alternative governance indicators—Regulatory Quality and Government Effectiveness—confirm the moderating role of institutions. The study offers new empirical evidence on the energy–institution–environment nexus and introduces a novel interaction-based methodology suited to resource-rich economies undergoing institutional transition.","container-title":"Sustainability","DOI":"10.3390/su17156746","ISSN":"2071-1050","issue":"15","language":"en","license":"http://creativecommons.org/licenses/by/3.0/","note":"number: 15\npublisher: Multidisciplinary Digital Publishing Institute","page":"6746","source":"www.mdpi.com","title":"Institutional Quality, Energy Efficiency, and Natural Gas: Explaining CO2 Emissions in the GCC, 2000–2023","title-short":"Institutional Quality, Energy Efficiency, and Natural Gas","volume":"17","author":[{"family":"Abdelkawy","given":"Nagwa Amin"},{"family":"Alzuwaidi","given":"Luluh"}],"issued":{"date-parts":[["2025",1]]}}}],"schema":"https://github.com/citation-style-language/schema/raw/master/csl-citation.json"} </w:instrText>
      </w:r>
      <w:r w:rsidR="00FA3E44" w:rsidRPr="00950125">
        <w:rPr>
          <w:rFonts w:ascii="Times New Roman" w:eastAsia="Times New Roman" w:hAnsi="Times New Roman" w:cs="Times New Roman"/>
          <w:sz w:val="24"/>
          <w:szCs w:val="24"/>
        </w:rPr>
        <w:fldChar w:fldCharType="separate"/>
      </w:r>
      <w:r w:rsidR="00FA3E44" w:rsidRPr="00950125">
        <w:rPr>
          <w:rFonts w:ascii="Times New Roman" w:eastAsia="Times New Roman" w:hAnsi="Times New Roman" w:cs="Times New Roman"/>
          <w:sz w:val="24"/>
          <w:szCs w:val="24"/>
        </w:rPr>
        <w:t>(Abdelkawy &amp; Alzuwaidi, 2025)</w:t>
      </w:r>
      <w:r w:rsidR="00FA3E44" w:rsidRPr="00950125">
        <w:rPr>
          <w:rFonts w:ascii="Times New Roman" w:eastAsia="Times New Roman" w:hAnsi="Times New Roman" w:cs="Times New Roman"/>
          <w:sz w:val="24"/>
          <w:szCs w:val="24"/>
        </w:rPr>
        <w:fldChar w:fldCharType="end"/>
      </w:r>
      <w:r w:rsidR="00FA3E44" w:rsidRPr="00950125">
        <w:rPr>
          <w:rFonts w:ascii="Times New Roman" w:eastAsia="Times New Roman" w:hAnsi="Times New Roman" w:cs="Times New Roman"/>
          <w:sz w:val="24"/>
          <w:szCs w:val="24"/>
        </w:rPr>
        <w:t>.</w:t>
      </w:r>
      <w:r w:rsidRPr="00950125">
        <w:rPr>
          <w:rFonts w:ascii="Times New Roman" w:eastAsia="Times New Roman" w:hAnsi="Times New Roman" w:cs="Times New Roman"/>
          <w:sz w:val="24"/>
          <w:szCs w:val="24"/>
        </w:rPr>
        <w:t xml:space="preserve"> Effective governance, control of corruption, and the rule of law are crucial for implementing policies aimed at reducing pollution, such as carbon taxes or emissions trading schemes</w:t>
      </w:r>
      <w:r w:rsidR="00FA3E44" w:rsidRPr="00950125">
        <w:rPr>
          <w:rFonts w:ascii="Times New Roman" w:eastAsia="Times New Roman" w:hAnsi="Times New Roman" w:cs="Times New Roman"/>
          <w:sz w:val="24"/>
          <w:szCs w:val="24"/>
        </w:rPr>
        <w:t xml:space="preserve"> </w:t>
      </w:r>
      <w:r w:rsidR="00FA3E44" w:rsidRPr="00950125">
        <w:rPr>
          <w:rFonts w:ascii="Times New Roman" w:eastAsia="Times New Roman" w:hAnsi="Times New Roman" w:cs="Times New Roman"/>
          <w:sz w:val="24"/>
          <w:szCs w:val="24"/>
        </w:rPr>
        <w:fldChar w:fldCharType="begin"/>
      </w:r>
      <w:r w:rsidR="00FA3E44" w:rsidRPr="00950125">
        <w:rPr>
          <w:rFonts w:ascii="Times New Roman" w:eastAsia="Times New Roman" w:hAnsi="Times New Roman" w:cs="Times New Roman"/>
          <w:sz w:val="24"/>
          <w:szCs w:val="24"/>
        </w:rPr>
        <w:instrText xml:space="preserve"> ADDIN ZOTERO_ITEM CSL_CITATION {"citationID":"5880x4yP","properties":{"formattedCitation":"(Abd Razak et al., 2021)","plainCitation":"(Abd Razak et al., 2021)","noteIndex":0},"citationItems":[{"id":113,"uris":["http://zotero.org/users/local/dRmf8XHr/items/Z5EGEWXK"],"itemData":{"id":113,"type":"article-journal","abstract":"This paper aims to discover the asymmetry impacts and co-integration between gross domestic product, financial development, energy use and environmental degradation by featuring institutional quality covering the Malaysia economy during the period from 1984 until 2017 using a nonlinear auto-regressive distributed lag model. The results confirm the existence of the Environmental Kuznets Curve hypothesis for both linear and nonlinear analyses, thus verifying the relevance of symmetric and asymmetric EKC hypotheses for Malaysia. Further, this study verifies the attributes of financial development and institutional quality that mitigates the concern on CO2 emissions, but contradicting results were produced on energy use. The implication of this finding provides new guidelines for Malaysia authorities to consider the asymmetries in formulating environment-related policies to maintain environmental quality and achieve their sustainable development goals.","container-title":"Sustainability","DOI":"10.3390/su132212507","ISSN":"2071-1050","issue":"22","language":"en","license":"https://creativecommons.org/licenses/by/4.0/","note":"publisher: MDPI AG","page":"12507","source":"Crossref","title":"Asymmetric Impact of Institutional Quality on Environmental Degradation: Evidence of the Environmental Kuznets Curve","title-short":"Asymmetric Impact of Institutional Quality on Environmental Degradation","volume":"13","author":[{"family":"Abd Razak","given":"Farrah Dina"},{"family":"Khalid","given":"Norlin"},{"family":"Ali","given":"Mohd Helmi"}],"issued":{"date-parts":[["2021",11,12]]}}}],"schema":"https://github.com/citation-style-language/schema/raw/master/csl-citation.json"} </w:instrText>
      </w:r>
      <w:r w:rsidR="00FA3E44" w:rsidRPr="00950125">
        <w:rPr>
          <w:rFonts w:ascii="Times New Roman" w:eastAsia="Times New Roman" w:hAnsi="Times New Roman" w:cs="Times New Roman"/>
          <w:sz w:val="24"/>
          <w:szCs w:val="24"/>
        </w:rPr>
        <w:fldChar w:fldCharType="separate"/>
      </w:r>
      <w:r w:rsidR="00FA3E44" w:rsidRPr="00950125">
        <w:rPr>
          <w:rFonts w:ascii="Times New Roman" w:eastAsia="Times New Roman" w:hAnsi="Times New Roman" w:cs="Times New Roman"/>
          <w:sz w:val="24"/>
          <w:szCs w:val="24"/>
        </w:rPr>
        <w:t>(Abd Razak et al., 2021)</w:t>
      </w:r>
      <w:r w:rsidR="00FA3E44" w:rsidRPr="00950125">
        <w:rPr>
          <w:rFonts w:ascii="Times New Roman" w:eastAsia="Times New Roman" w:hAnsi="Times New Roman" w:cs="Times New Roman"/>
          <w:sz w:val="24"/>
          <w:szCs w:val="24"/>
        </w:rPr>
        <w:fldChar w:fldCharType="end"/>
      </w:r>
      <w:r w:rsidR="00FA3E44"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t>Countries with stronger institutions are more likely to adopt and adhere to internat</w:t>
      </w:r>
      <w:r w:rsidR="00C55B71" w:rsidRPr="00950125">
        <w:rPr>
          <w:rFonts w:ascii="Times New Roman" w:eastAsia="Times New Roman" w:hAnsi="Times New Roman" w:cs="Times New Roman"/>
          <w:sz w:val="24"/>
          <w:szCs w:val="24"/>
        </w:rPr>
        <w:t>ional environmental agreements.</w:t>
      </w:r>
      <w:r w:rsidRPr="00950125">
        <w:rPr>
          <w:rFonts w:ascii="Times New Roman" w:eastAsia="Times New Roman" w:hAnsi="Times New Roman" w:cs="Times New Roman"/>
          <w:sz w:val="24"/>
          <w:szCs w:val="24"/>
        </w:rPr>
        <w:t xml:space="preserve"> Numerous empirical studies have demonstrated a negative relationship between institutional quality and CO2 emissions, indicating that good governance is a key factor in mitigating climate change</w:t>
      </w:r>
      <w:r w:rsidR="00FA3E44" w:rsidRPr="00950125">
        <w:rPr>
          <w:rFonts w:ascii="Times New Roman" w:eastAsia="Times New Roman" w:hAnsi="Times New Roman" w:cs="Times New Roman"/>
          <w:sz w:val="24"/>
          <w:szCs w:val="24"/>
        </w:rPr>
        <w:t xml:space="preserve"> </w:t>
      </w:r>
      <w:r w:rsidR="00FA3E44" w:rsidRPr="00950125">
        <w:rPr>
          <w:rFonts w:ascii="Times New Roman" w:eastAsia="Times New Roman" w:hAnsi="Times New Roman" w:cs="Times New Roman"/>
          <w:sz w:val="24"/>
          <w:szCs w:val="24"/>
        </w:rPr>
        <w:fldChar w:fldCharType="begin"/>
      </w:r>
      <w:r w:rsidR="00FA3E44" w:rsidRPr="00950125">
        <w:rPr>
          <w:rFonts w:ascii="Times New Roman" w:eastAsia="Times New Roman" w:hAnsi="Times New Roman" w:cs="Times New Roman"/>
          <w:sz w:val="24"/>
          <w:szCs w:val="24"/>
        </w:rPr>
        <w:instrText xml:space="preserve"> ADDIN ZOTERO_ITEM CSL_CITATION {"citationID":"ura9DeUg","properties":{"formattedCitation":"(Abdelkawy &amp; Alzuwaidi, 2025; Sheng et al., 2023; Ummalla &amp; Goyari, 2024)","plainCitation":"(Abdelkawy &amp; Alzuwaidi, 2025; Sheng et al., 2023; Ummalla &amp; Goyari, 2024)","noteIndex":0},"citationItems":[{"id":109,"uris":["http://zotero.org/users/local/dRmf8XHr/items/WALJRR3X"],"itemData":{"id":109,"type":"article-journal","abstract":"This study investigates whether institutional quality amplifies the emissions-reducing effect of energy efficiency in hydrocarbon-dependent economies. Addressing a gap in the energy–environment literature, it tests how governance conditions shape the effectiveness of technical mitigation strategies. Using panel data from six Gulf Cooperation Council (GCC) countries between 2000 and 2023, we estimate a fixed-effects model with interaction terms between energy intensity (as a proxy for efficiency) and institutional quality (proxied by Control of Corruption). The results show that energy efficiency is associated with lower CO2 emissions, and this relationship is significantly moderated by institutional quality. We also analyze the emissions impact of natural gas consumption and identify a structural shift following the 2014 energy reforms: while gas use was positively associated with emissions before 2014, the post-reform period shows a weaker or reversed effect. Robustness checks using alternative governance indicators—Regulatory Quality and Government Effectiveness—confirm the moderating role of institutions. The study offers new empirical evidence on the energy–institution–environment nexus and introduces a novel interaction-based methodology suited to resource-rich economies undergoing institutional transition.","container-title":"Sustainability","DOI":"10.3390/su17156746","ISSN":"2071-1050","issue":"15","language":"en","license":"http://creativecommons.org/licenses/by/3.0/","note":"number: 15\npublisher: Multidisciplinary Digital Publishing Institute","page":"6746","source":"www.mdpi.com","title":"Institutional Quality, Energy Efficiency, and Natural Gas: Explaining CO2 Emissions in the GCC, 2000–2023","title-short":"Institutional Quality, Energy Efficiency, and Natural Gas","volume":"17","author":[{"family":"Abdelkawy","given":"Nagwa Amin"},{"family":"Alzuwaidi","given":"Luluh"}],"issued":{"date-parts":[["2025",1]]}}},{"id":106,"uris":["http://zotero.org/users/local/dRmf8XHr/items/468SCNPA"],"itemData":{"id":106,"type":"article-journal","abstract":"Institutions and energy production sources shape environmental policies and practices. Institutions establish frameworks for renewable energy and enforce environmental protection measures. Conventional energy sources cause pollution and climate change, while green energy sources have lower environmental impacts. In this study we analyzed how quality institutions, along with different types of energy production sources affect the quality of environment in 101 countries that are part of the BRI, a global development project. We used a statistical method called panel quantile regression to analyze data from 2000 to 2020. We found that producing energy from renewable sources, such as wind and solar, reduces CO2 emissions by 0.003% in BRI countries. However, producing energy from non-renewable sources, such as gas and coal, harms the environment more in high-income and middle-income countries. We also found that having better institutional quality reduces CO2 emissions by 3.421%, 2.710%, and 0.006% in different groups of BRI countries. This means that having stronger and fairer institutions can help protect the environment by limiting the use of non-renewable energy sources and encouraging the use of renewable ones. Our study suggests that improving institutional quality is a key factor for achieving green energy and environmental sustainability in BRI countries.","container-title":"PLOS ONE","DOI":"10.1371/journal.pone.0291144","ISSN":"1932-6203","issue":"9","journalAbbreviation":"PLoS One","note":"PMID: 37699037\nPMCID: PMC10497143","page":"e0291144","source":"PubMed Central","title":"How institutional quality, and energy production sources, affect the environmental sustainability of bri countries: A comparison of different income groups","title-short":"How institutional quality, and energy production sources, affect the environmental sustainability of bri countries","volume":"18","author":[{"family":"Sheng","given":"Weiyan"},{"family":"Meng","given":"Fei"},{"family":"Akbar","given":"Muhammad Waqas"}],"issued":{"date-parts":[["2023",9,12]]}}},{"id":104,"uris":["http://zotero.org/users/local/dRmf8XHr/items/BVTP9RCE"],"itemData":{"id":104,"type":"book","abstract":"The main purpose of the present study is to explore the impact of institutional quality (IQ) on renewable energy consumption (REC) and CO 2 emissions (CO 2 e) in a panel of BRICS countries, spanning the period 1996Q4-2016Q4. To accomplish this, we use several panel econometric techniques on targeted models. The results of the Westerlund panel cointegration test show that there is a significant long-run equilibrium association among the variables. Furthermore, Augmented Mean Group (AMG) estimator outcomes reveal that IQ has a significant positive impact on REC. Non-renewable energy consumption (NREC) has a positive association with CO 2 e, while IQ and REC significantly reduce CO 2 e. Finally, we found no causal nexus between IQ, REC, and CO 2 e in BRICS countries. Our novel study findings not only provide new empirical evidence to the existing literature but also help policymakers strengthen the IQ to promote the uses of renewable energy and mitigate CO 2 e.","note":"DOI: 10.21203/rs.3.rs-4906065/v1","source":"ResearchGate","title":"Does institutional quality matter for renewable energy consumption and CO2 emissions? Evidence from a panel of BRICS countries","title-short":"Does institutional quality matter for renewable energy consumption and CO2 emissions?","author":[{"family":"Ummalla","given":"Mallesh"},{"family":"Goyari","given":"Phanindra"}],"issued":{"date-parts":[["2024",8,13]]}}}],"schema":"https://github.com/citation-style-language/schema/raw/master/csl-citation.json"} </w:instrText>
      </w:r>
      <w:r w:rsidR="00FA3E44" w:rsidRPr="00950125">
        <w:rPr>
          <w:rFonts w:ascii="Times New Roman" w:eastAsia="Times New Roman" w:hAnsi="Times New Roman" w:cs="Times New Roman"/>
          <w:sz w:val="24"/>
          <w:szCs w:val="24"/>
        </w:rPr>
        <w:fldChar w:fldCharType="separate"/>
      </w:r>
      <w:r w:rsidR="00FA3E44" w:rsidRPr="00950125">
        <w:rPr>
          <w:rFonts w:ascii="Times New Roman" w:eastAsia="Times New Roman" w:hAnsi="Times New Roman" w:cs="Times New Roman"/>
          <w:sz w:val="24"/>
          <w:szCs w:val="24"/>
        </w:rPr>
        <w:t>(Abdelkawy &amp; Alzuwaidi, 2025; Sheng et al., 2023; Ummalla &amp; Goyari, 2024)</w:t>
      </w:r>
      <w:r w:rsidR="00FA3E44" w:rsidRPr="00950125">
        <w:rPr>
          <w:rFonts w:ascii="Times New Roman" w:eastAsia="Times New Roman" w:hAnsi="Times New Roman" w:cs="Times New Roman"/>
          <w:sz w:val="24"/>
          <w:szCs w:val="24"/>
        </w:rPr>
        <w:fldChar w:fldCharType="end"/>
      </w:r>
      <w:r w:rsidR="00FA3E44" w:rsidRPr="00950125">
        <w:rPr>
          <w:rFonts w:ascii="Times New Roman" w:eastAsia="Times New Roman" w:hAnsi="Times New Roman" w:cs="Times New Roman"/>
          <w:sz w:val="24"/>
          <w:szCs w:val="24"/>
        </w:rPr>
        <w:t>.</w:t>
      </w:r>
    </w:p>
    <w:p w14:paraId="660DF076" w14:textId="77777777" w:rsidR="00C55B71" w:rsidRPr="00950125" w:rsidRDefault="00C55B71" w:rsidP="00D46E36">
      <w:pPr>
        <w:spacing w:line="276" w:lineRule="auto"/>
        <w:jc w:val="both"/>
        <w:rPr>
          <w:rFonts w:ascii="Times New Roman" w:eastAsia="Times New Roman" w:hAnsi="Times New Roman" w:cs="Times New Roman"/>
          <w:sz w:val="24"/>
          <w:szCs w:val="24"/>
        </w:rPr>
      </w:pPr>
    </w:p>
    <w:p w14:paraId="1029C8E7" w14:textId="1DDE9E8C" w:rsidR="00C55B71" w:rsidRPr="00950125" w:rsidRDefault="00ED33D8"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coefficient of ICT (</w:t>
      </w:r>
      <w:r w:rsidRPr="00950125">
        <w:rPr>
          <w:rFonts w:ascii="Cambria Math" w:eastAsia="Times New Roman" w:hAnsi="Cambria Math" w:cs="Cambria Math"/>
          <w:sz w:val="24"/>
          <w:szCs w:val="24"/>
        </w:rPr>
        <w:t>𝜷</w:t>
      </w:r>
      <w:r w:rsidR="00422AF0" w:rsidRPr="00950125">
        <w:rPr>
          <w:rFonts w:ascii="Times New Roman" w:eastAsia="Times New Roman" w:hAnsi="Times New Roman" w:cs="Times New Roman"/>
          <w:sz w:val="24"/>
          <w:szCs w:val="24"/>
          <w:vertAlign w:val="subscript"/>
        </w:rPr>
        <w:t>2</w:t>
      </w:r>
      <w:r w:rsidRPr="00950125">
        <w:rPr>
          <w:rFonts w:ascii="Times New Roman" w:eastAsia="Times New Roman" w:hAnsi="Times New Roman" w:cs="Times New Roman"/>
          <w:sz w:val="24"/>
          <w:szCs w:val="24"/>
        </w:rPr>
        <w:t xml:space="preserve">) is theoretically ambiguous, though a negative long-term effect is often anticipated </w:t>
      </w:r>
      <w:r w:rsidRPr="00950125">
        <w:rPr>
          <w:rFonts w:ascii="Times New Roman" w:eastAsia="Times New Roman" w:hAnsi="Times New Roman" w:cs="Times New Roman"/>
          <w:b/>
          <w:sz w:val="24"/>
          <w:szCs w:val="24"/>
        </w:rPr>
        <w:t>(β₂ &lt; 0)</w:t>
      </w:r>
      <w:r w:rsidRPr="00950125">
        <w:rPr>
          <w:rFonts w:ascii="Times New Roman" w:eastAsia="Times New Roman" w:hAnsi="Times New Roman" w:cs="Times New Roman"/>
          <w:sz w:val="24"/>
          <w:szCs w:val="24"/>
        </w:rPr>
        <w:t xml:space="preserve">. </w:t>
      </w:r>
      <w:r w:rsidR="00C55B71" w:rsidRPr="00950125">
        <w:rPr>
          <w:rFonts w:ascii="Times New Roman" w:eastAsia="Times New Roman" w:hAnsi="Times New Roman" w:cs="Times New Roman"/>
          <w:sz w:val="24"/>
          <w:szCs w:val="24"/>
        </w:rPr>
        <w:t xml:space="preserve"> In the initial stages, the production and use of ICT devices contribute to energy consumption and e-waste, potentially increasing emissions </w:t>
      </w:r>
      <w:r w:rsidR="00C55B71" w:rsidRPr="00950125">
        <w:rPr>
          <w:rFonts w:ascii="Times New Roman" w:eastAsia="Times New Roman" w:hAnsi="Times New Roman" w:cs="Times New Roman"/>
          <w:sz w:val="24"/>
          <w:szCs w:val="24"/>
        </w:rPr>
        <w:fldChar w:fldCharType="begin"/>
      </w:r>
      <w:r w:rsidR="00C55B71" w:rsidRPr="00950125">
        <w:rPr>
          <w:rFonts w:ascii="Times New Roman" w:eastAsia="Times New Roman" w:hAnsi="Times New Roman" w:cs="Times New Roman"/>
          <w:sz w:val="24"/>
          <w:szCs w:val="24"/>
        </w:rPr>
        <w:instrText xml:space="preserve"> ADDIN ZOTERO_ITEM CSL_CITATION {"citationID":"Vx7Tff2U","properties":{"formattedCitation":"(You et al., 2024)","plainCitation":"(You et al., 2024)","noteIndex":0},"citationItems":[{"id":116,"uris":["http://zotero.org/users/local/dRmf8XHr/items/GV9XICIN"],"itemData":{"id":116,"type":"article-journal","abstract":"If nations want to attain sustainable development with the exponential growth of information and communication technology (ICT) around the world, they must understand the connection between ICT and carbon emissions. Therefore, this study has used panel data from 64 ‘‘Belt and Road Initiative economies between 2000 and 2021 while finding the impact of ICT, renewable energy consumption (REC), human capital (HC) and economic growth (EG) on CO2 emissions. This study employs the Augmented Mean Group (AMG) estimator, Mean Group (MG) estimator and the Dumitrescu-Hurlin panel causality. The findings indicate that the use of ICT, HC and the REC are inversely related to CO2 emissions, whereas EG is positively associated to CO2 emissions and hence poses a danger to environmental sustainability. In addition, the interaction term of EG with ICT, REC and HC has negative impact on CO2 emissions in BRI economies. Intriguingly, the results reveal that ICT and CO2 emissions has inverted U-shape relationship in BRI economies. Furthermore, the causality results show that ICT, REC, and human capital are all cause and effect linkages that affect CO2 emissions in both directions. In order to reduce energy utilization and boost economic growth, the findings stress the importance of implementing cutting-edge ICT and REC in the industrial sector.","container-title":"Heliyon","DOI":"10.1016/j.heliyon.2024.e26481","ISSN":"2405-8440","issue":"4","journalAbbreviation":"Heliyon","note":"PMID: 38420430\nPMCID: PMC10901032","page":"e26481","source":"PubMed Central","title":"How do information and communication technology, human capital and renewable energy affect CO2 emission; New insights from BRI countries","volume":"10","author":[{"family":"You","given":"Zhen"},{"family":"Li","given":"Lei"},{"family":"Waqas","given":"Muhammad"}],"issued":{"date-parts":[["2024",2,18]]}}}],"schema":"https://github.com/citation-style-language/schema/raw/master/csl-citation.json"} </w:instrText>
      </w:r>
      <w:r w:rsidR="00C55B71" w:rsidRPr="00950125">
        <w:rPr>
          <w:rFonts w:ascii="Times New Roman" w:eastAsia="Times New Roman" w:hAnsi="Times New Roman" w:cs="Times New Roman"/>
          <w:sz w:val="24"/>
          <w:szCs w:val="24"/>
        </w:rPr>
        <w:fldChar w:fldCharType="separate"/>
      </w:r>
      <w:r w:rsidR="00C55B71" w:rsidRPr="00950125">
        <w:rPr>
          <w:rFonts w:ascii="Times New Roman" w:eastAsia="Times New Roman" w:hAnsi="Times New Roman" w:cs="Times New Roman"/>
          <w:sz w:val="24"/>
          <w:szCs w:val="24"/>
        </w:rPr>
        <w:t>(You et al., 2024)</w:t>
      </w:r>
      <w:r w:rsidR="00C55B71" w:rsidRPr="00950125">
        <w:rPr>
          <w:rFonts w:ascii="Times New Roman" w:eastAsia="Times New Roman" w:hAnsi="Times New Roman" w:cs="Times New Roman"/>
          <w:sz w:val="24"/>
          <w:szCs w:val="24"/>
        </w:rPr>
        <w:fldChar w:fldCharType="end"/>
      </w:r>
      <w:r w:rsidR="00C55B71" w:rsidRPr="00950125">
        <w:rPr>
          <w:rFonts w:ascii="Times New Roman" w:eastAsia="Times New Roman" w:hAnsi="Times New Roman" w:cs="Times New Roman"/>
          <w:sz w:val="24"/>
          <w:szCs w:val="24"/>
        </w:rPr>
        <w:t xml:space="preserve">, </w:t>
      </w:r>
      <w:r w:rsidR="00C55B71" w:rsidRPr="00950125">
        <w:rPr>
          <w:rFonts w:ascii="Times New Roman" w:eastAsia="Times New Roman" w:hAnsi="Times New Roman" w:cs="Times New Roman"/>
          <w:sz w:val="24"/>
          <w:szCs w:val="24"/>
        </w:rPr>
        <w:fldChar w:fldCharType="begin"/>
      </w:r>
      <w:r w:rsidR="00C55B71" w:rsidRPr="00950125">
        <w:rPr>
          <w:rFonts w:ascii="Times New Roman" w:eastAsia="Times New Roman" w:hAnsi="Times New Roman" w:cs="Times New Roman"/>
          <w:sz w:val="24"/>
          <w:szCs w:val="24"/>
        </w:rPr>
        <w:instrText xml:space="preserve"> ADDIN ZOTERO_ITEM CSL_CITATION {"citationID":"eNnat4tj","properties":{"formattedCitation":"(Walton, 2025)","plainCitation":"(Walton, 2025)","noteIndex":0},"citationItems":[{"id":121,"uris":["http://zotero.org/users/local/dRmf8XHr/items/QQV6CAHK"],"itemData":{"id":121,"type":"post-weblog","abstract":"In 2021, Freitag et al. estimated that that global emissions from Information Communication Technology (ICT) could be as high as 2.1%–3.9%…","container-title":"Medium","language":"en","title":"What is ICT’s global carbon footprint?","URL":"https://medium.com/@jolindsaywalton/what-is-icts-global-carbon-footprint-1da8874ddc49","author":[{"family":"Walton","given":"Jo Lindsay"}],"accessed":{"date-parts":[["2025",7,25]]},"issued":{"date-parts":[["2025",6,3]]}}}],"schema":"https://github.com/citation-style-language/schema/raw/master/csl-citation.json"} </w:instrText>
      </w:r>
      <w:r w:rsidR="00C55B71" w:rsidRPr="00950125">
        <w:rPr>
          <w:rFonts w:ascii="Times New Roman" w:eastAsia="Times New Roman" w:hAnsi="Times New Roman" w:cs="Times New Roman"/>
          <w:sz w:val="24"/>
          <w:szCs w:val="24"/>
        </w:rPr>
        <w:fldChar w:fldCharType="separate"/>
      </w:r>
      <w:r w:rsidR="00C55B71" w:rsidRPr="00950125">
        <w:rPr>
          <w:rFonts w:ascii="Times New Roman" w:eastAsia="Times New Roman" w:hAnsi="Times New Roman" w:cs="Times New Roman"/>
          <w:sz w:val="24"/>
          <w:szCs w:val="24"/>
        </w:rPr>
        <w:t>(Walton, 2025)</w:t>
      </w:r>
      <w:r w:rsidR="00C55B71" w:rsidRPr="00950125">
        <w:rPr>
          <w:rFonts w:ascii="Times New Roman" w:eastAsia="Times New Roman" w:hAnsi="Times New Roman" w:cs="Times New Roman"/>
          <w:sz w:val="24"/>
          <w:szCs w:val="24"/>
        </w:rPr>
        <w:fldChar w:fldCharType="end"/>
      </w:r>
      <w:r w:rsidR="00C55B71" w:rsidRPr="00950125">
        <w:rPr>
          <w:rFonts w:ascii="Times New Roman" w:eastAsia="Times New Roman" w:hAnsi="Times New Roman" w:cs="Times New Roman"/>
          <w:sz w:val="24"/>
          <w:szCs w:val="24"/>
        </w:rPr>
        <w:t>. However, in the long run, ICT is expected to lead to a net reduction in emissions through various channels.</w:t>
      </w:r>
    </w:p>
    <w:p w14:paraId="2E0D0589" w14:textId="0B4FA0E3" w:rsidR="00C55B71" w:rsidRPr="00950125" w:rsidRDefault="00C55B71"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 xml:space="preserve">ICT can improve energy efficiency across different sectors of the economy, enable the dematerialization of the economy (e.g., e-commerce, teleworking), and facilitate the development of a low-carbon energy system </w:t>
      </w:r>
      <w:r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{"citationID":"klyhEQbH","properties":{"formattedCitation":"(You et al., 2024)","plainCitation":"(You et al., 2024)","noteIndex":0},"citationItems":[{"id":116,"uris":["http://zotero.org/users/local/dRmf8XHr/items/GV9XICIN"],"itemData":{"id":116,"type":"article-journal","abstract":"If nations want to attain sustainable development with the exponential growth of information and communication technology (ICT) around the world, they must understand the connection between ICT and carbon emissions. Therefore, this study has used panel data from 64 ‘‘Belt and Road Initiative economies between 2000 and 2021 while finding the impact of ICT, renewable energy consumption (REC), human capital (HC) and economic growth (EG) on CO2 emissions. This study employs the Augmented Mean Group (AMG) estimator, Mean Group (MG) estimator and the Dumitrescu-Hurlin panel causality. The findings indicate that the use of ICT, HC and the REC are inversely related to CO2 emissions, whereas EG is positively associated to CO2 emissions and hence poses a danger to environmental sustainability. In addition, the interaction term of EG with ICT, REC and HC has negative impact on CO2 emissions in BRI economies. Intriguingly, the results reveal that ICT and CO2 emissions has inverted U-shape relationship in BRI economies. Furthermore, the causality results show that ICT, REC, and human capital are all cause and effect linkages that affect CO2 emissions in both directions. In order to reduce energy utilization and boost economic growth, the findings stress the importance of implementing cutting-edge ICT and REC in the industrial sector.","container-title":"Heliyon","DOI":"10.1016/j.heliyon.2024.e26481","ISSN":"2405-8440","issue":"4","journalAbbreviation":"Heliyon","note":"PMID: 38420430\nPMCID: PMC10901032","page":"e26481","source":"PubMed Central","title":"How do information and communication technology, human capital and renewable energy affect CO2 emission; New insights from BRI countries","volume":"10","author":[{"family":"You","given":"Zhen"},{"family":"Li","given":"Lei"},{"family":"Waqas","given":"Muhammad"}],"issued":{"date-parts":[["2024",2,18]]}}}],"schema":"https://github.com/citation-style-language/schema/raw/master/csl-citation.json"} </w:instrText>
      </w:r>
      <w:r w:rsidRPr="00950125">
        <w:rPr>
          <w:rFonts w:ascii="Times New Roman" w:eastAsia="Times New Roman" w:hAnsi="Times New Roman" w:cs="Times New Roman"/>
          <w:sz w:val="24"/>
          <w:szCs w:val="24"/>
        </w:rPr>
        <w:fldChar w:fldCharType="separate"/>
      </w:r>
      <w:r w:rsidRPr="00950125">
        <w:rPr>
          <w:rFonts w:ascii="Times New Roman" w:eastAsia="Times New Roman" w:hAnsi="Times New Roman" w:cs="Times New Roman"/>
          <w:sz w:val="24"/>
          <w:szCs w:val="24"/>
        </w:rPr>
        <w:t>(You et al., 2024)</w:t>
      </w:r>
      <w:r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{"citationID":"9UmepHra","properties":{"formattedCitation":"(Linghu et al., 2024)","plainCitation":"(Linghu et al., 2024)","noteIndex":0},"citationItems":[{"id":122,"uris":["http://zotero.org/users/local/dRmf8XHr/items/PM47QNVD"],"itemData":{"id":122,"type":"article-journal","abstract":"Information and communication technology (ICT) has great potential to propel economic development toward a low-carbon direction. This study aims to investigate the effect of ICT development on total-factor carbon emission efficiency (TFCEE), as well as its public health co-benefits. We use dynamic (threshold) models and a panel of 30 Chinese provinces from 2008 to 2019. The results suggest that ICT significantly and positively impacts the TFCEE. Specifically, for every 10 per cent increase in the internet development index, the TFCEE increases by 0.11 per cent. Moreover, we find that ICT development indirectly improves the TFCEE by promoting green innovation and energy structure optimization. Furthermore, when green innovation (energy structure represented by the share of coal) switches from below to above (above to below) its threshold value, the promotion effect of ICT development on the TFCEE increases. Additionally, the results show that improving the TFCEE can lead to co-benefits in strengthening China's public health. This study delivers novel insights on promoting the TFCEE through the ICT channel and highlights its positive health-related externalities. Furthermore, we offer policy recommendations to Chinese decision-makers, which can apply to other emerging economies battling similar issues.","container-title":"Frontiers in Public Health","DOI":"10.3389/fpubh.2023.1301627","ISSN":"2296-2565","journalAbbreviation":"Front. Public Health","license":"https://creativecommons.org/licenses/by/4.0/","note":"publisher: Frontiers Media SA","source":"Crossref","title":"Effects of information and communication technology on total-factor carbon emission efficiency and the health co-benefits","URL":"https://www.frontiersin.org/articles/10.3389/fpubh.2023.1301627/full","volume":"11","author":[{"family":"Linghu","given":"Jingying"},{"family":"Wojewodzki","given":"Michal"},{"family":"Cheong","given":"Tsun Se"}],"accessed":{"date-parts":[["2025",7,25]]},"issued":{"date-parts":[["2024",1,5]]}}}],"schema":"https://github.com/citation-style-language/schema/raw/master/csl-citation.json"} </w:instrText>
      </w:r>
      <w:r w:rsidRPr="00950125">
        <w:rPr>
          <w:rFonts w:ascii="Times New Roman" w:eastAsia="Times New Roman" w:hAnsi="Times New Roman" w:cs="Times New Roman"/>
          <w:sz w:val="24"/>
          <w:szCs w:val="24"/>
        </w:rPr>
        <w:fldChar w:fldCharType="separate"/>
      </w:r>
      <w:r w:rsidRPr="00950125">
        <w:rPr>
          <w:rFonts w:ascii="Times New Roman" w:eastAsia="Times New Roman" w:hAnsi="Times New Roman" w:cs="Times New Roman"/>
          <w:sz w:val="24"/>
          <w:szCs w:val="24"/>
        </w:rPr>
        <w:t>(Linghu et al., 2024)</w:t>
      </w:r>
      <w:r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xml:space="preserve">. The relationship is often described as an inverted U-shape, where emissions might initially rise with ICT adoption before declining as efficiency gains and structural changes take effect </w:t>
      </w:r>
      <w:r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{"citationID":"ql6mnqLx","properties":{"formattedCitation":"(Li et al., 2023)","plainCitation":"(Li et al., 2023)","noteIndex":0},"citationItems":[{"id":124,"uris":["http://zotero.org/users/local/dRmf8XHr/items/64MINCNQ"],"itemData":{"id":124,"type":"article-journal","abstract":"With the rapid global development of information and communication technology (ICT), the relationship between ICT and carbon emissions is essential for countries to achieve sustainable development. This study uses panel data from 91 countries between 2007 and 2015 to construct a comprehensive information and communication technology index. This index has been constructed based on ICT infrastructure, institutional guarantee and government support, as well as the competitiveness of ICT goods and services. A series of robustness tests guarantee the consistency of our findings, which are consistent with the empirical findings that demonstrate an inverted U-shaped relationship between ICT and CO2 emissions. Further evidence suggests that an inverted U-shaped relationship between ICT and CO2 emissions has heterogeneous effects between Belt and Road initiative (BRI) and non-BRI countries and countries with different environmental regulations. Therefore, when creating policies to reduce CO2 emissions globally, it is important to consider the growth of ICT and the heterogeneity of countries.","container-title":"Technological Forecasting and Social Change","issue":"C","language":"en","note":"publisher: Elsevier","source":"ideas.repec.org","title":"Effect of information and communication technology on CO2 emissions: An analysis based on country heterogeneity perspective","title-short":"Effect of information and communication technology on CO2 emissions","URL":"https://ideas.repec.org//a/eee/tefoso/v192y2023ics0040162523002846.html","volume":"192","author":[{"family":"Li","given":"Xinze"},{"family":"Zhang","given":"Caiyun"},{"family":"Zhu","given":"Huan"}],"accessed":{"date-parts":[["2025",7,25]]},"issued":{"date-parts":[["2023"]]}}}],"schema":"https://github.com/citation-style-language/schema/raw/master/csl-citation.json"} </w:instrText>
      </w:r>
      <w:r w:rsidRPr="00950125">
        <w:rPr>
          <w:rFonts w:ascii="Times New Roman" w:eastAsia="Times New Roman" w:hAnsi="Times New Roman" w:cs="Times New Roman"/>
          <w:sz w:val="24"/>
          <w:szCs w:val="24"/>
        </w:rPr>
        <w:fldChar w:fldCharType="separate"/>
      </w:r>
      <w:r w:rsidRPr="00950125">
        <w:rPr>
          <w:rFonts w:ascii="Times New Roman" w:eastAsia="Times New Roman" w:hAnsi="Times New Roman" w:cs="Times New Roman"/>
          <w:sz w:val="24"/>
          <w:szCs w:val="24"/>
        </w:rPr>
        <w:t>(Li et al., 2023)</w:t>
      </w:r>
      <w:r w:rsidRPr="00950125">
        <w:rPr>
          <w:rFonts w:ascii="Times New Roman" w:eastAsia="Times New Roman" w:hAnsi="Times New Roman" w:cs="Times New Roman"/>
          <w:sz w:val="24"/>
          <w:szCs w:val="24"/>
        </w:rPr>
        <w:fldChar w:fldCharType="end"/>
      </w:r>
      <w:r w:rsidRPr="00950125">
        <w:rPr>
          <w:rFonts w:ascii="Times New Roman" w:eastAsia="Times New Roman" w:hAnsi="Times New Roman" w:cs="Times New Roman"/>
          <w:sz w:val="24"/>
          <w:szCs w:val="24"/>
        </w:rPr>
        <w:t>. Therefore, while the short-term effect could be positive, the long-term expectation is for a negative coefficient as ICT's enabling effects for a greener economy become more prominent.</w:t>
      </w:r>
    </w:p>
    <w:p w14:paraId="76E4FBC8" w14:textId="77777777" w:rsidR="0069158F" w:rsidRPr="00950125" w:rsidRDefault="00ED33D8"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t>The coefficient of EF (</w:t>
      </w:r>
      <w:r w:rsidRPr="00950125">
        <w:rPr>
          <w:rFonts w:ascii="Cambria Math" w:eastAsia="Times New Roman" w:hAnsi="Cambria Math" w:cs="Cambria Math"/>
          <w:sz w:val="24"/>
          <w:szCs w:val="24"/>
        </w:rPr>
        <w:t>𝜷</w:t>
      </w:r>
      <w:r w:rsidRPr="00950125">
        <w:rPr>
          <w:rFonts w:ascii="Times New Roman" w:eastAsia="Times New Roman" w:hAnsi="Times New Roman" w:cs="Times New Roman"/>
          <w:sz w:val="24"/>
          <w:szCs w:val="24"/>
        </w:rPr>
        <w:t xml:space="preserve">3) has an ambiguous expected sign, meaning it could be positive or negative </w:t>
      </w:r>
      <w:r w:rsidRPr="00950125">
        <w:rPr>
          <w:rFonts w:ascii="Times New Roman" w:eastAsia="Times New Roman" w:hAnsi="Times New Roman" w:cs="Times New Roman"/>
          <w:b/>
          <w:sz w:val="24"/>
          <w:szCs w:val="24"/>
        </w:rPr>
        <w:t>(β₃ &gt; 0 or β₃ &lt; 0)</w:t>
      </w:r>
      <w:r w:rsidRPr="00950125">
        <w:rPr>
          <w:rFonts w:ascii="Times New Roman" w:eastAsia="Times New Roman" w:hAnsi="Times New Roman" w:cs="Times New Roman"/>
          <w:sz w:val="24"/>
          <w:szCs w:val="24"/>
        </w:rPr>
        <w:t xml:space="preserve">. </w:t>
      </w:r>
      <w:r w:rsidR="0069158F" w:rsidRPr="00950125">
        <w:rPr>
          <w:rFonts w:ascii="Times New Roman" w:eastAsia="Times New Roman" w:hAnsi="Times New Roman" w:cs="Times New Roman"/>
          <w:sz w:val="24"/>
          <w:szCs w:val="24"/>
        </w:rPr>
        <w:t xml:space="preserve">The relationship between economic freedom and CO2 emissions is complex and contested in the literature </w:t>
      </w:r>
      <w:r w:rsidR="0069158F" w:rsidRPr="00950125">
        <w:rPr>
          <w:rFonts w:ascii="Times New Roman" w:eastAsia="Times New Roman" w:hAnsi="Times New Roman" w:cs="Times New Roman"/>
          <w:sz w:val="24"/>
          <w:szCs w:val="24"/>
        </w:rPr>
        <w:fldChar w:fldCharType="begin"/>
      </w:r>
      <w:r w:rsidR="0069158F" w:rsidRPr="00950125">
        <w:rPr>
          <w:rFonts w:ascii="Times New Roman" w:eastAsia="Times New Roman" w:hAnsi="Times New Roman" w:cs="Times New Roman"/>
          <w:sz w:val="24"/>
          <w:szCs w:val="24"/>
        </w:rPr>
        <w:instrText xml:space="preserve"> ADDIN ZOTERO_ITEM CSL_CITATION {"citationID":"sfbbYH1i","properties":{"formattedCitation":"(Carlsson &amp; Lundstr\\uc0\\u246{}m, 2003)","plainCitation":"(Carlsson &amp; Lundström, 2003)","noteIndex":0},"citationItems":[{"id":128,"uris":["http://zotero.org/users/local/dRmf8XHr/items/XVA8FG58"],"itemData":{"id":128,"type":"article-journal","abstract":"In this paper we investigate the effects of political and economic freedom on CO2 emissions. As far as we know this is the first cross-country study of the relationship between economic freedom and environmental quality. Economic freedom is measured in several ways. We find that increased price stability and legal structure decrease emissions in countries with a small industry share of GDP, but increases emissions in countries with a large industry share of GDP. The decreasing effect from increased use of market is significant but non-robust, and increased freedom to trade does not have any significant effect. The effect of political freedom on CO2 emissions is insignificant, most probably since CO2 emissions is a global environmental problem and hence subject to free-riding by the individual countries.","collection-title":"Working Papers in Economics","container-title":"Working Papers in Economics","language":"en","note":"number: 29\npublisher: University of Gothenburg, Department of Economics","source":"ideas.repec.org","title":"The Effects of Economic and Political Freedom on CO2 Emissions","URL":"https://ideas.repec.org//p/hhs/gunwpe/0029.html","author":[{"family":"Carlsson","given":"Fredrik"},{"family":"Lundström","given":"Susanna"}],"accessed":{"date-parts":[["2025",7,25]]},"issued":{"date-parts":[["2003",2,21]]}}}],"schema":"https://github.com/citation-style-language/schema/raw/master/csl-citation.json"} </w:instrText>
      </w:r>
      <w:r w:rsidR="0069158F" w:rsidRPr="00950125">
        <w:rPr>
          <w:rFonts w:ascii="Times New Roman" w:eastAsia="Times New Roman" w:hAnsi="Times New Roman" w:cs="Times New Roman"/>
          <w:sz w:val="24"/>
          <w:szCs w:val="24"/>
        </w:rPr>
        <w:fldChar w:fldCharType="separate"/>
      </w:r>
      <w:r w:rsidR="0069158F" w:rsidRPr="00950125">
        <w:rPr>
          <w:rFonts w:ascii="Times New Roman" w:eastAsia="Times New Roman" w:hAnsi="Times New Roman" w:cs="Times New Roman"/>
          <w:sz w:val="24"/>
          <w:szCs w:val="24"/>
        </w:rPr>
        <w:t>(Carlsson &amp; Lundström, 2003)</w:t>
      </w:r>
      <w:r w:rsidR="0069158F" w:rsidRPr="00950125">
        <w:rPr>
          <w:rFonts w:ascii="Times New Roman" w:eastAsia="Times New Roman" w:hAnsi="Times New Roman" w:cs="Times New Roman"/>
          <w:sz w:val="24"/>
          <w:szCs w:val="24"/>
        </w:rPr>
        <w:fldChar w:fldCharType="end"/>
      </w:r>
      <w:r w:rsidR="0069158F" w:rsidRPr="00950125">
        <w:rPr>
          <w:rFonts w:ascii="Times New Roman" w:eastAsia="Times New Roman" w:hAnsi="Times New Roman" w:cs="Times New Roman"/>
          <w:sz w:val="24"/>
          <w:szCs w:val="24"/>
        </w:rPr>
        <w:t xml:space="preserve">, </w:t>
      </w:r>
      <w:r w:rsidR="0069158F" w:rsidRPr="00950125">
        <w:rPr>
          <w:rFonts w:ascii="Times New Roman" w:eastAsia="Times New Roman" w:hAnsi="Times New Roman" w:cs="Times New Roman"/>
          <w:sz w:val="24"/>
          <w:szCs w:val="24"/>
        </w:rPr>
        <w:fldChar w:fldCharType="begin"/>
      </w:r>
      <w:r w:rsidR="0069158F" w:rsidRPr="00950125">
        <w:rPr>
          <w:rFonts w:ascii="Times New Roman" w:eastAsia="Times New Roman" w:hAnsi="Times New Roman" w:cs="Times New Roman"/>
          <w:sz w:val="24"/>
          <w:szCs w:val="24"/>
        </w:rPr>
        <w:instrText xml:space="preserve"> ADDIN ZOTERO_ITEM CSL_CITATION {"citationID":"WZj805te","properties":{"formattedCitation":"(Rapsikevicius et al., 2021)","plainCitation":"(Rapsikevicius et al., 2021)","noteIndex":0},"citationItems":[{"id":134,"uris":["http://zotero.org/users/local/dRmf8XHr/items/CC5ZPCPI"],"itemData":{"id":134,"type":"article-journal","abstract":"The EU Green Deal and its impact on economic transformation provoked a slightly forgotten free market vs. market regulation discussion, but in the light of a new context—economic and environmental performance development. The economic shock caused by COVID-19, which transformed economies and societies, intensified this discussion. This article analyses the impact of economic freedom on economic performance and environmental performance in European countries. The article contributes to a gap in the literature, because, to date, research has examined the effects of economic freedom, or some of its components, on economic or environmental measures in groups of nations with a lacking sustainable development context. In addition, the mixed results obtained led to confusion in perceptions and knowledge about the influence and usefulness of economic freedom for economic and environmental performance. We also found mixed results regarding the influence of economic freedom on economic and environmental performance, but the introduction of a new concept—the optimal level of economic freedom—organized the different results into a coherent logical sequence. The paper provides original empirical evidence and specifies the targets of structural reforms. The results are thus useful for policymakers to develop more appropriate and efficient economic freedom.","container-title":"Sustainability","DOI":"10.3390/su13042380","ISSN":"2071-1050","issue":"4","language":"en","license":"https://creativecommons.org/licenses/by/4.0/","note":"publisher: MDPI AG","page":"2380","source":"Crossref","title":"The Impact of Economic Freedom on Economic and Environmental Performance: Evidence from European Countries","title-short":"The Impact of Economic Freedom on Economic and Environmental Performance","volume":"13","author":[{"family":"Rapsikevicius","given":"Jonas"},{"family":"Bruneckiene","given":"Jurgita"},{"family":"Lukauskas","given":"Mantas"},{"family":"Mikalonis","given":"Sarunas"}],"issued":{"date-parts":[["2021",2,23]]}}}],"schema":"https://github.com/citation-style-language/schema/raw/master/csl-citation.json"} </w:instrText>
      </w:r>
      <w:r w:rsidR="0069158F" w:rsidRPr="00950125">
        <w:rPr>
          <w:rFonts w:ascii="Times New Roman" w:eastAsia="Times New Roman" w:hAnsi="Times New Roman" w:cs="Times New Roman"/>
          <w:sz w:val="24"/>
          <w:szCs w:val="24"/>
        </w:rPr>
        <w:fldChar w:fldCharType="separate"/>
      </w:r>
      <w:r w:rsidR="0069158F" w:rsidRPr="00950125">
        <w:rPr>
          <w:rFonts w:ascii="Times New Roman" w:eastAsia="Times New Roman" w:hAnsi="Times New Roman" w:cs="Times New Roman"/>
          <w:sz w:val="24"/>
          <w:szCs w:val="24"/>
        </w:rPr>
        <w:t>(Rapsikevicius et al., 2021)</w:t>
      </w:r>
      <w:r w:rsidR="0069158F" w:rsidRPr="00950125">
        <w:rPr>
          <w:rFonts w:ascii="Times New Roman" w:eastAsia="Times New Roman" w:hAnsi="Times New Roman" w:cs="Times New Roman"/>
          <w:sz w:val="24"/>
          <w:szCs w:val="24"/>
        </w:rPr>
        <w:fldChar w:fldCharType="end"/>
      </w:r>
      <w:r w:rsidR="0069158F" w:rsidRPr="00950125">
        <w:rPr>
          <w:rFonts w:ascii="Times New Roman" w:eastAsia="Times New Roman" w:hAnsi="Times New Roman" w:cs="Times New Roman"/>
          <w:sz w:val="24"/>
          <w:szCs w:val="24"/>
        </w:rPr>
        <w:t xml:space="preserve">. Proponents of the beneficial effects of economic freedom argue that it fosters innovation and efficiency, leading to the development and adoption of cleaner technologies </w:t>
      </w:r>
      <w:r w:rsidR="0069158F" w:rsidRPr="00950125">
        <w:rPr>
          <w:rFonts w:ascii="Times New Roman" w:eastAsia="Times New Roman" w:hAnsi="Times New Roman" w:cs="Times New Roman"/>
          <w:sz w:val="24"/>
          <w:szCs w:val="24"/>
        </w:rPr>
        <w:fldChar w:fldCharType="begin"/>
      </w:r>
      <w:r w:rsidR="0069158F" w:rsidRPr="00950125">
        <w:rPr>
          <w:rFonts w:ascii="Times New Roman" w:eastAsia="Times New Roman" w:hAnsi="Times New Roman" w:cs="Times New Roman"/>
          <w:sz w:val="24"/>
          <w:szCs w:val="24"/>
        </w:rPr>
        <w:instrText xml:space="preserve"> ADDIN ZOTERO_ITEM CSL_CITATION {"citationID":"0tTOUGvx","properties":{"formattedCitation":"(Sart et al., 2022)","plainCitation":"(Sart et al., 2022)","noteIndex":0},"citationItems":[{"id":136,"uris":["http://zotero.org/users/local/dRmf8XHr/items/ES7LFFPR"],"itemData":{"id":136,"type":"article-journal","abstract":"Environmental sustainability is one of three pillars of sustainability. However, a significant worldwide deterioration in the environment has been experienced since the Industrial Revolution, but the efforts to protect the environment date back to the 1970s. In this context, many economic and non-economic factors underlying environmental degradation have been investigated until today, but the influence of economic freedom indicators and education on the environment have been relatively less analyzed and the researchers have mainly focused on the influence of economic and institutional variables on the environment. Therefore, this paper investigates the reciprocal interplay among economic freedom indicators, education, and environment in EU member states over the 2000–2018 term by using a causality test with cross-sectional dependency and heterogeneity and taking the research gap into consideration. The causality analysis indicates that market-oriented economic structure and education can be beneficial in combatting environmental degradation.","container-title":"International Journal of Environmental Research and Public Health","DOI":"10.3390/ijerph19138061","ISSN":"1661-7827","issue":"13","journalAbbreviation":"Int J Environ Res Public Health","note":"PMID: 35805730\nPMCID: PMC9265646","page":"8061","source":"PubMed Central","title":"Economic Freedom, Education and CO2 Emissions: A Causality Analysis for EU Member States","title-short":"Economic Freedom, Education and CO2 Emissions","volume":"19","author":[{"family":"Sart","given":"Gamze"},{"family":"Bayar","given":"Yilmaz"},{"family":"Danilina","given":"Marina"},{"family":"Sezgin","given":"Funda Hatice"}],"issued":{"date-parts":[["2022",6,30]]}}}],"schema":"https://github.com/citation-style-language/schema/raw/master/csl-citation.json"} </w:instrText>
      </w:r>
      <w:r w:rsidR="0069158F" w:rsidRPr="00950125">
        <w:rPr>
          <w:rFonts w:ascii="Times New Roman" w:eastAsia="Times New Roman" w:hAnsi="Times New Roman" w:cs="Times New Roman"/>
          <w:sz w:val="24"/>
          <w:szCs w:val="24"/>
        </w:rPr>
        <w:fldChar w:fldCharType="separate"/>
      </w:r>
      <w:r w:rsidR="0069158F" w:rsidRPr="00950125">
        <w:rPr>
          <w:rFonts w:ascii="Times New Roman" w:eastAsia="Times New Roman" w:hAnsi="Times New Roman" w:cs="Times New Roman"/>
          <w:sz w:val="24"/>
          <w:szCs w:val="24"/>
        </w:rPr>
        <w:t>(Sart et al., 2022)</w:t>
      </w:r>
      <w:r w:rsidR="0069158F" w:rsidRPr="00950125">
        <w:rPr>
          <w:rFonts w:ascii="Times New Roman" w:eastAsia="Times New Roman" w:hAnsi="Times New Roman" w:cs="Times New Roman"/>
          <w:sz w:val="24"/>
          <w:szCs w:val="24"/>
        </w:rPr>
        <w:fldChar w:fldCharType="end"/>
      </w:r>
      <w:r w:rsidR="0069158F" w:rsidRPr="00950125">
        <w:rPr>
          <w:rFonts w:ascii="Times New Roman" w:eastAsia="Times New Roman" w:hAnsi="Times New Roman" w:cs="Times New Roman"/>
          <w:sz w:val="24"/>
          <w:szCs w:val="24"/>
        </w:rPr>
        <w:t xml:space="preserve">. Conversely, critics argue that greater economic freedom can lead to a "race to the bottom" in environmental standards and increased pollution due to a focus on economic growth without sufficient environmental regulation </w:t>
      </w:r>
      <w:r w:rsidR="0069158F" w:rsidRPr="00950125">
        <w:rPr>
          <w:rFonts w:ascii="Times New Roman" w:eastAsia="Times New Roman" w:hAnsi="Times New Roman" w:cs="Times New Roman"/>
          <w:sz w:val="24"/>
          <w:szCs w:val="24"/>
        </w:rPr>
        <w:fldChar w:fldCharType="begin"/>
      </w:r>
      <w:r w:rsidR="0069158F" w:rsidRPr="00950125">
        <w:rPr>
          <w:rFonts w:ascii="Times New Roman" w:eastAsia="Times New Roman" w:hAnsi="Times New Roman" w:cs="Times New Roman"/>
          <w:sz w:val="24"/>
          <w:szCs w:val="24"/>
        </w:rPr>
        <w:instrText xml:space="preserve"> ADDIN ZOTERO_ITEM CSL_CITATION {"citationID":"3Mv7Kral","properties":{"formattedCitation":"(Carlsson &amp; Lundstr\\uc0\\u246{}m, n.d.)","plainCitation":"(Carlsson &amp; Lundström, n.d.)","noteIndex":0},"citationItems":[{"id":140,"uris":["http://zotero.org/users/local/dRmf8XHr/items/XYX3X6FQ"],"itemData":{"id":140,"type":"article-journal","abstract":"In this paper we investigate what effect political and economic freedom has on emissions of CO2. The estimated models predict that CO2 is always increasing in GDP even at high level of GDP, which confirms the results of earlier studies. Moreover, we find that political freedom decreases CO2 emissions. This positive relation between democracy and environmental quality has been found for several other pollutants, and we confirm the results for CO2 emissions. Increased economic freedom, in terms of lower government size, decreases CO2 emissions when the size of the government is small but increases emissions when the size is large. An increased use of market or increased freedom to trade decreases CO2 emissions. Increased price stability and legal structure has no effect on emissions. The results hold for both linear and log-linear specifications, except for the freedom of trade variable that is in significant in the linear case. The result is also robust to the sample. Hence, the direct effects of economic freedom on CO2 emissions are mainly decreasing except for the government size effect, which increases emissions at high levels of freedom.","language":"en","source":"Zotero","title":"Political and Economic Freedom and the Environment:","author":[{"family":"Carlsson","given":"Fredrik"},{"family":"Lundström","given":"Susanna"}]}}],"schema":"https://github.com/citation-style-language/schema/raw/master/csl-citation.json"} </w:instrText>
      </w:r>
      <w:r w:rsidR="0069158F" w:rsidRPr="00950125">
        <w:rPr>
          <w:rFonts w:ascii="Times New Roman" w:eastAsia="Times New Roman" w:hAnsi="Times New Roman" w:cs="Times New Roman"/>
          <w:sz w:val="24"/>
          <w:szCs w:val="24"/>
        </w:rPr>
        <w:fldChar w:fldCharType="separate"/>
      </w:r>
      <w:r w:rsidR="0069158F" w:rsidRPr="00950125">
        <w:rPr>
          <w:rFonts w:ascii="Times New Roman" w:eastAsia="Times New Roman" w:hAnsi="Times New Roman" w:cs="Times New Roman"/>
          <w:sz w:val="24"/>
          <w:szCs w:val="24"/>
        </w:rPr>
        <w:t>(Carlsson &amp; Lundström, n.d.)</w:t>
      </w:r>
      <w:r w:rsidR="0069158F" w:rsidRPr="00950125">
        <w:rPr>
          <w:rFonts w:ascii="Times New Roman" w:eastAsia="Times New Roman" w:hAnsi="Times New Roman" w:cs="Times New Roman"/>
          <w:sz w:val="24"/>
          <w:szCs w:val="24"/>
        </w:rPr>
        <w:fldChar w:fldCharType="end"/>
      </w:r>
      <w:r w:rsidR="0069158F" w:rsidRPr="00950125">
        <w:rPr>
          <w:rFonts w:ascii="Times New Roman" w:eastAsia="Times New Roman" w:hAnsi="Times New Roman" w:cs="Times New Roman"/>
          <w:sz w:val="24"/>
          <w:szCs w:val="24"/>
        </w:rPr>
        <w:t xml:space="preserve">. </w:t>
      </w:r>
    </w:p>
    <w:p w14:paraId="3826DB87" w14:textId="381120BD" w:rsidR="00996935" w:rsidRPr="00950125" w:rsidRDefault="0069158F" w:rsidP="00D46E36">
      <w:pPr>
        <w:spacing w:line="276" w:lineRule="auto"/>
        <w:jc w:val="both"/>
        <w:rPr>
          <w:rFonts w:ascii="Times New Roman" w:eastAsia="Times New Roman" w:hAnsi="Times New Roman" w:cs="Times New Roman"/>
          <w:sz w:val="24"/>
          <w:szCs w:val="24"/>
        </w:rPr>
      </w:pPr>
      <w:r w:rsidRPr="00950125">
        <w:rPr>
          <w:rFonts w:ascii="Times New Roman" w:eastAsia="Times New Roman" w:hAnsi="Times New Roman" w:cs="Times New Roman"/>
          <w:sz w:val="24"/>
          <w:szCs w:val="24"/>
        </w:rPr>
        <w:lastRenderedPageBreak/>
        <w:t>On the positive side for the environment, economic freedom can lead to more efficient resource allocation and empower consumers to demand greener products</w:t>
      </w:r>
      <w:r w:rsidR="00422AF0" w:rsidRPr="00950125">
        <w:rPr>
          <w:rFonts w:ascii="Times New Roman" w:eastAsia="Times New Roman" w:hAnsi="Times New Roman" w:cs="Times New Roman"/>
          <w:sz w:val="24"/>
          <w:szCs w:val="24"/>
        </w:rPr>
        <w:t>. Some studies have found that certain aspects of economic freedom, like secure property rights and free trade, are associated with lower emissions</w:t>
      </w:r>
      <w:r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fldChar w:fldCharType="begin"/>
      </w:r>
      <w:r w:rsidRPr="00950125">
        <w:rPr>
          <w:rFonts w:ascii="Times New Roman" w:eastAsia="Times New Roman" w:hAnsi="Times New Roman" w:cs="Times New Roman"/>
          <w:sz w:val="24"/>
          <w:szCs w:val="24"/>
        </w:rPr>
        <w:instrText xml:space="preserve"> ADDIN ZOTERO_ITEM CSL_CITATION {"citationID":"fe5icOr1","properties":{"formattedCitation":"(\\uc0\\u8220{}The Relationship Between Economic Freedom and Environmental Performance,\\uc0\\u8221{} n.d.)","plainCitation":"(“The Relationship Between Economic Freedom and Environmental Performance,” n.d.)","noteIndex":0},"citationItems":[{"id":141,"uris":["http://zotero.org/users/local/dRmf8XHr/items/2K8LVHDQ"],"itemData":{"id":141,"type":"post-weblog","abstract":"For nearly three decades, the Washington D.C.-based Heritage Foundation has published an Index of Economic Freedom. The Index measures economic freedom by scoring each country in the following categories.  Heritage compiles publicly available data from sources such as the African Development Bank, the Asian Development Bank, the European Commission, the Economist Intelligence Unit, the International...","container-title":"C3 Solutions","language":"en-US","title":"The Relationship Between Economic Freedom and Environmental Performance","URL":"https://www.c3solutions.org/policy-paper/free-economies-are-clean-economies-2023/chapter-1/","accessed":{"date-parts":[["2025",7,25]]}}}],"schema":"https://github.com/citation-style-language/schema/raw/master/csl-citation.json"} </w:instrText>
      </w:r>
      <w:r w:rsidRPr="00950125">
        <w:rPr>
          <w:rFonts w:ascii="Times New Roman" w:eastAsia="Times New Roman" w:hAnsi="Times New Roman" w:cs="Times New Roman"/>
          <w:sz w:val="24"/>
          <w:szCs w:val="24"/>
        </w:rPr>
        <w:fldChar w:fldCharType="separate"/>
      </w:r>
      <w:r w:rsidRPr="00950125">
        <w:rPr>
          <w:rFonts w:ascii="Times New Roman" w:eastAsia="Times New Roman" w:hAnsi="Times New Roman" w:cs="Times New Roman"/>
          <w:sz w:val="24"/>
          <w:szCs w:val="24"/>
        </w:rPr>
        <w:t>(“The Relationship Between Economic Freedom and Environmental Performance,” n.d.)</w:t>
      </w:r>
      <w:r w:rsidRPr="00950125">
        <w:rPr>
          <w:rFonts w:ascii="Times New Roman" w:eastAsia="Times New Roman" w:hAnsi="Times New Roman" w:cs="Times New Roman"/>
          <w:sz w:val="24"/>
          <w:szCs w:val="24"/>
        </w:rPr>
        <w:fldChar w:fldCharType="end"/>
      </w:r>
      <w:r w:rsidR="00422AF0" w:rsidRPr="00950125">
        <w:rPr>
          <w:rFonts w:ascii="Times New Roman" w:eastAsia="Times New Roman" w:hAnsi="Times New Roman" w:cs="Times New Roman"/>
          <w:sz w:val="24"/>
          <w:szCs w:val="24"/>
        </w:rPr>
        <w:t xml:space="preserve">. </w:t>
      </w:r>
      <w:r w:rsidRPr="00950125">
        <w:rPr>
          <w:rFonts w:ascii="Times New Roman" w:eastAsia="Times New Roman" w:hAnsi="Times New Roman" w:cs="Times New Roman"/>
          <w:sz w:val="24"/>
          <w:szCs w:val="24"/>
        </w:rPr>
        <w:t>However, other research suggests that higher economic freedom, particularly through deregulation, can lead to increased emissions, especially in the early stages of development</w:t>
      </w:r>
      <w:r w:rsidR="00422AF0" w:rsidRPr="00950125">
        <w:rPr>
          <w:rFonts w:ascii="Times New Roman" w:eastAsia="Times New Roman" w:hAnsi="Times New Roman" w:cs="Times New Roman"/>
          <w:sz w:val="24"/>
          <w:szCs w:val="24"/>
        </w:rPr>
        <w:t xml:space="preserve"> </w:t>
      </w:r>
      <w:r w:rsidR="00422AF0" w:rsidRPr="00950125">
        <w:rPr>
          <w:rFonts w:ascii="Times New Roman" w:eastAsia="Times New Roman" w:hAnsi="Times New Roman" w:cs="Times New Roman"/>
          <w:sz w:val="24"/>
          <w:szCs w:val="24"/>
        </w:rPr>
        <w:fldChar w:fldCharType="begin"/>
      </w:r>
      <w:r w:rsidR="00422AF0" w:rsidRPr="00950125">
        <w:rPr>
          <w:rFonts w:ascii="Times New Roman" w:eastAsia="Times New Roman" w:hAnsi="Times New Roman" w:cs="Times New Roman"/>
          <w:sz w:val="24"/>
          <w:szCs w:val="24"/>
        </w:rPr>
        <w:instrText xml:space="preserve"> ADDIN ZOTERO_ITEM CSL_CITATION {"citationID":"lxt1e7y6","properties":{"formattedCitation":"(Carlsson &amp; Lundstr\\uc0\\u246{}m, 2003, 2003)","plainCitation":"(Carlsson &amp; Lundström, 2003, 2003)","noteIndex":0},"citationItems":[{"id":128,"uris":["http://zotero.org/users/local/dRmf8XHr/items/XVA8FG58"],"itemData":{"id":128,"type":"article-journal","abstract":"In this paper we investigate the effects of political and economic freedom on CO2 emissions. As far as we know this is the first cross-country study of the relationship between economic freedom and environmental quality. Economic freedom is measured in several ways. We find that increased price stability and legal structure decrease emissions in countries with a small industry share of GDP, but increases emissions in countries with a large industry share of GDP. The decreasing effect from increased use of market is significant but non-robust, and increased freedom to trade does not have any significant effect. The effect of political freedom on CO2 emissions is insignificant, most probably since CO2 emissions is a global environmental problem and hence subject to free-riding by the individual countries.","collection-title":"Working Papers in Economics","container-title":"Working Papers in Economics","language":"en","note":"number: 29\npublisher: University of Gothenburg, Department of Economics","source":"ideas.repec.org","title":"The Effects of Economic and Political Freedom on CO2 Emissions","URL":"https://ideas.repec.org//p/hhs/gunwpe/0029.html","author":[{"family":"Carlsson","given":"Fredrik"},{"family":"Lundström","given":"Susanna"}],"accessed":{"date-parts":[["2025",7,25]]},"issued":{"date-parts":[["2003",2,21]]}}},{"id":128,"uris":["http://zotero.org/users/local/dRmf8XHr/items/XVA8FG58"],"itemData":{"id":128,"type":"article-journal","abstract":"In this paper we investigate the effects of political and economic freedom on CO2 emissions. As far as we know this is the first cross-country study of the relationship between economic freedom and environmental quality. Economic freedom is measured in several ways. We find that increased price stability and legal structure decrease emissions in countries with a small industry share of GDP, but increases emissions in countries with a large industry share of GDP. The decreasing effect from increased use of market is significant but non-robust, and increased freedom to trade does not have any significant effect. The effect of political freedom on CO2 emissions is insignificant, most probably since CO2 emissions is a global environmental problem and hence subject to free-riding by the individual countries.","collection-title":"Working Papers in Economics","container-title":"Working Papers in Economics","language":"en","note":"number: 29\npublisher: University of Gothenburg, Department of Economics","source":"ideas.repec.org","title":"The Effects of Economic and Political Freedom on CO2 Emissions","URL":"https://ideas.repec.org//p/hhs/gunwpe/0029.html","author":[{"family":"Carlsson","given":"Fredrik"},{"family":"Lundström","given":"Susanna"}],"accessed":{"date-parts":[["2025",7,25]]},"issued":{"date-parts":[["2003",2,21]]}}}],"schema":"https://github.com/citation-style-language/schema/raw/master/csl-citation.json"} </w:instrText>
      </w:r>
      <w:r w:rsidR="00422AF0" w:rsidRPr="00950125">
        <w:rPr>
          <w:rFonts w:ascii="Times New Roman" w:eastAsia="Times New Roman" w:hAnsi="Times New Roman" w:cs="Times New Roman"/>
          <w:sz w:val="24"/>
          <w:szCs w:val="24"/>
        </w:rPr>
        <w:fldChar w:fldCharType="separate"/>
      </w:r>
      <w:r w:rsidR="00422AF0" w:rsidRPr="00950125">
        <w:rPr>
          <w:rFonts w:ascii="Times New Roman" w:eastAsia="Times New Roman" w:hAnsi="Times New Roman" w:cs="Times New Roman"/>
          <w:sz w:val="24"/>
          <w:szCs w:val="24"/>
        </w:rPr>
        <w:t>(Carlsson &amp; Lundström, 2003, 2003)</w:t>
      </w:r>
      <w:r w:rsidR="00422AF0" w:rsidRPr="00950125">
        <w:rPr>
          <w:rFonts w:ascii="Times New Roman" w:eastAsia="Times New Roman" w:hAnsi="Times New Roman" w:cs="Times New Roman"/>
          <w:sz w:val="24"/>
          <w:szCs w:val="24"/>
        </w:rPr>
        <w:fldChar w:fldCharType="end"/>
      </w:r>
      <w:r w:rsidR="00422AF0" w:rsidRPr="00950125">
        <w:rPr>
          <w:rFonts w:ascii="Times New Roman" w:eastAsia="Times New Roman" w:hAnsi="Times New Roman" w:cs="Times New Roman"/>
          <w:sz w:val="24"/>
          <w:szCs w:val="24"/>
        </w:rPr>
        <w:t>.</w:t>
      </w:r>
      <w:r w:rsidRPr="00950125">
        <w:rPr>
          <w:rFonts w:ascii="Times New Roman" w:eastAsia="Times New Roman" w:hAnsi="Times New Roman" w:cs="Times New Roman"/>
          <w:sz w:val="24"/>
          <w:szCs w:val="24"/>
        </w:rPr>
        <w:t xml:space="preserve"> The overall effect likely depends on the specific dimensions of economic freedom and the level of economic development of the countries being studied.</w:t>
      </w:r>
    </w:p>
    <w:p w14:paraId="55434D83" w14:textId="49A49FE6" w:rsidR="00D32216" w:rsidRPr="00950125" w:rsidRDefault="008B11CD" w:rsidP="00D46E36">
      <w:pPr>
        <w:pStyle w:val="Heading2"/>
        <w:numPr>
          <w:ilvl w:val="0"/>
          <w:numId w:val="26"/>
        </w:numPr>
        <w:spacing w:line="276" w:lineRule="auto"/>
        <w:rPr>
          <w:rFonts w:ascii="Times New Roman" w:hAnsi="Times New Roman" w:cs="Times New Roman"/>
          <w:b/>
          <w:sz w:val="28"/>
          <w:u w:val="single"/>
        </w:rPr>
      </w:pPr>
      <w:r w:rsidRPr="00950125">
        <w:rPr>
          <w:rFonts w:ascii="Times New Roman" w:hAnsi="Times New Roman" w:cs="Times New Roman"/>
          <w:b/>
          <w:sz w:val="28"/>
          <w:u w:val="single"/>
        </w:rPr>
        <w:t xml:space="preserve"> </w:t>
      </w:r>
      <w:bookmarkStart w:id="33" w:name="_Toc204723897"/>
      <w:r w:rsidR="001140A6" w:rsidRPr="00950125">
        <w:rPr>
          <w:rFonts w:ascii="Times New Roman" w:hAnsi="Times New Roman" w:cs="Times New Roman"/>
          <w:b/>
          <w:sz w:val="28"/>
          <w:u w:val="single"/>
        </w:rPr>
        <w:t>Estimation strategies</w:t>
      </w:r>
      <w:bookmarkEnd w:id="33"/>
    </w:p>
    <w:p w14:paraId="120172A2" w14:textId="77777777" w:rsidR="001140A6" w:rsidRPr="00950125" w:rsidRDefault="001140A6" w:rsidP="00D46E36">
      <w:pPr>
        <w:spacing w:line="276" w:lineRule="auto"/>
        <w:rPr>
          <w:rFonts w:ascii="Times New Roman" w:hAnsi="Times New Roman" w:cs="Times New Roman"/>
        </w:rPr>
      </w:pPr>
    </w:p>
    <w:p w14:paraId="5C9774BC" w14:textId="77777777" w:rsidR="001140A6" w:rsidRPr="00950125" w:rsidRDefault="00D32216" w:rsidP="00D46E36">
      <w:pPr>
        <w:spacing w:line="276" w:lineRule="auto"/>
        <w:rPr>
          <w:rFonts w:ascii="Times New Roman" w:hAnsi="Times New Roman" w:cs="Times New Roman"/>
        </w:rPr>
      </w:pPr>
      <w:r w:rsidRPr="00950125">
        <w:rPr>
          <w:rFonts w:ascii="Times New Roman" w:hAnsi="Times New Roman" w:cs="Times New Roman"/>
          <w:noProof/>
        </w:rPr>
        <w:drawing>
          <wp:inline distT="0" distB="0" distL="0" distR="0" wp14:anchorId="67556158" wp14:editId="51846E38">
            <wp:extent cx="5943600" cy="2804795"/>
            <wp:effectExtent l="0" t="0" r="0" b="0"/>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804795"/>
                    </a:xfrm>
                    <a:prstGeom prst="rect">
                      <a:avLst/>
                    </a:prstGeom>
                  </pic:spPr>
                </pic:pic>
              </a:graphicData>
            </a:graphic>
          </wp:inline>
        </w:drawing>
      </w:r>
    </w:p>
    <w:p w14:paraId="39663FDE" w14:textId="722171D4" w:rsidR="000E6E7C" w:rsidRPr="00950125" w:rsidRDefault="00615F0C" w:rsidP="00D46E36">
      <w:pPr>
        <w:pStyle w:val="Heading3"/>
        <w:spacing w:line="276" w:lineRule="auto"/>
        <w:rPr>
          <w:rFonts w:ascii="Times New Roman" w:eastAsia="Times New Roman" w:hAnsi="Times New Roman" w:cs="Times New Roman"/>
          <w:color w:val="1F4D78"/>
          <w:u w:val="single"/>
        </w:rPr>
      </w:pPr>
      <w:bookmarkStart w:id="34" w:name="_Toc111793"/>
      <w:bookmarkStart w:id="35" w:name="_Toc204723898"/>
      <w:r w:rsidRPr="00950125">
        <w:rPr>
          <w:rFonts w:ascii="Times New Roman" w:eastAsia="Times New Roman" w:hAnsi="Times New Roman" w:cs="Times New Roman"/>
          <w:color w:val="1F4D78"/>
          <w:u w:val="single"/>
        </w:rPr>
        <w:t>Cross-Section Dependence (</w:t>
      </w:r>
      <w:r w:rsidR="001140A6" w:rsidRPr="00950125">
        <w:rPr>
          <w:rFonts w:ascii="Times New Roman" w:eastAsia="Times New Roman" w:hAnsi="Times New Roman" w:cs="Times New Roman"/>
          <w:color w:val="1F4D78"/>
          <w:u w:val="single"/>
        </w:rPr>
        <w:t>CSD</w:t>
      </w:r>
      <w:bookmarkEnd w:id="34"/>
      <w:r w:rsidRPr="00950125">
        <w:rPr>
          <w:rFonts w:ascii="Times New Roman" w:eastAsia="Times New Roman" w:hAnsi="Times New Roman" w:cs="Times New Roman"/>
          <w:color w:val="1F4D78"/>
          <w:u w:val="single"/>
        </w:rPr>
        <w:t>)</w:t>
      </w:r>
      <w:r w:rsidR="000E6E7C" w:rsidRPr="00950125">
        <w:rPr>
          <w:rFonts w:ascii="Times New Roman" w:eastAsia="Times New Roman" w:hAnsi="Times New Roman" w:cs="Times New Roman"/>
          <w:color w:val="1F4D78"/>
          <w:u w:val="single"/>
        </w:rPr>
        <w:t xml:space="preserve"> &amp; Slope Homogeneity Analysis</w:t>
      </w:r>
      <w:bookmarkEnd w:id="35"/>
      <w:r w:rsidR="000E6E7C" w:rsidRPr="00950125">
        <w:rPr>
          <w:rFonts w:ascii="Times New Roman" w:eastAsia="Times New Roman" w:hAnsi="Times New Roman" w:cs="Times New Roman"/>
          <w:color w:val="1F4D78"/>
          <w:u w:val="single"/>
        </w:rPr>
        <w:t xml:space="preserve"> </w:t>
      </w:r>
    </w:p>
    <w:p w14:paraId="22ACECE2" w14:textId="77777777" w:rsidR="000E6E7C" w:rsidRPr="00950125" w:rsidRDefault="00615F0C" w:rsidP="00D46E36">
      <w:pPr>
        <w:spacing w:after="190" w:line="276" w:lineRule="auto"/>
        <w:ind w:right="383"/>
        <w:jc w:val="both"/>
        <w:rPr>
          <w:rFonts w:ascii="Times New Roman" w:hAnsi="Times New Roman" w:cs="Times New Roman"/>
          <w:sz w:val="24"/>
        </w:rPr>
      </w:pPr>
      <w:r w:rsidRPr="00950125">
        <w:rPr>
          <w:rFonts w:ascii="Times New Roman" w:hAnsi="Times New Roman" w:cs="Times New Roman"/>
          <w:sz w:val="24"/>
        </w:rPr>
        <w:t>CSD</w:t>
      </w:r>
      <w:r w:rsidR="001140A6" w:rsidRPr="00950125">
        <w:rPr>
          <w:rFonts w:ascii="Times New Roman" w:hAnsi="Times New Roman" w:cs="Times New Roman"/>
          <w:sz w:val="24"/>
        </w:rPr>
        <w:t xml:space="preserve"> analysis detects the presence of cross-sectional dependence in a given panel data set. This is important in order to avoid the wrong conclusion based on the correlation across units in the error terms of the regression models. </w:t>
      </w:r>
    </w:p>
    <w:p w14:paraId="5F086DA5" w14:textId="77777777" w:rsidR="000E6E7C" w:rsidRPr="00950125" w:rsidRDefault="000E6E7C" w:rsidP="00D46E36">
      <w:pPr>
        <w:pStyle w:val="Heading4"/>
        <w:spacing w:line="276" w:lineRule="auto"/>
        <w:jc w:val="both"/>
        <w:rPr>
          <w:rFonts w:ascii="Times New Roman" w:hAnsi="Times New Roman" w:cs="Times New Roman"/>
          <w:i w:val="0"/>
          <w:u w:val="single"/>
        </w:rPr>
      </w:pPr>
      <w:r w:rsidRPr="00950125">
        <w:rPr>
          <w:rFonts w:ascii="Times New Roman" w:hAnsi="Times New Roman" w:cs="Times New Roman"/>
          <w:i w:val="0"/>
          <w:u w:val="single"/>
        </w:rPr>
        <w:t>Pesaran</w:t>
      </w:r>
    </w:p>
    <w:p w14:paraId="61634116" w14:textId="77777777" w:rsidR="001140A6" w:rsidRPr="00950125" w:rsidRDefault="001140A6" w:rsidP="00D46E36">
      <w:pPr>
        <w:spacing w:after="190"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Pesaran (2004) proposed a diagnostic test for CSD which is the average of the pairwise correlation coefficients of the residuals from individual regressions. This test assist in identifying the cross-sectional dependence that can be a source of problem that can lead to panel data models being inaccurate. </w:t>
      </w:r>
    </w:p>
    <w:p w14:paraId="37C4C348" w14:textId="77777777" w:rsidR="00615F0C" w:rsidRPr="00950125" w:rsidRDefault="00615F0C"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Cross section dependence analysis is important to establish and solve for cross section dependencies, otherwise results may be inefficient and biased estimates of parameters. If researchers can discover CSD, they can change their models to incorporate such dependencies and thus obtain reliable results. In particular, this technique is useful when the cross-sectional </w:t>
      </w:r>
      <w:r w:rsidRPr="00950125">
        <w:rPr>
          <w:rFonts w:ascii="Times New Roman" w:hAnsi="Times New Roman" w:cs="Times New Roman"/>
          <w:sz w:val="24"/>
        </w:rPr>
        <w:lastRenderedPageBreak/>
        <w:t xml:space="preserve">dependency in large panel data sets is due to common shocks or unobserved variables. The Pesaran (2004) test is easy to use and has been found to work well in finding cross-sectional correlations. </w:t>
      </w:r>
    </w:p>
    <w:p w14:paraId="12847647" w14:textId="77777777" w:rsidR="001140A6" w:rsidRPr="00950125" w:rsidRDefault="001140A6" w:rsidP="00D46E36">
      <w:pPr>
        <w:spacing w:after="190" w:line="276" w:lineRule="auto"/>
        <w:ind w:left="-5" w:right="383"/>
        <w:jc w:val="both"/>
        <w:rPr>
          <w:rFonts w:ascii="Times New Roman" w:hAnsi="Times New Roman" w:cs="Times New Roman"/>
          <w:b/>
          <w:sz w:val="24"/>
        </w:rPr>
      </w:pPr>
      <w:r w:rsidRPr="00950125">
        <w:rPr>
          <w:rFonts w:ascii="Times New Roman" w:hAnsi="Times New Roman" w:cs="Times New Roman"/>
          <w:b/>
          <w:sz w:val="24"/>
        </w:rPr>
        <w:t xml:space="preserve">Equation: </w:t>
      </w:r>
    </w:p>
    <w:p w14:paraId="7EBA4274" w14:textId="77777777" w:rsidR="001140A6" w:rsidRPr="00950125" w:rsidRDefault="00440EDA" w:rsidP="00D46E36">
      <w:pPr>
        <w:spacing w:after="303" w:line="276" w:lineRule="auto"/>
        <w:ind w:left="-5" w:right="383"/>
        <w:jc w:val="center"/>
        <w:rPr>
          <w:rFonts w:ascii="Times New Roman" w:hAnsi="Times New Roman" w:cs="Times New Roman"/>
          <w:sz w:val="24"/>
        </w:rPr>
      </w:pPr>
      <m:oMath>
        <m:r>
          <w:rPr>
            <w:rFonts w:ascii="Cambria Math" w:hAnsi="Cambria Math" w:cs="Times New Roman"/>
            <w:sz w:val="32"/>
          </w:rPr>
          <m:t xml:space="preserve">CD= </m:t>
        </m:r>
        <m:rad>
          <m:radPr>
            <m:degHide m:val="1"/>
            <m:ctrlPr>
              <w:rPr>
                <w:rFonts w:ascii="Cambria Math" w:hAnsi="Cambria Math" w:cs="Times New Roman"/>
                <w:i/>
                <w:sz w:val="32"/>
              </w:rPr>
            </m:ctrlPr>
          </m:radPr>
          <m:deg/>
          <m:e>
            <m:f>
              <m:fPr>
                <m:ctrlPr>
                  <w:rPr>
                    <w:rFonts w:ascii="Cambria Math" w:hAnsi="Cambria Math" w:cs="Times New Roman"/>
                    <w:i/>
                    <w:sz w:val="32"/>
                  </w:rPr>
                </m:ctrlPr>
              </m:fPr>
              <m:num>
                <m:r>
                  <w:rPr>
                    <w:rFonts w:ascii="Cambria Math" w:hAnsi="Cambria Math" w:cs="Times New Roman"/>
                    <w:sz w:val="32"/>
                  </w:rPr>
                  <m:t>2T</m:t>
                </m:r>
              </m:num>
              <m:den>
                <m:r>
                  <w:rPr>
                    <w:rFonts w:ascii="Cambria Math" w:hAnsi="Cambria Math" w:cs="Times New Roman"/>
                    <w:sz w:val="32"/>
                  </w:rPr>
                  <m:t>N(N-1)</m:t>
                </m:r>
              </m:den>
            </m:f>
            <m:nary>
              <m:naryPr>
                <m:chr m:val="∑"/>
                <m:limLoc m:val="subSup"/>
                <m:ctrlPr>
                  <w:rPr>
                    <w:rFonts w:ascii="Cambria Math" w:hAnsi="Cambria Math" w:cs="Times New Roman"/>
                    <w:i/>
                    <w:sz w:val="32"/>
                  </w:rPr>
                </m:ctrlPr>
              </m:naryPr>
              <m:sub>
                <m:r>
                  <w:rPr>
                    <w:rFonts w:ascii="Cambria Math" w:hAnsi="Cambria Math" w:cs="Times New Roman"/>
                    <w:sz w:val="32"/>
                  </w:rPr>
                  <m:t>i1</m:t>
                </m:r>
              </m:sub>
              <m:sup>
                <m:r>
                  <w:rPr>
                    <w:rFonts w:ascii="Cambria Math" w:hAnsi="Cambria Math" w:cs="Times New Roman"/>
                    <w:sz w:val="32"/>
                  </w:rPr>
                  <m:t>N-1</m:t>
                </m:r>
              </m:sup>
              <m:e>
                <m:nary>
                  <m:naryPr>
                    <m:chr m:val="∑"/>
                    <m:limLoc m:val="subSup"/>
                    <m:ctrlPr>
                      <w:rPr>
                        <w:rFonts w:ascii="Cambria Math" w:hAnsi="Cambria Math" w:cs="Times New Roman"/>
                        <w:i/>
                        <w:sz w:val="32"/>
                      </w:rPr>
                    </m:ctrlPr>
                  </m:naryPr>
                  <m:sub>
                    <m:r>
                      <w:rPr>
                        <w:rFonts w:ascii="Cambria Math" w:hAnsi="Cambria Math" w:cs="Times New Roman"/>
                        <w:sz w:val="32"/>
                      </w:rPr>
                      <m:t>J=i+1</m:t>
                    </m:r>
                  </m:sub>
                  <m:sup>
                    <m:r>
                      <w:rPr>
                        <w:rFonts w:ascii="Cambria Math" w:hAnsi="Cambria Math" w:cs="Times New Roman"/>
                        <w:sz w:val="32"/>
                      </w:rPr>
                      <m:t>N</m:t>
                    </m:r>
                  </m:sup>
                  <m:e>
                    <m:r>
                      <w:rPr>
                        <w:rFonts w:ascii="Cambria Math" w:hAnsi="Cambria Math" w:cs="Times New Roman"/>
                        <w:sz w:val="32"/>
                      </w:rPr>
                      <m:t>ρij</m:t>
                    </m:r>
                  </m:e>
                </m:nary>
              </m:e>
            </m:nary>
          </m:e>
        </m:rad>
      </m:oMath>
      <w:r w:rsidRPr="00950125">
        <w:rPr>
          <w:rFonts w:ascii="Times New Roman" w:hAnsi="Times New Roman" w:cs="Times New Roman"/>
          <w:sz w:val="24"/>
        </w:rPr>
        <w:t xml:space="preserve">        </w:t>
      </w:r>
      <w:r w:rsidR="001140A6" w:rsidRPr="00950125">
        <w:rPr>
          <w:rFonts w:ascii="Times New Roman" w:hAnsi="Times New Roman" w:cs="Times New Roman"/>
          <w:sz w:val="36"/>
        </w:rPr>
        <w:t>(1)</w:t>
      </w:r>
    </w:p>
    <w:p w14:paraId="4A9452FA" w14:textId="77777777" w:rsidR="001140A6" w:rsidRPr="00950125" w:rsidRDefault="001140A6" w:rsidP="00D46E36">
      <w:pPr>
        <w:spacing w:after="190"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where: </w:t>
      </w:r>
    </w:p>
    <w:p w14:paraId="37401DF5" w14:textId="77777777" w:rsidR="001140A6" w:rsidRPr="00950125" w:rsidRDefault="001140A6" w:rsidP="00D46E36">
      <w:pPr>
        <w:numPr>
          <w:ilvl w:val="0"/>
          <w:numId w:val="6"/>
        </w:numPr>
        <w:spacing w:after="9" w:line="276" w:lineRule="auto"/>
        <w:ind w:right="383" w:hanging="360"/>
        <w:jc w:val="both"/>
        <w:rPr>
          <w:rFonts w:ascii="Times New Roman" w:hAnsi="Times New Roman" w:cs="Times New Roman"/>
          <w:sz w:val="24"/>
        </w:rPr>
      </w:pPr>
      <w:r w:rsidRPr="00950125">
        <w:rPr>
          <w:rFonts w:ascii="Times New Roman" w:hAnsi="Times New Roman" w:cs="Times New Roman"/>
          <w:sz w:val="24"/>
        </w:rPr>
        <w:t xml:space="preserve">T- time dimension, </w:t>
      </w:r>
    </w:p>
    <w:p w14:paraId="31CA1161" w14:textId="77777777" w:rsidR="001140A6" w:rsidRPr="00950125" w:rsidRDefault="001140A6" w:rsidP="00D46E36">
      <w:pPr>
        <w:numPr>
          <w:ilvl w:val="0"/>
          <w:numId w:val="6"/>
        </w:numPr>
        <w:spacing w:after="169" w:line="276" w:lineRule="auto"/>
        <w:ind w:right="383" w:hanging="360"/>
        <w:jc w:val="both"/>
        <w:rPr>
          <w:rFonts w:ascii="Times New Roman" w:hAnsi="Times New Roman" w:cs="Times New Roman"/>
          <w:sz w:val="24"/>
        </w:rPr>
      </w:pPr>
      <w:r w:rsidRPr="00950125">
        <w:rPr>
          <w:rFonts w:ascii="Times New Roman" w:hAnsi="Times New Roman" w:cs="Times New Roman"/>
          <w:sz w:val="24"/>
        </w:rPr>
        <w:t xml:space="preserve">N- cross-sectional dimension, </w:t>
      </w:r>
    </w:p>
    <w:p w14:paraId="300973C1" w14:textId="77777777" w:rsidR="001140A6" w:rsidRPr="00950125" w:rsidRDefault="001140A6" w:rsidP="00D46E36">
      <w:pPr>
        <w:numPr>
          <w:ilvl w:val="0"/>
          <w:numId w:val="6"/>
        </w:numPr>
        <w:spacing w:after="169" w:line="276" w:lineRule="auto"/>
        <w:ind w:right="383" w:hanging="360"/>
        <w:jc w:val="both"/>
        <w:rPr>
          <w:rFonts w:ascii="Times New Roman" w:hAnsi="Times New Roman" w:cs="Times New Roman"/>
          <w:sz w:val="24"/>
        </w:rPr>
      </w:pPr>
      <w:r w:rsidRPr="00950125">
        <w:rPr>
          <w:rFonts w:ascii="Cambria Math" w:hAnsi="Cambria Math" w:cs="Cambria Math"/>
          <w:sz w:val="24"/>
        </w:rPr>
        <w:t>𝜌𝑖𝑗</w:t>
      </w:r>
      <w:r w:rsidRPr="00950125">
        <w:rPr>
          <w:rFonts w:ascii="Times New Roman" w:hAnsi="Times New Roman" w:cs="Times New Roman"/>
          <w:sz w:val="24"/>
        </w:rPr>
        <w:t xml:space="preserve">- sample estimate of the pairwise correlation of the residuals from a standard panel model for cross-sectional units for </w:t>
      </w:r>
      <w:r w:rsidRPr="00950125">
        <w:rPr>
          <w:rFonts w:ascii="Cambria Math" w:hAnsi="Cambria Math" w:cs="Cambria Math"/>
          <w:sz w:val="24"/>
        </w:rPr>
        <w:t>𝑖</w:t>
      </w:r>
      <w:r w:rsidRPr="00950125">
        <w:rPr>
          <w:rFonts w:ascii="Times New Roman" w:hAnsi="Times New Roman" w:cs="Times New Roman"/>
          <w:sz w:val="24"/>
        </w:rPr>
        <w:t xml:space="preserve"> and </w:t>
      </w:r>
      <w:r w:rsidRPr="00950125">
        <w:rPr>
          <w:rFonts w:ascii="Cambria Math" w:hAnsi="Cambria Math" w:cs="Cambria Math"/>
          <w:sz w:val="24"/>
        </w:rPr>
        <w:t>𝑗</w:t>
      </w:r>
      <w:r w:rsidRPr="00950125">
        <w:rPr>
          <w:rFonts w:ascii="Times New Roman" w:hAnsi="Times New Roman" w:cs="Times New Roman"/>
          <w:sz w:val="24"/>
        </w:rPr>
        <w:t xml:space="preserve">. </w:t>
      </w:r>
    </w:p>
    <w:p w14:paraId="75AA91D2" w14:textId="77777777" w:rsidR="000E6E7C" w:rsidRPr="00950125" w:rsidRDefault="000E6E7C" w:rsidP="00D46E36">
      <w:pPr>
        <w:pStyle w:val="Heading4"/>
        <w:spacing w:line="276" w:lineRule="auto"/>
        <w:jc w:val="both"/>
        <w:rPr>
          <w:rFonts w:ascii="Times New Roman" w:hAnsi="Times New Roman" w:cs="Times New Roman"/>
          <w:i w:val="0"/>
          <w:u w:val="single"/>
        </w:rPr>
      </w:pPr>
      <w:r w:rsidRPr="00950125">
        <w:rPr>
          <w:rFonts w:ascii="Times New Roman" w:hAnsi="Times New Roman" w:cs="Times New Roman"/>
          <w:i w:val="0"/>
          <w:sz w:val="24"/>
          <w:u w:val="single"/>
        </w:rPr>
        <w:t>Blomquist and Westerlund</w:t>
      </w:r>
    </w:p>
    <w:p w14:paraId="2BA915E8"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In slope homogeneity analysis, we test the null hypothesis of equal slope regression coefficients across cross-sectional units in a panel data model. Blomquist and Westerlund (2013) suggest a slope homogeneity test that takes into account the serial correlation and cross-sectional dependence. This helps one decide whether unit-level data pooling is justifiable or if it is preferred to have individual estimates of each unit. </w:t>
      </w:r>
    </w:p>
    <w:p w14:paraId="10BA3F6C" w14:textId="77777777" w:rsidR="001140A6" w:rsidRPr="00950125" w:rsidRDefault="001140A6" w:rsidP="00D46E36">
      <w:pPr>
        <w:spacing w:after="353" w:line="276" w:lineRule="auto"/>
        <w:ind w:left="-5" w:right="383"/>
        <w:rPr>
          <w:rFonts w:ascii="Times New Roman" w:hAnsi="Times New Roman" w:cs="Times New Roman"/>
          <w:b/>
          <w:sz w:val="32"/>
        </w:rPr>
      </w:pPr>
      <w:r w:rsidRPr="00950125">
        <w:rPr>
          <w:rFonts w:ascii="Times New Roman" w:hAnsi="Times New Roman" w:cs="Times New Roman"/>
          <w:b/>
          <w:sz w:val="24"/>
        </w:rPr>
        <w:t xml:space="preserve">Equation:  </w:t>
      </w:r>
    </w:p>
    <w:p w14:paraId="541FD96A" w14:textId="77777777" w:rsidR="001140A6" w:rsidRPr="00950125" w:rsidRDefault="0029645F" w:rsidP="00D46E36">
      <w:pPr>
        <w:spacing w:after="353" w:line="276" w:lineRule="auto"/>
        <w:ind w:left="-5" w:right="383"/>
        <w:jc w:val="center"/>
        <w:rPr>
          <w:rFonts w:ascii="Times New Roman" w:hAnsi="Times New Roman" w:cs="Times New Roman"/>
          <w:sz w:val="32"/>
        </w:rPr>
      </w:pPr>
      <m:oMath>
        <m:acc>
          <m:accPr>
            <m:ctrlPr>
              <w:rPr>
                <w:rFonts w:ascii="Cambria Math" w:hAnsi="Cambria Math" w:cs="Times New Roman"/>
                <w:i/>
                <w:sz w:val="32"/>
              </w:rPr>
            </m:ctrlPr>
          </m:accPr>
          <m:e>
            <m:r>
              <w:rPr>
                <w:rFonts w:ascii="Cambria Math" w:hAnsi="Cambria Math" w:cs="Times New Roman"/>
                <w:sz w:val="32"/>
              </w:rPr>
              <m:t>H</m:t>
            </m:r>
          </m:e>
        </m:acc>
        <m:r>
          <w:rPr>
            <w:rFonts w:ascii="Cambria Math" w:hAnsi="Cambria Math" w:cs="Times New Roman"/>
            <w:sz w:val="32"/>
          </w:rPr>
          <m:t xml:space="preserve">= </m:t>
        </m:r>
        <m:f>
          <m:fPr>
            <m:ctrlPr>
              <w:rPr>
                <w:rFonts w:ascii="Cambria Math" w:hAnsi="Cambria Math" w:cs="Times New Roman"/>
                <w:i/>
                <w:sz w:val="32"/>
              </w:rPr>
            </m:ctrlPr>
          </m:fPr>
          <m:num>
            <m:r>
              <w:rPr>
                <w:rFonts w:ascii="Cambria Math" w:hAnsi="Cambria Math" w:cs="Times New Roman"/>
                <w:sz w:val="32"/>
              </w:rPr>
              <m:t>1</m:t>
            </m:r>
          </m:num>
          <m:den>
            <m:r>
              <w:rPr>
                <w:rFonts w:ascii="Cambria Math" w:hAnsi="Cambria Math" w:cs="Times New Roman"/>
                <w:sz w:val="32"/>
              </w:rPr>
              <m:t>N</m:t>
            </m:r>
          </m:den>
        </m:f>
        <m:r>
          <w:rPr>
            <w:rFonts w:ascii="Cambria Math" w:hAnsi="Cambria Math" w:cs="Times New Roman"/>
            <w:sz w:val="32"/>
          </w:rPr>
          <m:t xml:space="preserve"> </m:t>
        </m:r>
        <m:nary>
          <m:naryPr>
            <m:chr m:val="∑"/>
            <m:limLoc m:val="subSup"/>
            <m:ctrlPr>
              <w:rPr>
                <w:rFonts w:ascii="Cambria Math" w:hAnsi="Cambria Math" w:cs="Times New Roman"/>
                <w:i/>
                <w:sz w:val="32"/>
              </w:rPr>
            </m:ctrlPr>
          </m:naryPr>
          <m:sub>
            <m:r>
              <w:rPr>
                <w:rFonts w:ascii="Cambria Math" w:hAnsi="Cambria Math" w:cs="Times New Roman"/>
                <w:sz w:val="32"/>
              </w:rPr>
              <m:t>i=1</m:t>
            </m:r>
          </m:sub>
          <m:sup>
            <m:r>
              <w:rPr>
                <w:rFonts w:ascii="Cambria Math" w:hAnsi="Cambria Math" w:cs="Times New Roman"/>
                <w:sz w:val="32"/>
              </w:rPr>
              <m:t>N</m:t>
            </m:r>
          </m:sup>
          <m:e>
            <m:sSup>
              <m:sSupPr>
                <m:ctrlPr>
                  <w:rPr>
                    <w:rFonts w:ascii="Cambria Math" w:hAnsi="Cambria Math" w:cs="Times New Roman"/>
                    <w:i/>
                    <w:sz w:val="32"/>
                  </w:rPr>
                </m:ctrlPr>
              </m:sSupPr>
              <m:e>
                <m:d>
                  <m:dPr>
                    <m:ctrlPr>
                      <w:rPr>
                        <w:rFonts w:ascii="Cambria Math" w:hAnsi="Cambria Math" w:cs="Times New Roman"/>
                        <w:i/>
                        <w:sz w:val="32"/>
                      </w:rPr>
                    </m:ctrlPr>
                  </m:dPr>
                  <m:e>
                    <m:acc>
                      <m:accPr>
                        <m:ctrlPr>
                          <w:rPr>
                            <w:rFonts w:ascii="Cambria Math" w:hAnsi="Cambria Math" w:cs="Times New Roman"/>
                            <w:i/>
                            <w:sz w:val="32"/>
                          </w:rPr>
                        </m:ctrlPr>
                      </m:accPr>
                      <m:e>
                        <m:sSub>
                          <m:sSubPr>
                            <m:ctrlPr>
                              <w:rPr>
                                <w:rFonts w:ascii="Cambria Math" w:hAnsi="Cambria Math" w:cs="Times New Roman"/>
                                <w:i/>
                                <w:sz w:val="32"/>
                              </w:rPr>
                            </m:ctrlPr>
                          </m:sSubPr>
                          <m:e>
                            <m:r>
                              <w:rPr>
                                <w:rFonts w:ascii="Cambria Math" w:hAnsi="Cambria Math" w:cs="Times New Roman"/>
                                <w:sz w:val="32"/>
                              </w:rPr>
                              <m:t>β</m:t>
                            </m:r>
                          </m:e>
                          <m:sub>
                            <m:r>
                              <w:rPr>
                                <w:rFonts w:ascii="Cambria Math" w:hAnsi="Cambria Math" w:cs="Times New Roman"/>
                                <w:sz w:val="32"/>
                              </w:rPr>
                              <m:t>l</m:t>
                            </m:r>
                          </m:sub>
                        </m:sSub>
                      </m:e>
                    </m:acc>
                    <m:r>
                      <w:rPr>
                        <w:rFonts w:ascii="Cambria Math" w:hAnsi="Cambria Math" w:cs="Times New Roman"/>
                        <w:sz w:val="32"/>
                      </w:rPr>
                      <m:t>-β</m:t>
                    </m:r>
                  </m:e>
                </m:d>
              </m:e>
              <m:sup>
                <m:r>
                  <w:rPr>
                    <w:rFonts w:ascii="Cambria Math" w:hAnsi="Cambria Math" w:cs="Times New Roman"/>
                    <w:sz w:val="32"/>
                  </w:rPr>
                  <m:t>2</m:t>
                </m:r>
              </m:sup>
            </m:sSup>
          </m:e>
        </m:nary>
      </m:oMath>
      <w:r w:rsidR="00C267AF" w:rsidRPr="00950125">
        <w:rPr>
          <w:rFonts w:ascii="Times New Roman" w:eastAsiaTheme="minorEastAsia" w:hAnsi="Times New Roman" w:cs="Times New Roman"/>
          <w:sz w:val="32"/>
        </w:rPr>
        <w:t xml:space="preserve">            (2)</w:t>
      </w:r>
      <w:r w:rsidR="001140A6" w:rsidRPr="00950125">
        <w:rPr>
          <w:rFonts w:ascii="Times New Roman" w:eastAsia="Cambria Math" w:hAnsi="Times New Roman" w:cs="Times New Roman"/>
          <w:sz w:val="40"/>
        </w:rPr>
        <w:tab/>
      </w:r>
      <w:r w:rsidR="001140A6" w:rsidRPr="00950125">
        <w:rPr>
          <w:rFonts w:ascii="Times New Roman" w:hAnsi="Times New Roman" w:cs="Times New Roman"/>
          <w:sz w:val="40"/>
        </w:rPr>
        <w:t xml:space="preserve"> </w:t>
      </w:r>
    </w:p>
    <w:p w14:paraId="64E4A6C6"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The validity of panel data estimation is concerned with the existence of a slope-homogeneous panel. Blomquist and Westerlund's test is appropriate for slope homogeneity for serial correlation and cross-sectional dependence, and it is better than the original test. It enables the researcher to choose among individual or pooled estimations and improve the validity of results from them. </w:t>
      </w:r>
    </w:p>
    <w:p w14:paraId="32DEF005" w14:textId="2BF300B6" w:rsidR="001140A6" w:rsidRPr="00950125" w:rsidRDefault="001140A6" w:rsidP="00D46E36">
      <w:pPr>
        <w:pStyle w:val="Heading3"/>
        <w:spacing w:line="276" w:lineRule="auto"/>
        <w:ind w:left="-5"/>
        <w:jc w:val="both"/>
        <w:rPr>
          <w:rFonts w:ascii="Times New Roman" w:hAnsi="Times New Roman" w:cs="Times New Roman"/>
          <w:u w:val="single"/>
        </w:rPr>
      </w:pPr>
      <w:bookmarkStart w:id="36" w:name="_Toc204723899"/>
      <w:bookmarkStart w:id="37" w:name="_Toc111794"/>
      <w:r w:rsidRPr="00950125">
        <w:rPr>
          <w:rFonts w:ascii="Times New Roman" w:eastAsia="Times New Roman" w:hAnsi="Times New Roman" w:cs="Times New Roman"/>
          <w:color w:val="1F4D78"/>
          <w:u w:val="single"/>
        </w:rPr>
        <w:t>Unit Root Analysis</w:t>
      </w:r>
      <w:bookmarkEnd w:id="36"/>
      <w:r w:rsidRPr="00950125">
        <w:rPr>
          <w:rFonts w:ascii="Times New Roman" w:eastAsia="Times New Roman" w:hAnsi="Times New Roman" w:cs="Times New Roman"/>
          <w:color w:val="1F4D78"/>
          <w:u w:val="single"/>
        </w:rPr>
        <w:t xml:space="preserve"> </w:t>
      </w:r>
      <w:bookmarkEnd w:id="37"/>
    </w:p>
    <w:p w14:paraId="2DAAAD7C" w14:textId="77777777" w:rsidR="000E6E7C" w:rsidRPr="00950125" w:rsidRDefault="000E6E7C" w:rsidP="00D46E36">
      <w:pPr>
        <w:pStyle w:val="Heading4"/>
        <w:spacing w:line="276" w:lineRule="auto"/>
        <w:rPr>
          <w:rFonts w:ascii="Times New Roman" w:hAnsi="Times New Roman" w:cs="Times New Roman"/>
          <w:i w:val="0"/>
          <w:u w:val="single"/>
        </w:rPr>
      </w:pPr>
      <w:r w:rsidRPr="00950125">
        <w:rPr>
          <w:rFonts w:ascii="Times New Roman" w:hAnsi="Times New Roman" w:cs="Times New Roman"/>
          <w:i w:val="0"/>
          <w:u w:val="single"/>
        </w:rPr>
        <w:t>Pesaran CADF</w:t>
      </w:r>
    </w:p>
    <w:p w14:paraId="07CE3455"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To allow for the presence of cross-section dependence, the cross-sectional augmented DickeyFuller (CADF) test of Pesaran (2007) is used to test for the presence of unit roots in the panel data. The CADF test extends the standard ADF regression by including cross-sectional averages of lagged levels and the first differences of individual series. The method aids in identifying unit roots of a correct form in the presence of cross-sectional dependence. </w:t>
      </w:r>
    </w:p>
    <w:p w14:paraId="0CBA62E5" w14:textId="77777777" w:rsidR="001140A6" w:rsidRPr="00950125" w:rsidRDefault="001140A6" w:rsidP="00D46E36">
      <w:pPr>
        <w:spacing w:line="276" w:lineRule="auto"/>
        <w:ind w:left="-5" w:right="383"/>
        <w:jc w:val="both"/>
        <w:rPr>
          <w:rFonts w:ascii="Times New Roman" w:hAnsi="Times New Roman" w:cs="Times New Roman"/>
          <w:b/>
          <w:sz w:val="24"/>
        </w:rPr>
      </w:pPr>
      <w:r w:rsidRPr="00950125">
        <w:rPr>
          <w:rFonts w:ascii="Times New Roman" w:hAnsi="Times New Roman" w:cs="Times New Roman"/>
          <w:b/>
          <w:sz w:val="24"/>
        </w:rPr>
        <w:lastRenderedPageBreak/>
        <w:t xml:space="preserve">Equation: </w:t>
      </w:r>
    </w:p>
    <w:p w14:paraId="65709FA4" w14:textId="77777777" w:rsidR="001140A6" w:rsidRPr="00950125" w:rsidRDefault="001140A6" w:rsidP="00D46E36">
      <w:pPr>
        <w:spacing w:after="78" w:line="276" w:lineRule="auto"/>
        <w:ind w:right="392"/>
        <w:jc w:val="center"/>
        <w:rPr>
          <w:rFonts w:ascii="Times New Roman" w:hAnsi="Times New Roman" w:cs="Times New Roman"/>
        </w:rPr>
      </w:pPr>
      <w:r w:rsidRPr="00950125">
        <w:rPr>
          <w:rFonts w:ascii="Times New Roman" w:eastAsia="Cambria Math" w:hAnsi="Times New Roman" w:cs="Times New Roman"/>
          <w:sz w:val="32"/>
        </w:rPr>
        <w:t>∆</w:t>
      </w:r>
      <w:r w:rsidRPr="00950125">
        <w:rPr>
          <w:rFonts w:ascii="Cambria Math" w:eastAsia="Cambria Math" w:hAnsi="Cambria Math" w:cs="Cambria Math"/>
          <w:sz w:val="32"/>
        </w:rPr>
        <w:t>𝑦</w:t>
      </w:r>
      <w:r w:rsidRPr="00950125">
        <w:rPr>
          <w:rFonts w:ascii="Cambria Math" w:eastAsia="Cambria Math" w:hAnsi="Cambria Math" w:cs="Cambria Math"/>
          <w:sz w:val="32"/>
          <w:vertAlign w:val="subscript"/>
        </w:rPr>
        <w:t>𝑖𝑡</w:t>
      </w:r>
      <w:r w:rsidRPr="00950125">
        <w:rPr>
          <w:rFonts w:ascii="Times New Roman" w:eastAsia="Cambria Math" w:hAnsi="Times New Roman" w:cs="Times New Roman"/>
          <w:sz w:val="32"/>
          <w:vertAlign w:val="subscript"/>
        </w:rPr>
        <w:t xml:space="preserve"> </w:t>
      </w:r>
      <w:r w:rsidRPr="00950125">
        <w:rPr>
          <w:rFonts w:ascii="Times New Roman" w:eastAsia="Cambria Math" w:hAnsi="Times New Roman" w:cs="Times New Roman"/>
          <w:sz w:val="32"/>
        </w:rPr>
        <w:t xml:space="preserve">= </w:t>
      </w:r>
      <w:r w:rsidRPr="00950125">
        <w:rPr>
          <w:rFonts w:ascii="Cambria Math" w:eastAsia="Cambria Math" w:hAnsi="Cambria Math" w:cs="Cambria Math"/>
          <w:sz w:val="32"/>
        </w:rPr>
        <w:t>𝛼</w:t>
      </w:r>
      <w:r w:rsidRPr="00950125">
        <w:rPr>
          <w:rFonts w:ascii="Cambria Math" w:eastAsia="Cambria Math" w:hAnsi="Cambria Math" w:cs="Cambria Math"/>
          <w:sz w:val="32"/>
          <w:vertAlign w:val="subscript"/>
        </w:rPr>
        <w:t>𝑖</w:t>
      </w:r>
      <w:r w:rsidRPr="00950125">
        <w:rPr>
          <w:rFonts w:ascii="Times New Roman" w:eastAsia="Cambria Math" w:hAnsi="Times New Roman" w:cs="Times New Roman"/>
          <w:sz w:val="32"/>
          <w:vertAlign w:val="subscript"/>
        </w:rPr>
        <w:t xml:space="preserve"> </w:t>
      </w:r>
      <w:r w:rsidRPr="00950125">
        <w:rPr>
          <w:rFonts w:ascii="Times New Roman" w:eastAsia="Cambria Math" w:hAnsi="Times New Roman" w:cs="Times New Roman"/>
          <w:sz w:val="32"/>
        </w:rPr>
        <w:t xml:space="preserve">+ </w:t>
      </w:r>
      <w:r w:rsidRPr="00950125">
        <w:rPr>
          <w:rFonts w:ascii="Cambria Math" w:eastAsia="Cambria Math" w:hAnsi="Cambria Math" w:cs="Cambria Math"/>
          <w:sz w:val="32"/>
        </w:rPr>
        <w:t>𝜌</w:t>
      </w:r>
      <w:r w:rsidRPr="00950125">
        <w:rPr>
          <w:rFonts w:ascii="Cambria Math" w:eastAsia="Cambria Math" w:hAnsi="Cambria Math" w:cs="Cambria Math"/>
          <w:sz w:val="32"/>
          <w:vertAlign w:val="subscript"/>
        </w:rPr>
        <w:t>𝑖</w:t>
      </w:r>
      <w:r w:rsidRPr="00950125">
        <w:rPr>
          <w:rFonts w:ascii="Cambria Math" w:eastAsia="Cambria Math" w:hAnsi="Cambria Math" w:cs="Cambria Math"/>
          <w:sz w:val="32"/>
        </w:rPr>
        <w:t>𝑦</w:t>
      </w:r>
      <w:r w:rsidRPr="00950125">
        <w:rPr>
          <w:rFonts w:ascii="Cambria Math" w:eastAsia="Cambria Math" w:hAnsi="Cambria Math" w:cs="Cambria Math"/>
          <w:sz w:val="32"/>
          <w:vertAlign w:val="subscript"/>
        </w:rPr>
        <w:t>𝑖</w:t>
      </w:r>
      <w:r w:rsidRPr="00950125">
        <w:rPr>
          <w:rFonts w:ascii="Times New Roman" w:eastAsia="Cambria Math" w:hAnsi="Times New Roman" w:cs="Times New Roman"/>
          <w:sz w:val="32"/>
          <w:vertAlign w:val="subscript"/>
        </w:rPr>
        <w:t>,</w:t>
      </w:r>
      <w:r w:rsidRPr="00950125">
        <w:rPr>
          <w:rFonts w:ascii="Cambria Math" w:eastAsia="Cambria Math" w:hAnsi="Cambria Math" w:cs="Cambria Math"/>
          <w:sz w:val="32"/>
          <w:vertAlign w:val="subscript"/>
        </w:rPr>
        <w:t>𝑡</w:t>
      </w:r>
      <w:r w:rsidRPr="00950125">
        <w:rPr>
          <w:rFonts w:ascii="Times New Roman" w:eastAsia="Cambria Math" w:hAnsi="Times New Roman" w:cs="Times New Roman"/>
          <w:sz w:val="32"/>
          <w:vertAlign w:val="subscript"/>
        </w:rPr>
        <w:t xml:space="preserve">−1 </w:t>
      </w:r>
      <w:r w:rsidRPr="00950125">
        <w:rPr>
          <w:rFonts w:ascii="Times New Roman" w:eastAsia="Cambria Math" w:hAnsi="Times New Roman" w:cs="Times New Roman"/>
          <w:sz w:val="32"/>
        </w:rPr>
        <w:t xml:space="preserve">+ </w:t>
      </w:r>
      <w:r w:rsidRPr="00950125">
        <w:rPr>
          <w:rFonts w:ascii="Cambria Math" w:eastAsia="Cambria Math" w:hAnsi="Cambria Math" w:cs="Cambria Math"/>
          <w:sz w:val="32"/>
        </w:rPr>
        <w:t>𝛽</w:t>
      </w:r>
      <w:r w:rsidRPr="00950125">
        <w:rPr>
          <w:rFonts w:ascii="Cambria Math" w:eastAsia="Cambria Math" w:hAnsi="Cambria Math" w:cs="Cambria Math"/>
          <w:sz w:val="32"/>
          <w:vertAlign w:val="subscript"/>
        </w:rPr>
        <w:t>𝑖</w:t>
      </w:r>
      <w:r w:rsidRPr="00950125">
        <w:rPr>
          <w:rFonts w:ascii="Cambria Math" w:eastAsia="Cambria Math" w:hAnsi="Cambria Math" w:cs="Cambria Math"/>
          <w:sz w:val="32"/>
        </w:rPr>
        <w:t>𝑦</w:t>
      </w:r>
      <w:r w:rsidRPr="00950125">
        <w:rPr>
          <w:rFonts w:ascii="Times New Roman" w:eastAsia="Cambria Math" w:hAnsi="Times New Roman" w:cs="Times New Roman"/>
          <w:sz w:val="32"/>
        </w:rPr>
        <w:t>̅</w:t>
      </w:r>
      <w:r w:rsidRPr="00950125">
        <w:rPr>
          <w:rFonts w:ascii="Cambria Math" w:eastAsia="Cambria Math" w:hAnsi="Cambria Math" w:cs="Cambria Math"/>
          <w:sz w:val="32"/>
          <w:vertAlign w:val="subscript"/>
        </w:rPr>
        <w:t>𝑡</w:t>
      </w:r>
      <w:r w:rsidRPr="00950125">
        <w:rPr>
          <w:rFonts w:ascii="Times New Roman" w:hAnsi="Times New Roman" w:cs="Times New Roman"/>
          <w:noProof/>
        </w:rPr>
        <w:drawing>
          <wp:inline distT="0" distB="0" distL="0" distR="0" wp14:anchorId="608540D8" wp14:editId="73158AE3">
            <wp:extent cx="173736" cy="97536"/>
            <wp:effectExtent l="0" t="0" r="0" b="0"/>
            <wp:docPr id="108660" name="Picture 108660"/>
            <wp:cNvGraphicFramePr/>
            <a:graphic xmlns:a="http://schemas.openxmlformats.org/drawingml/2006/main">
              <a:graphicData uri="http://schemas.openxmlformats.org/drawingml/2006/picture">
                <pic:pic xmlns:pic="http://schemas.openxmlformats.org/drawingml/2006/picture">
                  <pic:nvPicPr>
                    <pic:cNvPr id="108660" name="Picture 108660"/>
                    <pic:cNvPicPr/>
                  </pic:nvPicPr>
                  <pic:blipFill>
                    <a:blip r:embed="rId15"/>
                    <a:stretch>
                      <a:fillRect/>
                    </a:stretch>
                  </pic:blipFill>
                  <pic:spPr>
                    <a:xfrm>
                      <a:off x="0" y="0"/>
                      <a:ext cx="173736" cy="97536"/>
                    </a:xfrm>
                    <a:prstGeom prst="rect">
                      <a:avLst/>
                    </a:prstGeom>
                  </pic:spPr>
                </pic:pic>
              </a:graphicData>
            </a:graphic>
          </wp:inline>
        </w:drawing>
      </w:r>
      <w:r w:rsidRPr="00950125">
        <w:rPr>
          <w:rFonts w:ascii="Times New Roman" w:hAnsi="Times New Roman" w:cs="Times New Roman"/>
          <w:sz w:val="32"/>
        </w:rPr>
        <w:t xml:space="preserve"> + </w:t>
      </w:r>
      <w:r w:rsidRPr="00950125">
        <w:rPr>
          <w:rFonts w:ascii="Times New Roman" w:hAnsi="Times New Roman" w:cs="Times New Roman"/>
          <w:noProof/>
        </w:rPr>
        <w:drawing>
          <wp:inline distT="0" distB="0" distL="0" distR="0" wp14:anchorId="1C7E204D" wp14:editId="2DA9EAF0">
            <wp:extent cx="826008" cy="185927"/>
            <wp:effectExtent l="0" t="0" r="0" b="0"/>
            <wp:docPr id="108661" name="Picture 108661"/>
            <wp:cNvGraphicFramePr/>
            <a:graphic xmlns:a="http://schemas.openxmlformats.org/drawingml/2006/main">
              <a:graphicData uri="http://schemas.openxmlformats.org/drawingml/2006/picture">
                <pic:pic xmlns:pic="http://schemas.openxmlformats.org/drawingml/2006/picture">
                  <pic:nvPicPr>
                    <pic:cNvPr id="108661" name="Picture 108661"/>
                    <pic:cNvPicPr/>
                  </pic:nvPicPr>
                  <pic:blipFill>
                    <a:blip r:embed="rId16"/>
                    <a:stretch>
                      <a:fillRect/>
                    </a:stretch>
                  </pic:blipFill>
                  <pic:spPr>
                    <a:xfrm>
                      <a:off x="0" y="0"/>
                      <a:ext cx="826008" cy="185927"/>
                    </a:xfrm>
                    <a:prstGeom prst="rect">
                      <a:avLst/>
                    </a:prstGeom>
                  </pic:spPr>
                </pic:pic>
              </a:graphicData>
            </a:graphic>
          </wp:inline>
        </w:drawing>
      </w:r>
      <w:r w:rsidRPr="00950125">
        <w:rPr>
          <w:rFonts w:ascii="Cambria Math" w:eastAsia="Cambria Math" w:hAnsi="Cambria Math" w:cs="Cambria Math"/>
          <w:sz w:val="32"/>
          <w:vertAlign w:val="subscript"/>
        </w:rPr>
        <w:t>𝑖𝑡</w:t>
      </w:r>
      <w:r w:rsidRPr="00950125">
        <w:rPr>
          <w:rFonts w:ascii="Times New Roman" w:hAnsi="Times New Roman" w:cs="Times New Roman"/>
          <w:sz w:val="32"/>
        </w:rPr>
        <w:t xml:space="preserve">      (3) </w:t>
      </w:r>
    </w:p>
    <w:p w14:paraId="2CA9361D"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Here, </w:t>
      </w:r>
    </w:p>
    <w:p w14:paraId="728DC0B6"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Cambria Math" w:hAnsi="Cambria Math" w:cs="Cambria Math"/>
          <w:sz w:val="24"/>
        </w:rPr>
        <w:t>𝑦</w:t>
      </w:r>
      <w:r w:rsidRPr="00950125">
        <w:rPr>
          <w:rFonts w:ascii="Times New Roman" w:hAnsi="Times New Roman" w:cs="Times New Roman"/>
          <w:sz w:val="24"/>
        </w:rPr>
        <w:t>̅</w:t>
      </w:r>
      <w:r w:rsidRPr="00950125">
        <w:rPr>
          <w:rFonts w:ascii="Cambria Math" w:hAnsi="Cambria Math" w:cs="Cambria Math"/>
          <w:sz w:val="24"/>
        </w:rPr>
        <w:t>𝑡</w:t>
      </w:r>
      <w:r w:rsidRPr="00950125">
        <w:rPr>
          <w:rFonts w:ascii="Times New Roman" w:hAnsi="Times New Roman" w:cs="Times New Roman"/>
          <w:sz w:val="24"/>
        </w:rPr>
        <w:t xml:space="preserve">- cross-sectional mean of y. </w:t>
      </w:r>
    </w:p>
    <w:p w14:paraId="4326FF93"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The inclusion of these dependencies in the model enhances the accuracy of the unit root tests compared to traditional methods. This is imperative because the data properties on which subsequent analyses like cointegration tests or regressions will be based will be derived from these data. The test also turns out to be useful for econometricians working with panel data because it can handle cross-sectional dependence. </w:t>
      </w:r>
    </w:p>
    <w:p w14:paraId="4A27952D" w14:textId="77777777" w:rsidR="000E6E7C" w:rsidRPr="00950125" w:rsidRDefault="000E6E7C" w:rsidP="00D46E36">
      <w:pPr>
        <w:pStyle w:val="Heading4"/>
        <w:spacing w:line="276" w:lineRule="auto"/>
        <w:jc w:val="both"/>
        <w:rPr>
          <w:rFonts w:ascii="Times New Roman" w:hAnsi="Times New Roman" w:cs="Times New Roman"/>
          <w:i w:val="0"/>
          <w:u w:val="single"/>
        </w:rPr>
      </w:pPr>
      <w:r w:rsidRPr="00950125">
        <w:rPr>
          <w:rFonts w:ascii="Times New Roman" w:hAnsi="Times New Roman" w:cs="Times New Roman"/>
          <w:i w:val="0"/>
          <w:u w:val="single"/>
        </w:rPr>
        <w:t>Pesaran CIPS</w:t>
      </w:r>
    </w:p>
    <w:p w14:paraId="6B92B2F7"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The other method proposed by Pesaran (2007) is the Cross-sectionally Augmented IPS (CIPS), which is an extension of the Im, Pesaran, and Shin (IPS) test for unit root in panel data. The CIPS test overcomes this by using cross-sectional means in the augmented Dickey-Fuller regressions. </w:t>
      </w:r>
    </w:p>
    <w:p w14:paraId="75E8A2D7"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The whole test statistic is obtained by combining the individual test statistics of the panel. </w:t>
      </w:r>
    </w:p>
    <w:p w14:paraId="78BC0EB5" w14:textId="77777777" w:rsidR="001140A6" w:rsidRPr="00950125" w:rsidRDefault="001140A6" w:rsidP="00D46E36">
      <w:pPr>
        <w:spacing w:line="276" w:lineRule="auto"/>
        <w:ind w:left="-5" w:right="383"/>
        <w:jc w:val="both"/>
        <w:rPr>
          <w:rFonts w:ascii="Times New Roman" w:hAnsi="Times New Roman" w:cs="Times New Roman"/>
          <w:b/>
          <w:sz w:val="24"/>
        </w:rPr>
      </w:pPr>
      <w:r w:rsidRPr="00950125">
        <w:rPr>
          <w:rFonts w:ascii="Times New Roman" w:hAnsi="Times New Roman" w:cs="Times New Roman"/>
          <w:b/>
          <w:sz w:val="24"/>
        </w:rPr>
        <w:t xml:space="preserve">Equation: </w:t>
      </w:r>
    </w:p>
    <w:p w14:paraId="618D38A7" w14:textId="77777777" w:rsidR="001140A6" w:rsidRPr="00950125" w:rsidRDefault="00440EDA" w:rsidP="00D46E36">
      <w:pPr>
        <w:spacing w:after="293" w:line="276" w:lineRule="auto"/>
        <w:ind w:left="497" w:right="881"/>
        <w:jc w:val="center"/>
        <w:rPr>
          <w:rFonts w:ascii="Times New Roman" w:hAnsi="Times New Roman" w:cs="Times New Roman"/>
          <w:sz w:val="32"/>
        </w:rPr>
      </w:pPr>
      <m:oMath>
        <m:r>
          <m:rPr>
            <m:sty m:val="p"/>
          </m:rPr>
          <w:rPr>
            <w:rFonts w:ascii="Cambria Math" w:hAnsi="Cambria Math" w:cs="Times New Roman"/>
            <w:sz w:val="32"/>
          </w:rPr>
          <m:t xml:space="preserve">CIPS = </m:t>
        </m:r>
        <m:f>
          <m:fPr>
            <m:ctrlPr>
              <w:rPr>
                <w:rFonts w:ascii="Cambria Math" w:hAnsi="Cambria Math" w:cs="Times New Roman"/>
                <w:sz w:val="32"/>
              </w:rPr>
            </m:ctrlPr>
          </m:fPr>
          <m:num>
            <m:r>
              <w:rPr>
                <w:rFonts w:ascii="Cambria Math" w:hAnsi="Cambria Math" w:cs="Times New Roman"/>
                <w:sz w:val="32"/>
              </w:rPr>
              <m:t>1</m:t>
            </m:r>
          </m:num>
          <m:den>
            <m:r>
              <w:rPr>
                <w:rFonts w:ascii="Cambria Math" w:hAnsi="Cambria Math" w:cs="Times New Roman"/>
                <w:sz w:val="32"/>
              </w:rPr>
              <m:t>N</m:t>
            </m:r>
          </m:den>
        </m:f>
        <m:r>
          <w:rPr>
            <w:rFonts w:ascii="Cambria Math" w:hAnsi="Cambria Math" w:cs="Times New Roman"/>
            <w:sz w:val="32"/>
          </w:rPr>
          <m:t xml:space="preserve"> </m:t>
        </m:r>
        <m:nary>
          <m:naryPr>
            <m:chr m:val="∑"/>
            <m:limLoc m:val="subSup"/>
            <m:ctrlPr>
              <w:rPr>
                <w:rFonts w:ascii="Cambria Math" w:hAnsi="Cambria Math" w:cs="Times New Roman"/>
                <w:i/>
                <w:sz w:val="32"/>
              </w:rPr>
            </m:ctrlPr>
          </m:naryPr>
          <m:sub>
            <m:r>
              <w:rPr>
                <w:rFonts w:ascii="Cambria Math" w:hAnsi="Cambria Math" w:cs="Times New Roman"/>
                <w:sz w:val="32"/>
              </w:rPr>
              <m:t>i=1</m:t>
            </m:r>
          </m:sub>
          <m:sup>
            <m:r>
              <w:rPr>
                <w:rFonts w:ascii="Cambria Math" w:hAnsi="Cambria Math" w:cs="Times New Roman"/>
                <w:sz w:val="32"/>
              </w:rPr>
              <m:t>N</m:t>
            </m:r>
          </m:sup>
          <m:e>
            <m:r>
              <w:rPr>
                <w:rFonts w:ascii="Cambria Math" w:hAnsi="Cambria Math" w:cs="Times New Roman"/>
                <w:sz w:val="32"/>
              </w:rPr>
              <m:t>CADFi</m:t>
            </m:r>
          </m:e>
        </m:nary>
      </m:oMath>
      <w:r w:rsidRPr="00950125">
        <w:rPr>
          <w:rFonts w:ascii="Times New Roman" w:hAnsi="Times New Roman" w:cs="Times New Roman"/>
          <w:sz w:val="32"/>
        </w:rPr>
        <w:t xml:space="preserve"> </w:t>
      </w:r>
      <w:r w:rsidR="001140A6" w:rsidRPr="00950125">
        <w:rPr>
          <w:rFonts w:ascii="Times New Roman" w:hAnsi="Times New Roman" w:cs="Times New Roman"/>
          <w:sz w:val="32"/>
        </w:rPr>
        <w:t xml:space="preserve">   (4) </w:t>
      </w:r>
    </w:p>
    <w:p w14:paraId="01C34519"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Here, </w:t>
      </w:r>
    </w:p>
    <w:p w14:paraId="3B3E8F2C"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Cambria Math" w:hAnsi="Cambria Math" w:cs="Cambria Math"/>
          <w:sz w:val="24"/>
        </w:rPr>
        <w:t>𝐶𝐴𝐷𝐹𝑖</w:t>
      </w:r>
      <w:r w:rsidRPr="00950125">
        <w:rPr>
          <w:rFonts w:ascii="Times New Roman" w:hAnsi="Times New Roman" w:cs="Times New Roman"/>
          <w:sz w:val="24"/>
        </w:rPr>
        <w:t xml:space="preserve">- test statistic for the i-th cross-section. </w:t>
      </w:r>
    </w:p>
    <w:p w14:paraId="6A076293"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The CIPS test allows unit root tests to efficiently handle cross-sectional endogeneity, a common feature of macro and financial panel data. Its consequence is that unit roots are correctly identified, making an econometric analysis more efficient.  </w:t>
      </w:r>
    </w:p>
    <w:p w14:paraId="385D9F35" w14:textId="708E0FA4" w:rsidR="001140A6" w:rsidRPr="00950125" w:rsidRDefault="001140A6" w:rsidP="00D46E36">
      <w:pPr>
        <w:pStyle w:val="Heading3"/>
        <w:spacing w:line="276" w:lineRule="auto"/>
        <w:ind w:left="-5"/>
        <w:jc w:val="both"/>
        <w:rPr>
          <w:rFonts w:ascii="Times New Roman" w:hAnsi="Times New Roman" w:cs="Times New Roman"/>
          <w:u w:val="single"/>
        </w:rPr>
      </w:pPr>
      <w:bookmarkStart w:id="38" w:name="_Toc204723900"/>
      <w:bookmarkStart w:id="39" w:name="_Toc111795"/>
      <w:r w:rsidRPr="00950125">
        <w:rPr>
          <w:rFonts w:ascii="Times New Roman" w:eastAsia="Times New Roman" w:hAnsi="Times New Roman" w:cs="Times New Roman"/>
          <w:color w:val="1F4D78"/>
          <w:u w:val="single"/>
        </w:rPr>
        <w:t>Cointegration Analysis</w:t>
      </w:r>
      <w:bookmarkEnd w:id="38"/>
      <w:r w:rsidRPr="00950125">
        <w:rPr>
          <w:rFonts w:ascii="Times New Roman" w:eastAsia="Times New Roman" w:hAnsi="Times New Roman" w:cs="Times New Roman"/>
          <w:color w:val="1F4D78"/>
          <w:u w:val="single"/>
        </w:rPr>
        <w:t xml:space="preserve"> </w:t>
      </w:r>
      <w:bookmarkEnd w:id="39"/>
    </w:p>
    <w:p w14:paraId="7AB18D1E" w14:textId="77777777" w:rsidR="000E6E7C"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Cointegration analysis shows that variables integrated of the same order have a long-run relationship. </w:t>
      </w:r>
    </w:p>
    <w:p w14:paraId="087FA213" w14:textId="77777777" w:rsidR="000E6E7C" w:rsidRPr="00950125" w:rsidRDefault="000E6E7C" w:rsidP="00D46E36">
      <w:pPr>
        <w:pStyle w:val="Heading4"/>
        <w:spacing w:line="276" w:lineRule="auto"/>
        <w:jc w:val="both"/>
        <w:rPr>
          <w:rFonts w:ascii="Times New Roman" w:hAnsi="Times New Roman" w:cs="Times New Roman"/>
          <w:i w:val="0"/>
          <w:u w:val="single"/>
        </w:rPr>
      </w:pPr>
      <w:r w:rsidRPr="00950125">
        <w:rPr>
          <w:rFonts w:ascii="Times New Roman" w:hAnsi="Times New Roman" w:cs="Times New Roman"/>
          <w:i w:val="0"/>
          <w:sz w:val="24"/>
          <w:u w:val="single"/>
        </w:rPr>
        <w:t>Westerlund (2007)</w:t>
      </w:r>
    </w:p>
    <w:p w14:paraId="23797537"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Westerlund (2007) introduced cointegration tests for several structural shifts and cross-sectional endogeneity. The tests presented here are based on structural dynamics and error correction models, which are very reliable when cross-sectional dependence and structural breaks exist. </w:t>
      </w:r>
    </w:p>
    <w:p w14:paraId="05928F4F" w14:textId="77777777" w:rsidR="001140A6" w:rsidRPr="00950125" w:rsidRDefault="001140A6" w:rsidP="00D46E36">
      <w:pPr>
        <w:spacing w:line="276" w:lineRule="auto"/>
        <w:ind w:left="-5" w:right="383"/>
        <w:jc w:val="both"/>
        <w:rPr>
          <w:rFonts w:ascii="Times New Roman" w:hAnsi="Times New Roman" w:cs="Times New Roman"/>
          <w:b/>
          <w:sz w:val="24"/>
        </w:rPr>
      </w:pPr>
      <w:r w:rsidRPr="00950125">
        <w:rPr>
          <w:rFonts w:ascii="Times New Roman" w:hAnsi="Times New Roman" w:cs="Times New Roman"/>
          <w:b/>
          <w:sz w:val="24"/>
        </w:rPr>
        <w:t xml:space="preserve">Equation: </w:t>
      </w:r>
    </w:p>
    <w:p w14:paraId="62907262" w14:textId="77777777" w:rsidR="00F72281" w:rsidRPr="00950125" w:rsidRDefault="00F72281" w:rsidP="00D46E36">
      <w:pPr>
        <w:spacing w:after="0" w:line="276" w:lineRule="auto"/>
        <w:ind w:right="390"/>
        <w:jc w:val="center"/>
        <w:rPr>
          <w:rFonts w:ascii="Times New Roman" w:eastAsia="Cambria Math" w:hAnsi="Times New Roman" w:cs="Times New Roman"/>
          <w:sz w:val="32"/>
        </w:rPr>
      </w:pPr>
      <m:oMathPara>
        <m:oMath>
          <m:r>
            <m:rPr>
              <m:sty m:val="p"/>
            </m:rPr>
            <w:rPr>
              <w:rFonts w:ascii="Cambria Math" w:eastAsia="Cambria Math" w:hAnsi="Cambria Math" w:cs="Times New Roman"/>
              <w:sz w:val="32"/>
            </w:rPr>
            <w:lastRenderedPageBreak/>
            <m:t>∆</m:t>
          </m:r>
          <m:sSub>
            <m:sSubPr>
              <m:ctrlPr>
                <w:rPr>
                  <w:rFonts w:ascii="Cambria Math" w:eastAsia="Cambria Math" w:hAnsi="Cambria Math" w:cs="Times New Roman"/>
                  <w:sz w:val="32"/>
                  <w:vertAlign w:val="subscript"/>
                </w:rPr>
              </m:ctrlPr>
            </m:sSubPr>
            <m:e>
              <m:r>
                <w:rPr>
                  <w:rFonts w:ascii="Cambria Math" w:eastAsia="Cambria Math" w:hAnsi="Cambria Math" w:cs="Times New Roman"/>
                  <w:sz w:val="32"/>
                  <w:vertAlign w:val="subscript"/>
                </w:rPr>
                <m:t>y</m:t>
              </m:r>
            </m:e>
            <m:sub>
              <m:r>
                <w:rPr>
                  <w:rFonts w:ascii="Cambria Math" w:eastAsia="Cambria Math" w:hAnsi="Cambria Math" w:cs="Times New Roman"/>
                  <w:sz w:val="32"/>
                  <w:vertAlign w:val="subscript"/>
                </w:rPr>
                <m:t>it</m:t>
              </m:r>
            </m:sub>
          </m:sSub>
          <m:r>
            <m:rPr>
              <m:sty m:val="p"/>
            </m:rPr>
            <w:rPr>
              <w:rFonts w:ascii="Cambria Math" w:eastAsia="Cambria Math" w:hAnsi="Cambria Math" w:cs="Times New Roman"/>
              <w:sz w:val="32"/>
              <w:vertAlign w:val="subscript"/>
            </w:rPr>
            <m:t xml:space="preserve"> </m:t>
          </m:r>
          <m:r>
            <m:rPr>
              <m:sty m:val="p"/>
            </m:rPr>
            <w:rPr>
              <w:rFonts w:ascii="Cambria Math" w:eastAsia="Cambria Math" w:hAnsi="Cambria Math" w:cs="Times New Roman"/>
              <w:sz w:val="32"/>
            </w:rPr>
            <m:t xml:space="preserve">= </m:t>
          </m:r>
          <m:sSub>
            <m:sSubPr>
              <m:ctrlPr>
                <w:rPr>
                  <w:rFonts w:ascii="Cambria Math" w:eastAsia="Cambria Math" w:hAnsi="Cambria Math" w:cs="Times New Roman"/>
                  <w:sz w:val="32"/>
                  <w:vertAlign w:val="subscript"/>
                </w:rPr>
              </m:ctrlPr>
            </m:sSubPr>
            <m:e>
              <m:r>
                <w:rPr>
                  <w:rFonts w:ascii="Cambria Math" w:eastAsia="Cambria Math" w:hAnsi="Cambria Math" w:cs="Times New Roman"/>
                  <w:sz w:val="32"/>
                  <w:vertAlign w:val="subscript"/>
                </w:rPr>
                <m:t>α</m:t>
              </m:r>
            </m:e>
            <m:sub>
              <m:r>
                <w:rPr>
                  <w:rFonts w:ascii="Cambria Math" w:eastAsia="Cambria Math" w:hAnsi="Cambria Math" w:cs="Times New Roman"/>
                  <w:sz w:val="32"/>
                  <w:vertAlign w:val="subscript"/>
                </w:rPr>
                <m:t>i</m:t>
              </m:r>
            </m:sub>
          </m:sSub>
          <m:r>
            <m:rPr>
              <m:sty m:val="p"/>
            </m:rPr>
            <w:rPr>
              <w:rFonts w:ascii="Cambria Math" w:eastAsia="Cambria Math" w:hAnsi="Cambria Math" w:cs="Times New Roman"/>
              <w:sz w:val="32"/>
              <w:vertAlign w:val="subscript"/>
            </w:rPr>
            <m:t xml:space="preserve"> </m:t>
          </m:r>
          <m:r>
            <m:rPr>
              <m:sty m:val="p"/>
            </m:rPr>
            <w:rPr>
              <w:rFonts w:ascii="Cambria Math" w:eastAsia="Cambria Math" w:hAnsi="Cambria Math" w:cs="Times New Roman"/>
              <w:sz w:val="32"/>
            </w:rPr>
            <m:t xml:space="preserve">+ </m:t>
          </m:r>
          <m:sSub>
            <m:sSubPr>
              <m:ctrlPr>
                <w:rPr>
                  <w:rFonts w:ascii="Cambria Math" w:eastAsia="Cambria Math" w:hAnsi="Cambria Math" w:cs="Times New Roman"/>
                  <w:sz w:val="32"/>
                </w:rPr>
              </m:ctrlPr>
            </m:sSubPr>
            <m:e>
              <m:r>
                <m:rPr>
                  <m:sty m:val="p"/>
                </m:rPr>
                <w:rPr>
                  <w:rFonts w:ascii="Cambria Math" w:eastAsia="Cambria Math" w:hAnsi="Cambria Math" w:cs="Times New Roman"/>
                  <w:sz w:val="32"/>
                </w:rPr>
                <m:t>ρ</m:t>
              </m:r>
            </m:e>
            <m:sub>
              <m:r>
                <w:rPr>
                  <w:rFonts w:ascii="Cambria Math" w:eastAsia="Cambria Math" w:hAnsi="Cambria Math" w:cs="Times New Roman"/>
                  <w:sz w:val="32"/>
                </w:rPr>
                <m:t>i</m:t>
              </m:r>
            </m:sub>
          </m:sSub>
          <m:r>
            <m:rPr>
              <m:sty m:val="p"/>
            </m:rPr>
            <w:rPr>
              <w:rFonts w:ascii="Cambria Math" w:eastAsia="Cambria Math" w:hAnsi="Cambria Math" w:cs="Times New Roman"/>
              <w:sz w:val="32"/>
            </w:rPr>
            <m:t>(</m:t>
          </m:r>
          <m:sSub>
            <m:sSubPr>
              <m:ctrlPr>
                <w:rPr>
                  <w:rFonts w:ascii="Cambria Math" w:eastAsia="Cambria Math" w:hAnsi="Cambria Math" w:cs="Times New Roman"/>
                  <w:sz w:val="32"/>
                </w:rPr>
              </m:ctrlPr>
            </m:sSubPr>
            <m:e>
              <m:r>
                <m:rPr>
                  <m:sty m:val="p"/>
                </m:rPr>
                <w:rPr>
                  <w:rFonts w:ascii="Cambria Math" w:eastAsia="Cambria Math" w:hAnsi="Cambria Math" w:cs="Times New Roman"/>
                  <w:sz w:val="32"/>
                </w:rPr>
                <m:t>y</m:t>
              </m:r>
            </m:e>
            <m:sub>
              <m:r>
                <w:rPr>
                  <w:rFonts w:ascii="Cambria Math" w:eastAsia="Cambria Math" w:hAnsi="Cambria Math" w:cs="Times New Roman"/>
                  <w:sz w:val="32"/>
                </w:rPr>
                <m:t>i, t-1</m:t>
              </m:r>
            </m:sub>
          </m:sSub>
          <m:r>
            <m:rPr>
              <m:sty m:val="p"/>
            </m:rPr>
            <w:rPr>
              <w:rFonts w:ascii="Cambria Math" w:eastAsia="Cambria Math" w:hAnsi="Cambria Math" w:cs="Times New Roman"/>
              <w:sz w:val="32"/>
            </w:rPr>
            <m:t xml:space="preserve">- </m:t>
          </m:r>
          <m:sSub>
            <m:sSubPr>
              <m:ctrlPr>
                <w:rPr>
                  <w:rFonts w:ascii="Cambria Math" w:eastAsia="Cambria Math" w:hAnsi="Cambria Math" w:cs="Times New Roman"/>
                  <w:sz w:val="32"/>
                </w:rPr>
              </m:ctrlPr>
            </m:sSubPr>
            <m:e>
              <m:r>
                <m:rPr>
                  <m:sty m:val="p"/>
                </m:rPr>
                <w:rPr>
                  <w:rFonts w:ascii="Cambria Math" w:eastAsia="Cambria Math" w:hAnsi="Cambria Math" w:cs="Times New Roman"/>
                  <w:sz w:val="32"/>
                </w:rPr>
                <m:t>β</m:t>
              </m:r>
            </m:e>
            <m:sub>
              <m:r>
                <w:rPr>
                  <w:rFonts w:ascii="Cambria Math" w:eastAsia="Cambria Math" w:hAnsi="Cambria Math" w:cs="Times New Roman"/>
                  <w:sz w:val="32"/>
                </w:rPr>
                <m:t>i</m:t>
              </m:r>
            </m:sub>
          </m:sSub>
          <m:sSub>
            <m:sSubPr>
              <m:ctrlPr>
                <w:rPr>
                  <w:rFonts w:ascii="Cambria Math" w:eastAsia="Cambria Math" w:hAnsi="Cambria Math" w:cs="Times New Roman"/>
                  <w:sz w:val="32"/>
                </w:rPr>
              </m:ctrlPr>
            </m:sSubPr>
            <m:e>
              <m:r>
                <m:rPr>
                  <m:sty m:val="p"/>
                </m:rPr>
                <w:rPr>
                  <w:rFonts w:ascii="Cambria Math" w:eastAsia="Cambria Math" w:hAnsi="Cambria Math" w:cs="Times New Roman"/>
                  <w:sz w:val="32"/>
                </w:rPr>
                <m:t>x</m:t>
              </m:r>
            </m:e>
            <m:sub>
              <m:r>
                <w:rPr>
                  <w:rFonts w:ascii="Cambria Math" w:eastAsia="Cambria Math" w:hAnsi="Cambria Math" w:cs="Times New Roman"/>
                  <w:sz w:val="32"/>
                </w:rPr>
                <m:t>i, t-1</m:t>
              </m:r>
            </m:sub>
          </m:sSub>
          <m:r>
            <m:rPr>
              <m:sty m:val="p"/>
            </m:rPr>
            <w:rPr>
              <w:rFonts w:ascii="Cambria Math" w:eastAsia="Cambria Math" w:hAnsi="Cambria Math" w:cs="Times New Roman"/>
              <w:sz w:val="32"/>
            </w:rPr>
            <m:t xml:space="preserve">) + </m:t>
          </m:r>
          <m:nary>
            <m:naryPr>
              <m:chr m:val="∑"/>
              <m:limLoc m:val="subSup"/>
              <m:ctrlPr>
                <w:rPr>
                  <w:rFonts w:ascii="Cambria Math" w:eastAsia="Cambria Math" w:hAnsi="Cambria Math" w:cs="Times New Roman"/>
                  <w:sz w:val="32"/>
                </w:rPr>
              </m:ctrlPr>
            </m:naryPr>
            <m:sub>
              <m:r>
                <w:rPr>
                  <w:rFonts w:ascii="Cambria Math" w:eastAsia="Cambria Math" w:hAnsi="Cambria Math" w:cs="Times New Roman"/>
                  <w:sz w:val="32"/>
                </w:rPr>
                <m:t>j=1</m:t>
              </m:r>
            </m:sub>
            <m:sup>
              <m:r>
                <w:rPr>
                  <w:rFonts w:ascii="Cambria Math" w:eastAsia="Cambria Math" w:hAnsi="Cambria Math" w:cs="Times New Roman"/>
                  <w:sz w:val="32"/>
                </w:rPr>
                <m:t>ρ</m:t>
              </m:r>
            </m:sup>
            <m:e>
              <m:sSub>
                <m:sSubPr>
                  <m:ctrlPr>
                    <w:rPr>
                      <w:rFonts w:ascii="Cambria Math" w:eastAsia="Cambria Math" w:hAnsi="Cambria Math" w:cs="Times New Roman"/>
                      <w:sz w:val="32"/>
                    </w:rPr>
                  </m:ctrlPr>
                </m:sSubPr>
                <m:e>
                  <m:r>
                    <m:rPr>
                      <m:sty m:val="p"/>
                    </m:rPr>
                    <w:rPr>
                      <w:rFonts w:ascii="Cambria Math" w:eastAsia="Cambria Math" w:hAnsi="Cambria Math" w:cs="Times New Roman"/>
                      <w:sz w:val="32"/>
                    </w:rPr>
                    <m:t>∅</m:t>
                  </m:r>
                </m:e>
                <m:sub>
                  <m:r>
                    <w:rPr>
                      <w:rFonts w:ascii="Cambria Math" w:eastAsia="Cambria Math" w:hAnsi="Cambria Math" w:cs="Times New Roman"/>
                      <w:sz w:val="32"/>
                    </w:rPr>
                    <m:t>ij</m:t>
                  </m:r>
                </m:sub>
              </m:sSub>
              <m:r>
                <m:rPr>
                  <m:sty m:val="p"/>
                </m:rPr>
                <w:rPr>
                  <w:rFonts w:ascii="Cambria Math" w:eastAsia="Cambria Math" w:hAnsi="Cambria Math" w:cs="Times New Roman"/>
                  <w:sz w:val="32"/>
                  <w:vertAlign w:val="subscript"/>
                </w:rPr>
                <m:t xml:space="preserve"> </m:t>
              </m:r>
              <m:r>
                <m:rPr>
                  <m:sty m:val="p"/>
                </m:rPr>
                <w:rPr>
                  <w:rFonts w:ascii="Cambria Math" w:eastAsia="Cambria Math" w:hAnsi="Cambria Math" w:cs="Times New Roman"/>
                  <w:sz w:val="32"/>
                </w:rPr>
                <m:t>∆</m:t>
              </m:r>
              <m:sSub>
                <m:sSubPr>
                  <m:ctrlPr>
                    <w:rPr>
                      <w:rFonts w:ascii="Cambria Math" w:eastAsia="Cambria Math" w:hAnsi="Cambria Math" w:cs="Times New Roman"/>
                      <w:sz w:val="32"/>
                      <w:vertAlign w:val="subscript"/>
                    </w:rPr>
                  </m:ctrlPr>
                </m:sSubPr>
                <m:e>
                  <m:r>
                    <w:rPr>
                      <w:rFonts w:ascii="Cambria Math" w:eastAsia="Cambria Math" w:hAnsi="Cambria Math" w:cs="Times New Roman"/>
                      <w:sz w:val="32"/>
                      <w:vertAlign w:val="subscript"/>
                    </w:rPr>
                    <m:t>y</m:t>
                  </m:r>
                </m:e>
                <m:sub>
                  <m:r>
                    <w:rPr>
                      <w:rFonts w:ascii="Cambria Math" w:eastAsia="Cambria Math" w:hAnsi="Cambria Math" w:cs="Times New Roman"/>
                      <w:sz w:val="32"/>
                      <w:vertAlign w:val="subscript"/>
                    </w:rPr>
                    <m:t>i,t-1</m:t>
                  </m:r>
                </m:sub>
              </m:sSub>
              <m:r>
                <m:rPr>
                  <m:sty m:val="p"/>
                </m:rPr>
                <w:rPr>
                  <w:rFonts w:ascii="Cambria Math" w:eastAsia="Cambria Math" w:hAnsi="Cambria Math" w:cs="Times New Roman"/>
                  <w:sz w:val="32"/>
                </w:rPr>
                <m:t>+</m:t>
              </m:r>
            </m:e>
          </m:nary>
        </m:oMath>
      </m:oMathPara>
    </w:p>
    <w:p w14:paraId="5A810BA4" w14:textId="77777777" w:rsidR="001140A6" w:rsidRPr="00950125" w:rsidRDefault="001140A6" w:rsidP="00D46E36">
      <w:pPr>
        <w:spacing w:after="98" w:line="276" w:lineRule="auto"/>
        <w:ind w:left="497" w:right="881"/>
        <w:jc w:val="center"/>
        <w:rPr>
          <w:rFonts w:ascii="Times New Roman" w:hAnsi="Times New Roman" w:cs="Times New Roman"/>
        </w:rPr>
      </w:pPr>
      <w:r w:rsidRPr="00950125">
        <w:rPr>
          <w:rFonts w:ascii="Times New Roman" w:hAnsi="Times New Roman" w:cs="Times New Roman"/>
          <w:noProof/>
        </w:rPr>
        <w:drawing>
          <wp:inline distT="0" distB="0" distL="0" distR="0" wp14:anchorId="6AA6BF2B" wp14:editId="1A00C77D">
            <wp:extent cx="1636776" cy="271272"/>
            <wp:effectExtent l="0" t="0" r="0" b="0"/>
            <wp:docPr id="108662" name="Picture 108662"/>
            <wp:cNvGraphicFramePr/>
            <a:graphic xmlns:a="http://schemas.openxmlformats.org/drawingml/2006/main">
              <a:graphicData uri="http://schemas.openxmlformats.org/drawingml/2006/picture">
                <pic:pic xmlns:pic="http://schemas.openxmlformats.org/drawingml/2006/picture">
                  <pic:nvPicPr>
                    <pic:cNvPr id="108662" name="Picture 108662"/>
                    <pic:cNvPicPr/>
                  </pic:nvPicPr>
                  <pic:blipFill>
                    <a:blip r:embed="rId17"/>
                    <a:stretch>
                      <a:fillRect/>
                    </a:stretch>
                  </pic:blipFill>
                  <pic:spPr>
                    <a:xfrm>
                      <a:off x="0" y="0"/>
                      <a:ext cx="1636776" cy="271272"/>
                    </a:xfrm>
                    <a:prstGeom prst="rect">
                      <a:avLst/>
                    </a:prstGeom>
                  </pic:spPr>
                </pic:pic>
              </a:graphicData>
            </a:graphic>
          </wp:inline>
        </w:drawing>
      </w:r>
      <w:r w:rsidRPr="00950125">
        <w:rPr>
          <w:rFonts w:ascii="Cambria Math" w:eastAsia="Cambria Math" w:hAnsi="Cambria Math" w:cs="Cambria Math"/>
          <w:sz w:val="32"/>
          <w:vertAlign w:val="subscript"/>
        </w:rPr>
        <w:t>𝑖𝑡</w:t>
      </w:r>
      <w:r w:rsidRPr="00950125">
        <w:rPr>
          <w:rFonts w:ascii="Times New Roman" w:hAnsi="Times New Roman" w:cs="Times New Roman"/>
          <w:sz w:val="32"/>
        </w:rPr>
        <w:t xml:space="preserve">     </w:t>
      </w:r>
      <w:r w:rsidR="00C267AF" w:rsidRPr="00950125">
        <w:rPr>
          <w:rFonts w:ascii="Times New Roman" w:hAnsi="Times New Roman" w:cs="Times New Roman"/>
          <w:sz w:val="32"/>
        </w:rPr>
        <w:t xml:space="preserve"> </w:t>
      </w:r>
      <w:r w:rsidR="00E738B8" w:rsidRPr="00950125">
        <w:rPr>
          <w:rFonts w:ascii="Times New Roman" w:hAnsi="Times New Roman" w:cs="Times New Roman"/>
          <w:sz w:val="32"/>
        </w:rPr>
        <w:t xml:space="preserve">  </w:t>
      </w:r>
      <w:r w:rsidRPr="00950125">
        <w:rPr>
          <w:rFonts w:ascii="Times New Roman" w:hAnsi="Times New Roman" w:cs="Times New Roman"/>
          <w:sz w:val="32"/>
        </w:rPr>
        <w:t xml:space="preserve"> (5) </w:t>
      </w:r>
    </w:p>
    <w:p w14:paraId="23A87DF4"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These tests are useful because they control the structural breaks and cross-sectional dependence features of real-world data. They establish the long-run relationship between the variables and thus increase the reliability of the analysis's results. Researchers use these tests to ensure that they have a good enough statistical basis for their long-term economic models. </w:t>
      </w:r>
    </w:p>
    <w:p w14:paraId="11F4B849" w14:textId="77777777" w:rsidR="000E6E7C" w:rsidRPr="00950125" w:rsidRDefault="000E6E7C" w:rsidP="00D46E36">
      <w:pPr>
        <w:pStyle w:val="Heading4"/>
        <w:spacing w:line="276" w:lineRule="auto"/>
        <w:jc w:val="both"/>
        <w:rPr>
          <w:rFonts w:ascii="Times New Roman" w:hAnsi="Times New Roman" w:cs="Times New Roman"/>
          <w:i w:val="0"/>
          <w:u w:val="single"/>
        </w:rPr>
      </w:pPr>
      <w:r w:rsidRPr="00950125">
        <w:rPr>
          <w:rFonts w:ascii="Times New Roman" w:hAnsi="Times New Roman" w:cs="Times New Roman"/>
          <w:i w:val="0"/>
          <w:sz w:val="24"/>
          <w:u w:val="single"/>
        </w:rPr>
        <w:t>Pedroni</w:t>
      </w:r>
    </w:p>
    <w:p w14:paraId="744E764C"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Pedroni (2004) suggests a set of cointegration tests which allow heterogeneity across panel data. The tests include several statistics to check cointegration in panels with heterogeneous characteristics in term of degre</w:t>
      </w:r>
      <w:r w:rsidR="00091E4F" w:rsidRPr="00950125">
        <w:rPr>
          <w:rFonts w:ascii="Times New Roman" w:hAnsi="Times New Roman" w:cs="Times New Roman"/>
          <w:sz w:val="24"/>
        </w:rPr>
        <w:t xml:space="preserve">e of heterogeneity. </w:t>
      </w:r>
    </w:p>
    <w:p w14:paraId="011D4124" w14:textId="77777777" w:rsidR="001140A6" w:rsidRPr="00950125" w:rsidRDefault="001140A6" w:rsidP="00D46E36">
      <w:pPr>
        <w:spacing w:line="276" w:lineRule="auto"/>
        <w:ind w:left="-5" w:right="383"/>
        <w:jc w:val="both"/>
        <w:rPr>
          <w:rFonts w:ascii="Times New Roman" w:hAnsi="Times New Roman" w:cs="Times New Roman"/>
          <w:b/>
          <w:sz w:val="24"/>
        </w:rPr>
      </w:pPr>
      <w:r w:rsidRPr="00950125">
        <w:rPr>
          <w:rFonts w:ascii="Times New Roman" w:hAnsi="Times New Roman" w:cs="Times New Roman"/>
          <w:b/>
          <w:sz w:val="24"/>
        </w:rPr>
        <w:t xml:space="preserve">Equation: </w:t>
      </w:r>
    </w:p>
    <w:p w14:paraId="5A58BB8C" w14:textId="77777777" w:rsidR="001140A6" w:rsidRPr="00950125" w:rsidRDefault="0029645F" w:rsidP="00D46E36">
      <w:pPr>
        <w:spacing w:after="96" w:line="276" w:lineRule="auto"/>
        <w:ind w:right="392"/>
        <w:jc w:val="center"/>
        <w:rPr>
          <w:rFonts w:ascii="Times New Roman" w:hAnsi="Times New Roman" w:cs="Times New Roman"/>
        </w:rPr>
      </w:pPr>
      <m:oMath>
        <m:sSub>
          <m:sSubPr>
            <m:ctrlPr>
              <w:rPr>
                <w:rFonts w:ascii="Cambria Math" w:eastAsia="Cambria Math" w:hAnsi="Cambria Math" w:cs="Times New Roman"/>
                <w:i/>
                <w:sz w:val="32"/>
              </w:rPr>
            </m:ctrlPr>
          </m:sSubPr>
          <m:e>
            <m:r>
              <w:rPr>
                <w:rFonts w:ascii="Cambria Math" w:eastAsia="Cambria Math" w:hAnsi="Cambria Math" w:cs="Times New Roman"/>
                <w:sz w:val="32"/>
              </w:rPr>
              <m:t>y</m:t>
            </m:r>
          </m:e>
          <m:sub>
            <m:r>
              <w:rPr>
                <w:rFonts w:ascii="Cambria Math" w:eastAsia="Cambria Math" w:hAnsi="Cambria Math" w:cs="Times New Roman"/>
                <w:sz w:val="32"/>
              </w:rPr>
              <m:t>it</m:t>
            </m:r>
          </m:sub>
        </m:sSub>
        <m:r>
          <w:rPr>
            <w:rFonts w:ascii="Cambria Math" w:eastAsia="Cambria Math" w:hAnsi="Cambria Math" w:cs="Times New Roman"/>
            <w:sz w:val="32"/>
            <w:vertAlign w:val="subscript"/>
          </w:rPr>
          <m:t xml:space="preserve"> </m:t>
        </m:r>
        <m:r>
          <w:rPr>
            <w:rFonts w:ascii="Cambria Math" w:eastAsia="Cambria Math" w:hAnsi="Cambria Math" w:cs="Times New Roman"/>
            <w:sz w:val="32"/>
          </w:rPr>
          <m:t xml:space="preserve">= </m:t>
        </m:r>
        <m:sSub>
          <m:sSubPr>
            <m:ctrlPr>
              <w:rPr>
                <w:rFonts w:ascii="Cambria Math" w:eastAsia="Cambria Math" w:hAnsi="Cambria Math" w:cs="Times New Roman"/>
                <w:i/>
                <w:sz w:val="32"/>
              </w:rPr>
            </m:ctrlPr>
          </m:sSubPr>
          <m:e>
            <m:r>
              <w:rPr>
                <w:rFonts w:ascii="Cambria Math" w:eastAsia="Cambria Math" w:hAnsi="Cambria Math" w:cs="Times New Roman"/>
                <w:sz w:val="32"/>
              </w:rPr>
              <m:t>α</m:t>
            </m:r>
          </m:e>
          <m:sub>
            <m:r>
              <w:rPr>
                <w:rFonts w:ascii="Cambria Math" w:eastAsia="Cambria Math" w:hAnsi="Cambria Math" w:cs="Times New Roman"/>
                <w:sz w:val="32"/>
              </w:rPr>
              <m:t>i</m:t>
            </m:r>
          </m:sub>
        </m:sSub>
        <m:r>
          <w:rPr>
            <w:rFonts w:ascii="Cambria Math" w:eastAsia="Cambria Math" w:hAnsi="Cambria Math" w:cs="Times New Roman"/>
            <w:sz w:val="32"/>
            <w:vertAlign w:val="subscript"/>
          </w:rPr>
          <m:t xml:space="preserve"> </m:t>
        </m:r>
        <m:r>
          <w:rPr>
            <w:rFonts w:ascii="Cambria Math" w:eastAsia="Cambria Math" w:hAnsi="Cambria Math" w:cs="Times New Roman"/>
            <w:sz w:val="32"/>
          </w:rPr>
          <m:t xml:space="preserve">+ </m:t>
        </m:r>
        <m:sSub>
          <m:sSubPr>
            <m:ctrlPr>
              <w:rPr>
                <w:rFonts w:ascii="Cambria Math" w:eastAsia="Cambria Math" w:hAnsi="Cambria Math" w:cs="Times New Roman"/>
                <w:i/>
                <w:sz w:val="32"/>
              </w:rPr>
            </m:ctrlPr>
          </m:sSubPr>
          <m:e>
            <m:r>
              <w:rPr>
                <w:rFonts w:ascii="Cambria Math" w:eastAsia="Cambria Math" w:hAnsi="Cambria Math" w:cs="Times New Roman"/>
                <w:sz w:val="32"/>
              </w:rPr>
              <m:t>δ</m:t>
            </m:r>
          </m:e>
          <m:sub>
            <m:r>
              <w:rPr>
                <w:rFonts w:ascii="Cambria Math" w:eastAsia="Cambria Math" w:hAnsi="Cambria Math" w:cs="Times New Roman"/>
                <w:sz w:val="32"/>
              </w:rPr>
              <m:t>it</m:t>
            </m:r>
          </m:sub>
        </m:sSub>
        <m:r>
          <w:rPr>
            <w:rFonts w:ascii="Cambria Math" w:eastAsia="Cambria Math" w:hAnsi="Cambria Math" w:cs="Times New Roman"/>
            <w:sz w:val="32"/>
          </w:rPr>
          <m:t xml:space="preserve"> + </m:t>
        </m:r>
        <m:sSub>
          <m:sSubPr>
            <m:ctrlPr>
              <w:rPr>
                <w:rFonts w:ascii="Cambria Math" w:eastAsia="Cambria Math" w:hAnsi="Cambria Math" w:cs="Times New Roman"/>
                <w:i/>
                <w:sz w:val="32"/>
              </w:rPr>
            </m:ctrlPr>
          </m:sSubPr>
          <m:e>
            <m:r>
              <w:rPr>
                <w:rFonts w:ascii="Cambria Math" w:eastAsia="Cambria Math" w:hAnsi="Cambria Math" w:cs="Times New Roman"/>
                <w:sz w:val="32"/>
              </w:rPr>
              <m:t>β</m:t>
            </m:r>
          </m:e>
          <m:sub>
            <m:r>
              <w:rPr>
                <w:rFonts w:ascii="Cambria Math" w:eastAsia="Cambria Math" w:hAnsi="Cambria Math" w:cs="Times New Roman"/>
                <w:sz w:val="32"/>
              </w:rPr>
              <m:t>i</m:t>
            </m:r>
          </m:sub>
        </m:sSub>
        <m:sSub>
          <m:sSubPr>
            <m:ctrlPr>
              <w:rPr>
                <w:rFonts w:ascii="Cambria Math" w:eastAsia="Cambria Math" w:hAnsi="Cambria Math" w:cs="Times New Roman"/>
                <w:i/>
                <w:sz w:val="32"/>
              </w:rPr>
            </m:ctrlPr>
          </m:sSubPr>
          <m:e>
            <m:r>
              <w:rPr>
                <w:rFonts w:ascii="Cambria Math" w:eastAsia="Cambria Math" w:hAnsi="Cambria Math" w:cs="Times New Roman"/>
                <w:sz w:val="32"/>
              </w:rPr>
              <m:t>x</m:t>
            </m:r>
          </m:e>
          <m:sub>
            <m:r>
              <w:rPr>
                <w:rFonts w:ascii="Cambria Math" w:eastAsia="Cambria Math" w:hAnsi="Cambria Math" w:cs="Times New Roman"/>
                <w:sz w:val="32"/>
              </w:rPr>
              <m:t>i</m:t>
            </m:r>
          </m:sub>
        </m:sSub>
        <m:r>
          <w:rPr>
            <w:rFonts w:ascii="Cambria Math" w:eastAsia="Cambria Math" w:hAnsi="Cambria Math" w:cs="Times New Roman"/>
            <w:sz w:val="32"/>
            <w:vertAlign w:val="subscript"/>
          </w:rPr>
          <m:t xml:space="preserve"> </m:t>
        </m:r>
        <m:r>
          <w:rPr>
            <w:rFonts w:ascii="Cambria Math" w:eastAsia="Cambria Math" w:hAnsi="Cambria Math" w:cs="Times New Roman"/>
            <w:sz w:val="32"/>
          </w:rPr>
          <m:t xml:space="preserve">+ </m:t>
        </m:r>
        <m:sSub>
          <m:sSubPr>
            <m:ctrlPr>
              <w:rPr>
                <w:rFonts w:ascii="Cambria Math" w:eastAsia="Cambria Math" w:hAnsi="Cambria Math" w:cs="Times New Roman"/>
                <w:i/>
                <w:sz w:val="32"/>
              </w:rPr>
            </m:ctrlPr>
          </m:sSubPr>
          <m:e>
            <m:r>
              <w:rPr>
                <w:rFonts w:ascii="Cambria Math" w:eastAsia="Cambria Math" w:hAnsi="Cambria Math" w:cs="Times New Roman"/>
                <w:sz w:val="32"/>
              </w:rPr>
              <m:t>∈</m:t>
            </m:r>
          </m:e>
          <m:sub>
            <m:r>
              <w:rPr>
                <w:rFonts w:ascii="Cambria Math" w:eastAsia="Cambria Math" w:hAnsi="Cambria Math" w:cs="Times New Roman"/>
                <w:sz w:val="32"/>
              </w:rPr>
              <m:t>it</m:t>
            </m:r>
          </m:sub>
        </m:sSub>
      </m:oMath>
      <w:r w:rsidR="001140A6" w:rsidRPr="00950125">
        <w:rPr>
          <w:rFonts w:ascii="Times New Roman" w:hAnsi="Times New Roman" w:cs="Times New Roman"/>
          <w:sz w:val="32"/>
        </w:rPr>
        <w:t xml:space="preserve">      (6) </w:t>
      </w:r>
    </w:p>
    <w:p w14:paraId="191FCFEA" w14:textId="77777777" w:rsidR="001140A6" w:rsidRPr="00950125" w:rsidRDefault="001140A6" w:rsidP="00D46E36">
      <w:pPr>
        <w:spacing w:line="276" w:lineRule="auto"/>
        <w:rPr>
          <w:rFonts w:ascii="Times New Roman" w:hAnsi="Times New Roman" w:cs="Times New Roman"/>
        </w:rPr>
      </w:pPr>
      <w:r w:rsidRPr="00950125">
        <w:rPr>
          <w:rFonts w:ascii="Times New Roman" w:hAnsi="Times New Roman" w:cs="Times New Roman"/>
        </w:rPr>
        <w:t xml:space="preserve"> </w:t>
      </w:r>
    </w:p>
    <w:p w14:paraId="74781215"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These tests are helpful because they deal with problems associated with heterogeneity in panel data members, which are common in empirical studies. It is a reliable method of cointegration detection and hence it is very good for panel data analysis. This technique improves the validity of long term relationship analysis by covering all aspects of the relationship. </w:t>
      </w:r>
    </w:p>
    <w:p w14:paraId="3D5A93CF" w14:textId="77777777" w:rsidR="000E6E7C" w:rsidRPr="00950125" w:rsidRDefault="000E6E7C" w:rsidP="00D46E36">
      <w:pPr>
        <w:pStyle w:val="Heading4"/>
        <w:spacing w:line="276" w:lineRule="auto"/>
        <w:jc w:val="both"/>
        <w:rPr>
          <w:rFonts w:ascii="Times New Roman" w:hAnsi="Times New Roman" w:cs="Times New Roman"/>
          <w:i w:val="0"/>
          <w:u w:val="single"/>
        </w:rPr>
      </w:pPr>
      <w:r w:rsidRPr="00950125">
        <w:rPr>
          <w:rFonts w:ascii="Times New Roman" w:hAnsi="Times New Roman" w:cs="Times New Roman"/>
          <w:i w:val="0"/>
          <w:sz w:val="24"/>
          <w:u w:val="single"/>
        </w:rPr>
        <w:t>Kao</w:t>
      </w:r>
    </w:p>
    <w:p w14:paraId="56E5407E" w14:textId="77777777" w:rsidR="001140A6" w:rsidRPr="00950125" w:rsidRDefault="001140A6" w:rsidP="00D46E36">
      <w:pPr>
        <w:spacing w:line="276" w:lineRule="auto"/>
        <w:ind w:left="-5" w:right="383"/>
        <w:jc w:val="both"/>
        <w:rPr>
          <w:rFonts w:ascii="Times New Roman" w:hAnsi="Times New Roman" w:cs="Times New Roman"/>
        </w:rPr>
      </w:pPr>
      <w:r w:rsidRPr="00950125">
        <w:rPr>
          <w:rFonts w:ascii="Times New Roman" w:hAnsi="Times New Roman" w:cs="Times New Roman"/>
          <w:sz w:val="24"/>
        </w:rPr>
        <w:t xml:space="preserve">For the panel data framework, Kao (1999) developed a residual-based cointegration test and focused on the null hypothesis of no cointegration. Kao’s test simplifies the cointegration testing processes by relying solely on the residuals of the panel regression models to find the long-term relationship. </w:t>
      </w:r>
    </w:p>
    <w:p w14:paraId="33E808E0" w14:textId="77777777" w:rsidR="001140A6" w:rsidRPr="00950125" w:rsidRDefault="001140A6" w:rsidP="00D46E36">
      <w:pPr>
        <w:spacing w:line="276" w:lineRule="auto"/>
        <w:ind w:left="-5" w:right="383"/>
        <w:jc w:val="both"/>
        <w:rPr>
          <w:rFonts w:ascii="Times New Roman" w:hAnsi="Times New Roman" w:cs="Times New Roman"/>
          <w:b/>
          <w:sz w:val="24"/>
        </w:rPr>
      </w:pPr>
      <w:r w:rsidRPr="00950125">
        <w:rPr>
          <w:rFonts w:ascii="Times New Roman" w:hAnsi="Times New Roman" w:cs="Times New Roman"/>
          <w:b/>
          <w:sz w:val="24"/>
        </w:rPr>
        <w:t xml:space="preserve">Equation: </w:t>
      </w:r>
    </w:p>
    <w:p w14:paraId="67A950D0" w14:textId="77777777" w:rsidR="001140A6" w:rsidRPr="00950125" w:rsidRDefault="0029645F" w:rsidP="00D46E36">
      <w:pPr>
        <w:spacing w:after="96" w:line="276" w:lineRule="auto"/>
        <w:ind w:right="391"/>
        <w:jc w:val="center"/>
        <w:rPr>
          <w:rFonts w:ascii="Times New Roman" w:hAnsi="Times New Roman" w:cs="Times New Roman"/>
        </w:rPr>
      </w:pPr>
      <m:oMath>
        <m:sSub>
          <m:sSubPr>
            <m:ctrlPr>
              <w:rPr>
                <w:rFonts w:ascii="Cambria Math" w:eastAsia="Cambria Math" w:hAnsi="Cambria Math" w:cs="Times New Roman"/>
                <w:i/>
                <w:sz w:val="36"/>
              </w:rPr>
            </m:ctrlPr>
          </m:sSubPr>
          <m:e>
            <m:r>
              <w:rPr>
                <w:rFonts w:ascii="Cambria Math" w:eastAsia="Cambria Math" w:hAnsi="Cambria Math" w:cs="Times New Roman"/>
                <w:sz w:val="36"/>
              </w:rPr>
              <m:t>∈</m:t>
            </m:r>
          </m:e>
          <m:sub>
            <m:r>
              <w:rPr>
                <w:rFonts w:ascii="Cambria Math" w:eastAsia="Cambria Math" w:hAnsi="Cambria Math" w:cs="Times New Roman"/>
                <w:sz w:val="36"/>
              </w:rPr>
              <m:t>it</m:t>
            </m:r>
          </m:sub>
        </m:sSub>
        <m:r>
          <w:rPr>
            <w:rFonts w:ascii="Cambria Math" w:eastAsia="Cambria Math" w:hAnsi="Cambria Math" w:cs="Times New Roman"/>
            <w:sz w:val="36"/>
            <w:vertAlign w:val="subscript"/>
          </w:rPr>
          <m:t xml:space="preserve"> </m:t>
        </m:r>
        <m:r>
          <w:rPr>
            <w:rFonts w:ascii="Cambria Math" w:eastAsia="Cambria Math" w:hAnsi="Cambria Math" w:cs="Times New Roman"/>
            <w:sz w:val="36"/>
          </w:rPr>
          <m:t xml:space="preserve">= </m:t>
        </m:r>
        <m:sSub>
          <m:sSubPr>
            <m:ctrlPr>
              <w:rPr>
                <w:rFonts w:ascii="Cambria Math" w:eastAsia="Cambria Math" w:hAnsi="Cambria Math" w:cs="Times New Roman"/>
                <w:i/>
                <w:sz w:val="36"/>
              </w:rPr>
            </m:ctrlPr>
          </m:sSubPr>
          <m:e>
            <m:r>
              <w:rPr>
                <w:rFonts w:ascii="Cambria Math" w:eastAsia="Cambria Math" w:hAnsi="Cambria Math" w:cs="Times New Roman"/>
                <w:sz w:val="36"/>
              </w:rPr>
              <m:t>y</m:t>
            </m:r>
          </m:e>
          <m:sub>
            <m:r>
              <w:rPr>
                <w:rFonts w:ascii="Cambria Math" w:eastAsia="Cambria Math" w:hAnsi="Cambria Math" w:cs="Times New Roman"/>
                <w:sz w:val="36"/>
              </w:rPr>
              <m:t>it</m:t>
            </m:r>
          </m:sub>
        </m:sSub>
        <m:r>
          <w:rPr>
            <w:rFonts w:ascii="Cambria Math" w:eastAsia="Cambria Math" w:hAnsi="Cambria Math" w:cs="Times New Roman"/>
            <w:sz w:val="36"/>
            <w:vertAlign w:val="subscript"/>
          </w:rPr>
          <m:t xml:space="preserve"> </m:t>
        </m:r>
        <m:r>
          <w:rPr>
            <w:rFonts w:ascii="Cambria Math" w:eastAsia="Cambria Math" w:hAnsi="Cambria Math" w:cs="Times New Roman"/>
            <w:sz w:val="36"/>
          </w:rPr>
          <m:t xml:space="preserve">- </m:t>
        </m:r>
        <m:sSub>
          <m:sSubPr>
            <m:ctrlPr>
              <w:rPr>
                <w:rFonts w:ascii="Cambria Math" w:eastAsia="Cambria Math" w:hAnsi="Cambria Math" w:cs="Times New Roman"/>
                <w:i/>
                <w:sz w:val="36"/>
              </w:rPr>
            </m:ctrlPr>
          </m:sSubPr>
          <m:e>
            <m:r>
              <w:rPr>
                <w:rFonts w:ascii="Cambria Math" w:eastAsia="Cambria Math" w:hAnsi="Cambria Math" w:cs="Times New Roman"/>
                <w:sz w:val="36"/>
              </w:rPr>
              <m:t>α</m:t>
            </m:r>
          </m:e>
          <m:sub>
            <m:r>
              <w:rPr>
                <w:rFonts w:ascii="Cambria Math" w:eastAsia="Cambria Math" w:hAnsi="Cambria Math" w:cs="Times New Roman"/>
                <w:sz w:val="36"/>
              </w:rPr>
              <m:t>i</m:t>
            </m:r>
          </m:sub>
        </m:sSub>
        <m:r>
          <w:rPr>
            <w:rFonts w:ascii="Cambria Math" w:eastAsia="Cambria Math" w:hAnsi="Cambria Math" w:cs="Times New Roman"/>
            <w:sz w:val="36"/>
            <w:vertAlign w:val="subscript"/>
          </w:rPr>
          <m:t xml:space="preserve"> </m:t>
        </m:r>
        <m:r>
          <w:rPr>
            <w:rFonts w:ascii="Cambria Math" w:eastAsia="Cambria Math" w:hAnsi="Cambria Math" w:cs="Times New Roman"/>
            <w:sz w:val="36"/>
          </w:rPr>
          <m:t xml:space="preserve">- </m:t>
        </m:r>
        <m:sSub>
          <m:sSubPr>
            <m:ctrlPr>
              <w:rPr>
                <w:rFonts w:ascii="Cambria Math" w:eastAsia="Cambria Math" w:hAnsi="Cambria Math" w:cs="Times New Roman"/>
                <w:i/>
                <w:sz w:val="36"/>
              </w:rPr>
            </m:ctrlPr>
          </m:sSubPr>
          <m:e>
            <m:r>
              <w:rPr>
                <w:rFonts w:ascii="Cambria Math" w:eastAsia="Cambria Math" w:hAnsi="Cambria Math" w:cs="Times New Roman"/>
                <w:sz w:val="36"/>
              </w:rPr>
              <m:t>β</m:t>
            </m:r>
          </m:e>
          <m:sub>
            <m:r>
              <w:rPr>
                <w:rFonts w:ascii="Cambria Math" w:eastAsia="Cambria Math" w:hAnsi="Cambria Math" w:cs="Times New Roman"/>
                <w:sz w:val="36"/>
              </w:rPr>
              <m:t>i</m:t>
            </m:r>
          </m:sub>
        </m:sSub>
        <m:sSub>
          <m:sSubPr>
            <m:ctrlPr>
              <w:rPr>
                <w:rFonts w:ascii="Cambria Math" w:eastAsia="Cambria Math" w:hAnsi="Cambria Math" w:cs="Times New Roman"/>
                <w:i/>
                <w:sz w:val="36"/>
              </w:rPr>
            </m:ctrlPr>
          </m:sSubPr>
          <m:e>
            <m:r>
              <w:rPr>
                <w:rFonts w:ascii="Cambria Math" w:eastAsia="Cambria Math" w:hAnsi="Cambria Math" w:cs="Times New Roman"/>
                <w:sz w:val="36"/>
              </w:rPr>
              <m:t>x</m:t>
            </m:r>
          </m:e>
          <m:sub>
            <m:r>
              <w:rPr>
                <w:rFonts w:ascii="Cambria Math" w:eastAsia="Cambria Math" w:hAnsi="Cambria Math" w:cs="Times New Roman"/>
                <w:sz w:val="36"/>
              </w:rPr>
              <m:t>it</m:t>
            </m:r>
          </m:sub>
        </m:sSub>
      </m:oMath>
      <w:r w:rsidR="001140A6" w:rsidRPr="00950125">
        <w:rPr>
          <w:rFonts w:ascii="Times New Roman" w:hAnsi="Times New Roman" w:cs="Times New Roman"/>
          <w:sz w:val="36"/>
        </w:rPr>
        <w:t xml:space="preserve">      </w:t>
      </w:r>
      <w:r w:rsidR="001140A6" w:rsidRPr="00950125">
        <w:rPr>
          <w:rFonts w:ascii="Times New Roman" w:hAnsi="Times New Roman" w:cs="Times New Roman"/>
          <w:sz w:val="32"/>
        </w:rPr>
        <w:t xml:space="preserve">(7) </w:t>
      </w:r>
    </w:p>
    <w:p w14:paraId="658E3ACA"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The test is easy to implement and simple, making it a good tool for researchers. This does not complicate the method, and a resultant loss in the ability to detect cointegration does not affect studying the long-term connection in panel data. </w:t>
      </w:r>
    </w:p>
    <w:p w14:paraId="1C72418F" w14:textId="0843423C" w:rsidR="001140A6" w:rsidRPr="00950125" w:rsidRDefault="001140A6" w:rsidP="00D46E36">
      <w:pPr>
        <w:pStyle w:val="Heading3"/>
        <w:spacing w:line="276" w:lineRule="auto"/>
        <w:ind w:left="-5"/>
        <w:rPr>
          <w:rFonts w:ascii="Times New Roman" w:hAnsi="Times New Roman" w:cs="Times New Roman"/>
          <w:u w:val="single"/>
        </w:rPr>
      </w:pPr>
      <w:bookmarkStart w:id="40" w:name="_Toc204723901"/>
      <w:bookmarkStart w:id="41" w:name="_Toc111796"/>
      <w:r w:rsidRPr="00950125">
        <w:rPr>
          <w:rFonts w:ascii="Times New Roman" w:eastAsia="Times New Roman" w:hAnsi="Times New Roman" w:cs="Times New Roman"/>
          <w:color w:val="1F4D78"/>
          <w:u w:val="single"/>
        </w:rPr>
        <w:t>Long-run Analysis</w:t>
      </w:r>
      <w:bookmarkEnd w:id="40"/>
      <w:r w:rsidRPr="00950125">
        <w:rPr>
          <w:rFonts w:ascii="Times New Roman" w:eastAsia="Times New Roman" w:hAnsi="Times New Roman" w:cs="Times New Roman"/>
          <w:color w:val="1F4D78"/>
          <w:u w:val="single"/>
        </w:rPr>
        <w:t xml:space="preserve"> </w:t>
      </w:r>
      <w:bookmarkEnd w:id="41"/>
    </w:p>
    <w:p w14:paraId="6649CD2F" w14:textId="77777777" w:rsidR="007C217B" w:rsidRPr="00950125" w:rsidRDefault="007C217B" w:rsidP="00D46E36">
      <w:pPr>
        <w:pStyle w:val="Heading4"/>
        <w:spacing w:line="276" w:lineRule="auto"/>
        <w:rPr>
          <w:rFonts w:ascii="Times New Roman" w:hAnsi="Times New Roman" w:cs="Times New Roman"/>
          <w:i w:val="0"/>
          <w:sz w:val="24"/>
          <w:u w:val="single"/>
        </w:rPr>
      </w:pPr>
      <w:r w:rsidRPr="00950125">
        <w:rPr>
          <w:rFonts w:ascii="Times New Roman" w:hAnsi="Times New Roman" w:cs="Times New Roman"/>
          <w:i w:val="0"/>
          <w:sz w:val="24"/>
          <w:u w:val="single"/>
        </w:rPr>
        <w:t>DSUR</w:t>
      </w:r>
    </w:p>
    <w:p w14:paraId="385173CB"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As described by Mark, Ogaki et al. (2005) the Dynamic Seemingly Unrelated Regression (DSUR) is a technique for estimating the long-run parameters using panel data models. To address the problem of cross-sectional dependence and dynamics in the model, DSUR allows </w:t>
      </w:r>
      <w:r w:rsidRPr="00950125">
        <w:rPr>
          <w:rFonts w:ascii="Times New Roman" w:hAnsi="Times New Roman" w:cs="Times New Roman"/>
          <w:sz w:val="24"/>
        </w:rPr>
        <w:lastRenderedPageBreak/>
        <w:t xml:space="preserve">error terms to be correlated at the same point in time and allows dynamic adjustment in the model. </w:t>
      </w:r>
    </w:p>
    <w:p w14:paraId="27D405EB" w14:textId="77777777" w:rsidR="001140A6" w:rsidRPr="00950125" w:rsidRDefault="001140A6" w:rsidP="00D46E36">
      <w:pPr>
        <w:spacing w:line="276" w:lineRule="auto"/>
        <w:ind w:left="-5" w:right="383"/>
        <w:jc w:val="both"/>
        <w:rPr>
          <w:rFonts w:ascii="Times New Roman" w:hAnsi="Times New Roman" w:cs="Times New Roman"/>
          <w:b/>
          <w:sz w:val="24"/>
        </w:rPr>
      </w:pPr>
      <w:r w:rsidRPr="00950125">
        <w:rPr>
          <w:rFonts w:ascii="Times New Roman" w:hAnsi="Times New Roman" w:cs="Times New Roman"/>
          <w:b/>
          <w:sz w:val="24"/>
        </w:rPr>
        <w:t xml:space="preserve">Equation:  </w:t>
      </w:r>
    </w:p>
    <w:p w14:paraId="0BF3D3AD" w14:textId="77777777" w:rsidR="001140A6" w:rsidRPr="00950125" w:rsidRDefault="001140A6" w:rsidP="00D46E36">
      <w:pPr>
        <w:spacing w:after="96" w:line="276" w:lineRule="auto"/>
        <w:ind w:right="391"/>
        <w:jc w:val="center"/>
        <w:rPr>
          <w:rFonts w:ascii="Times New Roman" w:hAnsi="Times New Roman" w:cs="Times New Roman"/>
        </w:rPr>
      </w:pPr>
      <w:r w:rsidRPr="00950125">
        <w:rPr>
          <w:rFonts w:ascii="Cambria Math" w:eastAsia="Cambria Math" w:hAnsi="Cambria Math" w:cs="Cambria Math"/>
          <w:sz w:val="36"/>
        </w:rPr>
        <w:t>𝑦</w:t>
      </w:r>
      <w:r w:rsidRPr="00950125">
        <w:rPr>
          <w:rFonts w:ascii="Cambria Math" w:eastAsia="Cambria Math" w:hAnsi="Cambria Math" w:cs="Cambria Math"/>
          <w:sz w:val="36"/>
          <w:vertAlign w:val="subscript"/>
        </w:rPr>
        <w:t>𝑖𝑡</w:t>
      </w:r>
      <w:r w:rsidRPr="00950125">
        <w:rPr>
          <w:rFonts w:ascii="Times New Roman" w:eastAsia="Cambria Math" w:hAnsi="Times New Roman" w:cs="Times New Roman"/>
          <w:sz w:val="36"/>
          <w:vertAlign w:val="subscript"/>
        </w:rPr>
        <w:t xml:space="preserve"> </w:t>
      </w:r>
      <w:r w:rsidRPr="00950125">
        <w:rPr>
          <w:rFonts w:ascii="Times New Roman" w:eastAsia="Cambria Math" w:hAnsi="Times New Roman" w:cs="Times New Roman"/>
          <w:sz w:val="36"/>
        </w:rPr>
        <w:t xml:space="preserve">= </w:t>
      </w:r>
      <w:r w:rsidRPr="00950125">
        <w:rPr>
          <w:rFonts w:ascii="Cambria Math" w:eastAsia="Cambria Math" w:hAnsi="Cambria Math" w:cs="Cambria Math"/>
          <w:sz w:val="36"/>
        </w:rPr>
        <w:t>𝛼</w:t>
      </w:r>
      <w:r w:rsidRPr="00950125">
        <w:rPr>
          <w:rFonts w:ascii="Cambria Math" w:eastAsia="Cambria Math" w:hAnsi="Cambria Math" w:cs="Cambria Math"/>
          <w:sz w:val="36"/>
          <w:vertAlign w:val="subscript"/>
        </w:rPr>
        <w:t>𝑖</w:t>
      </w:r>
      <w:r w:rsidRPr="00950125">
        <w:rPr>
          <w:rFonts w:ascii="Times New Roman" w:eastAsia="Cambria Math" w:hAnsi="Times New Roman" w:cs="Times New Roman"/>
          <w:sz w:val="36"/>
          <w:vertAlign w:val="subscript"/>
        </w:rPr>
        <w:t xml:space="preserve"> </w:t>
      </w:r>
      <w:r w:rsidRPr="00950125">
        <w:rPr>
          <w:rFonts w:ascii="Times New Roman" w:eastAsia="Cambria Math" w:hAnsi="Times New Roman" w:cs="Times New Roman"/>
          <w:sz w:val="36"/>
        </w:rPr>
        <w:t xml:space="preserve">+ </w:t>
      </w:r>
      <w:r w:rsidRPr="00950125">
        <w:rPr>
          <w:rFonts w:ascii="Cambria Math" w:eastAsia="Cambria Math" w:hAnsi="Cambria Math" w:cs="Cambria Math"/>
          <w:sz w:val="36"/>
        </w:rPr>
        <w:t>𝛽</w:t>
      </w:r>
      <w:r w:rsidRPr="00950125">
        <w:rPr>
          <w:rFonts w:ascii="Cambria Math" w:eastAsia="Cambria Math" w:hAnsi="Cambria Math" w:cs="Cambria Math"/>
          <w:sz w:val="36"/>
          <w:vertAlign w:val="subscript"/>
        </w:rPr>
        <w:t>𝑖</w:t>
      </w:r>
      <w:r w:rsidRPr="00950125">
        <w:rPr>
          <w:rFonts w:ascii="Cambria Math" w:eastAsia="Cambria Math" w:hAnsi="Cambria Math" w:cs="Cambria Math"/>
          <w:sz w:val="36"/>
        </w:rPr>
        <w:t>𝑥</w:t>
      </w:r>
      <w:r w:rsidRPr="00950125">
        <w:rPr>
          <w:rFonts w:ascii="Cambria Math" w:eastAsia="Cambria Math" w:hAnsi="Cambria Math" w:cs="Cambria Math"/>
          <w:sz w:val="36"/>
          <w:vertAlign w:val="subscript"/>
        </w:rPr>
        <w:t>𝑖𝑡</w:t>
      </w:r>
      <w:r w:rsidRPr="00950125">
        <w:rPr>
          <w:rFonts w:ascii="Times New Roman" w:eastAsia="Cambria Math" w:hAnsi="Times New Roman" w:cs="Times New Roman"/>
          <w:sz w:val="36"/>
          <w:vertAlign w:val="subscript"/>
        </w:rPr>
        <w:t xml:space="preserve"> </w:t>
      </w:r>
      <w:r w:rsidRPr="00950125">
        <w:rPr>
          <w:rFonts w:ascii="Times New Roman" w:eastAsia="Cambria Math" w:hAnsi="Times New Roman" w:cs="Times New Roman"/>
          <w:sz w:val="36"/>
        </w:rPr>
        <w:t xml:space="preserve">+ </w:t>
      </w:r>
      <w:r w:rsidRPr="00950125">
        <w:rPr>
          <w:rFonts w:ascii="Cambria Math" w:eastAsia="Cambria Math" w:hAnsi="Cambria Math" w:cs="Cambria Math"/>
          <w:sz w:val="36"/>
        </w:rPr>
        <w:t>𝑢</w:t>
      </w:r>
      <w:r w:rsidRPr="00950125">
        <w:rPr>
          <w:rFonts w:ascii="Cambria Math" w:eastAsia="Cambria Math" w:hAnsi="Cambria Math" w:cs="Cambria Math"/>
          <w:sz w:val="36"/>
          <w:vertAlign w:val="subscript"/>
        </w:rPr>
        <w:t>𝑖𝑡</w:t>
      </w:r>
      <w:r w:rsidRPr="00950125">
        <w:rPr>
          <w:rFonts w:ascii="Times New Roman" w:hAnsi="Times New Roman" w:cs="Times New Roman"/>
          <w:sz w:val="36"/>
        </w:rPr>
        <w:t xml:space="preserve">   </w:t>
      </w:r>
      <w:r w:rsidR="00E738B8" w:rsidRPr="00950125">
        <w:rPr>
          <w:rFonts w:ascii="Times New Roman" w:hAnsi="Times New Roman" w:cs="Times New Roman"/>
          <w:sz w:val="36"/>
        </w:rPr>
        <w:t xml:space="preserve"> </w:t>
      </w:r>
      <w:r w:rsidRPr="00950125">
        <w:rPr>
          <w:rFonts w:ascii="Times New Roman" w:hAnsi="Times New Roman" w:cs="Times New Roman"/>
          <w:sz w:val="36"/>
        </w:rPr>
        <w:t xml:space="preserve"> </w:t>
      </w:r>
      <w:r w:rsidR="00E738B8" w:rsidRPr="00950125">
        <w:rPr>
          <w:rFonts w:ascii="Times New Roman" w:hAnsi="Times New Roman" w:cs="Times New Roman"/>
          <w:sz w:val="36"/>
        </w:rPr>
        <w:t xml:space="preserve"> </w:t>
      </w:r>
      <w:r w:rsidRPr="00950125">
        <w:rPr>
          <w:rFonts w:ascii="Times New Roman" w:hAnsi="Times New Roman" w:cs="Times New Roman"/>
          <w:sz w:val="36"/>
        </w:rPr>
        <w:t xml:space="preserve">  </w:t>
      </w:r>
      <w:r w:rsidRPr="00950125">
        <w:rPr>
          <w:rFonts w:ascii="Times New Roman" w:hAnsi="Times New Roman" w:cs="Times New Roman"/>
          <w:sz w:val="32"/>
        </w:rPr>
        <w:t xml:space="preserve">(8) </w:t>
      </w:r>
    </w:p>
    <w:p w14:paraId="240C5C61"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We study long-term economic interactions characterised by cross-sectional dependence, and this method proves useful. Precise long-run forecasts increase the credibility of economic research findings provided by DSUR. </w:t>
      </w:r>
    </w:p>
    <w:p w14:paraId="0940C87D" w14:textId="77777777" w:rsidR="001140A6" w:rsidRPr="00950125" w:rsidRDefault="001140A6" w:rsidP="00D46E36">
      <w:pPr>
        <w:pStyle w:val="Heading4"/>
        <w:spacing w:line="276" w:lineRule="auto"/>
        <w:jc w:val="both"/>
        <w:rPr>
          <w:rFonts w:ascii="Times New Roman" w:hAnsi="Times New Roman" w:cs="Times New Roman"/>
          <w:i w:val="0"/>
          <w:sz w:val="24"/>
          <w:u w:val="single"/>
        </w:rPr>
      </w:pPr>
      <w:r w:rsidRPr="00950125">
        <w:rPr>
          <w:rFonts w:ascii="Times New Roman" w:hAnsi="Times New Roman" w:cs="Times New Roman"/>
          <w:i w:val="0"/>
          <w:sz w:val="24"/>
          <w:u w:val="single"/>
        </w:rPr>
        <w:t xml:space="preserve">CUP-BC &amp; CUP-FM </w:t>
      </w:r>
    </w:p>
    <w:p w14:paraId="15580F52"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Continuously Updated and Bias Corrected (CUP-BC) and Fully Modified (CUP-FM) also improve Cointegration estimation in panel data. The estimates of the parameters and control for endogeneity and cross-sectional dependence are efficient and consistent. </w:t>
      </w:r>
    </w:p>
    <w:p w14:paraId="6E508132" w14:textId="77777777" w:rsidR="001140A6" w:rsidRPr="00950125" w:rsidRDefault="001140A6" w:rsidP="00D46E36">
      <w:pPr>
        <w:spacing w:after="394" w:line="276" w:lineRule="auto"/>
        <w:ind w:left="-5" w:right="383"/>
        <w:jc w:val="both"/>
        <w:rPr>
          <w:rFonts w:ascii="Times New Roman" w:hAnsi="Times New Roman" w:cs="Times New Roman"/>
          <w:b/>
          <w:sz w:val="24"/>
        </w:rPr>
      </w:pPr>
      <w:r w:rsidRPr="00950125">
        <w:rPr>
          <w:rFonts w:ascii="Times New Roman" w:hAnsi="Times New Roman" w:cs="Times New Roman"/>
          <w:b/>
          <w:sz w:val="24"/>
        </w:rPr>
        <w:t xml:space="preserve">Equation: </w:t>
      </w:r>
    </w:p>
    <w:p w14:paraId="21795526" w14:textId="77777777" w:rsidR="001140A6" w:rsidRPr="00950125" w:rsidRDefault="0029645F" w:rsidP="00D46E36">
      <w:pPr>
        <w:spacing w:after="96" w:line="276" w:lineRule="auto"/>
        <w:ind w:right="392"/>
        <w:jc w:val="center"/>
        <w:rPr>
          <w:rFonts w:ascii="Times New Roman" w:eastAsia="Cambria Math" w:hAnsi="Times New Roman" w:cs="Times New Roman"/>
          <w:sz w:val="32"/>
        </w:rPr>
      </w:pPr>
      <m:oMath>
        <m:sSub>
          <m:sSubPr>
            <m:ctrlPr>
              <w:rPr>
                <w:rFonts w:ascii="Cambria Math" w:eastAsia="Cambria Math" w:hAnsi="Cambria Math" w:cs="Times New Roman"/>
                <w:i/>
                <w:sz w:val="32"/>
              </w:rPr>
            </m:ctrlPr>
          </m:sSubPr>
          <m:e>
            <m:acc>
              <m:accPr>
                <m:ctrlPr>
                  <w:rPr>
                    <w:rFonts w:ascii="Cambria Math" w:eastAsia="Cambria Math" w:hAnsi="Cambria Math" w:cs="Times New Roman"/>
                    <w:i/>
                    <w:sz w:val="32"/>
                  </w:rPr>
                </m:ctrlPr>
              </m:accPr>
              <m:e>
                <m:r>
                  <w:rPr>
                    <w:rFonts w:ascii="Cambria Math" w:eastAsia="Cambria Math" w:hAnsi="Cambria Math" w:cs="Times New Roman"/>
                    <w:sz w:val="32"/>
                  </w:rPr>
                  <m:t>β</m:t>
                </m:r>
              </m:e>
            </m:acc>
          </m:e>
          <m:sub>
            <m:r>
              <w:rPr>
                <w:rFonts w:ascii="Cambria Math" w:eastAsia="Cambria Math" w:hAnsi="Cambria Math" w:cs="Times New Roman"/>
                <w:sz w:val="32"/>
              </w:rPr>
              <m:t>CUP-BC</m:t>
            </m:r>
          </m:sub>
        </m:sSub>
        <m:r>
          <w:rPr>
            <w:rFonts w:ascii="Cambria Math" w:eastAsia="Cambria Math" w:hAnsi="Cambria Math" w:cs="Times New Roman"/>
            <w:sz w:val="32"/>
          </w:rPr>
          <m:t xml:space="preserve">= </m:t>
        </m:r>
        <m:r>
          <m:rPr>
            <m:sty m:val="p"/>
          </m:rPr>
          <w:rPr>
            <w:rFonts w:ascii="Cambria Math" w:eastAsia="Cambria Math" w:hAnsi="Cambria Math" w:cs="Times New Roman"/>
            <w:sz w:val="32"/>
          </w:rPr>
          <m:t>arg</m:t>
        </m:r>
        <m:func>
          <m:funcPr>
            <m:ctrlPr>
              <w:rPr>
                <w:rFonts w:ascii="Cambria Math" w:eastAsia="Cambria Math" w:hAnsi="Cambria Math" w:cs="Times New Roman"/>
                <w:sz w:val="32"/>
              </w:rPr>
            </m:ctrlPr>
          </m:funcPr>
          <m:fName>
            <m:r>
              <m:rPr>
                <m:sty m:val="p"/>
              </m:rPr>
              <w:rPr>
                <w:rFonts w:ascii="Cambria Math" w:eastAsia="Cambria Math" w:hAnsi="Cambria Math" w:cs="Times New Roman"/>
                <w:sz w:val="32"/>
              </w:rPr>
              <m:t>min</m:t>
            </m:r>
          </m:fName>
          <m:e>
            <m:nary>
              <m:naryPr>
                <m:chr m:val="∑"/>
                <m:limLoc m:val="subSup"/>
                <m:ctrlPr>
                  <w:rPr>
                    <w:rFonts w:ascii="Cambria Math" w:eastAsia="Cambria Math" w:hAnsi="Cambria Math" w:cs="Times New Roman"/>
                    <w:i/>
                    <w:sz w:val="32"/>
                  </w:rPr>
                </m:ctrlPr>
              </m:naryPr>
              <m:sub>
                <m:r>
                  <w:rPr>
                    <w:rFonts w:ascii="Cambria Math" w:eastAsia="Cambria Math" w:hAnsi="Cambria Math" w:cs="Times New Roman"/>
                    <w:sz w:val="32"/>
                  </w:rPr>
                  <m:t>i=1</m:t>
                </m:r>
              </m:sub>
              <m:sup>
                <m:r>
                  <w:rPr>
                    <w:rFonts w:ascii="Cambria Math" w:eastAsia="Cambria Math" w:hAnsi="Cambria Math" w:cs="Times New Roman"/>
                    <w:sz w:val="32"/>
                  </w:rPr>
                  <m:t>N</m:t>
                </m:r>
              </m:sup>
              <m:e>
                <m:sSup>
                  <m:sSupPr>
                    <m:ctrlPr>
                      <w:rPr>
                        <w:rFonts w:ascii="Cambria Math" w:eastAsia="Cambria Math" w:hAnsi="Cambria Math" w:cs="Times New Roman"/>
                        <w:i/>
                        <w:sz w:val="32"/>
                      </w:rPr>
                    </m:ctrlPr>
                  </m:sSupPr>
                  <m:e>
                    <m:r>
                      <m:rPr>
                        <m:sty m:val="p"/>
                      </m:rPr>
                      <w:rPr>
                        <w:rFonts w:ascii="Cambria Math" w:eastAsia="Cambria Math" w:hAnsi="Cambria Math" w:cs="Times New Roman"/>
                        <w:sz w:val="32"/>
                      </w:rPr>
                      <m:t>(y</m:t>
                    </m:r>
                    <m:r>
                      <m:rPr>
                        <m:sty m:val="p"/>
                      </m:rPr>
                      <w:rPr>
                        <w:rFonts w:ascii="Cambria Math" w:eastAsia="Cambria Math" w:hAnsi="Cambria Math" w:cs="Times New Roman"/>
                        <w:sz w:val="23"/>
                      </w:rPr>
                      <m:t xml:space="preserve">it </m:t>
                    </m:r>
                    <m:r>
                      <m:rPr>
                        <m:sty m:val="p"/>
                      </m:rPr>
                      <w:rPr>
                        <w:rFonts w:ascii="Cambria Math" w:eastAsia="Cambria Math" w:hAnsi="Cambria Math" w:cs="Times New Roman"/>
                        <w:sz w:val="32"/>
                      </w:rPr>
                      <m:t>- α</m:t>
                    </m:r>
                    <m:r>
                      <m:rPr>
                        <m:sty m:val="p"/>
                      </m:rPr>
                      <w:rPr>
                        <w:rFonts w:ascii="Cambria Math" w:eastAsia="Cambria Math" w:hAnsi="Cambria Math" w:cs="Times New Roman"/>
                        <w:sz w:val="23"/>
                      </w:rPr>
                      <m:t xml:space="preserve">i </m:t>
                    </m:r>
                    <m:r>
                      <m:rPr>
                        <m:sty m:val="p"/>
                      </m:rPr>
                      <w:rPr>
                        <w:rFonts w:ascii="Cambria Math" w:eastAsia="Cambria Math" w:hAnsi="Cambria Math" w:cs="Times New Roman"/>
                        <w:sz w:val="32"/>
                      </w:rPr>
                      <m:t>- βx</m:t>
                    </m:r>
                    <m:r>
                      <m:rPr>
                        <m:sty m:val="p"/>
                      </m:rPr>
                      <w:rPr>
                        <w:rFonts w:ascii="Cambria Math" w:eastAsia="Cambria Math" w:hAnsi="Cambria Math" w:cs="Times New Roman"/>
                        <w:sz w:val="23"/>
                      </w:rPr>
                      <m:t>it</m:t>
                    </m:r>
                    <m:r>
                      <m:rPr>
                        <m:sty m:val="p"/>
                      </m:rPr>
                      <w:rPr>
                        <w:rFonts w:ascii="Cambria Math" w:eastAsia="Cambria Math" w:hAnsi="Cambria Math" w:cs="Times New Roman"/>
                        <w:sz w:val="32"/>
                      </w:rPr>
                      <m:t>)</m:t>
                    </m:r>
                  </m:e>
                  <m:sup>
                    <m:r>
                      <w:rPr>
                        <w:rFonts w:ascii="Cambria Math" w:eastAsia="Cambria Math" w:hAnsi="Cambria Math" w:cs="Times New Roman"/>
                        <w:sz w:val="32"/>
                      </w:rPr>
                      <m:t>2</m:t>
                    </m:r>
                  </m:sup>
                </m:sSup>
              </m:e>
            </m:nary>
          </m:e>
        </m:func>
      </m:oMath>
      <w:r w:rsidR="00F72281" w:rsidRPr="00950125">
        <w:rPr>
          <w:rFonts w:ascii="Times New Roman" w:eastAsia="Cambria Math" w:hAnsi="Times New Roman" w:cs="Times New Roman"/>
          <w:sz w:val="32"/>
        </w:rPr>
        <w:t xml:space="preserve">    </w:t>
      </w:r>
      <w:r w:rsidR="001140A6" w:rsidRPr="00950125">
        <w:rPr>
          <w:rFonts w:ascii="Times New Roman" w:hAnsi="Times New Roman" w:cs="Times New Roman"/>
          <w:sz w:val="32"/>
        </w:rPr>
        <w:t xml:space="preserve">   (9) </w:t>
      </w:r>
    </w:p>
    <w:p w14:paraId="46C4618E" w14:textId="77777777" w:rsidR="001140A6" w:rsidRPr="00950125" w:rsidRDefault="001140A6" w:rsidP="00D46E36">
      <w:pPr>
        <w:spacing w:after="0" w:line="276" w:lineRule="auto"/>
        <w:rPr>
          <w:rFonts w:ascii="Times New Roman" w:hAnsi="Times New Roman" w:cs="Times New Roman"/>
        </w:rPr>
      </w:pPr>
      <w:r w:rsidRPr="00950125">
        <w:rPr>
          <w:rFonts w:ascii="Times New Roman" w:hAnsi="Times New Roman" w:cs="Times New Roman"/>
        </w:rPr>
        <w:t xml:space="preserve"> </w:t>
      </w:r>
    </w:p>
    <w:p w14:paraId="76DF5AC0" w14:textId="77777777" w:rsidR="001140A6" w:rsidRPr="00950125" w:rsidRDefault="001140A6" w:rsidP="00D46E36">
      <w:pPr>
        <w:spacing w:line="276" w:lineRule="auto"/>
        <w:ind w:left="-5" w:right="383"/>
        <w:jc w:val="both"/>
        <w:rPr>
          <w:rFonts w:ascii="Times New Roman" w:hAnsi="Times New Roman" w:cs="Times New Roman"/>
        </w:rPr>
      </w:pPr>
      <w:r w:rsidRPr="00950125">
        <w:rPr>
          <w:rFonts w:ascii="Times New Roman" w:hAnsi="Times New Roman" w:cs="Times New Roman"/>
          <w:sz w:val="24"/>
        </w:rPr>
        <w:t>These methods yield precise and credible long-run estimates in the empirical analysis of panel data systems. This makes long-run analysis more credible because they can offer bias-corrected estimates.</w:t>
      </w:r>
      <w:r w:rsidRPr="00950125">
        <w:rPr>
          <w:rFonts w:ascii="Times New Roman" w:hAnsi="Times New Roman" w:cs="Times New Roman"/>
        </w:rPr>
        <w:t xml:space="preserve"> </w:t>
      </w:r>
    </w:p>
    <w:p w14:paraId="71A9739B" w14:textId="77777777" w:rsidR="001140A6" w:rsidRPr="00950125" w:rsidRDefault="001140A6" w:rsidP="00D46E36">
      <w:pPr>
        <w:pStyle w:val="Heading4"/>
        <w:spacing w:line="276" w:lineRule="auto"/>
        <w:jc w:val="both"/>
        <w:rPr>
          <w:rFonts w:ascii="Times New Roman" w:hAnsi="Times New Roman" w:cs="Times New Roman"/>
          <w:i w:val="0"/>
          <w:u w:val="single"/>
        </w:rPr>
      </w:pPr>
      <w:r w:rsidRPr="00950125">
        <w:rPr>
          <w:rFonts w:ascii="Times New Roman" w:hAnsi="Times New Roman" w:cs="Times New Roman"/>
          <w:i w:val="0"/>
          <w:sz w:val="24"/>
          <w:u w:val="single"/>
        </w:rPr>
        <w:t>NARDL</w:t>
      </w:r>
      <w:r w:rsidRPr="00950125">
        <w:rPr>
          <w:rFonts w:ascii="Times New Roman" w:hAnsi="Times New Roman" w:cs="Times New Roman"/>
          <w:i w:val="0"/>
          <w:u w:val="single"/>
        </w:rPr>
        <w:t xml:space="preserve"> </w:t>
      </w:r>
    </w:p>
    <w:p w14:paraId="0CC4E4E4" w14:textId="77777777" w:rsidR="001140A6" w:rsidRPr="00950125" w:rsidRDefault="00E738B8"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The a</w:t>
      </w:r>
      <w:r w:rsidR="001140A6" w:rsidRPr="00950125">
        <w:rPr>
          <w:rFonts w:ascii="Times New Roman" w:hAnsi="Times New Roman" w:cs="Times New Roman"/>
          <w:sz w:val="24"/>
        </w:rPr>
        <w:t xml:space="preserve">symmetric long—and short-run dynamics of the model variables are incorporated into the NARDL model. The conventional ARDL model is extended by permitting nonlinear adjustments and asymmetric responses to changes in exogenous variables. </w:t>
      </w:r>
    </w:p>
    <w:p w14:paraId="788DC1BC" w14:textId="77777777" w:rsidR="00106CEF" w:rsidRPr="00950125" w:rsidRDefault="001140A6" w:rsidP="00D46E36">
      <w:pPr>
        <w:spacing w:line="276" w:lineRule="auto"/>
        <w:jc w:val="both"/>
        <w:rPr>
          <w:rFonts w:ascii="Times New Roman" w:eastAsia="Times New Roman" w:hAnsi="Times New Roman" w:cs="Times New Roman"/>
          <w:b/>
          <w:color w:val="000000"/>
          <w:sz w:val="24"/>
          <w:szCs w:val="24"/>
        </w:rPr>
      </w:pPr>
      <w:r w:rsidRPr="00950125">
        <w:rPr>
          <w:rFonts w:ascii="Times New Roman" w:hAnsi="Times New Roman" w:cs="Times New Roman"/>
          <w:b/>
          <w:sz w:val="24"/>
        </w:rPr>
        <w:t xml:space="preserve">Equation: </w:t>
      </w:r>
      <w:r w:rsidR="00106CEF" w:rsidRPr="00950125">
        <w:rPr>
          <w:rFonts w:ascii="Times New Roman" w:hAnsi="Times New Roman" w:cs="Times New Roman"/>
          <w:b/>
          <w:sz w:val="24"/>
        </w:rPr>
        <w:t xml:space="preserve"> </w:t>
      </w:r>
    </w:p>
    <w:p w14:paraId="714E515D" w14:textId="77777777" w:rsidR="001140A6" w:rsidRPr="00950125" w:rsidRDefault="00091E4F" w:rsidP="00D46E36">
      <w:pPr>
        <w:spacing w:line="276" w:lineRule="auto"/>
        <w:jc w:val="center"/>
        <w:rPr>
          <w:rFonts w:ascii="Times New Roman" w:eastAsia="Times New Roman" w:hAnsi="Times New Roman" w:cs="Times New Roman"/>
          <w:sz w:val="24"/>
          <w:szCs w:val="24"/>
        </w:rPr>
      </w:pPr>
      <m:oMath>
        <m:r>
          <w:rPr>
            <w:rStyle w:val="mord"/>
            <w:rFonts w:ascii="Cambria Math" w:hAnsi="Cambria Math" w:cs="Times New Roman"/>
            <w:sz w:val="32"/>
          </w:rPr>
          <m:t>Δ</m:t>
        </m:r>
        <m:sSub>
          <m:sSubPr>
            <m:ctrlPr>
              <w:rPr>
                <w:rStyle w:val="mord"/>
                <w:rFonts w:ascii="Cambria Math" w:hAnsi="Cambria Math" w:cs="Times New Roman"/>
                <w:bCs/>
                <w:i/>
                <w:sz w:val="32"/>
              </w:rPr>
            </m:ctrlPr>
          </m:sSubPr>
          <m:e>
            <m:r>
              <w:rPr>
                <w:rStyle w:val="mord"/>
                <w:rFonts w:ascii="Cambria Math" w:hAnsi="Cambria Math" w:cs="Times New Roman"/>
                <w:sz w:val="32"/>
              </w:rPr>
              <m:t>y</m:t>
            </m:r>
          </m:e>
          <m:sub>
            <m:r>
              <w:rPr>
                <w:rStyle w:val="mord"/>
                <w:rFonts w:ascii="Cambria Math" w:hAnsi="Cambria Math" w:cs="Times New Roman"/>
                <w:sz w:val="32"/>
              </w:rPr>
              <m:t>t</m:t>
            </m:r>
          </m:sub>
        </m:sSub>
        <m:r>
          <w:rPr>
            <w:rStyle w:val="vlist-s"/>
            <w:rFonts w:ascii="Cambria Math" w:hAnsi="Cambria Math" w:cs="Times New Roman"/>
            <w:sz w:val="32"/>
          </w:rPr>
          <m:t>​</m:t>
        </m:r>
        <m:r>
          <w:rPr>
            <w:rStyle w:val="mrel"/>
            <w:rFonts w:ascii="Cambria Math" w:hAnsi="Cambria Math" w:cs="Times New Roman"/>
            <w:sz w:val="32"/>
          </w:rPr>
          <m:t>=</m:t>
        </m:r>
        <m:r>
          <w:rPr>
            <w:rStyle w:val="mord"/>
            <w:rFonts w:ascii="Cambria Math" w:hAnsi="Cambria Math" w:cs="Times New Roman"/>
            <w:sz w:val="32"/>
          </w:rPr>
          <m:t>α</m:t>
        </m:r>
        <m:r>
          <w:rPr>
            <w:rStyle w:val="mbin"/>
            <w:rFonts w:ascii="Cambria Math" w:hAnsi="Cambria Math" w:cs="Times New Roman"/>
            <w:sz w:val="32"/>
          </w:rPr>
          <m:t>+</m:t>
        </m:r>
        <m:sSub>
          <m:sSubPr>
            <m:ctrlPr>
              <w:rPr>
                <w:rStyle w:val="mord"/>
                <w:rFonts w:ascii="Cambria Math" w:hAnsi="Cambria Math" w:cs="Times New Roman"/>
                <w:bCs/>
                <w:i/>
                <w:sz w:val="32"/>
              </w:rPr>
            </m:ctrlPr>
          </m:sSubPr>
          <m:e>
            <m:r>
              <w:rPr>
                <w:rStyle w:val="mord"/>
                <w:rFonts w:ascii="Cambria Math" w:hAnsi="Cambria Math" w:cs="Times New Roman"/>
                <w:sz w:val="32"/>
              </w:rPr>
              <m:t>ρy</m:t>
            </m:r>
          </m:e>
          <m:sub>
            <m:r>
              <w:rPr>
                <w:rStyle w:val="mord"/>
                <w:rFonts w:ascii="Cambria Math" w:hAnsi="Cambria Math" w:cs="Times New Roman"/>
                <w:sz w:val="32"/>
              </w:rPr>
              <m:t>t-1</m:t>
            </m:r>
          </m:sub>
        </m:sSub>
        <m:r>
          <w:rPr>
            <w:rStyle w:val="mbin"/>
            <w:rFonts w:ascii="Cambria Math" w:hAnsi="Cambria Math" w:cs="Times New Roman"/>
            <w:sz w:val="32"/>
          </w:rPr>
          <m:t>+</m:t>
        </m:r>
        <m:sSup>
          <m:sSupPr>
            <m:ctrlPr>
              <w:rPr>
                <w:rStyle w:val="mord"/>
                <w:rFonts w:ascii="Cambria Math" w:hAnsi="Cambria Math" w:cs="Times New Roman"/>
                <w:bCs/>
                <w:i/>
                <w:sz w:val="32"/>
              </w:rPr>
            </m:ctrlPr>
          </m:sSupPr>
          <m:e>
            <m:r>
              <w:rPr>
                <w:rStyle w:val="mord"/>
                <w:rFonts w:ascii="Cambria Math" w:hAnsi="Cambria Math" w:cs="Times New Roman"/>
                <w:sz w:val="32"/>
              </w:rPr>
              <m:t>θ</m:t>
            </m:r>
          </m:e>
          <m:sup>
            <m:r>
              <w:rPr>
                <w:rStyle w:val="mord"/>
                <w:rFonts w:ascii="Cambria Math" w:hAnsi="Cambria Math" w:cs="Times New Roman"/>
                <w:sz w:val="32"/>
              </w:rPr>
              <m:t>+</m:t>
            </m:r>
          </m:sup>
        </m:sSup>
        <m:sSubSup>
          <m:sSubSupPr>
            <m:ctrlPr>
              <w:rPr>
                <w:rStyle w:val="mord"/>
                <w:rFonts w:ascii="Cambria Math" w:hAnsi="Cambria Math" w:cs="Times New Roman"/>
                <w:bCs/>
                <w:i/>
                <w:sz w:val="32"/>
              </w:rPr>
            </m:ctrlPr>
          </m:sSubSupPr>
          <m:e>
            <m:r>
              <w:rPr>
                <w:rStyle w:val="mord"/>
                <w:rFonts w:ascii="Cambria Math" w:hAnsi="Cambria Math" w:cs="Times New Roman"/>
                <w:sz w:val="32"/>
              </w:rPr>
              <m:t>x</m:t>
            </m:r>
          </m:e>
          <m:sub>
            <m:r>
              <w:rPr>
                <w:rStyle w:val="mord"/>
                <w:rFonts w:ascii="Cambria Math" w:hAnsi="Cambria Math" w:cs="Times New Roman"/>
                <w:sz w:val="32"/>
              </w:rPr>
              <m:t>t-1</m:t>
            </m:r>
          </m:sub>
          <m:sup>
            <m:r>
              <w:rPr>
                <w:rStyle w:val="mord"/>
                <w:rFonts w:ascii="Cambria Math" w:hAnsi="Cambria Math" w:cs="Times New Roman"/>
                <w:sz w:val="32"/>
              </w:rPr>
              <m:t>+</m:t>
            </m:r>
          </m:sup>
        </m:sSubSup>
        <m:r>
          <w:rPr>
            <w:rStyle w:val="mbin"/>
            <w:rFonts w:ascii="Cambria Math" w:hAnsi="Cambria Math" w:cs="Times New Roman"/>
            <w:sz w:val="32"/>
          </w:rPr>
          <m:t>+</m:t>
        </m:r>
        <m:sSup>
          <m:sSupPr>
            <m:ctrlPr>
              <w:rPr>
                <w:rStyle w:val="mord"/>
                <w:rFonts w:ascii="Cambria Math" w:hAnsi="Cambria Math" w:cs="Times New Roman"/>
                <w:bCs/>
                <w:i/>
                <w:sz w:val="32"/>
              </w:rPr>
            </m:ctrlPr>
          </m:sSupPr>
          <m:e>
            <m:r>
              <w:rPr>
                <w:rStyle w:val="mord"/>
                <w:rFonts w:ascii="Cambria Math" w:hAnsi="Cambria Math" w:cs="Times New Roman"/>
                <w:sz w:val="32"/>
              </w:rPr>
              <m:t>θ</m:t>
            </m:r>
          </m:e>
          <m:sup>
            <m:r>
              <w:rPr>
                <w:rStyle w:val="mord"/>
                <w:rFonts w:ascii="Cambria Math" w:hAnsi="Cambria Math" w:cs="Times New Roman"/>
                <w:sz w:val="32"/>
              </w:rPr>
              <m:t>-</m:t>
            </m:r>
          </m:sup>
        </m:sSup>
        <m:sSubSup>
          <m:sSubSupPr>
            <m:ctrlPr>
              <w:rPr>
                <w:rStyle w:val="mord"/>
                <w:rFonts w:ascii="Cambria Math" w:hAnsi="Cambria Math" w:cs="Times New Roman"/>
                <w:bCs/>
                <w:i/>
                <w:sz w:val="32"/>
              </w:rPr>
            </m:ctrlPr>
          </m:sSubSupPr>
          <m:e>
            <m:r>
              <w:rPr>
                <w:rStyle w:val="mord"/>
                <w:rFonts w:ascii="Cambria Math" w:hAnsi="Cambria Math" w:cs="Times New Roman"/>
                <w:sz w:val="32"/>
              </w:rPr>
              <m:t>x</m:t>
            </m:r>
          </m:e>
          <m:sub>
            <m:r>
              <w:rPr>
                <w:rStyle w:val="mord"/>
                <w:rFonts w:ascii="Cambria Math" w:hAnsi="Cambria Math" w:cs="Times New Roman"/>
                <w:sz w:val="32"/>
              </w:rPr>
              <m:t>t-1</m:t>
            </m:r>
          </m:sub>
          <m:sup>
            <m:r>
              <w:rPr>
                <w:rStyle w:val="mord"/>
                <w:rFonts w:ascii="Cambria Math" w:hAnsi="Cambria Math" w:cs="Times New Roman"/>
                <w:sz w:val="32"/>
              </w:rPr>
              <m:t>-</m:t>
            </m:r>
          </m:sup>
        </m:sSubSup>
        <m:r>
          <w:rPr>
            <w:rStyle w:val="vlist-s"/>
            <w:rFonts w:ascii="Cambria Math" w:hAnsi="Cambria Math" w:cs="Times New Roman"/>
            <w:sz w:val="32"/>
          </w:rPr>
          <m:t>​</m:t>
        </m:r>
        <m:r>
          <w:rPr>
            <w:rStyle w:val="mbin"/>
            <w:rFonts w:ascii="Cambria Math" w:hAnsi="Cambria Math" w:cs="Times New Roman"/>
            <w:sz w:val="32"/>
          </w:rPr>
          <m:t>+</m:t>
        </m:r>
        <m:nary>
          <m:naryPr>
            <m:chr m:val="∑"/>
            <m:limLoc m:val="undOvr"/>
            <m:ctrlPr>
              <w:rPr>
                <w:rStyle w:val="mbin"/>
                <w:rFonts w:ascii="Cambria Math" w:hAnsi="Cambria Math" w:cs="Times New Roman"/>
                <w:i/>
                <w:sz w:val="32"/>
              </w:rPr>
            </m:ctrlPr>
          </m:naryPr>
          <m:sub>
            <m:r>
              <w:rPr>
                <w:rStyle w:val="mbin"/>
                <w:rFonts w:ascii="Cambria Math" w:hAnsi="Cambria Math" w:cs="Times New Roman"/>
                <w:sz w:val="32"/>
              </w:rPr>
              <m:t>i=1</m:t>
            </m:r>
          </m:sub>
          <m:sup>
            <m:r>
              <w:rPr>
                <w:rStyle w:val="mbin"/>
                <w:rFonts w:ascii="Cambria Math" w:hAnsi="Cambria Math" w:cs="Times New Roman"/>
                <w:sz w:val="32"/>
              </w:rPr>
              <m:t>p-1</m:t>
            </m:r>
          </m:sup>
          <m:e>
            <m:sSub>
              <m:sSubPr>
                <m:ctrlPr>
                  <w:rPr>
                    <w:rStyle w:val="mord"/>
                    <w:rFonts w:ascii="Cambria Math" w:hAnsi="Cambria Math" w:cs="Times New Roman"/>
                    <w:bCs/>
                    <w:i/>
                    <w:sz w:val="32"/>
                  </w:rPr>
                </m:ctrlPr>
              </m:sSubPr>
              <m:e>
                <m:r>
                  <w:rPr>
                    <w:rStyle w:val="mord"/>
                    <w:rFonts w:ascii="Cambria Math" w:hAnsi="Cambria Math" w:cs="Times New Roman"/>
                    <w:sz w:val="32"/>
                  </w:rPr>
                  <m:t>ϕ</m:t>
                </m:r>
              </m:e>
              <m:sub>
                <m:r>
                  <w:rPr>
                    <w:rStyle w:val="mord"/>
                    <w:rFonts w:ascii="Cambria Math" w:hAnsi="Cambria Math" w:cs="Times New Roman"/>
                    <w:sz w:val="32"/>
                  </w:rPr>
                  <m:t>i</m:t>
                </m:r>
              </m:sub>
            </m:sSub>
            <m:r>
              <w:rPr>
                <w:rStyle w:val="vlist-s"/>
                <w:rFonts w:ascii="Cambria Math" w:hAnsi="Cambria Math" w:cs="Times New Roman"/>
                <w:sz w:val="32"/>
              </w:rPr>
              <m:t>​</m:t>
            </m:r>
            <m:sSub>
              <m:sSubPr>
                <m:ctrlPr>
                  <w:rPr>
                    <w:rStyle w:val="mord"/>
                    <w:rFonts w:ascii="Cambria Math" w:hAnsi="Cambria Math" w:cs="Times New Roman"/>
                    <w:bCs/>
                    <w:i/>
                    <w:sz w:val="32"/>
                  </w:rPr>
                </m:ctrlPr>
              </m:sSubPr>
              <m:e>
                <m:r>
                  <w:rPr>
                    <w:rStyle w:val="mord"/>
                    <w:rFonts w:ascii="Cambria Math" w:hAnsi="Cambria Math" w:cs="Times New Roman"/>
                    <w:sz w:val="32"/>
                  </w:rPr>
                  <m:t>Δy</m:t>
                </m:r>
              </m:e>
              <m:sub>
                <m:r>
                  <w:rPr>
                    <w:rStyle w:val="mord"/>
                    <w:rFonts w:ascii="Cambria Math" w:hAnsi="Cambria Math" w:cs="Times New Roman"/>
                    <w:sz w:val="32"/>
                  </w:rPr>
                  <m:t>t-i</m:t>
                </m:r>
              </m:sub>
            </m:sSub>
          </m:e>
        </m:nary>
        <m:r>
          <w:rPr>
            <w:rStyle w:val="vlist-s"/>
            <w:rFonts w:ascii="Cambria Math" w:hAnsi="Cambria Math" w:cs="Times New Roman"/>
            <w:sz w:val="32"/>
          </w:rPr>
          <m:t>​</m:t>
        </m:r>
        <m:r>
          <w:rPr>
            <w:rStyle w:val="mbin"/>
            <w:rFonts w:ascii="Cambria Math" w:hAnsi="Cambria Math" w:cs="Times New Roman"/>
            <w:sz w:val="32"/>
          </w:rPr>
          <m:t>+</m:t>
        </m:r>
        <m:nary>
          <m:naryPr>
            <m:chr m:val="∑"/>
            <m:limLoc m:val="undOvr"/>
            <m:ctrlPr>
              <w:rPr>
                <w:rStyle w:val="mbin"/>
                <w:rFonts w:ascii="Cambria Math" w:hAnsi="Cambria Math" w:cs="Times New Roman"/>
                <w:i/>
                <w:sz w:val="32"/>
              </w:rPr>
            </m:ctrlPr>
          </m:naryPr>
          <m:sub>
            <m:r>
              <w:rPr>
                <w:rStyle w:val="mbin"/>
                <w:rFonts w:ascii="Cambria Math" w:hAnsi="Cambria Math" w:cs="Times New Roman"/>
                <w:sz w:val="32"/>
              </w:rPr>
              <m:t>j=0</m:t>
            </m:r>
          </m:sub>
          <m:sup>
            <m:r>
              <w:rPr>
                <w:rStyle w:val="mbin"/>
                <w:rFonts w:ascii="Cambria Math" w:hAnsi="Cambria Math" w:cs="Times New Roman"/>
                <w:sz w:val="32"/>
              </w:rPr>
              <m:t>q-1</m:t>
            </m:r>
          </m:sup>
          <m:e>
            <m:r>
              <w:rPr>
                <w:rStyle w:val="mbin"/>
                <w:rFonts w:ascii="Cambria Math" w:hAnsi="Cambria Math" w:cs="Times New Roman"/>
                <w:sz w:val="32"/>
              </w:rPr>
              <m:t>(</m:t>
            </m:r>
          </m:e>
        </m:nary>
        <m:sSubSup>
          <m:sSubSupPr>
            <m:ctrlPr>
              <w:rPr>
                <w:rStyle w:val="mord"/>
                <w:rFonts w:ascii="Cambria Math" w:hAnsi="Cambria Math" w:cs="Times New Roman"/>
                <w:bCs/>
                <w:i/>
                <w:sz w:val="32"/>
              </w:rPr>
            </m:ctrlPr>
          </m:sSubSupPr>
          <m:e>
            <m:r>
              <w:rPr>
                <w:rStyle w:val="mord"/>
                <w:rFonts w:ascii="Cambria Math" w:hAnsi="Cambria Math" w:cs="Times New Roman"/>
                <w:sz w:val="32"/>
              </w:rPr>
              <m:t>γ</m:t>
            </m:r>
          </m:e>
          <m:sub>
            <m:r>
              <w:rPr>
                <w:rStyle w:val="mord"/>
                <w:rFonts w:ascii="Cambria Math" w:hAnsi="Cambria Math" w:cs="Times New Roman"/>
                <w:sz w:val="32"/>
              </w:rPr>
              <m:t>j</m:t>
            </m:r>
          </m:sub>
          <m:sup>
            <m:r>
              <w:rPr>
                <w:rStyle w:val="mord"/>
                <w:rFonts w:ascii="Cambria Math" w:hAnsi="Cambria Math" w:cs="Times New Roman"/>
                <w:sz w:val="32"/>
              </w:rPr>
              <m:t>+</m:t>
            </m:r>
          </m:sup>
        </m:sSubSup>
        <m:r>
          <w:rPr>
            <w:rStyle w:val="mord"/>
            <w:rFonts w:ascii="Cambria Math" w:hAnsi="Cambria Math" w:cs="Times New Roman"/>
            <w:sz w:val="32"/>
          </w:rPr>
          <m:t>Δ</m:t>
        </m:r>
        <m:sSubSup>
          <m:sSubSupPr>
            <m:ctrlPr>
              <w:rPr>
                <w:rStyle w:val="mord"/>
                <w:rFonts w:ascii="Cambria Math" w:hAnsi="Cambria Math" w:cs="Times New Roman"/>
                <w:bCs/>
                <w:i/>
                <w:sz w:val="32"/>
              </w:rPr>
            </m:ctrlPr>
          </m:sSubSupPr>
          <m:e>
            <m:r>
              <w:rPr>
                <w:rStyle w:val="mord"/>
                <w:rFonts w:ascii="Cambria Math" w:hAnsi="Cambria Math" w:cs="Times New Roman"/>
                <w:sz w:val="32"/>
              </w:rPr>
              <m:t>x</m:t>
            </m:r>
          </m:e>
          <m:sub>
            <m:r>
              <w:rPr>
                <w:rStyle w:val="mord"/>
                <w:rFonts w:ascii="Cambria Math" w:hAnsi="Cambria Math" w:cs="Times New Roman"/>
                <w:sz w:val="32"/>
              </w:rPr>
              <m:t>t-j</m:t>
            </m:r>
          </m:sub>
          <m:sup>
            <m:r>
              <w:rPr>
                <w:rStyle w:val="mord"/>
                <w:rFonts w:ascii="Cambria Math" w:hAnsi="Cambria Math" w:cs="Times New Roman"/>
                <w:sz w:val="32"/>
              </w:rPr>
              <m:t>+</m:t>
            </m:r>
          </m:sup>
        </m:sSubSup>
        <m:r>
          <w:rPr>
            <w:rStyle w:val="mbin"/>
            <w:rFonts w:ascii="Cambria Math" w:hAnsi="Cambria Math" w:cs="Times New Roman"/>
            <w:sz w:val="32"/>
          </w:rPr>
          <m:t>+</m:t>
        </m:r>
        <m:sSubSup>
          <m:sSubSupPr>
            <m:ctrlPr>
              <w:rPr>
                <w:rStyle w:val="mord"/>
                <w:rFonts w:ascii="Cambria Math" w:hAnsi="Cambria Math" w:cs="Times New Roman"/>
                <w:bCs/>
                <w:i/>
                <w:sz w:val="32"/>
              </w:rPr>
            </m:ctrlPr>
          </m:sSubSupPr>
          <m:e>
            <m:r>
              <w:rPr>
                <w:rStyle w:val="mord"/>
                <w:rFonts w:ascii="Cambria Math" w:hAnsi="Cambria Math" w:cs="Times New Roman"/>
                <w:sz w:val="32"/>
              </w:rPr>
              <m:t>γ</m:t>
            </m:r>
          </m:e>
          <m:sub>
            <m:r>
              <w:rPr>
                <w:rStyle w:val="mord"/>
                <w:rFonts w:ascii="Cambria Math" w:hAnsi="Cambria Math" w:cs="Times New Roman"/>
                <w:sz w:val="32"/>
              </w:rPr>
              <m:t>j</m:t>
            </m:r>
          </m:sub>
          <m:sup>
            <m:r>
              <w:rPr>
                <w:rStyle w:val="mord"/>
                <w:rFonts w:ascii="Cambria Math" w:hAnsi="Cambria Math" w:cs="Times New Roman"/>
                <w:sz w:val="32"/>
              </w:rPr>
              <m:t>-</m:t>
            </m:r>
          </m:sup>
        </m:sSubSup>
        <m:r>
          <w:rPr>
            <w:rStyle w:val="vlist-s"/>
            <w:rFonts w:ascii="Cambria Math" w:hAnsi="Cambria Math" w:cs="Times New Roman"/>
            <w:sz w:val="32"/>
          </w:rPr>
          <m:t>​</m:t>
        </m:r>
        <m:r>
          <w:rPr>
            <w:rStyle w:val="mord"/>
            <w:rFonts w:ascii="Cambria Math" w:hAnsi="Cambria Math" w:cs="Times New Roman"/>
            <w:sz w:val="32"/>
          </w:rPr>
          <m:t>Δ</m:t>
        </m:r>
        <m:sSubSup>
          <m:sSubSupPr>
            <m:ctrlPr>
              <w:rPr>
                <w:rStyle w:val="mord"/>
                <w:rFonts w:ascii="Cambria Math" w:hAnsi="Cambria Math" w:cs="Times New Roman"/>
                <w:bCs/>
                <w:i/>
                <w:sz w:val="32"/>
              </w:rPr>
            </m:ctrlPr>
          </m:sSubSupPr>
          <m:e>
            <m:r>
              <w:rPr>
                <w:rStyle w:val="mord"/>
                <w:rFonts w:ascii="Cambria Math" w:hAnsi="Cambria Math" w:cs="Times New Roman"/>
                <w:sz w:val="32"/>
              </w:rPr>
              <m:t>x</m:t>
            </m:r>
          </m:e>
          <m:sub>
            <m:r>
              <w:rPr>
                <w:rStyle w:val="mord"/>
                <w:rFonts w:ascii="Cambria Math" w:hAnsi="Cambria Math" w:cs="Times New Roman"/>
                <w:sz w:val="32"/>
              </w:rPr>
              <m:t>t-j</m:t>
            </m:r>
          </m:sub>
          <m:sup>
            <m:r>
              <w:rPr>
                <w:rStyle w:val="mord"/>
                <w:rFonts w:ascii="Cambria Math" w:hAnsi="Cambria Math" w:cs="Times New Roman"/>
                <w:sz w:val="32"/>
              </w:rPr>
              <m:t>-</m:t>
            </m:r>
          </m:sup>
        </m:sSubSup>
        <m:r>
          <w:rPr>
            <w:rStyle w:val="delimsizing"/>
            <w:rFonts w:ascii="Cambria Math" w:hAnsi="Cambria Math" w:cs="Times New Roman"/>
            <w:sz w:val="32"/>
          </w:rPr>
          <m:t>)</m:t>
        </m:r>
        <m:r>
          <w:rPr>
            <w:rStyle w:val="mbin"/>
            <w:rFonts w:ascii="Cambria Math" w:hAnsi="Cambria Math" w:cs="Times New Roman"/>
            <w:sz w:val="32"/>
          </w:rPr>
          <m:t>+</m:t>
        </m:r>
        <m:sSub>
          <m:sSubPr>
            <m:ctrlPr>
              <w:rPr>
                <w:rStyle w:val="mord"/>
                <w:rFonts w:ascii="Cambria Math" w:hAnsi="Cambria Math" w:cs="Times New Roman"/>
                <w:bCs/>
                <w:i/>
                <w:sz w:val="32"/>
              </w:rPr>
            </m:ctrlPr>
          </m:sSubPr>
          <m:e>
            <m:r>
              <w:rPr>
                <w:rStyle w:val="mord"/>
                <w:rFonts w:ascii="Cambria Math" w:hAnsi="Cambria Math" w:cs="Times New Roman"/>
                <w:sz w:val="32"/>
              </w:rPr>
              <m:t>ε</m:t>
            </m:r>
          </m:e>
          <m:sub>
            <m:r>
              <w:rPr>
                <w:rStyle w:val="mord"/>
                <w:rFonts w:ascii="Cambria Math" w:hAnsi="Cambria Math" w:cs="Times New Roman"/>
                <w:sz w:val="32"/>
              </w:rPr>
              <m:t>t</m:t>
            </m:r>
          </m:sub>
        </m:sSub>
        <m:r>
          <w:rPr>
            <w:rStyle w:val="vlist-s"/>
            <w:rFonts w:ascii="Cambria Math" w:hAnsi="Cambria Math" w:cs="Times New Roman"/>
            <w:sz w:val="32"/>
          </w:rPr>
          <m:t>​</m:t>
        </m:r>
      </m:oMath>
      <w:r w:rsidR="00E738B8" w:rsidRPr="00950125">
        <w:rPr>
          <w:rFonts w:ascii="Times New Roman" w:eastAsia="Times New Roman" w:hAnsi="Times New Roman" w:cs="Times New Roman"/>
          <w:sz w:val="36"/>
          <w:szCs w:val="24"/>
        </w:rPr>
        <w:t xml:space="preserve">             </w:t>
      </w:r>
      <w:r w:rsidR="001140A6" w:rsidRPr="00950125">
        <w:rPr>
          <w:rFonts w:ascii="Times New Roman" w:hAnsi="Times New Roman" w:cs="Times New Roman"/>
          <w:sz w:val="32"/>
        </w:rPr>
        <w:t xml:space="preserve">(10) </w:t>
      </w:r>
    </w:p>
    <w:p w14:paraId="64945797" w14:textId="77777777" w:rsidR="00E738B8" w:rsidRPr="00950125" w:rsidRDefault="00E738B8" w:rsidP="00D46E36">
      <w:pPr>
        <w:spacing w:line="276" w:lineRule="auto"/>
        <w:jc w:val="center"/>
        <w:rPr>
          <w:rFonts w:ascii="Times New Roman" w:eastAsia="Times New Roman" w:hAnsi="Times New Roman" w:cs="Times New Roman"/>
          <w:sz w:val="24"/>
          <w:szCs w:val="24"/>
        </w:rPr>
      </w:pPr>
    </w:p>
    <w:p w14:paraId="29F130F8"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The NARDL model offers a convenient way of analysing structures that can be economically asymmetrical, that is, of analysing how a given economic variable will react to positive and negative shocks. This method offers a better picture of economic systems because it gives a real description of the asymmetric interactions. Researchers use NARDL to study economic systems that linear models cannot well describe. </w:t>
      </w:r>
    </w:p>
    <w:p w14:paraId="24F07043" w14:textId="1E837AED" w:rsidR="001140A6" w:rsidRPr="00950125" w:rsidRDefault="001140A6" w:rsidP="00D46E36">
      <w:pPr>
        <w:pStyle w:val="Heading3"/>
        <w:spacing w:line="276" w:lineRule="auto"/>
        <w:ind w:left="-5"/>
        <w:rPr>
          <w:rFonts w:ascii="Times New Roman" w:hAnsi="Times New Roman" w:cs="Times New Roman"/>
          <w:u w:val="single"/>
        </w:rPr>
      </w:pPr>
      <w:bookmarkStart w:id="42" w:name="_Toc204723902"/>
      <w:bookmarkStart w:id="43" w:name="_Toc111797"/>
      <w:r w:rsidRPr="00950125">
        <w:rPr>
          <w:rFonts w:ascii="Times New Roman" w:eastAsia="Times New Roman" w:hAnsi="Times New Roman" w:cs="Times New Roman"/>
          <w:color w:val="1F4D78"/>
          <w:u w:val="single"/>
        </w:rPr>
        <w:lastRenderedPageBreak/>
        <w:t>Causality Analysis</w:t>
      </w:r>
      <w:bookmarkEnd w:id="42"/>
      <w:r w:rsidRPr="00950125">
        <w:rPr>
          <w:rFonts w:ascii="Times New Roman" w:eastAsia="Times New Roman" w:hAnsi="Times New Roman" w:cs="Times New Roman"/>
          <w:color w:val="1F4D78"/>
          <w:u w:val="single"/>
        </w:rPr>
        <w:t xml:space="preserve"> </w:t>
      </w:r>
      <w:bookmarkEnd w:id="43"/>
    </w:p>
    <w:p w14:paraId="370F8FD5" w14:textId="77777777" w:rsidR="001140A6" w:rsidRPr="00950125" w:rsidRDefault="001140A6" w:rsidP="00D46E36">
      <w:pPr>
        <w:pStyle w:val="Heading4"/>
        <w:spacing w:line="276" w:lineRule="auto"/>
        <w:rPr>
          <w:rFonts w:ascii="Times New Roman" w:hAnsi="Times New Roman" w:cs="Times New Roman"/>
          <w:i w:val="0"/>
          <w:u w:val="single"/>
        </w:rPr>
      </w:pPr>
      <w:r w:rsidRPr="00950125">
        <w:rPr>
          <w:rFonts w:ascii="Times New Roman" w:hAnsi="Times New Roman" w:cs="Times New Roman"/>
          <w:i w:val="0"/>
          <w:sz w:val="24"/>
          <w:u w:val="single"/>
        </w:rPr>
        <w:t xml:space="preserve">Demutrescu &amp; Hurlin (2012) Bootstrap Causality </w:t>
      </w:r>
    </w:p>
    <w:p w14:paraId="6B0DC1E2"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To examine the causality connection in panel data, we use the Bootstrap Panel Granger Causality test of Demutrescu and Hurlin (2012). It is a cross-sectional dependence and small sample bias method; hence, bootstrap methods are used for causality inferences. </w:t>
      </w:r>
    </w:p>
    <w:p w14:paraId="09D3DD56" w14:textId="77777777" w:rsidR="001140A6" w:rsidRPr="00950125" w:rsidRDefault="001140A6" w:rsidP="00D46E36">
      <w:pPr>
        <w:spacing w:line="276" w:lineRule="auto"/>
        <w:ind w:left="-5" w:right="383"/>
        <w:jc w:val="both"/>
        <w:rPr>
          <w:rFonts w:ascii="Times New Roman" w:hAnsi="Times New Roman" w:cs="Times New Roman"/>
          <w:b/>
          <w:sz w:val="24"/>
        </w:rPr>
      </w:pPr>
      <w:r w:rsidRPr="00950125">
        <w:rPr>
          <w:rFonts w:ascii="Times New Roman" w:hAnsi="Times New Roman" w:cs="Times New Roman"/>
          <w:b/>
          <w:sz w:val="24"/>
        </w:rPr>
        <w:t xml:space="preserve">Equation: </w:t>
      </w:r>
    </w:p>
    <w:p w14:paraId="1FDEE4D1" w14:textId="77777777" w:rsidR="001140A6" w:rsidRPr="00950125" w:rsidRDefault="0029645F" w:rsidP="00D46E36">
      <w:pPr>
        <w:spacing w:after="217" w:line="276" w:lineRule="auto"/>
        <w:ind w:right="393"/>
        <w:jc w:val="center"/>
        <w:rPr>
          <w:rFonts w:ascii="Times New Roman" w:eastAsia="Cambria Math" w:hAnsi="Times New Roman" w:cs="Times New Roman"/>
          <w:sz w:val="28"/>
        </w:rPr>
      </w:pPr>
      <m:oMath>
        <m:sSub>
          <m:sSubPr>
            <m:ctrlPr>
              <w:rPr>
                <w:rFonts w:ascii="Cambria Math" w:eastAsia="Cambria Math" w:hAnsi="Cambria Math" w:cs="Times New Roman"/>
                <w:i/>
                <w:sz w:val="28"/>
              </w:rPr>
            </m:ctrlPr>
          </m:sSubPr>
          <m:e>
            <m:r>
              <w:rPr>
                <w:rFonts w:ascii="Cambria Math" w:eastAsia="Cambria Math" w:hAnsi="Cambria Math" w:cs="Times New Roman"/>
                <w:sz w:val="28"/>
              </w:rPr>
              <m:t>Y</m:t>
            </m:r>
          </m:e>
          <m:sub>
            <m:r>
              <w:rPr>
                <w:rFonts w:ascii="Cambria Math" w:eastAsia="Cambria Math" w:hAnsi="Cambria Math" w:cs="Times New Roman"/>
                <w:sz w:val="28"/>
              </w:rPr>
              <m:t>it</m:t>
            </m:r>
          </m:sub>
        </m:sSub>
        <m:r>
          <w:rPr>
            <w:rFonts w:ascii="Cambria Math" w:eastAsia="Cambria Math" w:hAnsi="Cambria Math" w:cs="Times New Roman"/>
            <w:sz w:val="28"/>
          </w:rPr>
          <m:t xml:space="preserve">= </m:t>
        </m:r>
        <m:sSub>
          <m:sSubPr>
            <m:ctrlPr>
              <w:rPr>
                <w:rFonts w:ascii="Cambria Math" w:eastAsia="Cambria Math" w:hAnsi="Cambria Math" w:cs="Times New Roman"/>
                <w:i/>
                <w:sz w:val="28"/>
              </w:rPr>
            </m:ctrlPr>
          </m:sSubPr>
          <m:e>
            <m:r>
              <w:rPr>
                <w:rFonts w:ascii="Cambria Math" w:eastAsia="Cambria Math" w:hAnsi="Cambria Math" w:cs="Times New Roman"/>
                <w:sz w:val="28"/>
              </w:rPr>
              <m:t>α</m:t>
            </m:r>
          </m:e>
          <m:sub>
            <m:r>
              <w:rPr>
                <w:rFonts w:ascii="Cambria Math" w:eastAsia="Cambria Math" w:hAnsi="Cambria Math" w:cs="Times New Roman"/>
                <w:sz w:val="28"/>
              </w:rPr>
              <m:t>i</m:t>
            </m:r>
          </m:sub>
        </m:sSub>
        <m:r>
          <w:rPr>
            <w:rFonts w:ascii="Cambria Math" w:eastAsia="Cambria Math" w:hAnsi="Cambria Math" w:cs="Times New Roman"/>
            <w:sz w:val="28"/>
          </w:rPr>
          <m:t xml:space="preserve">+ </m:t>
        </m:r>
        <m:nary>
          <m:naryPr>
            <m:chr m:val="∑"/>
            <m:limLoc m:val="subSup"/>
            <m:ctrlPr>
              <w:rPr>
                <w:rFonts w:ascii="Cambria Math" w:eastAsia="Cambria Math" w:hAnsi="Cambria Math" w:cs="Times New Roman"/>
                <w:i/>
                <w:sz w:val="28"/>
              </w:rPr>
            </m:ctrlPr>
          </m:naryPr>
          <m:sub>
            <m:r>
              <w:rPr>
                <w:rFonts w:ascii="Cambria Math" w:eastAsia="Cambria Math" w:hAnsi="Cambria Math" w:cs="Times New Roman"/>
                <w:sz w:val="28"/>
              </w:rPr>
              <m:t>k-1</m:t>
            </m:r>
          </m:sub>
          <m:sup>
            <m:r>
              <w:rPr>
                <w:rFonts w:ascii="Cambria Math" w:eastAsia="Cambria Math" w:hAnsi="Cambria Math" w:cs="Times New Roman"/>
                <w:sz w:val="28"/>
              </w:rPr>
              <m:t>ρ</m:t>
            </m:r>
          </m:sup>
          <m:e>
            <m:sSub>
              <m:sSubPr>
                <m:ctrlPr>
                  <w:rPr>
                    <w:rFonts w:ascii="Cambria Math" w:eastAsia="Cambria Math" w:hAnsi="Cambria Math" w:cs="Times New Roman"/>
                    <w:i/>
                    <w:sz w:val="28"/>
                  </w:rPr>
                </m:ctrlPr>
              </m:sSubPr>
              <m:e>
                <m:r>
                  <w:rPr>
                    <w:rFonts w:ascii="Cambria Math" w:eastAsia="Cambria Math" w:hAnsi="Cambria Math" w:cs="Times New Roman"/>
                    <w:sz w:val="28"/>
                  </w:rPr>
                  <m:t>γ</m:t>
                </m:r>
              </m:e>
              <m:sub>
                <m:r>
                  <w:rPr>
                    <w:rFonts w:ascii="Cambria Math" w:eastAsia="Cambria Math" w:hAnsi="Cambria Math" w:cs="Times New Roman"/>
                    <w:sz w:val="28"/>
                  </w:rPr>
                  <m:t>it</m:t>
                </m:r>
              </m:sub>
            </m:sSub>
            <m:sSub>
              <m:sSubPr>
                <m:ctrlPr>
                  <w:rPr>
                    <w:rFonts w:ascii="Cambria Math" w:eastAsia="Cambria Math" w:hAnsi="Cambria Math" w:cs="Times New Roman"/>
                    <w:i/>
                    <w:sz w:val="28"/>
                  </w:rPr>
                </m:ctrlPr>
              </m:sSubPr>
              <m:e>
                <m:r>
                  <w:rPr>
                    <w:rFonts w:ascii="Cambria Math" w:eastAsia="Cambria Math" w:hAnsi="Cambria Math" w:cs="Times New Roman"/>
                    <w:sz w:val="28"/>
                  </w:rPr>
                  <m:t>Y</m:t>
                </m:r>
              </m:e>
              <m:sub>
                <m:r>
                  <w:rPr>
                    <w:rFonts w:ascii="Cambria Math" w:eastAsia="Cambria Math" w:hAnsi="Cambria Math" w:cs="Times New Roman"/>
                    <w:sz w:val="28"/>
                  </w:rPr>
                  <m:t>i,t-1</m:t>
                </m:r>
              </m:sub>
            </m:sSub>
            <m:r>
              <w:rPr>
                <w:rFonts w:ascii="Cambria Math" w:eastAsia="Cambria Math" w:hAnsi="Cambria Math" w:cs="Times New Roman"/>
                <w:sz w:val="28"/>
              </w:rPr>
              <m:t>+</m:t>
            </m:r>
            <m:nary>
              <m:naryPr>
                <m:chr m:val="∑"/>
                <m:limLoc m:val="subSup"/>
                <m:ctrlPr>
                  <w:rPr>
                    <w:rFonts w:ascii="Cambria Math" w:eastAsia="Cambria Math" w:hAnsi="Cambria Math" w:cs="Times New Roman"/>
                    <w:i/>
                    <w:sz w:val="28"/>
                  </w:rPr>
                </m:ctrlPr>
              </m:naryPr>
              <m:sub>
                <m:r>
                  <w:rPr>
                    <w:rFonts w:ascii="Cambria Math" w:eastAsia="Cambria Math" w:hAnsi="Cambria Math" w:cs="Times New Roman"/>
                    <w:sz w:val="28"/>
                  </w:rPr>
                  <m:t>k-1</m:t>
                </m:r>
              </m:sub>
              <m:sup>
                <m:r>
                  <w:rPr>
                    <w:rFonts w:ascii="Cambria Math" w:eastAsia="Cambria Math" w:hAnsi="Cambria Math" w:cs="Times New Roman"/>
                    <w:sz w:val="28"/>
                  </w:rPr>
                  <m:t>ρ</m:t>
                </m:r>
              </m:sup>
              <m:e>
                <m:sSub>
                  <m:sSubPr>
                    <m:ctrlPr>
                      <w:rPr>
                        <w:rFonts w:ascii="Cambria Math" w:eastAsia="Cambria Math" w:hAnsi="Cambria Math" w:cs="Times New Roman"/>
                        <w:i/>
                        <w:sz w:val="28"/>
                      </w:rPr>
                    </m:ctrlPr>
                  </m:sSubPr>
                  <m:e>
                    <m:r>
                      <w:rPr>
                        <w:rFonts w:ascii="Cambria Math" w:eastAsia="Cambria Math" w:hAnsi="Cambria Math" w:cs="Times New Roman"/>
                        <w:sz w:val="28"/>
                      </w:rPr>
                      <m:t>β</m:t>
                    </m:r>
                  </m:e>
                  <m:sub>
                    <m:r>
                      <w:rPr>
                        <w:rFonts w:ascii="Cambria Math" w:eastAsia="Cambria Math" w:hAnsi="Cambria Math" w:cs="Times New Roman"/>
                        <w:sz w:val="28"/>
                      </w:rPr>
                      <m:t>ik</m:t>
                    </m:r>
                  </m:sub>
                </m:sSub>
                <m:sSub>
                  <m:sSubPr>
                    <m:ctrlPr>
                      <w:rPr>
                        <w:rFonts w:ascii="Cambria Math" w:eastAsia="Cambria Math" w:hAnsi="Cambria Math" w:cs="Times New Roman"/>
                        <w:i/>
                        <w:sz w:val="28"/>
                      </w:rPr>
                    </m:ctrlPr>
                  </m:sSubPr>
                  <m:e>
                    <m:r>
                      <w:rPr>
                        <w:rFonts w:ascii="Cambria Math" w:eastAsia="Cambria Math" w:hAnsi="Cambria Math" w:cs="Times New Roman"/>
                        <w:sz w:val="28"/>
                      </w:rPr>
                      <m:t>X</m:t>
                    </m:r>
                  </m:e>
                  <m:sub>
                    <m:r>
                      <w:rPr>
                        <w:rFonts w:ascii="Cambria Math" w:eastAsia="Cambria Math" w:hAnsi="Cambria Math" w:cs="Times New Roman"/>
                        <w:sz w:val="28"/>
                      </w:rPr>
                      <m:t xml:space="preserve">i,t-k  </m:t>
                    </m:r>
                  </m:sub>
                </m:sSub>
                <m:r>
                  <w:rPr>
                    <w:rFonts w:ascii="Cambria Math" w:eastAsia="Cambria Math" w:hAnsi="Cambria Math" w:cs="Times New Roman"/>
                    <w:sz w:val="28"/>
                  </w:rPr>
                  <m:t xml:space="preserve">+ </m:t>
                </m:r>
                <m:sSub>
                  <m:sSubPr>
                    <m:ctrlPr>
                      <w:rPr>
                        <w:rFonts w:ascii="Cambria Math" w:eastAsia="Cambria Math" w:hAnsi="Cambria Math" w:cs="Times New Roman"/>
                        <w:i/>
                        <w:sz w:val="28"/>
                      </w:rPr>
                    </m:ctrlPr>
                  </m:sSubPr>
                  <m:e>
                    <m:r>
                      <w:rPr>
                        <w:rFonts w:ascii="Cambria Math" w:eastAsia="Cambria Math" w:hAnsi="Cambria Math" w:cs="Times New Roman"/>
                        <w:sz w:val="28"/>
                      </w:rPr>
                      <m:t>μ</m:t>
                    </m:r>
                  </m:e>
                  <m:sub>
                    <m:r>
                      <w:rPr>
                        <w:rFonts w:ascii="Cambria Math" w:eastAsia="Cambria Math" w:hAnsi="Cambria Math" w:cs="Times New Roman"/>
                        <w:sz w:val="28"/>
                      </w:rPr>
                      <m:t>it</m:t>
                    </m:r>
                  </m:sub>
                </m:sSub>
              </m:e>
            </m:nary>
          </m:e>
        </m:nary>
      </m:oMath>
      <w:r w:rsidR="00C40FF2" w:rsidRPr="00950125">
        <w:rPr>
          <w:rFonts w:ascii="Times New Roman" w:eastAsia="Cambria Math" w:hAnsi="Times New Roman" w:cs="Times New Roman"/>
          <w:sz w:val="28"/>
        </w:rPr>
        <w:t xml:space="preserve">    </w:t>
      </w:r>
      <w:r w:rsidR="001140A6" w:rsidRPr="00950125">
        <w:rPr>
          <w:rFonts w:ascii="Times New Roman" w:hAnsi="Times New Roman" w:cs="Times New Roman"/>
          <w:sz w:val="28"/>
        </w:rPr>
        <w:t xml:space="preserve">  (11) </w:t>
      </w:r>
    </w:p>
    <w:p w14:paraId="44FCDEB9" w14:textId="77777777" w:rsidR="001140A6" w:rsidRPr="00950125" w:rsidRDefault="0029645F" w:rsidP="00D46E36">
      <w:pPr>
        <w:spacing w:after="218" w:line="276" w:lineRule="auto"/>
        <w:ind w:right="390"/>
        <w:jc w:val="center"/>
        <w:rPr>
          <w:rFonts w:ascii="Times New Roman" w:eastAsia="Cambria Math" w:hAnsi="Times New Roman" w:cs="Times New Roman"/>
        </w:rPr>
      </w:pPr>
      <m:oMath>
        <m:sSubSup>
          <m:sSubSupPr>
            <m:ctrlPr>
              <w:rPr>
                <w:rFonts w:ascii="Cambria Math" w:eastAsia="Cambria Math" w:hAnsi="Cambria Math" w:cs="Times New Roman"/>
                <w:i/>
                <w:sz w:val="28"/>
              </w:rPr>
            </m:ctrlPr>
          </m:sSubSupPr>
          <m:e>
            <m:r>
              <w:rPr>
                <w:rFonts w:ascii="Cambria Math" w:eastAsia="Cambria Math" w:hAnsi="Cambria Math" w:cs="Times New Roman"/>
                <w:sz w:val="28"/>
              </w:rPr>
              <m:t>W</m:t>
            </m:r>
          </m:e>
          <m:sub>
            <m:r>
              <w:rPr>
                <w:rFonts w:ascii="Cambria Math" w:eastAsia="Cambria Math" w:hAnsi="Cambria Math" w:cs="Times New Roman"/>
                <w:sz w:val="28"/>
              </w:rPr>
              <m:t>NT</m:t>
            </m:r>
          </m:sub>
          <m:sup>
            <m:r>
              <w:rPr>
                <w:rFonts w:ascii="Cambria Math" w:eastAsia="Cambria Math" w:hAnsi="Cambria Math" w:cs="Times New Roman"/>
                <w:sz w:val="28"/>
              </w:rPr>
              <m:t>Hnc</m:t>
            </m:r>
          </m:sup>
        </m:sSubSup>
        <m:r>
          <w:rPr>
            <w:rFonts w:ascii="Cambria Math" w:eastAsia="Cambria Math" w:hAnsi="Cambria Math" w:cs="Times New Roman"/>
            <w:sz w:val="28"/>
          </w:rPr>
          <m:t xml:space="preserve">= </m:t>
        </m:r>
        <m:sSup>
          <m:sSupPr>
            <m:ctrlPr>
              <w:rPr>
                <w:rFonts w:ascii="Cambria Math" w:eastAsia="Cambria Math" w:hAnsi="Cambria Math" w:cs="Times New Roman"/>
                <w:i/>
                <w:sz w:val="28"/>
              </w:rPr>
            </m:ctrlPr>
          </m:sSupPr>
          <m:e>
            <m:r>
              <w:rPr>
                <w:rFonts w:ascii="Cambria Math" w:eastAsia="Cambria Math" w:hAnsi="Cambria Math" w:cs="Times New Roman"/>
                <w:sz w:val="28"/>
              </w:rPr>
              <m:t>N</m:t>
            </m:r>
          </m:e>
          <m:sup>
            <m:r>
              <w:rPr>
                <w:rFonts w:ascii="Cambria Math" w:eastAsia="Cambria Math" w:hAnsi="Cambria Math" w:cs="Times New Roman"/>
                <w:sz w:val="28"/>
              </w:rPr>
              <m:t>-1</m:t>
            </m:r>
          </m:sup>
        </m:sSup>
        <m:nary>
          <m:naryPr>
            <m:chr m:val="∑"/>
            <m:limLoc m:val="subSup"/>
            <m:ctrlPr>
              <w:rPr>
                <w:rFonts w:ascii="Cambria Math" w:eastAsia="Cambria Math" w:hAnsi="Cambria Math" w:cs="Times New Roman"/>
                <w:i/>
                <w:sz w:val="28"/>
              </w:rPr>
            </m:ctrlPr>
          </m:naryPr>
          <m:sub>
            <m:r>
              <w:rPr>
                <w:rFonts w:ascii="Cambria Math" w:eastAsia="Cambria Math" w:hAnsi="Cambria Math" w:cs="Times New Roman"/>
                <w:sz w:val="28"/>
              </w:rPr>
              <m:t>i-1</m:t>
            </m:r>
          </m:sub>
          <m:sup>
            <m:r>
              <w:rPr>
                <w:rFonts w:ascii="Cambria Math" w:eastAsia="Cambria Math" w:hAnsi="Cambria Math" w:cs="Times New Roman"/>
                <w:sz w:val="28"/>
              </w:rPr>
              <m:t>N</m:t>
            </m:r>
          </m:sup>
          <m:e>
            <m:sSub>
              <m:sSubPr>
                <m:ctrlPr>
                  <w:rPr>
                    <w:rFonts w:ascii="Cambria Math" w:eastAsia="Cambria Math" w:hAnsi="Cambria Math" w:cs="Times New Roman"/>
                    <w:i/>
                    <w:sz w:val="28"/>
                  </w:rPr>
                </m:ctrlPr>
              </m:sSubPr>
              <m:e>
                <m:r>
                  <w:rPr>
                    <w:rFonts w:ascii="Cambria Math" w:eastAsia="Cambria Math" w:hAnsi="Cambria Math" w:cs="Times New Roman"/>
                    <w:sz w:val="28"/>
                  </w:rPr>
                  <m:t>W</m:t>
                </m:r>
              </m:e>
              <m:sub>
                <m:r>
                  <w:rPr>
                    <w:rFonts w:ascii="Cambria Math" w:eastAsia="Cambria Math" w:hAnsi="Cambria Math" w:cs="Times New Roman"/>
                    <w:sz w:val="28"/>
                  </w:rPr>
                  <m:t>it</m:t>
                </m:r>
              </m:sub>
            </m:sSub>
          </m:e>
        </m:nary>
      </m:oMath>
      <w:r w:rsidR="00DE79D2" w:rsidRPr="00950125">
        <w:rPr>
          <w:rFonts w:ascii="Times New Roman" w:eastAsia="Cambria Math" w:hAnsi="Times New Roman" w:cs="Times New Roman"/>
          <w:sz w:val="28"/>
        </w:rPr>
        <w:t xml:space="preserve">       </w:t>
      </w:r>
      <w:r w:rsidR="001140A6" w:rsidRPr="00950125">
        <w:rPr>
          <w:rFonts w:ascii="Times New Roman" w:hAnsi="Times New Roman" w:cs="Times New Roman"/>
          <w:sz w:val="28"/>
        </w:rPr>
        <w:t xml:space="preserve">   </w:t>
      </w:r>
      <w:r w:rsidR="001140A6" w:rsidRPr="00950125">
        <w:rPr>
          <w:rFonts w:ascii="Times New Roman" w:hAnsi="Times New Roman" w:cs="Times New Roman"/>
        </w:rPr>
        <w:t xml:space="preserve">(12) </w:t>
      </w:r>
    </w:p>
    <w:p w14:paraId="33F92CE9" w14:textId="77777777" w:rsidR="001140A6" w:rsidRPr="00950125" w:rsidRDefault="001140A6" w:rsidP="00D46E36">
      <w:pPr>
        <w:spacing w:after="152" w:line="276" w:lineRule="auto"/>
        <w:ind w:right="331"/>
        <w:jc w:val="center"/>
        <w:rPr>
          <w:rFonts w:ascii="Times New Roman" w:hAnsi="Times New Roman" w:cs="Times New Roman"/>
        </w:rPr>
      </w:pPr>
      <w:r w:rsidRPr="00950125">
        <w:rPr>
          <w:rFonts w:ascii="Times New Roman" w:hAnsi="Times New Roman" w:cs="Times New Roman"/>
        </w:rPr>
        <w:t>Z=</w:t>
      </w:r>
      <w:r w:rsidRPr="00950125">
        <w:rPr>
          <w:rFonts w:ascii="Times New Roman" w:hAnsi="Times New Roman" w:cs="Times New Roman"/>
          <w:noProof/>
        </w:rPr>
        <w:drawing>
          <wp:inline distT="0" distB="0" distL="0" distR="0" wp14:anchorId="2AF1CB59" wp14:editId="1912CD02">
            <wp:extent cx="2514600" cy="409575"/>
            <wp:effectExtent l="0" t="0" r="0" b="9525"/>
            <wp:docPr id="108675" name="Picture 108675"/>
            <wp:cNvGraphicFramePr/>
            <a:graphic xmlns:a="http://schemas.openxmlformats.org/drawingml/2006/main">
              <a:graphicData uri="http://schemas.openxmlformats.org/drawingml/2006/picture">
                <pic:pic xmlns:pic="http://schemas.openxmlformats.org/drawingml/2006/picture">
                  <pic:nvPicPr>
                    <pic:cNvPr id="108675" name="Picture 108675"/>
                    <pic:cNvPicPr/>
                  </pic:nvPicPr>
                  <pic:blipFill>
                    <a:blip r:embed="rId18"/>
                    <a:stretch>
                      <a:fillRect/>
                    </a:stretch>
                  </pic:blipFill>
                  <pic:spPr>
                    <a:xfrm>
                      <a:off x="0" y="0"/>
                      <a:ext cx="2515521" cy="409725"/>
                    </a:xfrm>
                    <a:prstGeom prst="rect">
                      <a:avLst/>
                    </a:prstGeom>
                  </pic:spPr>
                </pic:pic>
              </a:graphicData>
            </a:graphic>
          </wp:inline>
        </w:drawing>
      </w:r>
      <w:r w:rsidRPr="00950125">
        <w:rPr>
          <w:rFonts w:ascii="Times New Roman" w:hAnsi="Times New Roman" w:cs="Times New Roman"/>
        </w:rPr>
        <w:t xml:space="preserve"> </w:t>
      </w:r>
    </w:p>
    <w:p w14:paraId="793CA7FB" w14:textId="77777777" w:rsidR="001140A6" w:rsidRPr="00950125" w:rsidRDefault="001140A6" w:rsidP="00D46E36">
      <w:pPr>
        <w:spacing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Bootstrap causality tests are less sensitive to cross-sectional dependence and, therefore, appropriate for use in complex panel data frameworks. This test helps the researchers identify causality in economic and financial data that other techniques can corrupt due to bias or inconsistency. </w:t>
      </w:r>
    </w:p>
    <w:p w14:paraId="27053103" w14:textId="46C69296" w:rsidR="001140A6" w:rsidRPr="00950125" w:rsidRDefault="001140A6" w:rsidP="00D46E36">
      <w:pPr>
        <w:pStyle w:val="Heading3"/>
        <w:spacing w:line="276" w:lineRule="auto"/>
        <w:jc w:val="both"/>
        <w:rPr>
          <w:rFonts w:ascii="Times New Roman" w:hAnsi="Times New Roman" w:cs="Times New Roman"/>
          <w:u w:val="single"/>
        </w:rPr>
      </w:pPr>
      <w:bookmarkStart w:id="44" w:name="_Toc204723903"/>
      <w:bookmarkStart w:id="45" w:name="_Toc111798"/>
      <w:r w:rsidRPr="00950125">
        <w:rPr>
          <w:rFonts w:ascii="Times New Roman" w:eastAsia="Times New Roman" w:hAnsi="Times New Roman" w:cs="Times New Roman"/>
          <w:color w:val="1F4D78"/>
          <w:u w:val="single"/>
        </w:rPr>
        <w:t>Robustness</w:t>
      </w:r>
      <w:bookmarkEnd w:id="44"/>
      <w:r w:rsidRPr="00950125">
        <w:rPr>
          <w:rFonts w:ascii="Times New Roman" w:eastAsia="Times New Roman" w:hAnsi="Times New Roman" w:cs="Times New Roman"/>
          <w:color w:val="1F4D78"/>
          <w:u w:val="single"/>
        </w:rPr>
        <w:t xml:space="preserve"> </w:t>
      </w:r>
      <w:bookmarkEnd w:id="45"/>
    </w:p>
    <w:p w14:paraId="0D35F811" w14:textId="77777777" w:rsidR="001140A6" w:rsidRPr="00950125" w:rsidRDefault="001140A6" w:rsidP="00D46E36">
      <w:pPr>
        <w:pStyle w:val="Heading4"/>
        <w:spacing w:line="276" w:lineRule="auto"/>
        <w:jc w:val="both"/>
        <w:rPr>
          <w:rFonts w:ascii="Times New Roman" w:hAnsi="Times New Roman" w:cs="Times New Roman"/>
          <w:i w:val="0"/>
          <w:u w:val="single"/>
        </w:rPr>
      </w:pPr>
      <w:r w:rsidRPr="00950125">
        <w:rPr>
          <w:rFonts w:ascii="Times New Roman" w:hAnsi="Times New Roman" w:cs="Times New Roman"/>
          <w:i w:val="0"/>
          <w:u w:val="single"/>
        </w:rPr>
        <w:t xml:space="preserve">AMG </w:t>
      </w:r>
    </w:p>
    <w:p w14:paraId="6A7A4B96" w14:textId="77777777" w:rsidR="001140A6" w:rsidRPr="00950125" w:rsidRDefault="001140A6" w:rsidP="00D46E36">
      <w:pPr>
        <w:spacing w:after="203"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Long-run relations in panel data models with cross-sectional dependence are estimated using the Augmented Mean Group (AMG) estimator. The AMG estimator is a control for time invariant unobserved heterogeneity in all panel units that affects all panel units and allows efficient estimates of the long run coefficients. </w:t>
      </w:r>
    </w:p>
    <w:p w14:paraId="70B2A829" w14:textId="77777777" w:rsidR="001140A6" w:rsidRPr="00950125" w:rsidRDefault="001140A6" w:rsidP="00D46E36">
      <w:pPr>
        <w:spacing w:after="203" w:line="276" w:lineRule="auto"/>
        <w:ind w:left="-5" w:right="383"/>
        <w:jc w:val="both"/>
        <w:rPr>
          <w:rFonts w:ascii="Times New Roman" w:hAnsi="Times New Roman" w:cs="Times New Roman"/>
          <w:b/>
          <w:sz w:val="24"/>
        </w:rPr>
      </w:pPr>
      <w:r w:rsidRPr="00950125">
        <w:rPr>
          <w:rFonts w:ascii="Times New Roman" w:hAnsi="Times New Roman" w:cs="Times New Roman"/>
          <w:b/>
          <w:sz w:val="24"/>
        </w:rPr>
        <w:t xml:space="preserve">Equation: </w:t>
      </w:r>
    </w:p>
    <w:p w14:paraId="10EA119A" w14:textId="77777777" w:rsidR="001140A6" w:rsidRPr="00950125" w:rsidRDefault="001140A6" w:rsidP="00D46E36">
      <w:pPr>
        <w:spacing w:after="96" w:line="276" w:lineRule="auto"/>
        <w:ind w:right="392"/>
        <w:jc w:val="center"/>
        <w:rPr>
          <w:rFonts w:ascii="Times New Roman" w:hAnsi="Times New Roman" w:cs="Times New Roman"/>
        </w:rPr>
      </w:pPr>
      <w:r w:rsidRPr="00950125">
        <w:rPr>
          <w:rFonts w:ascii="Cambria Math" w:eastAsia="Cambria Math" w:hAnsi="Cambria Math" w:cs="Cambria Math"/>
          <w:sz w:val="32"/>
        </w:rPr>
        <w:t>𝑦</w:t>
      </w:r>
      <w:r w:rsidRPr="00950125">
        <w:rPr>
          <w:rFonts w:ascii="Cambria Math" w:eastAsia="Cambria Math" w:hAnsi="Cambria Math" w:cs="Cambria Math"/>
          <w:sz w:val="32"/>
          <w:vertAlign w:val="subscript"/>
        </w:rPr>
        <w:t>𝑖𝑡</w:t>
      </w:r>
      <w:r w:rsidRPr="00950125">
        <w:rPr>
          <w:rFonts w:ascii="Times New Roman" w:eastAsia="Cambria Math" w:hAnsi="Times New Roman" w:cs="Times New Roman"/>
          <w:sz w:val="32"/>
          <w:vertAlign w:val="subscript"/>
        </w:rPr>
        <w:t xml:space="preserve"> </w:t>
      </w:r>
      <w:r w:rsidRPr="00950125">
        <w:rPr>
          <w:rFonts w:ascii="Times New Roman" w:eastAsia="Cambria Math" w:hAnsi="Times New Roman" w:cs="Times New Roman"/>
          <w:sz w:val="32"/>
        </w:rPr>
        <w:t xml:space="preserve">= </w:t>
      </w:r>
      <w:r w:rsidRPr="00950125">
        <w:rPr>
          <w:rFonts w:ascii="Cambria Math" w:eastAsia="Cambria Math" w:hAnsi="Cambria Math" w:cs="Cambria Math"/>
          <w:sz w:val="32"/>
        </w:rPr>
        <w:t>𝛼</w:t>
      </w:r>
      <w:r w:rsidRPr="00950125">
        <w:rPr>
          <w:rFonts w:ascii="Cambria Math" w:eastAsia="Cambria Math" w:hAnsi="Cambria Math" w:cs="Cambria Math"/>
          <w:sz w:val="32"/>
          <w:vertAlign w:val="subscript"/>
        </w:rPr>
        <w:t>𝑖</w:t>
      </w:r>
      <w:r w:rsidRPr="00950125">
        <w:rPr>
          <w:rFonts w:ascii="Times New Roman" w:eastAsia="Cambria Math" w:hAnsi="Times New Roman" w:cs="Times New Roman"/>
          <w:sz w:val="32"/>
          <w:vertAlign w:val="subscript"/>
        </w:rPr>
        <w:t xml:space="preserve"> </w:t>
      </w:r>
      <w:r w:rsidRPr="00950125">
        <w:rPr>
          <w:rFonts w:ascii="Times New Roman" w:eastAsia="Cambria Math" w:hAnsi="Times New Roman" w:cs="Times New Roman"/>
          <w:sz w:val="32"/>
        </w:rPr>
        <w:t xml:space="preserve">+ </w:t>
      </w:r>
      <w:r w:rsidRPr="00950125">
        <w:rPr>
          <w:rFonts w:ascii="Cambria Math" w:eastAsia="Cambria Math" w:hAnsi="Cambria Math" w:cs="Cambria Math"/>
          <w:sz w:val="32"/>
        </w:rPr>
        <w:t>𝛽</w:t>
      </w:r>
      <w:r w:rsidRPr="00950125">
        <w:rPr>
          <w:rFonts w:ascii="Cambria Math" w:eastAsia="Cambria Math" w:hAnsi="Cambria Math" w:cs="Cambria Math"/>
          <w:sz w:val="32"/>
          <w:vertAlign w:val="subscript"/>
        </w:rPr>
        <w:t>𝑖</w:t>
      </w:r>
      <w:r w:rsidRPr="00950125">
        <w:rPr>
          <w:rFonts w:ascii="Cambria Math" w:eastAsia="Cambria Math" w:hAnsi="Cambria Math" w:cs="Cambria Math"/>
          <w:sz w:val="32"/>
        </w:rPr>
        <w:t>𝑥</w:t>
      </w:r>
      <w:r w:rsidRPr="00950125">
        <w:rPr>
          <w:rFonts w:ascii="Cambria Math" w:eastAsia="Cambria Math" w:hAnsi="Cambria Math" w:cs="Cambria Math"/>
          <w:sz w:val="32"/>
          <w:vertAlign w:val="subscript"/>
        </w:rPr>
        <w:t>𝑖𝑡</w:t>
      </w:r>
      <w:r w:rsidRPr="00950125">
        <w:rPr>
          <w:rFonts w:ascii="Times New Roman" w:eastAsia="Cambria Math" w:hAnsi="Times New Roman" w:cs="Times New Roman"/>
          <w:sz w:val="32"/>
          <w:vertAlign w:val="subscript"/>
        </w:rPr>
        <w:t xml:space="preserve"> </w:t>
      </w:r>
      <w:r w:rsidRPr="00950125">
        <w:rPr>
          <w:rFonts w:ascii="Times New Roman" w:eastAsia="Cambria Math" w:hAnsi="Times New Roman" w:cs="Times New Roman"/>
          <w:sz w:val="32"/>
        </w:rPr>
        <w:t xml:space="preserve">+ </w:t>
      </w:r>
      <w:r w:rsidRPr="00950125">
        <w:rPr>
          <w:rFonts w:ascii="Cambria Math" w:eastAsia="Cambria Math" w:hAnsi="Cambria Math" w:cs="Cambria Math"/>
          <w:sz w:val="32"/>
        </w:rPr>
        <w:t>𝛾</w:t>
      </w:r>
      <w:r w:rsidRPr="00950125">
        <w:rPr>
          <w:rFonts w:ascii="Cambria Math" w:eastAsia="Cambria Math" w:hAnsi="Cambria Math" w:cs="Cambria Math"/>
          <w:sz w:val="32"/>
          <w:vertAlign w:val="subscript"/>
        </w:rPr>
        <w:t>𝑖</w:t>
      </w:r>
      <w:r w:rsidRPr="00950125">
        <w:rPr>
          <w:rFonts w:ascii="Cambria Math" w:eastAsia="Cambria Math" w:hAnsi="Cambria Math" w:cs="Cambria Math"/>
          <w:sz w:val="32"/>
        </w:rPr>
        <w:t>𝑦</w:t>
      </w:r>
      <w:r w:rsidRPr="00950125">
        <w:rPr>
          <w:rFonts w:ascii="Times New Roman" w:eastAsia="Cambria Math" w:hAnsi="Times New Roman" w:cs="Times New Roman"/>
          <w:sz w:val="32"/>
        </w:rPr>
        <w:t>̅</w:t>
      </w:r>
      <w:r w:rsidRPr="00950125">
        <w:rPr>
          <w:rFonts w:ascii="Cambria Math" w:eastAsia="Cambria Math" w:hAnsi="Cambria Math" w:cs="Cambria Math"/>
          <w:sz w:val="32"/>
          <w:vertAlign w:val="subscript"/>
        </w:rPr>
        <w:t>𝑡</w:t>
      </w:r>
      <w:r w:rsidRPr="00950125">
        <w:rPr>
          <w:rFonts w:ascii="Times New Roman" w:eastAsia="Cambria Math" w:hAnsi="Times New Roman" w:cs="Times New Roman"/>
          <w:sz w:val="32"/>
          <w:vertAlign w:val="subscript"/>
        </w:rPr>
        <w:t xml:space="preserve"> </w:t>
      </w:r>
      <w:r w:rsidRPr="00950125">
        <w:rPr>
          <w:rFonts w:ascii="Times New Roman" w:eastAsia="Cambria Math" w:hAnsi="Times New Roman" w:cs="Times New Roman"/>
          <w:sz w:val="32"/>
        </w:rPr>
        <w:t xml:space="preserve">+ </w:t>
      </w:r>
      <w:r w:rsidRPr="00950125">
        <w:rPr>
          <w:rFonts w:ascii="Cambria Math" w:eastAsia="Cambria Math" w:hAnsi="Cambria Math" w:cs="Cambria Math"/>
          <w:sz w:val="32"/>
        </w:rPr>
        <w:t>𝜖</w:t>
      </w:r>
      <w:r w:rsidRPr="00950125">
        <w:rPr>
          <w:rFonts w:ascii="Cambria Math" w:eastAsia="Cambria Math" w:hAnsi="Cambria Math" w:cs="Cambria Math"/>
          <w:sz w:val="32"/>
          <w:vertAlign w:val="subscript"/>
        </w:rPr>
        <w:t>𝑖𝑡</w:t>
      </w:r>
      <w:r w:rsidRPr="00950125">
        <w:rPr>
          <w:rFonts w:ascii="Times New Roman" w:hAnsi="Times New Roman" w:cs="Times New Roman"/>
          <w:sz w:val="32"/>
        </w:rPr>
        <w:t xml:space="preserve">      </w:t>
      </w:r>
      <w:r w:rsidR="00E738B8" w:rsidRPr="00950125">
        <w:rPr>
          <w:rFonts w:ascii="Times New Roman" w:hAnsi="Times New Roman" w:cs="Times New Roman"/>
          <w:sz w:val="32"/>
        </w:rPr>
        <w:t xml:space="preserve"> </w:t>
      </w:r>
      <w:r w:rsidRPr="00950125">
        <w:rPr>
          <w:rFonts w:ascii="Times New Roman" w:hAnsi="Times New Roman" w:cs="Times New Roman"/>
          <w:sz w:val="32"/>
        </w:rPr>
        <w:t xml:space="preserve">(14) </w:t>
      </w:r>
    </w:p>
    <w:p w14:paraId="7EB1F937" w14:textId="77777777" w:rsidR="001140A6" w:rsidRPr="00950125" w:rsidRDefault="001140A6" w:rsidP="00D46E36">
      <w:pPr>
        <w:spacing w:after="203"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AMG is used for allowing the cross-sectional dependence to be accounted for and also produces efficient long-run estimates. Although this method is most appropriate in panel analysis in macroeconomic and financial analysis when the disturbances in the panel are common to all units. AMG guarantees that under these dependencies, long run relationships are correctly estimated, thus enhancing credibility of the empirical results. </w:t>
      </w:r>
    </w:p>
    <w:p w14:paraId="0CB29CA2" w14:textId="77777777" w:rsidR="001140A6" w:rsidRPr="00950125" w:rsidRDefault="001140A6" w:rsidP="00D46E36">
      <w:pPr>
        <w:pStyle w:val="Heading4"/>
        <w:spacing w:line="276" w:lineRule="auto"/>
        <w:ind w:left="-5"/>
        <w:jc w:val="both"/>
        <w:rPr>
          <w:rFonts w:ascii="Times New Roman" w:hAnsi="Times New Roman" w:cs="Times New Roman"/>
          <w:i w:val="0"/>
          <w:u w:val="single"/>
        </w:rPr>
      </w:pPr>
      <w:r w:rsidRPr="00950125">
        <w:rPr>
          <w:rFonts w:ascii="Times New Roman" w:hAnsi="Times New Roman" w:cs="Times New Roman"/>
          <w:i w:val="0"/>
          <w:sz w:val="24"/>
          <w:u w:val="single"/>
        </w:rPr>
        <w:t>ARDL</w:t>
      </w:r>
      <w:r w:rsidRPr="00950125">
        <w:rPr>
          <w:rFonts w:ascii="Times New Roman" w:eastAsia="Times New Roman" w:hAnsi="Times New Roman" w:cs="Times New Roman"/>
          <w:i w:val="0"/>
          <w:u w:val="single"/>
        </w:rPr>
        <w:t xml:space="preserve"> </w:t>
      </w:r>
    </w:p>
    <w:p w14:paraId="3B2FAAD3" w14:textId="77777777" w:rsidR="001140A6" w:rsidRPr="00950125" w:rsidRDefault="004236A6" w:rsidP="00D46E36">
      <w:pPr>
        <w:spacing w:after="203" w:line="276" w:lineRule="auto"/>
        <w:ind w:left="-5" w:right="383"/>
        <w:jc w:val="both"/>
        <w:rPr>
          <w:rFonts w:ascii="Times New Roman" w:hAnsi="Times New Roman" w:cs="Times New Roman"/>
          <w:sz w:val="24"/>
        </w:rPr>
      </w:pPr>
      <w:r w:rsidRPr="00950125">
        <w:rPr>
          <w:rFonts w:ascii="Times New Roman" w:hAnsi="Times New Roman" w:cs="Times New Roman"/>
          <w:sz w:val="24"/>
        </w:rPr>
        <w:t>The</w:t>
      </w:r>
      <w:r w:rsidR="001140A6" w:rsidRPr="00950125">
        <w:rPr>
          <w:rFonts w:ascii="Times New Roman" w:hAnsi="Times New Roman" w:cs="Times New Roman"/>
          <w:sz w:val="24"/>
        </w:rPr>
        <w:t xml:space="preserve"> autoregressive distributed lag (ARDL) model is the most popular technique for analyzing short—and long-run relationships between variables. The use of different lag lengths for the independent variables in the ARDL model allows for this wide application. </w:t>
      </w:r>
    </w:p>
    <w:p w14:paraId="2EB92E6E" w14:textId="77777777" w:rsidR="001140A6" w:rsidRPr="00950125" w:rsidRDefault="001140A6" w:rsidP="00D46E36">
      <w:pPr>
        <w:spacing w:after="203" w:line="276" w:lineRule="auto"/>
        <w:ind w:left="-5" w:right="383"/>
        <w:rPr>
          <w:rFonts w:ascii="Times New Roman" w:hAnsi="Times New Roman" w:cs="Times New Roman"/>
          <w:sz w:val="24"/>
        </w:rPr>
      </w:pPr>
      <w:r w:rsidRPr="00950125">
        <w:rPr>
          <w:rFonts w:ascii="Times New Roman" w:hAnsi="Times New Roman" w:cs="Times New Roman"/>
          <w:b/>
          <w:sz w:val="24"/>
        </w:rPr>
        <w:t>Equation</w:t>
      </w:r>
      <w:r w:rsidRPr="00950125">
        <w:rPr>
          <w:rFonts w:ascii="Times New Roman" w:hAnsi="Times New Roman" w:cs="Times New Roman"/>
          <w:sz w:val="24"/>
        </w:rPr>
        <w:t xml:space="preserve">: </w:t>
      </w:r>
    </w:p>
    <w:p w14:paraId="1136FA45" w14:textId="77777777" w:rsidR="001140A6" w:rsidRPr="00950125" w:rsidRDefault="0029645F" w:rsidP="00D46E36">
      <w:pPr>
        <w:spacing w:after="191" w:line="276" w:lineRule="auto"/>
        <w:ind w:right="394"/>
        <w:jc w:val="center"/>
        <w:rPr>
          <w:rFonts w:ascii="Times New Roman" w:hAnsi="Times New Roman" w:cs="Times New Roman"/>
        </w:rPr>
      </w:pPr>
      <m:oMath>
        <m:sSub>
          <m:sSubPr>
            <m:ctrlPr>
              <w:rPr>
                <w:rFonts w:ascii="Cambria Math" w:eastAsia="Cambria Math" w:hAnsi="Cambria Math" w:cs="Times New Roman"/>
                <w:i/>
                <w:sz w:val="36"/>
              </w:rPr>
            </m:ctrlPr>
          </m:sSubPr>
          <m:e>
            <m:r>
              <w:rPr>
                <w:rFonts w:ascii="Cambria Math" w:eastAsia="Cambria Math" w:hAnsi="Cambria Math" w:cs="Times New Roman"/>
                <w:sz w:val="36"/>
              </w:rPr>
              <m:t>y</m:t>
            </m:r>
          </m:e>
          <m:sub>
            <m:r>
              <w:rPr>
                <w:rFonts w:ascii="Cambria Math" w:eastAsia="Cambria Math" w:hAnsi="Cambria Math" w:cs="Times New Roman"/>
                <w:sz w:val="36"/>
              </w:rPr>
              <m:t>t</m:t>
            </m:r>
          </m:sub>
        </m:sSub>
        <m:r>
          <w:rPr>
            <w:rFonts w:ascii="Cambria Math" w:eastAsia="Cambria Math" w:hAnsi="Cambria Math" w:cs="Times New Roman"/>
            <w:sz w:val="24"/>
          </w:rPr>
          <m:t xml:space="preserve"> </m:t>
        </m:r>
        <m:r>
          <w:rPr>
            <w:rFonts w:ascii="Cambria Math" w:eastAsia="Cambria Math" w:hAnsi="Cambria Math" w:cs="Times New Roman"/>
            <w:sz w:val="36"/>
          </w:rPr>
          <m:t xml:space="preserve">= α + </m:t>
        </m:r>
        <m:sSubSup>
          <m:sSubSupPr>
            <m:ctrlPr>
              <w:rPr>
                <w:rFonts w:ascii="Cambria Math" w:eastAsia="Cambria Math" w:hAnsi="Cambria Math" w:cs="Times New Roman"/>
                <w:i/>
                <w:sz w:val="36"/>
              </w:rPr>
            </m:ctrlPr>
          </m:sSubSupPr>
          <m:e>
            <m:r>
              <w:rPr>
                <w:rFonts w:ascii="Cambria Math" w:eastAsia="Cambria Math" w:hAnsi="Cambria Math" w:cs="Times New Roman"/>
                <w:sz w:val="36"/>
              </w:rPr>
              <m:t>∑</m:t>
            </m:r>
          </m:e>
          <m:sub>
            <m:r>
              <w:rPr>
                <w:rFonts w:ascii="Cambria Math" w:eastAsia="Cambria Math" w:hAnsi="Cambria Math" w:cs="Times New Roman"/>
                <w:sz w:val="36"/>
              </w:rPr>
              <m:t>i=1</m:t>
            </m:r>
          </m:sub>
          <m:sup>
            <m:r>
              <w:rPr>
                <w:rFonts w:ascii="Cambria Math" w:eastAsia="Cambria Math" w:hAnsi="Cambria Math" w:cs="Times New Roman"/>
                <w:sz w:val="36"/>
              </w:rPr>
              <m:t>q</m:t>
            </m:r>
          </m:sup>
        </m:sSubSup>
        <m:sSub>
          <m:sSubPr>
            <m:ctrlPr>
              <w:rPr>
                <w:rFonts w:ascii="Cambria Math" w:eastAsia="Cambria Math" w:hAnsi="Cambria Math" w:cs="Times New Roman"/>
                <w:i/>
                <w:sz w:val="36"/>
              </w:rPr>
            </m:ctrlPr>
          </m:sSubPr>
          <m:e>
            <m:r>
              <w:rPr>
                <w:rFonts w:ascii="Cambria Math" w:eastAsia="Cambria Math" w:hAnsi="Cambria Math" w:cs="Times New Roman"/>
                <w:sz w:val="36"/>
              </w:rPr>
              <m:t>β</m:t>
            </m:r>
          </m:e>
          <m:sub>
            <m:r>
              <w:rPr>
                <w:rFonts w:ascii="Cambria Math" w:eastAsia="Cambria Math" w:hAnsi="Cambria Math" w:cs="Times New Roman"/>
                <w:sz w:val="36"/>
              </w:rPr>
              <m:t>i</m:t>
            </m:r>
          </m:sub>
        </m:sSub>
        <m:sSub>
          <m:sSubPr>
            <m:ctrlPr>
              <w:rPr>
                <w:rFonts w:ascii="Cambria Math" w:eastAsia="Cambria Math" w:hAnsi="Cambria Math" w:cs="Times New Roman"/>
                <w:i/>
                <w:sz w:val="36"/>
              </w:rPr>
            </m:ctrlPr>
          </m:sSubPr>
          <m:e>
            <m:r>
              <w:rPr>
                <w:rFonts w:ascii="Cambria Math" w:eastAsia="Cambria Math" w:hAnsi="Cambria Math" w:cs="Times New Roman"/>
                <w:sz w:val="36"/>
              </w:rPr>
              <m:t>y</m:t>
            </m:r>
          </m:e>
          <m:sub>
            <m:r>
              <w:rPr>
                <w:rFonts w:ascii="Cambria Math" w:eastAsia="Cambria Math" w:hAnsi="Cambria Math" w:cs="Times New Roman"/>
                <w:sz w:val="36"/>
              </w:rPr>
              <m:t>t-i</m:t>
            </m:r>
          </m:sub>
        </m:sSub>
        <m:r>
          <w:rPr>
            <w:rFonts w:ascii="Cambria Math" w:eastAsia="Cambria Math" w:hAnsi="Cambria Math" w:cs="Times New Roman"/>
            <w:sz w:val="24"/>
            <w:vertAlign w:val="subscript"/>
          </w:rPr>
          <m:t xml:space="preserve"> </m:t>
        </m:r>
        <m:r>
          <w:rPr>
            <w:rFonts w:ascii="Cambria Math" w:eastAsia="Cambria Math" w:hAnsi="Cambria Math" w:cs="Times New Roman"/>
            <w:sz w:val="36"/>
          </w:rPr>
          <m:t xml:space="preserve">+ </m:t>
        </m:r>
        <m:sSubSup>
          <m:sSubSupPr>
            <m:ctrlPr>
              <w:rPr>
                <w:rFonts w:ascii="Cambria Math" w:eastAsia="Cambria Math" w:hAnsi="Cambria Math" w:cs="Times New Roman"/>
                <w:i/>
                <w:sz w:val="36"/>
              </w:rPr>
            </m:ctrlPr>
          </m:sSubSupPr>
          <m:e>
            <m:r>
              <w:rPr>
                <w:rFonts w:ascii="Cambria Math" w:eastAsia="Cambria Math" w:hAnsi="Cambria Math" w:cs="Times New Roman"/>
                <w:sz w:val="36"/>
              </w:rPr>
              <m:t>∑</m:t>
            </m:r>
          </m:e>
          <m:sub>
            <m:r>
              <w:rPr>
                <w:rFonts w:ascii="Cambria Math" w:eastAsia="Cambria Math" w:hAnsi="Cambria Math" w:cs="Times New Roman"/>
                <w:sz w:val="36"/>
              </w:rPr>
              <m:t>j-0</m:t>
            </m:r>
          </m:sub>
          <m:sup>
            <m:r>
              <w:rPr>
                <w:rFonts w:ascii="Cambria Math" w:eastAsia="Cambria Math" w:hAnsi="Cambria Math" w:cs="Times New Roman"/>
                <w:sz w:val="36"/>
              </w:rPr>
              <m:t>q</m:t>
            </m:r>
          </m:sup>
        </m:sSubSup>
        <m:r>
          <w:rPr>
            <w:rFonts w:ascii="Cambria Math" w:eastAsia="Cambria Math" w:hAnsi="Cambria Math" w:cs="Times New Roman"/>
            <w:sz w:val="24"/>
          </w:rPr>
          <m:t xml:space="preserve"> </m:t>
        </m:r>
        <m:sSub>
          <m:sSubPr>
            <m:ctrlPr>
              <w:rPr>
                <w:rFonts w:ascii="Cambria Math" w:eastAsia="Cambria Math" w:hAnsi="Cambria Math" w:cs="Times New Roman"/>
                <w:i/>
                <w:sz w:val="36"/>
              </w:rPr>
            </m:ctrlPr>
          </m:sSubPr>
          <m:e>
            <m:r>
              <w:rPr>
                <w:rFonts w:ascii="Cambria Math" w:eastAsia="Cambria Math" w:hAnsi="Cambria Math" w:cs="Times New Roman"/>
                <w:sz w:val="36"/>
              </w:rPr>
              <m:t>γ</m:t>
            </m:r>
          </m:e>
          <m:sub>
            <m:r>
              <w:rPr>
                <w:rFonts w:ascii="Cambria Math" w:eastAsia="Cambria Math" w:hAnsi="Cambria Math" w:cs="Times New Roman"/>
                <w:sz w:val="36"/>
              </w:rPr>
              <m:t>j</m:t>
            </m:r>
          </m:sub>
        </m:sSub>
        <m:sSub>
          <m:sSubPr>
            <m:ctrlPr>
              <w:rPr>
                <w:rFonts w:ascii="Cambria Math" w:eastAsia="Cambria Math" w:hAnsi="Cambria Math" w:cs="Times New Roman"/>
                <w:i/>
                <w:sz w:val="36"/>
              </w:rPr>
            </m:ctrlPr>
          </m:sSubPr>
          <m:e>
            <m:r>
              <w:rPr>
                <w:rFonts w:ascii="Cambria Math" w:eastAsia="Cambria Math" w:hAnsi="Cambria Math" w:cs="Times New Roman"/>
                <w:sz w:val="36"/>
              </w:rPr>
              <m:t>x</m:t>
            </m:r>
          </m:e>
          <m:sub>
            <m:r>
              <w:rPr>
                <w:rFonts w:ascii="Cambria Math" w:eastAsia="Cambria Math" w:hAnsi="Cambria Math" w:cs="Times New Roman"/>
                <w:sz w:val="36"/>
              </w:rPr>
              <m:t>t-j</m:t>
            </m:r>
          </m:sub>
        </m:sSub>
        <m:r>
          <w:rPr>
            <w:rFonts w:ascii="Cambria Math" w:eastAsia="Cambria Math" w:hAnsi="Cambria Math" w:cs="Times New Roman"/>
            <w:sz w:val="36"/>
          </w:rPr>
          <m:t xml:space="preserve">+ </m:t>
        </m:r>
        <m:sSub>
          <m:sSubPr>
            <m:ctrlPr>
              <w:rPr>
                <w:rFonts w:ascii="Cambria Math" w:eastAsia="Cambria Math" w:hAnsi="Cambria Math" w:cs="Times New Roman"/>
                <w:i/>
                <w:sz w:val="36"/>
              </w:rPr>
            </m:ctrlPr>
          </m:sSubPr>
          <m:e>
            <m:r>
              <w:rPr>
                <w:rFonts w:ascii="Cambria Math" w:eastAsia="Cambria Math" w:hAnsi="Cambria Math" w:cs="Times New Roman"/>
                <w:sz w:val="36"/>
              </w:rPr>
              <m:t>ϵ</m:t>
            </m:r>
          </m:e>
          <m:sub>
            <m:r>
              <w:rPr>
                <w:rFonts w:ascii="Cambria Math" w:eastAsia="Cambria Math" w:hAnsi="Cambria Math" w:cs="Times New Roman"/>
                <w:sz w:val="36"/>
              </w:rPr>
              <m:t>t</m:t>
            </m:r>
          </m:sub>
        </m:sSub>
      </m:oMath>
      <w:r w:rsidR="001140A6" w:rsidRPr="00950125">
        <w:rPr>
          <w:rFonts w:ascii="Times New Roman" w:hAnsi="Times New Roman" w:cs="Times New Roman"/>
          <w:sz w:val="36"/>
        </w:rPr>
        <w:t xml:space="preserve">      </w:t>
      </w:r>
      <w:r w:rsidR="00E738B8" w:rsidRPr="00950125">
        <w:rPr>
          <w:rFonts w:ascii="Times New Roman" w:hAnsi="Times New Roman" w:cs="Times New Roman"/>
          <w:sz w:val="36"/>
        </w:rPr>
        <w:t xml:space="preserve"> </w:t>
      </w:r>
      <w:r w:rsidR="001140A6" w:rsidRPr="00950125">
        <w:rPr>
          <w:rFonts w:ascii="Times New Roman" w:hAnsi="Times New Roman" w:cs="Times New Roman"/>
          <w:sz w:val="32"/>
        </w:rPr>
        <w:t xml:space="preserve">(15) </w:t>
      </w:r>
    </w:p>
    <w:p w14:paraId="052BE769" w14:textId="01096713" w:rsidR="001140A6" w:rsidRPr="00950125" w:rsidRDefault="001140A6" w:rsidP="00D46E36">
      <w:pPr>
        <w:spacing w:after="203" w:line="276" w:lineRule="auto"/>
        <w:ind w:left="-5" w:right="383"/>
        <w:jc w:val="both"/>
        <w:rPr>
          <w:rFonts w:ascii="Times New Roman" w:hAnsi="Times New Roman" w:cs="Times New Roman"/>
          <w:sz w:val="24"/>
        </w:rPr>
      </w:pPr>
      <w:r w:rsidRPr="00950125">
        <w:rPr>
          <w:rFonts w:ascii="Times New Roman" w:hAnsi="Times New Roman" w:cs="Times New Roman"/>
          <w:sz w:val="24"/>
        </w:rPr>
        <w:t>A feature of ARDL m</w:t>
      </w:r>
      <w:r w:rsidR="00422AF0" w:rsidRPr="00950125">
        <w:rPr>
          <w:rFonts w:ascii="Times New Roman" w:hAnsi="Times New Roman" w:cs="Times New Roman"/>
          <w:sz w:val="24"/>
        </w:rPr>
        <w:t>odels is that they can be utiliz</w:t>
      </w:r>
      <w:r w:rsidRPr="00950125">
        <w:rPr>
          <w:rFonts w:ascii="Times New Roman" w:hAnsi="Times New Roman" w:cs="Times New Roman"/>
          <w:sz w:val="24"/>
        </w:rPr>
        <w:t xml:space="preserve">ed, provided the variables in the model are I (0) or I (1). This study shows that ARDL’s flexibility makes it a popular tool in empirical analysis. Short and long-run dynamics are easily understood, and efficient estimates are achieved. </w:t>
      </w:r>
    </w:p>
    <w:p w14:paraId="00595F6B" w14:textId="77777777" w:rsidR="001140A6" w:rsidRPr="00950125" w:rsidRDefault="001140A6" w:rsidP="00D46E36">
      <w:pPr>
        <w:pStyle w:val="Heading4"/>
        <w:spacing w:line="276" w:lineRule="auto"/>
        <w:jc w:val="both"/>
        <w:rPr>
          <w:rFonts w:ascii="Times New Roman" w:hAnsi="Times New Roman" w:cs="Times New Roman"/>
          <w:i w:val="0"/>
          <w:sz w:val="24"/>
          <w:szCs w:val="24"/>
          <w:u w:val="single"/>
        </w:rPr>
      </w:pPr>
      <w:r w:rsidRPr="00950125">
        <w:rPr>
          <w:rFonts w:ascii="Times New Roman" w:hAnsi="Times New Roman" w:cs="Times New Roman"/>
          <w:i w:val="0"/>
          <w:sz w:val="24"/>
          <w:szCs w:val="24"/>
          <w:u w:val="single"/>
        </w:rPr>
        <w:t xml:space="preserve">CS-ARDL </w:t>
      </w:r>
    </w:p>
    <w:p w14:paraId="7FAE4F27" w14:textId="77777777" w:rsidR="001140A6" w:rsidRPr="00950125" w:rsidRDefault="001140A6" w:rsidP="00D46E36">
      <w:pPr>
        <w:spacing w:after="203" w:line="276" w:lineRule="auto"/>
        <w:ind w:left="-5" w:right="383"/>
        <w:jc w:val="both"/>
        <w:rPr>
          <w:rFonts w:ascii="Times New Roman" w:hAnsi="Times New Roman" w:cs="Times New Roman"/>
          <w:sz w:val="24"/>
        </w:rPr>
      </w:pPr>
      <w:r w:rsidRPr="00950125">
        <w:rPr>
          <w:rFonts w:ascii="Times New Roman" w:hAnsi="Times New Roman" w:cs="Times New Roman"/>
          <w:sz w:val="24"/>
        </w:rPr>
        <w:t xml:space="preserve">The Cross-Sectionally Augmented ARDL (CS-ARDL) model is an improvement over the standard ARDL since it takes into account cross-sectional endogeneity by including the cross-sectional mean of the dependent and independent variables. </w:t>
      </w:r>
    </w:p>
    <w:p w14:paraId="5D1F8FB7" w14:textId="77777777" w:rsidR="001140A6" w:rsidRPr="00950125" w:rsidRDefault="001140A6" w:rsidP="00D46E36">
      <w:pPr>
        <w:spacing w:after="203" w:line="276" w:lineRule="auto"/>
        <w:ind w:left="-5" w:right="383"/>
        <w:jc w:val="both"/>
        <w:rPr>
          <w:rFonts w:ascii="Times New Roman" w:hAnsi="Times New Roman" w:cs="Times New Roman"/>
          <w:b/>
          <w:sz w:val="24"/>
        </w:rPr>
      </w:pPr>
      <w:r w:rsidRPr="00950125">
        <w:rPr>
          <w:rFonts w:ascii="Times New Roman" w:hAnsi="Times New Roman" w:cs="Times New Roman"/>
          <w:b/>
          <w:sz w:val="24"/>
        </w:rPr>
        <w:t xml:space="preserve">Equation: </w:t>
      </w:r>
    </w:p>
    <w:p w14:paraId="1ED95425" w14:textId="77777777" w:rsidR="001140A6" w:rsidRPr="00950125" w:rsidRDefault="001140A6" w:rsidP="00D46E36">
      <w:pPr>
        <w:spacing w:after="184" w:line="276" w:lineRule="auto"/>
        <w:ind w:left="170"/>
        <w:rPr>
          <w:rFonts w:ascii="Times New Roman" w:hAnsi="Times New Roman" w:cs="Times New Roman"/>
        </w:rPr>
      </w:pPr>
      <w:r w:rsidRPr="00950125">
        <w:rPr>
          <w:rFonts w:ascii="Times New Roman" w:eastAsia="Cambria Math" w:hAnsi="Times New Roman" w:cs="Times New Roman"/>
          <w:sz w:val="36"/>
        </w:rPr>
        <w:t>∆</w:t>
      </w:r>
      <w:r w:rsidRPr="00950125">
        <w:rPr>
          <w:rFonts w:ascii="Cambria Math" w:eastAsia="Cambria Math" w:hAnsi="Cambria Math" w:cs="Cambria Math"/>
          <w:sz w:val="36"/>
        </w:rPr>
        <w:t>𝑦</w:t>
      </w:r>
      <w:r w:rsidRPr="00950125">
        <w:rPr>
          <w:rFonts w:ascii="Cambria Math" w:eastAsia="Cambria Math" w:hAnsi="Cambria Math" w:cs="Cambria Math"/>
          <w:sz w:val="36"/>
          <w:vertAlign w:val="subscript"/>
        </w:rPr>
        <w:t>𝑖𝑡</w:t>
      </w:r>
      <w:r w:rsidRPr="00950125">
        <w:rPr>
          <w:rFonts w:ascii="Times New Roman" w:eastAsia="Cambria Math" w:hAnsi="Times New Roman" w:cs="Times New Roman"/>
          <w:sz w:val="24"/>
        </w:rPr>
        <w:t xml:space="preserve"> </w:t>
      </w:r>
      <w:r w:rsidRPr="00950125">
        <w:rPr>
          <w:rFonts w:ascii="Times New Roman" w:eastAsia="Cambria Math" w:hAnsi="Times New Roman" w:cs="Times New Roman"/>
          <w:sz w:val="36"/>
        </w:rPr>
        <w:t xml:space="preserve">= </w:t>
      </w:r>
      <w:r w:rsidRPr="00950125">
        <w:rPr>
          <w:rFonts w:ascii="Cambria Math" w:eastAsia="Cambria Math" w:hAnsi="Cambria Math" w:cs="Cambria Math"/>
          <w:sz w:val="36"/>
        </w:rPr>
        <w:t>𝛼</w:t>
      </w:r>
      <w:r w:rsidRPr="00950125">
        <w:rPr>
          <w:rFonts w:ascii="Cambria Math" w:eastAsia="Cambria Math" w:hAnsi="Cambria Math" w:cs="Cambria Math"/>
          <w:sz w:val="32"/>
          <w:vertAlign w:val="subscript"/>
        </w:rPr>
        <w:t>𝑖</w:t>
      </w:r>
      <w:r w:rsidRPr="00950125">
        <w:rPr>
          <w:rFonts w:ascii="Times New Roman" w:eastAsia="Cambria Math" w:hAnsi="Times New Roman" w:cs="Times New Roman"/>
          <w:sz w:val="24"/>
        </w:rPr>
        <w:t xml:space="preserve"> </w:t>
      </w:r>
      <w:r w:rsidRPr="00950125">
        <w:rPr>
          <w:rFonts w:ascii="Times New Roman" w:eastAsia="Cambria Math" w:hAnsi="Times New Roman" w:cs="Times New Roman"/>
          <w:sz w:val="36"/>
        </w:rPr>
        <w:t>+ ∑</w:t>
      </w:r>
      <w:r w:rsidRPr="00950125">
        <w:rPr>
          <w:rFonts w:ascii="Cambria Math" w:eastAsia="Cambria Math" w:hAnsi="Cambria Math" w:cs="Cambria Math"/>
          <w:sz w:val="32"/>
          <w:vertAlign w:val="superscript"/>
        </w:rPr>
        <w:t>𝑝</w:t>
      </w:r>
      <w:r w:rsidRPr="00950125">
        <w:rPr>
          <w:rFonts w:ascii="Cambria Math" w:eastAsia="Cambria Math" w:hAnsi="Cambria Math" w:cs="Cambria Math"/>
          <w:sz w:val="24"/>
          <w:vertAlign w:val="subscript"/>
        </w:rPr>
        <w:t>𝑗</w:t>
      </w:r>
      <w:r w:rsidRPr="00950125">
        <w:rPr>
          <w:rFonts w:ascii="Times New Roman" w:eastAsia="Cambria Math" w:hAnsi="Times New Roman" w:cs="Times New Roman"/>
          <w:sz w:val="24"/>
          <w:vertAlign w:val="subscript"/>
        </w:rPr>
        <w:t xml:space="preserve">=1 </w:t>
      </w:r>
      <w:r w:rsidRPr="00950125">
        <w:rPr>
          <w:rFonts w:ascii="Cambria Math" w:eastAsia="Cambria Math" w:hAnsi="Cambria Math" w:cs="Cambria Math"/>
          <w:sz w:val="36"/>
        </w:rPr>
        <w:t>𝛽</w:t>
      </w:r>
      <w:r w:rsidRPr="00950125">
        <w:rPr>
          <w:rFonts w:ascii="Cambria Math" w:eastAsia="Cambria Math" w:hAnsi="Cambria Math" w:cs="Cambria Math"/>
          <w:sz w:val="32"/>
          <w:vertAlign w:val="subscript"/>
        </w:rPr>
        <w:t>𝑖𝑗</w:t>
      </w:r>
      <w:r w:rsidRPr="00950125">
        <w:rPr>
          <w:rFonts w:ascii="Times New Roman" w:eastAsia="Cambria Math" w:hAnsi="Times New Roman" w:cs="Times New Roman"/>
          <w:sz w:val="36"/>
        </w:rPr>
        <w:t>∆</w:t>
      </w:r>
      <w:r w:rsidRPr="00950125">
        <w:rPr>
          <w:rFonts w:ascii="Cambria Math" w:eastAsia="Cambria Math" w:hAnsi="Cambria Math" w:cs="Cambria Math"/>
          <w:sz w:val="36"/>
        </w:rPr>
        <w:t>𝑦</w:t>
      </w:r>
      <w:r w:rsidRPr="00950125">
        <w:rPr>
          <w:rFonts w:ascii="Cambria Math" w:eastAsia="Cambria Math" w:hAnsi="Cambria Math" w:cs="Cambria Math"/>
          <w:sz w:val="32"/>
          <w:vertAlign w:val="subscript"/>
        </w:rPr>
        <w:t>𝑖</w:t>
      </w:r>
      <w:r w:rsidRPr="00950125">
        <w:rPr>
          <w:rFonts w:ascii="Times New Roman" w:eastAsia="Cambria Math" w:hAnsi="Times New Roman" w:cs="Times New Roman"/>
          <w:sz w:val="32"/>
          <w:vertAlign w:val="subscript"/>
        </w:rPr>
        <w:t>,−</w:t>
      </w:r>
      <w:r w:rsidRPr="00950125">
        <w:rPr>
          <w:rFonts w:ascii="Cambria Math" w:eastAsia="Cambria Math" w:hAnsi="Cambria Math" w:cs="Cambria Math"/>
          <w:sz w:val="32"/>
          <w:vertAlign w:val="subscript"/>
        </w:rPr>
        <w:t>𝑗</w:t>
      </w:r>
      <w:r w:rsidRPr="00950125">
        <w:rPr>
          <w:rFonts w:ascii="Times New Roman" w:eastAsia="Cambria Math" w:hAnsi="Times New Roman" w:cs="Times New Roman"/>
          <w:sz w:val="32"/>
          <w:vertAlign w:val="subscript"/>
        </w:rPr>
        <w:t xml:space="preserve"> </w:t>
      </w:r>
      <w:r w:rsidRPr="00950125">
        <w:rPr>
          <w:rFonts w:ascii="Times New Roman" w:eastAsia="Cambria Math" w:hAnsi="Times New Roman" w:cs="Times New Roman"/>
          <w:sz w:val="36"/>
        </w:rPr>
        <w:t>+ ∑</w:t>
      </w:r>
      <w:r w:rsidRPr="00950125">
        <w:rPr>
          <w:rFonts w:ascii="Cambria Math" w:eastAsia="Cambria Math" w:hAnsi="Cambria Math" w:cs="Cambria Math"/>
          <w:sz w:val="48"/>
          <w:vertAlign w:val="superscript"/>
        </w:rPr>
        <w:t>𝑞</w:t>
      </w:r>
      <w:r w:rsidRPr="00950125">
        <w:rPr>
          <w:rFonts w:ascii="Cambria Math" w:eastAsia="Cambria Math" w:hAnsi="Cambria Math" w:cs="Cambria Math"/>
          <w:sz w:val="36"/>
          <w:vertAlign w:val="subscript"/>
        </w:rPr>
        <w:t>𝑘</w:t>
      </w:r>
      <w:r w:rsidRPr="00950125">
        <w:rPr>
          <w:rFonts w:ascii="Times New Roman" w:eastAsia="Cambria Math" w:hAnsi="Times New Roman" w:cs="Times New Roman"/>
          <w:sz w:val="36"/>
          <w:vertAlign w:val="subscript"/>
        </w:rPr>
        <w:t xml:space="preserve">=0 </w:t>
      </w:r>
      <w:r w:rsidRPr="00950125">
        <w:rPr>
          <w:rFonts w:ascii="Cambria Math" w:eastAsia="Cambria Math" w:hAnsi="Cambria Math" w:cs="Cambria Math"/>
          <w:sz w:val="36"/>
        </w:rPr>
        <w:t>𝛾</w:t>
      </w:r>
      <w:r w:rsidRPr="00950125">
        <w:rPr>
          <w:rFonts w:ascii="Cambria Math" w:eastAsia="Cambria Math" w:hAnsi="Cambria Math" w:cs="Cambria Math"/>
          <w:sz w:val="36"/>
          <w:vertAlign w:val="subscript"/>
        </w:rPr>
        <w:t>𝑖𝑘</w:t>
      </w:r>
      <w:r w:rsidRPr="00950125">
        <w:rPr>
          <w:rFonts w:ascii="Times New Roman" w:eastAsia="Cambria Math" w:hAnsi="Times New Roman" w:cs="Times New Roman"/>
          <w:sz w:val="36"/>
        </w:rPr>
        <w:t>∆</w:t>
      </w:r>
      <w:r w:rsidRPr="00950125">
        <w:rPr>
          <w:rFonts w:ascii="Cambria Math" w:eastAsia="Cambria Math" w:hAnsi="Cambria Math" w:cs="Cambria Math"/>
          <w:sz w:val="36"/>
        </w:rPr>
        <w:t>𝑥</w:t>
      </w:r>
      <w:r w:rsidRPr="00950125">
        <w:rPr>
          <w:rFonts w:ascii="Cambria Math" w:eastAsia="Cambria Math" w:hAnsi="Cambria Math" w:cs="Cambria Math"/>
          <w:sz w:val="36"/>
          <w:vertAlign w:val="subscript"/>
        </w:rPr>
        <w:t>𝑖</w:t>
      </w:r>
      <w:r w:rsidRPr="00950125">
        <w:rPr>
          <w:rFonts w:ascii="Times New Roman" w:eastAsia="Cambria Math" w:hAnsi="Times New Roman" w:cs="Times New Roman"/>
          <w:sz w:val="36"/>
          <w:vertAlign w:val="subscript"/>
        </w:rPr>
        <w:t>,</w:t>
      </w:r>
      <w:r w:rsidRPr="00950125">
        <w:rPr>
          <w:rFonts w:ascii="Cambria Math" w:eastAsia="Cambria Math" w:hAnsi="Cambria Math" w:cs="Cambria Math"/>
          <w:sz w:val="36"/>
          <w:vertAlign w:val="subscript"/>
        </w:rPr>
        <w:t>𝑡</w:t>
      </w:r>
      <w:r w:rsidRPr="00950125">
        <w:rPr>
          <w:rFonts w:ascii="Times New Roman" w:eastAsia="Cambria Math" w:hAnsi="Times New Roman" w:cs="Times New Roman"/>
          <w:sz w:val="36"/>
          <w:vertAlign w:val="subscript"/>
        </w:rPr>
        <w:t>−</w:t>
      </w:r>
      <w:r w:rsidRPr="00950125">
        <w:rPr>
          <w:rFonts w:ascii="Cambria Math" w:eastAsia="Cambria Math" w:hAnsi="Cambria Math" w:cs="Cambria Math"/>
          <w:sz w:val="36"/>
          <w:vertAlign w:val="subscript"/>
        </w:rPr>
        <w:t>𝑘</w:t>
      </w:r>
      <w:r w:rsidRPr="00950125">
        <w:rPr>
          <w:rFonts w:ascii="Times New Roman" w:eastAsia="Cambria Math" w:hAnsi="Times New Roman" w:cs="Times New Roman"/>
          <w:sz w:val="36"/>
          <w:vertAlign w:val="subscript"/>
        </w:rPr>
        <w:t xml:space="preserve"> </w:t>
      </w:r>
      <w:r w:rsidRPr="00950125">
        <w:rPr>
          <w:rFonts w:ascii="Times New Roman" w:eastAsia="Cambria Math" w:hAnsi="Times New Roman" w:cs="Times New Roman"/>
          <w:sz w:val="36"/>
        </w:rPr>
        <w:t xml:space="preserve">+ </w:t>
      </w:r>
      <w:r w:rsidRPr="00950125">
        <w:rPr>
          <w:rFonts w:ascii="Cambria Math" w:eastAsia="Cambria Math" w:hAnsi="Cambria Math" w:cs="Cambria Math"/>
          <w:sz w:val="36"/>
        </w:rPr>
        <w:t>𝛿𝑦</w:t>
      </w:r>
      <w:r w:rsidRPr="00950125">
        <w:rPr>
          <w:rFonts w:ascii="Times New Roman" w:eastAsia="Cambria Math" w:hAnsi="Times New Roman" w:cs="Times New Roman"/>
          <w:sz w:val="36"/>
        </w:rPr>
        <w:t>̅</w:t>
      </w:r>
      <w:r w:rsidRPr="00950125">
        <w:rPr>
          <w:rFonts w:ascii="Cambria Math" w:eastAsia="Cambria Math" w:hAnsi="Cambria Math" w:cs="Cambria Math"/>
          <w:sz w:val="40"/>
          <w:vertAlign w:val="subscript"/>
        </w:rPr>
        <w:t>𝑡</w:t>
      </w:r>
      <w:r w:rsidRPr="00950125">
        <w:rPr>
          <w:rFonts w:ascii="Times New Roman" w:eastAsia="Cambria Math" w:hAnsi="Times New Roman" w:cs="Times New Roman"/>
          <w:sz w:val="24"/>
        </w:rPr>
        <w:t xml:space="preserve"> </w:t>
      </w:r>
      <w:r w:rsidRPr="00950125">
        <w:rPr>
          <w:rFonts w:ascii="Times New Roman" w:eastAsia="Cambria Math" w:hAnsi="Times New Roman" w:cs="Times New Roman"/>
          <w:sz w:val="36"/>
        </w:rPr>
        <w:t xml:space="preserve">+ </w:t>
      </w:r>
      <w:r w:rsidRPr="00950125">
        <w:rPr>
          <w:rFonts w:ascii="Cambria Math" w:eastAsia="Cambria Math" w:hAnsi="Cambria Math" w:cs="Cambria Math"/>
          <w:sz w:val="36"/>
        </w:rPr>
        <w:t>𝜖</w:t>
      </w:r>
      <w:r w:rsidRPr="00950125">
        <w:rPr>
          <w:rFonts w:ascii="Cambria Math" w:eastAsia="Cambria Math" w:hAnsi="Cambria Math" w:cs="Cambria Math"/>
          <w:sz w:val="36"/>
          <w:vertAlign w:val="subscript"/>
        </w:rPr>
        <w:t>𝑖𝑡</w:t>
      </w:r>
      <w:r w:rsidRPr="00950125">
        <w:rPr>
          <w:rFonts w:ascii="Times New Roman" w:hAnsi="Times New Roman" w:cs="Times New Roman"/>
          <w:sz w:val="48"/>
          <w:vertAlign w:val="subscript"/>
        </w:rPr>
        <w:t xml:space="preserve"> </w:t>
      </w:r>
      <w:r w:rsidRPr="00950125">
        <w:rPr>
          <w:rFonts w:ascii="Times New Roman" w:hAnsi="Times New Roman" w:cs="Times New Roman"/>
          <w:sz w:val="36"/>
        </w:rPr>
        <w:t xml:space="preserve">     </w:t>
      </w:r>
      <w:r w:rsidRPr="00950125">
        <w:rPr>
          <w:rFonts w:ascii="Times New Roman" w:hAnsi="Times New Roman" w:cs="Times New Roman"/>
          <w:sz w:val="32"/>
        </w:rPr>
        <w:t xml:space="preserve">(16) </w:t>
      </w:r>
    </w:p>
    <w:p w14:paraId="127DE22A" w14:textId="4E3EB338" w:rsidR="001140A6" w:rsidRPr="00950125" w:rsidRDefault="001140A6" w:rsidP="00D46E36">
      <w:pPr>
        <w:spacing w:line="276" w:lineRule="auto"/>
        <w:ind w:left="-5" w:right="383"/>
        <w:rPr>
          <w:rFonts w:ascii="Times New Roman" w:hAnsi="Times New Roman" w:cs="Times New Roman"/>
          <w:sz w:val="24"/>
        </w:rPr>
      </w:pPr>
      <w:r w:rsidRPr="00950125">
        <w:rPr>
          <w:rFonts w:ascii="Times New Roman" w:hAnsi="Times New Roman" w:cs="Times New Roman"/>
          <w:sz w:val="24"/>
        </w:rPr>
        <w:t>CS-ARDL treats cross-sectional dependence, giving efficient estimates when there are common disturbances. This method improves the accuracy of the long run and short run estimates in the panel data models. This allows researchers to avoid endogeneity problems that are inherent in macroeconomic and financial data, as well as other types of data used in this study, namely cross</w:t>
      </w:r>
      <w:r w:rsidR="00422AF0" w:rsidRPr="00950125">
        <w:rPr>
          <w:rFonts w:ascii="Times New Roman" w:hAnsi="Times New Roman" w:cs="Times New Roman"/>
          <w:sz w:val="24"/>
        </w:rPr>
        <w:t>-</w:t>
      </w:r>
      <w:r w:rsidRPr="00950125">
        <w:rPr>
          <w:rFonts w:ascii="Times New Roman" w:hAnsi="Times New Roman" w:cs="Times New Roman"/>
          <w:sz w:val="24"/>
        </w:rPr>
        <w:t xml:space="preserve">sectional dependencies. </w:t>
      </w:r>
    </w:p>
    <w:p w14:paraId="025A2D1E" w14:textId="77777777" w:rsidR="00091E4F" w:rsidRPr="00950125" w:rsidRDefault="00091E4F" w:rsidP="00D46E36">
      <w:pPr>
        <w:spacing w:line="276" w:lineRule="auto"/>
        <w:rPr>
          <w:rFonts w:ascii="Times New Roman" w:hAnsi="Times New Roman" w:cs="Times New Roman"/>
          <w:b/>
          <w:szCs w:val="24"/>
          <w:u w:val="single"/>
        </w:rPr>
      </w:pPr>
    </w:p>
    <w:p w14:paraId="588192CA" w14:textId="77777777" w:rsidR="001F4A37" w:rsidRPr="00950125" w:rsidRDefault="001F4A37" w:rsidP="00D46E36">
      <w:pPr>
        <w:spacing w:line="276" w:lineRule="auto"/>
        <w:rPr>
          <w:rFonts w:ascii="Times New Roman" w:hAnsi="Times New Roman" w:cs="Times New Roman"/>
          <w:b/>
          <w:szCs w:val="24"/>
          <w:u w:val="single"/>
        </w:rPr>
      </w:pPr>
    </w:p>
    <w:p w14:paraId="36A7538E" w14:textId="77777777" w:rsidR="00BB7052" w:rsidRPr="00950125" w:rsidRDefault="00BB7052" w:rsidP="00D46E36">
      <w:pPr>
        <w:spacing w:line="276" w:lineRule="auto"/>
        <w:rPr>
          <w:rFonts w:ascii="Times New Roman" w:hAnsi="Times New Roman" w:cs="Times New Roman"/>
          <w:b/>
          <w:szCs w:val="24"/>
          <w:u w:val="single"/>
        </w:rPr>
      </w:pPr>
    </w:p>
    <w:p w14:paraId="4C3D358B" w14:textId="77777777" w:rsidR="00BB7052" w:rsidRPr="00950125" w:rsidRDefault="00BB7052" w:rsidP="00D46E36">
      <w:pPr>
        <w:spacing w:line="276" w:lineRule="auto"/>
        <w:rPr>
          <w:rFonts w:ascii="Times New Roman" w:hAnsi="Times New Roman" w:cs="Times New Roman"/>
          <w:b/>
          <w:szCs w:val="24"/>
          <w:u w:val="single"/>
        </w:rPr>
      </w:pPr>
    </w:p>
    <w:p w14:paraId="633BEFDC" w14:textId="77777777" w:rsidR="00BB7052" w:rsidRPr="00950125" w:rsidRDefault="00BB7052" w:rsidP="00D46E36">
      <w:pPr>
        <w:spacing w:line="276" w:lineRule="auto"/>
        <w:rPr>
          <w:rFonts w:ascii="Times New Roman" w:hAnsi="Times New Roman" w:cs="Times New Roman"/>
          <w:b/>
          <w:szCs w:val="24"/>
          <w:u w:val="single"/>
        </w:rPr>
      </w:pPr>
    </w:p>
    <w:p w14:paraId="0D6DA703" w14:textId="77777777" w:rsidR="00BB7052" w:rsidRPr="00950125" w:rsidRDefault="00BB7052" w:rsidP="00D46E36">
      <w:pPr>
        <w:spacing w:line="276" w:lineRule="auto"/>
        <w:rPr>
          <w:rFonts w:ascii="Times New Roman" w:hAnsi="Times New Roman" w:cs="Times New Roman"/>
          <w:b/>
          <w:szCs w:val="24"/>
          <w:u w:val="single"/>
        </w:rPr>
      </w:pPr>
    </w:p>
    <w:p w14:paraId="42ACDAA2" w14:textId="77777777" w:rsidR="00BB7052" w:rsidRPr="00950125" w:rsidRDefault="00BB7052" w:rsidP="00D46E36">
      <w:pPr>
        <w:spacing w:line="276" w:lineRule="auto"/>
        <w:rPr>
          <w:rFonts w:ascii="Times New Roman" w:hAnsi="Times New Roman" w:cs="Times New Roman"/>
          <w:b/>
          <w:szCs w:val="24"/>
          <w:u w:val="single"/>
        </w:rPr>
      </w:pPr>
    </w:p>
    <w:p w14:paraId="7C4C49B2" w14:textId="77777777" w:rsidR="00BB7052" w:rsidRPr="00950125" w:rsidRDefault="00BB7052" w:rsidP="00D46E36">
      <w:pPr>
        <w:spacing w:line="276" w:lineRule="auto"/>
        <w:rPr>
          <w:rFonts w:ascii="Times New Roman" w:hAnsi="Times New Roman" w:cs="Times New Roman"/>
          <w:b/>
          <w:szCs w:val="24"/>
          <w:u w:val="single"/>
        </w:rPr>
      </w:pPr>
    </w:p>
    <w:p w14:paraId="15B4317F" w14:textId="77777777" w:rsidR="00BB7052" w:rsidRPr="00950125" w:rsidRDefault="00BB7052" w:rsidP="00D46E36">
      <w:pPr>
        <w:spacing w:line="276" w:lineRule="auto"/>
        <w:rPr>
          <w:rFonts w:ascii="Times New Roman" w:hAnsi="Times New Roman" w:cs="Times New Roman"/>
          <w:b/>
          <w:szCs w:val="24"/>
          <w:u w:val="single"/>
        </w:rPr>
      </w:pPr>
    </w:p>
    <w:p w14:paraId="3CDB841E" w14:textId="77777777" w:rsidR="00BB7052" w:rsidRPr="00950125" w:rsidRDefault="00BB7052" w:rsidP="00D46E36">
      <w:pPr>
        <w:spacing w:line="276" w:lineRule="auto"/>
        <w:rPr>
          <w:rFonts w:ascii="Times New Roman" w:hAnsi="Times New Roman" w:cs="Times New Roman"/>
          <w:b/>
          <w:szCs w:val="24"/>
          <w:u w:val="single"/>
        </w:rPr>
      </w:pPr>
    </w:p>
    <w:p w14:paraId="4C684877" w14:textId="77777777" w:rsidR="00BB7052" w:rsidRPr="00950125" w:rsidRDefault="00BB7052" w:rsidP="00D46E36">
      <w:pPr>
        <w:spacing w:line="276" w:lineRule="auto"/>
        <w:rPr>
          <w:rFonts w:ascii="Times New Roman" w:hAnsi="Times New Roman" w:cs="Times New Roman"/>
          <w:b/>
          <w:szCs w:val="24"/>
          <w:u w:val="single"/>
        </w:rPr>
      </w:pPr>
    </w:p>
    <w:p w14:paraId="57B0E7B4" w14:textId="77777777" w:rsidR="00BB7052" w:rsidRPr="00950125" w:rsidRDefault="00BB7052" w:rsidP="00D46E36">
      <w:pPr>
        <w:spacing w:line="276" w:lineRule="auto"/>
        <w:rPr>
          <w:rFonts w:ascii="Times New Roman" w:hAnsi="Times New Roman" w:cs="Times New Roman"/>
          <w:b/>
          <w:szCs w:val="24"/>
          <w:u w:val="single"/>
        </w:rPr>
      </w:pPr>
    </w:p>
    <w:p w14:paraId="0B08BAF7" w14:textId="7CBCAF6B" w:rsidR="00C535B8" w:rsidRPr="00950125" w:rsidRDefault="00C535B8" w:rsidP="00D46E36">
      <w:pPr>
        <w:spacing w:line="276" w:lineRule="auto"/>
        <w:rPr>
          <w:rFonts w:ascii="Times New Roman" w:hAnsi="Times New Roman" w:cs="Times New Roman"/>
          <w:b/>
          <w:sz w:val="36"/>
          <w:u w:val="single"/>
        </w:rPr>
      </w:pPr>
    </w:p>
    <w:p w14:paraId="72EE4DE5" w14:textId="7070303B" w:rsidR="00BB7052" w:rsidRPr="00950125" w:rsidRDefault="004825A0" w:rsidP="00D46E36">
      <w:pPr>
        <w:pStyle w:val="Heading1"/>
        <w:spacing w:line="276" w:lineRule="auto"/>
        <w:jc w:val="center"/>
        <w:rPr>
          <w:rFonts w:ascii="Times New Roman" w:hAnsi="Times New Roman" w:cs="Times New Roman"/>
          <w:b/>
          <w:sz w:val="36"/>
          <w:szCs w:val="24"/>
          <w:u w:val="single"/>
        </w:rPr>
      </w:pPr>
      <w:bookmarkStart w:id="46" w:name="_Toc204723904"/>
      <w:r w:rsidRPr="00950125">
        <w:rPr>
          <w:rFonts w:ascii="Times New Roman" w:hAnsi="Times New Roman" w:cs="Times New Roman"/>
          <w:b/>
          <w:sz w:val="36"/>
          <w:u w:val="single"/>
        </w:rPr>
        <w:lastRenderedPageBreak/>
        <w:t>Chapter</w:t>
      </w:r>
      <w:r w:rsidR="00C535B8" w:rsidRPr="00950125">
        <w:rPr>
          <w:rFonts w:ascii="Times New Roman" w:hAnsi="Times New Roman" w:cs="Times New Roman"/>
          <w:b/>
          <w:sz w:val="36"/>
          <w:u w:val="single"/>
        </w:rPr>
        <w:t xml:space="preserve"> 4: Estimation and Interpretation</w:t>
      </w:r>
      <w:bookmarkEnd w:id="46"/>
    </w:p>
    <w:p w14:paraId="3B2F4B4B" w14:textId="5D3D4663" w:rsidR="00BB7052" w:rsidRPr="00950125" w:rsidRDefault="001863FA" w:rsidP="00D46E36">
      <w:pPr>
        <w:spacing w:line="276" w:lineRule="auto"/>
        <w:jc w:val="both"/>
        <w:rPr>
          <w:rFonts w:ascii="Times New Roman" w:hAnsi="Times New Roman" w:cs="Times New Roman"/>
          <w:sz w:val="24"/>
        </w:rPr>
      </w:pPr>
      <w:r w:rsidRPr="00950125">
        <w:rPr>
          <w:rFonts w:ascii="Times New Roman" w:hAnsi="Times New Roman" w:cs="Times New Roman"/>
          <w:sz w:val="24"/>
        </w:rPr>
        <w:t>This chapter presents the core empirical findings of the research, detailing the econometric methodology and interpreting the results. The analysis begins by establishing the fundamental properties of the panel data through a rigorous sequence of diagnostic tests. First, we investigate the presence of cross-sectional dependency (CSD) to determine the appropriate class of estimators. Following this, second-generation panel unit root tests are employed to ascertain the order of integration for each variable. With the stationarity properties established, advanced panel cointegration tests are then conducted to verify the existence of a stable long-run equilibrium relationship. Finally, after confirming cointegration, the chapter presents and interprets the estimated long-run and short-run coefficients for the two primary models of this study: the determinants of Renewable Energy Consumption (in the context of SDG 7) and Carbon Emissions (in the context of SDG 13).</w:t>
      </w:r>
    </w:p>
    <w:p w14:paraId="01239E53" w14:textId="5588B104" w:rsidR="008A4ED5" w:rsidRPr="00950125" w:rsidRDefault="00486EEE" w:rsidP="00D46E36">
      <w:pPr>
        <w:pStyle w:val="Heading2"/>
        <w:numPr>
          <w:ilvl w:val="0"/>
          <w:numId w:val="14"/>
        </w:numPr>
        <w:spacing w:line="276" w:lineRule="auto"/>
        <w:rPr>
          <w:rFonts w:ascii="Times New Roman" w:hAnsi="Times New Roman" w:cs="Times New Roman"/>
          <w:b/>
          <w:u w:val="single"/>
        </w:rPr>
      </w:pPr>
      <w:r w:rsidRPr="00950125">
        <w:rPr>
          <w:rFonts w:ascii="Times New Roman" w:hAnsi="Times New Roman" w:cs="Times New Roman"/>
          <w:b/>
          <w:u w:val="single"/>
        </w:rPr>
        <w:t xml:space="preserve"> </w:t>
      </w:r>
      <w:bookmarkStart w:id="47" w:name="_Toc204723905"/>
      <w:r w:rsidR="008A4ED5" w:rsidRPr="00950125">
        <w:rPr>
          <w:rFonts w:ascii="Times New Roman" w:hAnsi="Times New Roman" w:cs="Times New Roman"/>
          <w:b/>
          <w:u w:val="single"/>
        </w:rPr>
        <w:t>Cross-Sectional Dependency (CSD) Test Results</w:t>
      </w:r>
      <w:bookmarkEnd w:id="47"/>
    </w:p>
    <w:p w14:paraId="206854E3" w14:textId="0EE981BC" w:rsidR="00BB7052" w:rsidRPr="00950125" w:rsidRDefault="001863FA" w:rsidP="00D46E36">
      <w:pPr>
        <w:spacing w:line="276" w:lineRule="auto"/>
        <w:jc w:val="both"/>
        <w:rPr>
          <w:rFonts w:ascii="Times New Roman" w:hAnsi="Times New Roman" w:cs="Times New Roman"/>
          <w:sz w:val="24"/>
        </w:rPr>
      </w:pPr>
      <w:r w:rsidRPr="00950125">
        <w:rPr>
          <w:rFonts w:ascii="Times New Roman" w:hAnsi="Times New Roman" w:cs="Times New Roman"/>
          <w:sz w:val="24"/>
        </w:rPr>
        <w:t>To formally test for the presence of CSD, this study employs four different tests: the Breusch and Pagan (1980) LM test, the Pesaran (2004) scaled LM test, the Pesaran, Ullah, and Hashem (2008) bias-adjusted LM test, and the Pesaran (2006) CD test. The null hypothesis (H₀) for all these tests is that there is no cross-sectional dependency among the panel members.</w:t>
      </w:r>
    </w:p>
    <w:p w14:paraId="6BD1DDFB" w14:textId="3D8CDC8D" w:rsidR="001F4A37" w:rsidRPr="00950125" w:rsidRDefault="00F4455B" w:rsidP="00D46E36">
      <w:pPr>
        <w:pStyle w:val="Caption"/>
        <w:spacing w:line="276" w:lineRule="auto"/>
        <w:rPr>
          <w:rFonts w:ascii="Times New Roman" w:hAnsi="Times New Roman" w:cs="Times New Roman"/>
          <w:b/>
          <w:i w:val="0"/>
          <w:sz w:val="26"/>
          <w:szCs w:val="26"/>
          <w:u w:val="single"/>
        </w:rPr>
      </w:pPr>
      <w:bookmarkStart w:id="48" w:name="_Toc204723236"/>
      <w:r>
        <w:t xml:space="preserve">Table </w:t>
      </w:r>
      <w:r w:rsidR="0029645F">
        <w:rPr>
          <w:noProof/>
        </w:rPr>
        <w:fldChar w:fldCharType="begin"/>
      </w:r>
      <w:r w:rsidR="0029645F">
        <w:rPr>
          <w:noProof/>
        </w:rPr>
        <w:instrText xml:space="preserve"> SEQ Table \* ARABIC </w:instrText>
      </w:r>
      <w:r w:rsidR="0029645F">
        <w:rPr>
          <w:noProof/>
        </w:rPr>
        <w:fldChar w:fldCharType="separate"/>
      </w:r>
      <w:r w:rsidR="003F2868">
        <w:rPr>
          <w:noProof/>
        </w:rPr>
        <w:t>6</w:t>
      </w:r>
      <w:r w:rsidR="0029645F">
        <w:rPr>
          <w:noProof/>
        </w:rPr>
        <w:fldChar w:fldCharType="end"/>
      </w:r>
      <w:r w:rsidR="00A267CE" w:rsidRPr="00950125">
        <w:rPr>
          <w:rFonts w:ascii="Times New Roman" w:hAnsi="Times New Roman" w:cs="Times New Roman"/>
          <w:b/>
          <w:i w:val="0"/>
          <w:szCs w:val="24"/>
        </w:rPr>
        <w:t xml:space="preserve">: </w:t>
      </w:r>
      <w:r w:rsidR="001F4A37" w:rsidRPr="00950125">
        <w:rPr>
          <w:rFonts w:ascii="Times New Roman" w:hAnsi="Times New Roman" w:cs="Times New Roman"/>
          <w:b/>
          <w:i w:val="0"/>
          <w:szCs w:val="24"/>
        </w:rPr>
        <w:t>Output of cross-sectional dependency test</w:t>
      </w:r>
      <w:bookmarkEnd w:id="48"/>
    </w:p>
    <w:tbl>
      <w:tblPr>
        <w:tblStyle w:val="TableGridLight"/>
        <w:tblW w:w="9085" w:type="dxa"/>
        <w:tblLook w:val="04A0" w:firstRow="1" w:lastRow="0" w:firstColumn="1" w:lastColumn="0" w:noHBand="0" w:noVBand="1"/>
      </w:tblPr>
      <w:tblGrid>
        <w:gridCol w:w="1368"/>
        <w:gridCol w:w="1800"/>
        <w:gridCol w:w="1980"/>
        <w:gridCol w:w="1980"/>
        <w:gridCol w:w="1957"/>
      </w:tblGrid>
      <w:tr w:rsidR="00C535B8" w:rsidRPr="00950125" w14:paraId="197E277F" w14:textId="77777777" w:rsidTr="00950125">
        <w:trPr>
          <w:trHeight w:val="510"/>
        </w:trPr>
        <w:tc>
          <w:tcPr>
            <w:tcW w:w="1368" w:type="dxa"/>
            <w:noWrap/>
            <w:hideMark/>
          </w:tcPr>
          <w:p w14:paraId="534F73AF" w14:textId="77777777" w:rsidR="00C535B8" w:rsidRPr="00950125" w:rsidRDefault="00C535B8" w:rsidP="00D46E36">
            <w:pPr>
              <w:spacing w:line="276" w:lineRule="auto"/>
              <w:rPr>
                <w:rFonts w:ascii="Times New Roman" w:eastAsia="Times New Roman" w:hAnsi="Times New Roman" w:cs="Times New Roman"/>
                <w:color w:val="000000"/>
                <w:sz w:val="28"/>
                <w:szCs w:val="26"/>
              </w:rPr>
            </w:pPr>
          </w:p>
          <w:p w14:paraId="6D3DD4B3" w14:textId="62C5A4C8" w:rsidR="00C535B8" w:rsidRPr="00950125" w:rsidRDefault="00C535B8" w:rsidP="00D46E36">
            <w:pPr>
              <w:spacing w:line="276" w:lineRule="auto"/>
              <w:rPr>
                <w:rFonts w:ascii="Times New Roman" w:eastAsia="Times New Roman" w:hAnsi="Times New Roman" w:cs="Times New Roman"/>
                <w:color w:val="000000"/>
                <w:sz w:val="28"/>
                <w:szCs w:val="26"/>
              </w:rPr>
            </w:pPr>
            <w:r w:rsidRPr="00950125">
              <w:rPr>
                <w:rFonts w:ascii="Times New Roman" w:eastAsia="Times New Roman" w:hAnsi="Times New Roman" w:cs="Times New Roman"/>
                <w:color w:val="000000"/>
                <w:sz w:val="28"/>
                <w:szCs w:val="26"/>
              </w:rPr>
              <w:t xml:space="preserve">Variables </w:t>
            </w:r>
          </w:p>
        </w:tc>
        <w:tc>
          <w:tcPr>
            <w:tcW w:w="1800" w:type="dxa"/>
            <w:noWrap/>
            <w:hideMark/>
          </w:tcPr>
          <w:p w14:paraId="7815D43B" w14:textId="77777777" w:rsidR="00C535B8" w:rsidRPr="00950125" w:rsidRDefault="00C535B8" w:rsidP="00D46E36">
            <w:pPr>
              <w:spacing w:line="276" w:lineRule="auto"/>
              <w:rPr>
                <w:rFonts w:ascii="Times New Roman" w:eastAsia="Times New Roman" w:hAnsi="Times New Roman" w:cs="Times New Roman"/>
                <w:color w:val="000000"/>
                <w:sz w:val="28"/>
              </w:rPr>
            </w:pPr>
            <w:r w:rsidRPr="00950125">
              <w:rPr>
                <w:rFonts w:ascii="Times New Roman" w:eastAsia="Times New Roman" w:hAnsi="Times New Roman" w:cs="Times New Roman"/>
                <w:noProof/>
                <w:color w:val="000000"/>
                <w:sz w:val="28"/>
              </w:rPr>
              <w:drawing>
                <wp:anchor distT="0" distB="0" distL="114300" distR="114300" simplePos="0" relativeHeight="251684864" behindDoc="0" locked="0" layoutInCell="1" allowOverlap="1" wp14:anchorId="014F77A2" wp14:editId="60AD3447">
                  <wp:simplePos x="0" y="0"/>
                  <wp:positionH relativeFrom="column">
                    <wp:posOffset>0</wp:posOffset>
                  </wp:positionH>
                  <wp:positionV relativeFrom="paragraph">
                    <wp:posOffset>0</wp:posOffset>
                  </wp:positionV>
                  <wp:extent cx="300355" cy="161925"/>
                  <wp:effectExtent l="0" t="0" r="4445" b="9525"/>
                  <wp:wrapNone/>
                  <wp:docPr id="6" name="Picture 6"/>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5275" cy="1619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90"/>
            </w:tblGrid>
            <w:tr w:rsidR="00C535B8" w:rsidRPr="00950125" w14:paraId="3FE86D84" w14:textId="77777777">
              <w:trPr>
                <w:trHeight w:val="510"/>
                <w:tblCellSpacing w:w="0" w:type="dxa"/>
              </w:trPr>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787BC95A" w14:textId="0679D3EB" w:rsidR="00C535B8" w:rsidRPr="00950125" w:rsidRDefault="0029645F" w:rsidP="00D46E36">
                  <w:pPr>
                    <w:spacing w:after="0" w:line="276" w:lineRule="auto"/>
                    <w:rPr>
                      <w:rFonts w:ascii="Times New Roman" w:eastAsia="Times New Roman" w:hAnsi="Times New Roman" w:cs="Times New Roman"/>
                      <w:b/>
                      <w:color w:val="0000FF"/>
                      <w:sz w:val="28"/>
                      <w:szCs w:val="26"/>
                      <w:u w:val="single"/>
                    </w:rPr>
                  </w:pPr>
                  <w:hyperlink r:id="rId20" w:anchor="RANGE!_ENREF_26" w:tooltip="Breusch, 1980 #4971" w:history="1">
                    <w:r w:rsidR="00C535B8" w:rsidRPr="00950125">
                      <w:rPr>
                        <w:rFonts w:ascii="Times New Roman" w:eastAsia="Times New Roman" w:hAnsi="Times New Roman" w:cs="Times New Roman"/>
                        <w:b/>
                        <w:sz w:val="28"/>
                        <w:szCs w:val="26"/>
                        <w:u w:val="single"/>
                      </w:rPr>
                      <w:t>(Breusch and Pagan 1980)</w:t>
                    </w:r>
                  </w:hyperlink>
                </w:p>
              </w:tc>
            </w:tr>
          </w:tbl>
          <w:p w14:paraId="52BE497A" w14:textId="77777777" w:rsidR="00C535B8" w:rsidRPr="00950125" w:rsidRDefault="00C535B8" w:rsidP="00D46E36">
            <w:pPr>
              <w:spacing w:line="276" w:lineRule="auto"/>
              <w:rPr>
                <w:rFonts w:ascii="Times New Roman" w:eastAsia="Times New Roman" w:hAnsi="Times New Roman" w:cs="Times New Roman"/>
                <w:color w:val="000000"/>
                <w:sz w:val="28"/>
              </w:rPr>
            </w:pPr>
          </w:p>
        </w:tc>
        <w:tc>
          <w:tcPr>
            <w:tcW w:w="1980" w:type="dxa"/>
            <w:noWrap/>
            <w:hideMark/>
          </w:tcPr>
          <w:p w14:paraId="6915B611" w14:textId="77777777" w:rsidR="00C535B8" w:rsidRPr="00950125" w:rsidRDefault="00C535B8" w:rsidP="00D46E36">
            <w:pPr>
              <w:spacing w:line="276" w:lineRule="auto"/>
              <w:rPr>
                <w:rFonts w:ascii="Times New Roman" w:eastAsia="Times New Roman" w:hAnsi="Times New Roman" w:cs="Times New Roman"/>
                <w:color w:val="000000"/>
                <w:sz w:val="28"/>
              </w:rPr>
            </w:pPr>
            <w:r w:rsidRPr="00950125">
              <w:rPr>
                <w:rFonts w:ascii="Times New Roman" w:eastAsia="Times New Roman" w:hAnsi="Times New Roman" w:cs="Times New Roman"/>
                <w:noProof/>
                <w:color w:val="000000"/>
                <w:sz w:val="28"/>
              </w:rPr>
              <w:drawing>
                <wp:anchor distT="0" distB="0" distL="114300" distR="114300" simplePos="0" relativeHeight="251685888" behindDoc="0" locked="0" layoutInCell="1" allowOverlap="1" wp14:anchorId="6FBB6AFF" wp14:editId="0404B0D3">
                  <wp:simplePos x="0" y="0"/>
                  <wp:positionH relativeFrom="column">
                    <wp:posOffset>0</wp:posOffset>
                  </wp:positionH>
                  <wp:positionV relativeFrom="paragraph">
                    <wp:posOffset>0</wp:posOffset>
                  </wp:positionV>
                  <wp:extent cx="285750" cy="161925"/>
                  <wp:effectExtent l="0" t="0" r="0" b="9525"/>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750" cy="1619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90"/>
            </w:tblGrid>
            <w:tr w:rsidR="00C535B8" w:rsidRPr="00950125" w14:paraId="1191614F" w14:textId="77777777">
              <w:trPr>
                <w:trHeight w:val="510"/>
                <w:tblCellSpacing w:w="0" w:type="dxa"/>
              </w:trPr>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00F6A7D6" w14:textId="77777777" w:rsidR="00C535B8" w:rsidRPr="00950125" w:rsidRDefault="0029645F" w:rsidP="00D46E36">
                  <w:pPr>
                    <w:spacing w:after="0" w:line="276" w:lineRule="auto"/>
                    <w:jc w:val="center"/>
                    <w:rPr>
                      <w:rFonts w:ascii="Times New Roman" w:eastAsia="Times New Roman" w:hAnsi="Times New Roman" w:cs="Times New Roman"/>
                      <w:color w:val="0000FF"/>
                      <w:sz w:val="28"/>
                      <w:szCs w:val="26"/>
                      <w:u w:val="single"/>
                    </w:rPr>
                  </w:pPr>
                  <w:hyperlink r:id="rId22" w:anchor="RANGE!_ENREF_106" w:tooltip="Pesaran, 2004 #4972" w:history="1">
                    <w:r w:rsidR="00C535B8" w:rsidRPr="00950125">
                      <w:rPr>
                        <w:rFonts w:ascii="Times New Roman" w:eastAsia="Times New Roman" w:hAnsi="Times New Roman" w:cs="Times New Roman"/>
                        <w:color w:val="0000FF"/>
                        <w:sz w:val="28"/>
                        <w:szCs w:val="26"/>
                        <w:u w:val="single"/>
                      </w:rPr>
                      <w:t xml:space="preserve"> </w:t>
                    </w:r>
                    <w:r w:rsidR="00C535B8" w:rsidRPr="00950125">
                      <w:rPr>
                        <w:rFonts w:ascii="Times New Roman" w:eastAsia="Times New Roman" w:hAnsi="Times New Roman" w:cs="Times New Roman"/>
                        <w:b/>
                        <w:sz w:val="28"/>
                        <w:szCs w:val="26"/>
                        <w:u w:val="single"/>
                      </w:rPr>
                      <w:t>Pesaran (2004)</w:t>
                    </w:r>
                  </w:hyperlink>
                </w:p>
              </w:tc>
            </w:tr>
          </w:tbl>
          <w:p w14:paraId="114EDFC1" w14:textId="77777777" w:rsidR="00C535B8" w:rsidRPr="00950125" w:rsidRDefault="00C535B8" w:rsidP="00D46E36">
            <w:pPr>
              <w:spacing w:line="276" w:lineRule="auto"/>
              <w:rPr>
                <w:rFonts w:ascii="Times New Roman" w:eastAsia="Times New Roman" w:hAnsi="Times New Roman" w:cs="Times New Roman"/>
                <w:color w:val="000000"/>
                <w:sz w:val="28"/>
              </w:rPr>
            </w:pPr>
          </w:p>
        </w:tc>
        <w:tc>
          <w:tcPr>
            <w:tcW w:w="1980" w:type="dxa"/>
            <w:noWrap/>
            <w:hideMark/>
          </w:tcPr>
          <w:p w14:paraId="19EABC1B" w14:textId="77777777" w:rsidR="00C535B8" w:rsidRPr="00950125" w:rsidRDefault="00C535B8" w:rsidP="00D46E36">
            <w:pPr>
              <w:spacing w:line="276" w:lineRule="auto"/>
              <w:rPr>
                <w:rFonts w:ascii="Times New Roman" w:eastAsia="Times New Roman" w:hAnsi="Times New Roman" w:cs="Times New Roman"/>
                <w:color w:val="000000"/>
                <w:sz w:val="28"/>
              </w:rPr>
            </w:pPr>
            <w:r w:rsidRPr="00950125">
              <w:rPr>
                <w:rFonts w:ascii="Times New Roman" w:eastAsia="Times New Roman" w:hAnsi="Times New Roman" w:cs="Times New Roman"/>
                <w:noProof/>
                <w:color w:val="000000"/>
                <w:sz w:val="28"/>
              </w:rPr>
              <w:drawing>
                <wp:anchor distT="0" distB="0" distL="114300" distR="114300" simplePos="0" relativeHeight="251686912" behindDoc="0" locked="0" layoutInCell="1" allowOverlap="1" wp14:anchorId="43004F9E" wp14:editId="7DFB2661">
                  <wp:simplePos x="0" y="0"/>
                  <wp:positionH relativeFrom="column">
                    <wp:posOffset>0</wp:posOffset>
                  </wp:positionH>
                  <wp:positionV relativeFrom="paragraph">
                    <wp:posOffset>0</wp:posOffset>
                  </wp:positionV>
                  <wp:extent cx="338455" cy="171450"/>
                  <wp:effectExtent l="0" t="0" r="4445" b="0"/>
                  <wp:wrapNone/>
                  <wp:docPr id="8" name="Picture 8"/>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375" cy="1714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950125">
              <w:rPr>
                <w:rFonts w:ascii="Times New Roman" w:eastAsia="Times New Roman" w:hAnsi="Times New Roman" w:cs="Times New Roman"/>
                <w:noProof/>
                <w:color w:val="000000"/>
                <w:sz w:val="28"/>
              </w:rPr>
              <w:drawing>
                <wp:anchor distT="0" distB="0" distL="114300" distR="114300" simplePos="0" relativeHeight="251687936" behindDoc="0" locked="0" layoutInCell="1" allowOverlap="1" wp14:anchorId="26FC4A1B" wp14:editId="37B3B2D2">
                  <wp:simplePos x="0" y="0"/>
                  <wp:positionH relativeFrom="column">
                    <wp:posOffset>1224280</wp:posOffset>
                  </wp:positionH>
                  <wp:positionV relativeFrom="paragraph">
                    <wp:posOffset>0</wp:posOffset>
                  </wp:positionV>
                  <wp:extent cx="262255" cy="161925"/>
                  <wp:effectExtent l="0" t="0" r="4445" b="0"/>
                  <wp:wrapNone/>
                  <wp:docPr id="9" name="Picture 9"/>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759"/>
            </w:tblGrid>
            <w:tr w:rsidR="00C535B8" w:rsidRPr="00950125" w14:paraId="57688834" w14:textId="77777777">
              <w:trPr>
                <w:trHeight w:val="510"/>
                <w:tblCellSpacing w:w="0" w:type="dxa"/>
              </w:trPr>
              <w:tc>
                <w:tcPr>
                  <w:tcW w:w="1920" w:type="dxa"/>
                  <w:tcBorders>
                    <w:top w:val="single" w:sz="4" w:space="0" w:color="auto"/>
                    <w:left w:val="nil"/>
                    <w:bottom w:val="single" w:sz="4" w:space="0" w:color="auto"/>
                    <w:right w:val="single" w:sz="4" w:space="0" w:color="auto"/>
                  </w:tcBorders>
                  <w:shd w:val="clear" w:color="auto" w:fill="auto"/>
                  <w:vAlign w:val="center"/>
                  <w:hideMark/>
                </w:tcPr>
                <w:p w14:paraId="5D3F107E" w14:textId="77777777" w:rsidR="00C535B8" w:rsidRPr="00950125" w:rsidRDefault="0029645F" w:rsidP="00D46E36">
                  <w:pPr>
                    <w:spacing w:after="0" w:line="276" w:lineRule="auto"/>
                    <w:jc w:val="center"/>
                    <w:rPr>
                      <w:rFonts w:ascii="Times New Roman" w:eastAsia="Times New Roman" w:hAnsi="Times New Roman" w:cs="Times New Roman"/>
                      <w:color w:val="0000FF"/>
                      <w:sz w:val="28"/>
                      <w:szCs w:val="26"/>
                      <w:u w:val="single"/>
                    </w:rPr>
                  </w:pPr>
                  <w:hyperlink r:id="rId25" w:anchor="RANGE!_ENREF_109" w:tooltip="Pesaran, 2008 #4976" w:history="1">
                    <w:r w:rsidR="00C535B8" w:rsidRPr="00950125">
                      <w:rPr>
                        <w:rFonts w:ascii="Times New Roman" w:eastAsia="Times New Roman" w:hAnsi="Times New Roman" w:cs="Times New Roman"/>
                        <w:color w:val="0000FF"/>
                        <w:sz w:val="28"/>
                        <w:szCs w:val="26"/>
                        <w:u w:val="single"/>
                      </w:rPr>
                      <w:t xml:space="preserve"> </w:t>
                    </w:r>
                    <w:r w:rsidR="00C535B8" w:rsidRPr="00950125">
                      <w:rPr>
                        <w:rFonts w:ascii="Times New Roman" w:eastAsia="Times New Roman" w:hAnsi="Times New Roman" w:cs="Times New Roman"/>
                        <w:b/>
                        <w:sz w:val="28"/>
                        <w:szCs w:val="26"/>
                        <w:u w:val="single"/>
                      </w:rPr>
                      <w:t>Pesaran, Ullah et al. (2008)</w:t>
                    </w:r>
                  </w:hyperlink>
                </w:p>
              </w:tc>
            </w:tr>
          </w:tbl>
          <w:p w14:paraId="603E0D8D" w14:textId="77777777" w:rsidR="00C535B8" w:rsidRPr="00950125" w:rsidRDefault="00C535B8" w:rsidP="00D46E36">
            <w:pPr>
              <w:spacing w:line="276" w:lineRule="auto"/>
              <w:rPr>
                <w:rFonts w:ascii="Times New Roman" w:eastAsia="Times New Roman" w:hAnsi="Times New Roman" w:cs="Times New Roman"/>
                <w:color w:val="000000"/>
                <w:sz w:val="28"/>
              </w:rPr>
            </w:pPr>
          </w:p>
        </w:tc>
        <w:tc>
          <w:tcPr>
            <w:tcW w:w="1957" w:type="dxa"/>
          </w:tcPr>
          <w:p w14:paraId="3897C03C" w14:textId="2D51FADF" w:rsidR="00C535B8" w:rsidRPr="00950125" w:rsidRDefault="00C535B8" w:rsidP="00D46E36">
            <w:pPr>
              <w:spacing w:line="276" w:lineRule="auto"/>
              <w:rPr>
                <w:rFonts w:ascii="Times New Roman" w:eastAsia="Times New Roman" w:hAnsi="Times New Roman" w:cs="Times New Roman"/>
                <w:color w:val="000000"/>
                <w:sz w:val="28"/>
              </w:rPr>
            </w:pPr>
          </w:p>
          <w:tbl>
            <w:tblPr>
              <w:tblW w:w="0" w:type="auto"/>
              <w:tblCellSpacing w:w="0" w:type="dxa"/>
              <w:tblCellMar>
                <w:left w:w="0" w:type="dxa"/>
                <w:right w:w="0" w:type="dxa"/>
              </w:tblCellMar>
              <w:tblLook w:val="04A0" w:firstRow="1" w:lastRow="0" w:firstColumn="1" w:lastColumn="0" w:noHBand="0" w:noVBand="1"/>
            </w:tblPr>
            <w:tblGrid>
              <w:gridCol w:w="1736"/>
            </w:tblGrid>
            <w:tr w:rsidR="00C535B8" w:rsidRPr="00950125" w14:paraId="64E1BC8B" w14:textId="77777777" w:rsidTr="003148D2">
              <w:trPr>
                <w:trHeight w:val="510"/>
                <w:tblCellSpacing w:w="0" w:type="dxa"/>
              </w:trPr>
              <w:tc>
                <w:tcPr>
                  <w:tcW w:w="1920" w:type="dxa"/>
                  <w:tcBorders>
                    <w:top w:val="single" w:sz="4" w:space="0" w:color="auto"/>
                    <w:left w:val="nil"/>
                    <w:bottom w:val="single" w:sz="4" w:space="0" w:color="auto"/>
                    <w:right w:val="single" w:sz="4" w:space="0" w:color="auto"/>
                  </w:tcBorders>
                  <w:shd w:val="clear" w:color="auto" w:fill="auto"/>
                  <w:vAlign w:val="center"/>
                  <w:hideMark/>
                </w:tcPr>
                <w:p w14:paraId="30B6838E" w14:textId="32F9896A" w:rsidR="00C535B8" w:rsidRPr="00950125" w:rsidRDefault="0029645F" w:rsidP="00D46E36">
                  <w:pPr>
                    <w:spacing w:after="0" w:line="276" w:lineRule="auto"/>
                    <w:jc w:val="center"/>
                    <w:rPr>
                      <w:rFonts w:ascii="Times New Roman" w:eastAsia="Times New Roman" w:hAnsi="Times New Roman" w:cs="Times New Roman"/>
                      <w:color w:val="0000FF"/>
                      <w:sz w:val="28"/>
                      <w:szCs w:val="26"/>
                      <w:u w:val="single"/>
                    </w:rPr>
                  </w:pPr>
                  <w:hyperlink r:id="rId26" w:anchor="RANGE!_ENREF_109" w:tooltip="Pesaran, 2008 #4976" w:history="1">
                    <w:r w:rsidR="00C535B8" w:rsidRPr="00950125">
                      <w:rPr>
                        <w:rFonts w:ascii="Times New Roman" w:eastAsia="Times New Roman" w:hAnsi="Times New Roman" w:cs="Times New Roman"/>
                        <w:color w:val="0000FF"/>
                        <w:sz w:val="28"/>
                        <w:szCs w:val="26"/>
                        <w:u w:val="single"/>
                      </w:rPr>
                      <w:t xml:space="preserve"> </w:t>
                    </w:r>
                    <w:r w:rsidR="00C535B8" w:rsidRPr="00950125">
                      <w:rPr>
                        <w:rFonts w:ascii="Times New Roman" w:eastAsia="Times New Roman" w:hAnsi="Times New Roman" w:cs="Times New Roman"/>
                        <w:b/>
                        <w:sz w:val="28"/>
                        <w:szCs w:val="26"/>
                        <w:u w:val="single"/>
                      </w:rPr>
                      <w:t>Pesaran (2006)</w:t>
                    </w:r>
                  </w:hyperlink>
                </w:p>
              </w:tc>
            </w:tr>
          </w:tbl>
          <w:p w14:paraId="044F2C25" w14:textId="77777777" w:rsidR="00C535B8" w:rsidRPr="00950125" w:rsidRDefault="00C535B8" w:rsidP="00D46E36">
            <w:pPr>
              <w:spacing w:line="276" w:lineRule="auto"/>
              <w:jc w:val="center"/>
              <w:rPr>
                <w:rFonts w:ascii="Times New Roman" w:hAnsi="Times New Roman" w:cs="Times New Roman"/>
                <w:sz w:val="28"/>
              </w:rPr>
            </w:pPr>
          </w:p>
        </w:tc>
      </w:tr>
      <w:tr w:rsidR="00C535B8" w:rsidRPr="00950125" w14:paraId="5C15D7B2" w14:textId="77777777" w:rsidTr="00950125">
        <w:trPr>
          <w:trHeight w:val="330"/>
        </w:trPr>
        <w:tc>
          <w:tcPr>
            <w:tcW w:w="1368" w:type="dxa"/>
            <w:hideMark/>
          </w:tcPr>
          <w:p w14:paraId="17BE057C" w14:textId="77777777" w:rsidR="00C535B8" w:rsidRPr="00950125" w:rsidRDefault="00C535B8" w:rsidP="00D46E36">
            <w:pPr>
              <w:spacing w:line="276" w:lineRule="auto"/>
              <w:jc w:val="center"/>
              <w:rPr>
                <w:rFonts w:ascii="Times New Roman" w:eastAsia="Times New Roman" w:hAnsi="Times New Roman" w:cs="Times New Roman"/>
                <w:color w:val="000000"/>
                <w:sz w:val="28"/>
                <w:szCs w:val="20"/>
              </w:rPr>
            </w:pPr>
            <w:r w:rsidRPr="00950125">
              <w:rPr>
                <w:rFonts w:ascii="Times New Roman" w:eastAsia="Times New Roman" w:hAnsi="Times New Roman" w:cs="Times New Roman"/>
                <w:color w:val="000000"/>
                <w:sz w:val="28"/>
                <w:szCs w:val="20"/>
              </w:rPr>
              <w:t>REC</w:t>
            </w:r>
          </w:p>
        </w:tc>
        <w:tc>
          <w:tcPr>
            <w:tcW w:w="1800" w:type="dxa"/>
            <w:noWrap/>
            <w:hideMark/>
          </w:tcPr>
          <w:p w14:paraId="6FE5316C"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347.291***</w:t>
            </w:r>
          </w:p>
        </w:tc>
        <w:tc>
          <w:tcPr>
            <w:tcW w:w="1980" w:type="dxa"/>
            <w:noWrap/>
            <w:hideMark/>
          </w:tcPr>
          <w:p w14:paraId="46A5F219"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45.908***</w:t>
            </w:r>
          </w:p>
        </w:tc>
        <w:tc>
          <w:tcPr>
            <w:tcW w:w="1980" w:type="dxa"/>
            <w:noWrap/>
            <w:hideMark/>
          </w:tcPr>
          <w:p w14:paraId="67457847"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169.895***</w:t>
            </w:r>
          </w:p>
        </w:tc>
        <w:tc>
          <w:tcPr>
            <w:tcW w:w="1957" w:type="dxa"/>
          </w:tcPr>
          <w:p w14:paraId="4CBBDCCC" w14:textId="4E85F301"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44.16***</w:t>
            </w:r>
          </w:p>
        </w:tc>
      </w:tr>
      <w:tr w:rsidR="00C535B8" w:rsidRPr="00950125" w14:paraId="64240676" w14:textId="77777777" w:rsidTr="00950125">
        <w:trPr>
          <w:trHeight w:val="330"/>
        </w:trPr>
        <w:tc>
          <w:tcPr>
            <w:tcW w:w="1368" w:type="dxa"/>
            <w:hideMark/>
          </w:tcPr>
          <w:p w14:paraId="4D00AD7E" w14:textId="77777777" w:rsidR="00C535B8" w:rsidRPr="00950125" w:rsidRDefault="00C535B8" w:rsidP="00D46E36">
            <w:pPr>
              <w:spacing w:line="276" w:lineRule="auto"/>
              <w:jc w:val="center"/>
              <w:rPr>
                <w:rFonts w:ascii="Times New Roman" w:eastAsia="Times New Roman" w:hAnsi="Times New Roman" w:cs="Times New Roman"/>
                <w:color w:val="000000"/>
                <w:sz w:val="28"/>
                <w:szCs w:val="20"/>
              </w:rPr>
            </w:pPr>
            <w:r w:rsidRPr="00950125">
              <w:rPr>
                <w:rFonts w:ascii="Times New Roman" w:eastAsia="Times New Roman" w:hAnsi="Times New Roman" w:cs="Times New Roman"/>
                <w:color w:val="000000"/>
                <w:sz w:val="28"/>
                <w:szCs w:val="20"/>
              </w:rPr>
              <w:t>CO2</w:t>
            </w:r>
          </w:p>
        </w:tc>
        <w:tc>
          <w:tcPr>
            <w:tcW w:w="1800" w:type="dxa"/>
            <w:noWrap/>
            <w:hideMark/>
          </w:tcPr>
          <w:p w14:paraId="2E0C8ED8"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440.77***</w:t>
            </w:r>
          </w:p>
        </w:tc>
        <w:tc>
          <w:tcPr>
            <w:tcW w:w="1980" w:type="dxa"/>
            <w:noWrap/>
            <w:hideMark/>
          </w:tcPr>
          <w:p w14:paraId="32D0C6AB"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15.565***</w:t>
            </w:r>
          </w:p>
        </w:tc>
        <w:tc>
          <w:tcPr>
            <w:tcW w:w="1980" w:type="dxa"/>
            <w:noWrap/>
            <w:hideMark/>
          </w:tcPr>
          <w:p w14:paraId="0E624B91"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145.961***</w:t>
            </w:r>
          </w:p>
        </w:tc>
        <w:tc>
          <w:tcPr>
            <w:tcW w:w="1957" w:type="dxa"/>
          </w:tcPr>
          <w:p w14:paraId="00ED1525" w14:textId="37ADAD0D"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40.459***</w:t>
            </w:r>
          </w:p>
        </w:tc>
      </w:tr>
      <w:tr w:rsidR="00C535B8" w:rsidRPr="00950125" w14:paraId="6F700692" w14:textId="77777777" w:rsidTr="00950125">
        <w:trPr>
          <w:trHeight w:val="330"/>
        </w:trPr>
        <w:tc>
          <w:tcPr>
            <w:tcW w:w="1368" w:type="dxa"/>
            <w:hideMark/>
          </w:tcPr>
          <w:p w14:paraId="5518B6B5" w14:textId="77777777" w:rsidR="00C535B8" w:rsidRPr="00950125" w:rsidRDefault="00C535B8" w:rsidP="00D46E36">
            <w:pPr>
              <w:spacing w:line="276" w:lineRule="auto"/>
              <w:jc w:val="center"/>
              <w:rPr>
                <w:rFonts w:ascii="Times New Roman" w:eastAsia="Times New Roman" w:hAnsi="Times New Roman" w:cs="Times New Roman"/>
                <w:color w:val="000000"/>
                <w:sz w:val="28"/>
                <w:szCs w:val="20"/>
              </w:rPr>
            </w:pPr>
            <w:r w:rsidRPr="00950125">
              <w:rPr>
                <w:rFonts w:ascii="Times New Roman" w:eastAsia="Times New Roman" w:hAnsi="Times New Roman" w:cs="Times New Roman"/>
                <w:color w:val="000000"/>
                <w:sz w:val="28"/>
                <w:szCs w:val="20"/>
              </w:rPr>
              <w:t>IQ</w:t>
            </w:r>
          </w:p>
        </w:tc>
        <w:tc>
          <w:tcPr>
            <w:tcW w:w="1800" w:type="dxa"/>
            <w:noWrap/>
            <w:hideMark/>
          </w:tcPr>
          <w:p w14:paraId="30260F6D"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166.115***</w:t>
            </w:r>
          </w:p>
        </w:tc>
        <w:tc>
          <w:tcPr>
            <w:tcW w:w="1980" w:type="dxa"/>
            <w:noWrap/>
            <w:hideMark/>
          </w:tcPr>
          <w:p w14:paraId="3F2AA1FD"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31.762***</w:t>
            </w:r>
          </w:p>
        </w:tc>
        <w:tc>
          <w:tcPr>
            <w:tcW w:w="1980" w:type="dxa"/>
            <w:noWrap/>
            <w:hideMark/>
          </w:tcPr>
          <w:p w14:paraId="61953522"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206.378***</w:t>
            </w:r>
          </w:p>
        </w:tc>
        <w:tc>
          <w:tcPr>
            <w:tcW w:w="1957" w:type="dxa"/>
          </w:tcPr>
          <w:p w14:paraId="10B42E30" w14:textId="24AF792F"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52.636***</w:t>
            </w:r>
          </w:p>
        </w:tc>
      </w:tr>
      <w:tr w:rsidR="00C535B8" w:rsidRPr="00950125" w14:paraId="44AC31E1" w14:textId="77777777" w:rsidTr="00950125">
        <w:trPr>
          <w:trHeight w:val="330"/>
        </w:trPr>
        <w:tc>
          <w:tcPr>
            <w:tcW w:w="1368" w:type="dxa"/>
            <w:hideMark/>
          </w:tcPr>
          <w:p w14:paraId="37B8EFEC" w14:textId="77777777" w:rsidR="00C535B8" w:rsidRPr="00950125" w:rsidRDefault="00C535B8" w:rsidP="00D46E36">
            <w:pPr>
              <w:spacing w:line="276" w:lineRule="auto"/>
              <w:jc w:val="center"/>
              <w:rPr>
                <w:rFonts w:ascii="Times New Roman" w:eastAsia="Times New Roman" w:hAnsi="Times New Roman" w:cs="Times New Roman"/>
                <w:color w:val="000000"/>
                <w:sz w:val="28"/>
                <w:szCs w:val="20"/>
              </w:rPr>
            </w:pPr>
            <w:r w:rsidRPr="00950125">
              <w:rPr>
                <w:rFonts w:ascii="Times New Roman" w:eastAsia="Times New Roman" w:hAnsi="Times New Roman" w:cs="Times New Roman"/>
                <w:color w:val="000000"/>
                <w:sz w:val="28"/>
                <w:szCs w:val="20"/>
              </w:rPr>
              <w:t>ICT</w:t>
            </w:r>
          </w:p>
        </w:tc>
        <w:tc>
          <w:tcPr>
            <w:tcW w:w="1800" w:type="dxa"/>
            <w:noWrap/>
            <w:hideMark/>
          </w:tcPr>
          <w:p w14:paraId="4CD90554"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181.178***</w:t>
            </w:r>
          </w:p>
        </w:tc>
        <w:tc>
          <w:tcPr>
            <w:tcW w:w="1980" w:type="dxa"/>
            <w:noWrap/>
            <w:hideMark/>
          </w:tcPr>
          <w:p w14:paraId="3CAE4421"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15.669***</w:t>
            </w:r>
          </w:p>
        </w:tc>
        <w:tc>
          <w:tcPr>
            <w:tcW w:w="1980" w:type="dxa"/>
            <w:noWrap/>
            <w:hideMark/>
          </w:tcPr>
          <w:p w14:paraId="04786CF3"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112.318***</w:t>
            </w:r>
          </w:p>
        </w:tc>
        <w:tc>
          <w:tcPr>
            <w:tcW w:w="1957" w:type="dxa"/>
          </w:tcPr>
          <w:p w14:paraId="5E68B9CE" w14:textId="054BA3F8"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50.958***</w:t>
            </w:r>
          </w:p>
        </w:tc>
      </w:tr>
      <w:tr w:rsidR="00C535B8" w:rsidRPr="00950125" w14:paraId="0D1A9ABE" w14:textId="77777777" w:rsidTr="00950125">
        <w:trPr>
          <w:trHeight w:val="330"/>
        </w:trPr>
        <w:tc>
          <w:tcPr>
            <w:tcW w:w="1368" w:type="dxa"/>
            <w:hideMark/>
          </w:tcPr>
          <w:p w14:paraId="1D0267A5" w14:textId="77777777" w:rsidR="00C535B8" w:rsidRPr="00950125" w:rsidRDefault="00C535B8" w:rsidP="00D46E36">
            <w:pPr>
              <w:spacing w:line="276" w:lineRule="auto"/>
              <w:jc w:val="center"/>
              <w:rPr>
                <w:rFonts w:ascii="Times New Roman" w:eastAsia="Times New Roman" w:hAnsi="Times New Roman" w:cs="Times New Roman"/>
                <w:color w:val="000000"/>
                <w:sz w:val="28"/>
                <w:szCs w:val="20"/>
              </w:rPr>
            </w:pPr>
            <w:r w:rsidRPr="00950125">
              <w:rPr>
                <w:rFonts w:ascii="Times New Roman" w:eastAsia="Times New Roman" w:hAnsi="Times New Roman" w:cs="Times New Roman"/>
                <w:color w:val="000000"/>
                <w:sz w:val="28"/>
                <w:szCs w:val="20"/>
              </w:rPr>
              <w:t>EF</w:t>
            </w:r>
          </w:p>
        </w:tc>
        <w:tc>
          <w:tcPr>
            <w:tcW w:w="1800" w:type="dxa"/>
            <w:noWrap/>
            <w:hideMark/>
          </w:tcPr>
          <w:p w14:paraId="004EF5CB"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418.584***</w:t>
            </w:r>
          </w:p>
        </w:tc>
        <w:tc>
          <w:tcPr>
            <w:tcW w:w="1980" w:type="dxa"/>
            <w:noWrap/>
            <w:hideMark/>
          </w:tcPr>
          <w:p w14:paraId="70381FD8"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34.408***</w:t>
            </w:r>
          </w:p>
        </w:tc>
        <w:tc>
          <w:tcPr>
            <w:tcW w:w="1980" w:type="dxa"/>
            <w:noWrap/>
            <w:hideMark/>
          </w:tcPr>
          <w:p w14:paraId="342A9D07"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216.838***</w:t>
            </w:r>
          </w:p>
        </w:tc>
        <w:tc>
          <w:tcPr>
            <w:tcW w:w="1957" w:type="dxa"/>
          </w:tcPr>
          <w:p w14:paraId="74345D52" w14:textId="00E769C8"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32.841***</w:t>
            </w:r>
          </w:p>
        </w:tc>
      </w:tr>
      <w:tr w:rsidR="00C535B8" w:rsidRPr="00950125" w14:paraId="5CAA920D" w14:textId="77777777" w:rsidTr="00950125">
        <w:trPr>
          <w:trHeight w:val="330"/>
        </w:trPr>
        <w:tc>
          <w:tcPr>
            <w:tcW w:w="1368" w:type="dxa"/>
            <w:hideMark/>
          </w:tcPr>
          <w:p w14:paraId="50AF2C49" w14:textId="77777777" w:rsidR="00C535B8" w:rsidRPr="00950125" w:rsidRDefault="00C535B8" w:rsidP="00D46E36">
            <w:pPr>
              <w:spacing w:line="276" w:lineRule="auto"/>
              <w:jc w:val="center"/>
              <w:rPr>
                <w:rFonts w:ascii="Times New Roman" w:eastAsia="Times New Roman" w:hAnsi="Times New Roman" w:cs="Times New Roman"/>
                <w:color w:val="000000"/>
                <w:sz w:val="28"/>
                <w:szCs w:val="20"/>
              </w:rPr>
            </w:pPr>
            <w:r w:rsidRPr="00950125">
              <w:rPr>
                <w:rFonts w:ascii="Times New Roman" w:eastAsia="Times New Roman" w:hAnsi="Times New Roman" w:cs="Times New Roman"/>
                <w:color w:val="000000"/>
                <w:sz w:val="28"/>
                <w:szCs w:val="20"/>
              </w:rPr>
              <w:t>NNR</w:t>
            </w:r>
          </w:p>
        </w:tc>
        <w:tc>
          <w:tcPr>
            <w:tcW w:w="1800" w:type="dxa"/>
            <w:noWrap/>
            <w:hideMark/>
          </w:tcPr>
          <w:p w14:paraId="6B42CE60"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171.233***</w:t>
            </w:r>
          </w:p>
        </w:tc>
        <w:tc>
          <w:tcPr>
            <w:tcW w:w="1980" w:type="dxa"/>
            <w:noWrap/>
            <w:hideMark/>
          </w:tcPr>
          <w:p w14:paraId="7CF41B41"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26.355***</w:t>
            </w:r>
          </w:p>
        </w:tc>
        <w:tc>
          <w:tcPr>
            <w:tcW w:w="1980" w:type="dxa"/>
            <w:noWrap/>
            <w:hideMark/>
          </w:tcPr>
          <w:p w14:paraId="3BC6797C"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167.525***</w:t>
            </w:r>
          </w:p>
        </w:tc>
        <w:tc>
          <w:tcPr>
            <w:tcW w:w="1957" w:type="dxa"/>
          </w:tcPr>
          <w:p w14:paraId="7AF9034C" w14:textId="35BB06BB"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11.807***</w:t>
            </w:r>
          </w:p>
        </w:tc>
      </w:tr>
      <w:tr w:rsidR="00C535B8" w:rsidRPr="00950125" w14:paraId="0DD2C0F4" w14:textId="77777777" w:rsidTr="00950125">
        <w:trPr>
          <w:trHeight w:val="330"/>
        </w:trPr>
        <w:tc>
          <w:tcPr>
            <w:tcW w:w="1368" w:type="dxa"/>
            <w:noWrap/>
            <w:hideMark/>
          </w:tcPr>
          <w:p w14:paraId="16B1D943" w14:textId="77777777" w:rsidR="00C535B8" w:rsidRPr="00950125" w:rsidRDefault="00C535B8" w:rsidP="00D46E36">
            <w:pPr>
              <w:spacing w:line="276" w:lineRule="auto"/>
              <w:jc w:val="center"/>
              <w:rPr>
                <w:rFonts w:ascii="Times New Roman" w:eastAsia="Times New Roman" w:hAnsi="Times New Roman" w:cs="Times New Roman"/>
                <w:i/>
                <w:iCs/>
                <w:color w:val="000000"/>
                <w:sz w:val="28"/>
                <w:szCs w:val="26"/>
              </w:rPr>
            </w:pPr>
            <w:r w:rsidRPr="00950125">
              <w:rPr>
                <w:rFonts w:ascii="Times New Roman" w:eastAsia="Times New Roman" w:hAnsi="Times New Roman" w:cs="Times New Roman"/>
                <w:i/>
                <w:iCs/>
                <w:color w:val="000000"/>
                <w:sz w:val="28"/>
                <w:szCs w:val="26"/>
              </w:rPr>
              <w:t>HCD</w:t>
            </w:r>
          </w:p>
        </w:tc>
        <w:tc>
          <w:tcPr>
            <w:tcW w:w="1800" w:type="dxa"/>
            <w:noWrap/>
            <w:hideMark/>
          </w:tcPr>
          <w:p w14:paraId="3FE89F54"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203.545***</w:t>
            </w:r>
          </w:p>
        </w:tc>
        <w:tc>
          <w:tcPr>
            <w:tcW w:w="1980" w:type="dxa"/>
            <w:noWrap/>
            <w:hideMark/>
          </w:tcPr>
          <w:p w14:paraId="5A353800"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28.514***</w:t>
            </w:r>
          </w:p>
        </w:tc>
        <w:tc>
          <w:tcPr>
            <w:tcW w:w="1980" w:type="dxa"/>
            <w:noWrap/>
            <w:hideMark/>
          </w:tcPr>
          <w:p w14:paraId="46B233B6"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196.477***</w:t>
            </w:r>
          </w:p>
        </w:tc>
        <w:tc>
          <w:tcPr>
            <w:tcW w:w="1957" w:type="dxa"/>
          </w:tcPr>
          <w:p w14:paraId="309D101B" w14:textId="45F6270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8.883***</w:t>
            </w:r>
          </w:p>
        </w:tc>
      </w:tr>
      <w:tr w:rsidR="00C535B8" w:rsidRPr="00950125" w14:paraId="6A415F79" w14:textId="77777777" w:rsidTr="00950125">
        <w:trPr>
          <w:trHeight w:val="330"/>
        </w:trPr>
        <w:tc>
          <w:tcPr>
            <w:tcW w:w="1368" w:type="dxa"/>
            <w:noWrap/>
            <w:hideMark/>
          </w:tcPr>
          <w:p w14:paraId="694101DE" w14:textId="77777777" w:rsidR="00C535B8" w:rsidRPr="00950125" w:rsidRDefault="00C535B8" w:rsidP="00D46E36">
            <w:pPr>
              <w:spacing w:line="276" w:lineRule="auto"/>
              <w:jc w:val="center"/>
              <w:rPr>
                <w:rFonts w:ascii="Times New Roman" w:eastAsia="Times New Roman" w:hAnsi="Times New Roman" w:cs="Times New Roman"/>
                <w:i/>
                <w:iCs/>
                <w:color w:val="000000"/>
                <w:sz w:val="28"/>
                <w:szCs w:val="26"/>
              </w:rPr>
            </w:pPr>
            <w:r w:rsidRPr="00950125">
              <w:rPr>
                <w:rFonts w:ascii="Times New Roman" w:eastAsia="Times New Roman" w:hAnsi="Times New Roman" w:cs="Times New Roman"/>
                <w:i/>
                <w:iCs/>
                <w:color w:val="000000"/>
                <w:sz w:val="28"/>
                <w:szCs w:val="26"/>
              </w:rPr>
              <w:t>Y</w:t>
            </w:r>
          </w:p>
        </w:tc>
        <w:tc>
          <w:tcPr>
            <w:tcW w:w="1800" w:type="dxa"/>
            <w:noWrap/>
            <w:hideMark/>
          </w:tcPr>
          <w:p w14:paraId="7DF18872"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282.982***</w:t>
            </w:r>
          </w:p>
        </w:tc>
        <w:tc>
          <w:tcPr>
            <w:tcW w:w="1980" w:type="dxa"/>
            <w:noWrap/>
            <w:hideMark/>
          </w:tcPr>
          <w:p w14:paraId="360C85B6"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42.685***</w:t>
            </w:r>
          </w:p>
        </w:tc>
        <w:tc>
          <w:tcPr>
            <w:tcW w:w="1980" w:type="dxa"/>
            <w:noWrap/>
            <w:hideMark/>
          </w:tcPr>
          <w:p w14:paraId="19725A2E" w14:textId="7777777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224.399***</w:t>
            </w:r>
          </w:p>
        </w:tc>
        <w:tc>
          <w:tcPr>
            <w:tcW w:w="1957" w:type="dxa"/>
          </w:tcPr>
          <w:p w14:paraId="7FB3B224" w14:textId="3F3C66B7" w:rsidR="00C535B8" w:rsidRPr="00950125" w:rsidRDefault="00C535B8"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21.752***</w:t>
            </w:r>
          </w:p>
        </w:tc>
      </w:tr>
    </w:tbl>
    <w:p w14:paraId="198DDC81" w14:textId="1206A3F7" w:rsidR="006B25B8" w:rsidRPr="00950125" w:rsidRDefault="003148D2" w:rsidP="00D46E36">
      <w:pPr>
        <w:pStyle w:val="ng-star-inserted"/>
        <w:shd w:val="clear" w:color="auto" w:fill="FFFFFF"/>
        <w:spacing w:after="270" w:afterAutospacing="0" w:line="276" w:lineRule="auto"/>
        <w:jc w:val="both"/>
        <w:rPr>
          <w:rFonts w:eastAsiaTheme="minorHAnsi"/>
          <w:szCs w:val="22"/>
        </w:rPr>
      </w:pPr>
      <w:r w:rsidRPr="00950125">
        <w:rPr>
          <w:rFonts w:eastAsiaTheme="minorHAnsi"/>
          <w:szCs w:val="22"/>
        </w:rPr>
        <w:t>The</w:t>
      </w:r>
      <w:r w:rsidR="006B25B8" w:rsidRPr="00950125">
        <w:rPr>
          <w:rFonts w:eastAsiaTheme="minorHAnsi"/>
          <w:szCs w:val="22"/>
        </w:rPr>
        <w:t xml:space="preserve"> results </w:t>
      </w:r>
      <w:r w:rsidRPr="00950125">
        <w:rPr>
          <w:rFonts w:eastAsiaTheme="minorHAnsi"/>
          <w:szCs w:val="22"/>
        </w:rPr>
        <w:t xml:space="preserve">provide compelling and robust evidence of strong cross-sectional dependence across all variables under investigation. An examination of the Breusch and Pagan (1980) LM test reveals very high statistics for all series. With CO2 emissions exhibiting the highest value (440.77***), Economic Freedom (418.584***), and Institutional Quality (166.115***) showing a substantial statistic. This indicates that these macroeconomic and policy variables are profoundly </w:t>
      </w:r>
      <w:r w:rsidRPr="00950125">
        <w:rPr>
          <w:rFonts w:eastAsiaTheme="minorHAnsi"/>
          <w:szCs w:val="22"/>
        </w:rPr>
        <w:lastRenderedPageBreak/>
        <w:t>interconnected across the countries in the panel. The significant Breusch-Pagan statistic leaves no doubt about the presence of dependence.</w:t>
      </w:r>
      <w:r w:rsidR="006B25B8" w:rsidRPr="00950125">
        <w:rPr>
          <w:rFonts w:eastAsiaTheme="minorHAnsi"/>
          <w:szCs w:val="22"/>
        </w:rPr>
        <w:t xml:space="preserve"> </w:t>
      </w:r>
      <w:r w:rsidRPr="00950125">
        <w:rPr>
          <w:rFonts w:eastAsiaTheme="minorHAnsi"/>
          <w:szCs w:val="22"/>
        </w:rPr>
        <w:t>The second-generation tests further corroborate this finding. The Pesaran (2004) scaled LM test and the Pesaran (2006) CD test, which are designed for larger panels, also reject the null hypothesis of no CSD for every variable at the 1% significance level. Notably, ther</w:t>
      </w:r>
      <w:r w:rsidR="006B25B8" w:rsidRPr="00950125">
        <w:rPr>
          <w:rFonts w:eastAsiaTheme="minorHAnsi"/>
          <w:szCs w:val="22"/>
        </w:rPr>
        <w:t>e are marked differences among</w:t>
      </w:r>
      <w:r w:rsidRPr="00950125">
        <w:rPr>
          <w:rFonts w:eastAsiaTheme="minorHAnsi"/>
          <w:szCs w:val="22"/>
        </w:rPr>
        <w:t xml:space="preserve"> the statistics from Pesaran (2004)</w:t>
      </w:r>
      <w:r w:rsidR="006B25B8" w:rsidRPr="00950125">
        <w:rPr>
          <w:rFonts w:eastAsiaTheme="minorHAnsi"/>
          <w:szCs w:val="22"/>
        </w:rPr>
        <w:t>, Pesaran (2006)</w:t>
      </w:r>
      <w:r w:rsidRPr="00950125">
        <w:rPr>
          <w:rFonts w:eastAsiaTheme="minorHAnsi"/>
          <w:szCs w:val="22"/>
        </w:rPr>
        <w:t xml:space="preserve"> and Pesaran, Ullah et al. </w:t>
      </w:r>
      <w:r w:rsidR="006B25B8" w:rsidRPr="00950125">
        <w:rPr>
          <w:rFonts w:eastAsiaTheme="minorHAnsi"/>
          <w:szCs w:val="22"/>
        </w:rPr>
        <w:t>(2008). Pesaran (2008)</w:t>
      </w:r>
      <w:r w:rsidRPr="00950125">
        <w:rPr>
          <w:rFonts w:eastAsiaTheme="minorHAnsi"/>
          <w:szCs w:val="22"/>
        </w:rPr>
        <w:t xml:space="preserve"> producing consistently larger values (e.g., </w:t>
      </w:r>
      <w:r w:rsidR="006B25B8" w:rsidRPr="00950125">
        <w:rPr>
          <w:rFonts w:eastAsiaTheme="minorHAnsi"/>
          <w:szCs w:val="22"/>
        </w:rPr>
        <w:t xml:space="preserve">For Institutional Quality statistics are, 31.762*** vs </w:t>
      </w:r>
      <w:r w:rsidRPr="00950125">
        <w:rPr>
          <w:rFonts w:eastAsiaTheme="minorHAnsi"/>
          <w:szCs w:val="22"/>
        </w:rPr>
        <w:t>206.378*** for IQ vs. 31.762***). This suggests that the bias-adjustment in the 2008 test captures a more accurate magnitude of the underlying dependence.</w:t>
      </w:r>
    </w:p>
    <w:p w14:paraId="1C3A6AA6" w14:textId="1F2717DF" w:rsidR="006B25B8" w:rsidRPr="00950125" w:rsidRDefault="006B25B8" w:rsidP="00D46E36">
      <w:pPr>
        <w:pStyle w:val="ng-star-inserted"/>
        <w:shd w:val="clear" w:color="auto" w:fill="FFFFFF"/>
        <w:spacing w:after="270" w:afterAutospacing="0" w:line="276" w:lineRule="auto"/>
        <w:jc w:val="both"/>
        <w:rPr>
          <w:color w:val="1A1C1E"/>
          <w:sz w:val="21"/>
          <w:szCs w:val="21"/>
        </w:rPr>
      </w:pPr>
      <w:r w:rsidRPr="00950125">
        <w:rPr>
          <w:rFonts w:eastAsiaTheme="minorHAnsi"/>
          <w:szCs w:val="22"/>
        </w:rPr>
        <w:t>Overall, we reject the null hypothesis of cross-sectional independence for all variables across all tests. This strong rejection indicates the presence of significant interdependencies and spillover effects among the countries in the sample. Factors such as global economic shocks, synchronized policy initiatives related to climate change (e.g., Paris Agreement), and the global nature of technology diffusion mean that a shock affecting one country is</w:t>
      </w:r>
      <w:r w:rsidRPr="00950125">
        <w:rPr>
          <w:color w:val="1A1C1E"/>
          <w:sz w:val="21"/>
          <w:szCs w:val="21"/>
          <w:shd w:val="clear" w:color="auto" w:fill="FFFFFF"/>
        </w:rPr>
        <w:t xml:space="preserve"> </w:t>
      </w:r>
      <w:r w:rsidRPr="00950125">
        <w:rPr>
          <w:rFonts w:eastAsiaTheme="minorHAnsi"/>
          <w:szCs w:val="22"/>
        </w:rPr>
        <w:t>likely to have an impact on others.</w:t>
      </w:r>
    </w:p>
    <w:p w14:paraId="18B6740A" w14:textId="260CADEC" w:rsidR="003148D2" w:rsidRPr="00950125" w:rsidRDefault="00486EEE" w:rsidP="00D46E36">
      <w:pPr>
        <w:pStyle w:val="Heading2"/>
        <w:numPr>
          <w:ilvl w:val="0"/>
          <w:numId w:val="15"/>
        </w:numPr>
        <w:spacing w:line="276" w:lineRule="auto"/>
        <w:rPr>
          <w:rFonts w:ascii="Times New Roman" w:hAnsi="Times New Roman" w:cs="Times New Roman"/>
          <w:b/>
          <w:u w:val="single"/>
        </w:rPr>
      </w:pPr>
      <w:r w:rsidRPr="00950125">
        <w:rPr>
          <w:rFonts w:ascii="Times New Roman" w:hAnsi="Times New Roman" w:cs="Times New Roman"/>
          <w:b/>
          <w:u w:val="single"/>
        </w:rPr>
        <w:t xml:space="preserve"> </w:t>
      </w:r>
      <w:bookmarkStart w:id="49" w:name="_Toc204723906"/>
      <w:r w:rsidR="003148D2" w:rsidRPr="00950125">
        <w:rPr>
          <w:rFonts w:ascii="Times New Roman" w:hAnsi="Times New Roman" w:cs="Times New Roman"/>
          <w:b/>
          <w:u w:val="single"/>
        </w:rPr>
        <w:t>Panel Unit Root Test Results</w:t>
      </w:r>
      <w:bookmarkEnd w:id="49"/>
    </w:p>
    <w:p w14:paraId="63BADEE9" w14:textId="113973FC" w:rsidR="001F4A37" w:rsidRPr="00950125" w:rsidRDefault="003148D2" w:rsidP="00D46E36">
      <w:pPr>
        <w:spacing w:line="276" w:lineRule="auto"/>
        <w:rPr>
          <w:rFonts w:ascii="Times New Roman" w:hAnsi="Times New Roman" w:cs="Times New Roman"/>
          <w:color w:val="1A1C1E"/>
          <w:sz w:val="21"/>
          <w:szCs w:val="21"/>
          <w:shd w:val="clear" w:color="auto" w:fill="FFFFFF"/>
        </w:rPr>
      </w:pPr>
      <w:r w:rsidRPr="00950125">
        <w:rPr>
          <w:rFonts w:ascii="Times New Roman" w:hAnsi="Times New Roman" w:cs="Times New Roman"/>
          <w:color w:val="1A1C1E"/>
          <w:sz w:val="21"/>
          <w:szCs w:val="21"/>
          <w:shd w:val="clear" w:color="auto" w:fill="FFFFFF"/>
        </w:rPr>
        <w:t>Having established the presence of cross-sectional dependency, the next step is to examine the stationarity properties of each variable. For this purpose, we employ second-generation panel unit root tests that are robust to CSD. Specifically, this study uses the Cross-sectionally Augmented IPS (CIPS) test proposed by Pesaran (2007) and the Cross-sectionally Augmented Dickey-Fuller (CADF) test. The null hypothesis (H₀) for these tests is that the variable contains a unit root</w:t>
      </w:r>
      <w:r w:rsidR="006B25B8" w:rsidRPr="00950125">
        <w:rPr>
          <w:rFonts w:ascii="Times New Roman" w:hAnsi="Times New Roman" w:cs="Times New Roman"/>
          <w:color w:val="1A1C1E"/>
          <w:sz w:val="21"/>
          <w:szCs w:val="21"/>
          <w:shd w:val="clear" w:color="auto" w:fill="FFFFFF"/>
        </w:rPr>
        <w:t xml:space="preserve"> (i.e., it is non-stationary). </w:t>
      </w:r>
    </w:p>
    <w:p w14:paraId="13067653" w14:textId="428CACEE" w:rsidR="001F4A37" w:rsidRPr="00950125" w:rsidRDefault="00F4455B" w:rsidP="00D46E36">
      <w:pPr>
        <w:pStyle w:val="Caption"/>
        <w:spacing w:line="276" w:lineRule="auto"/>
        <w:rPr>
          <w:rFonts w:ascii="Times New Roman" w:hAnsi="Times New Roman" w:cs="Times New Roman"/>
          <w:b/>
          <w:i w:val="0"/>
          <w:szCs w:val="24"/>
        </w:rPr>
      </w:pPr>
      <w:bookmarkStart w:id="50" w:name="_Toc204723237"/>
      <w:r>
        <w:t xml:space="preserve">Table </w:t>
      </w:r>
      <w:r w:rsidR="0029645F">
        <w:rPr>
          <w:noProof/>
        </w:rPr>
        <w:fldChar w:fldCharType="begin"/>
      </w:r>
      <w:r w:rsidR="0029645F">
        <w:rPr>
          <w:noProof/>
        </w:rPr>
        <w:instrText xml:space="preserve"> SEQ Table \* ARABIC </w:instrText>
      </w:r>
      <w:r w:rsidR="0029645F">
        <w:rPr>
          <w:noProof/>
        </w:rPr>
        <w:fldChar w:fldCharType="separate"/>
      </w:r>
      <w:r w:rsidR="003F2868">
        <w:rPr>
          <w:noProof/>
        </w:rPr>
        <w:t>7</w:t>
      </w:r>
      <w:r w:rsidR="0029645F">
        <w:rPr>
          <w:noProof/>
        </w:rPr>
        <w:fldChar w:fldCharType="end"/>
      </w:r>
      <w:r w:rsidR="0091131E" w:rsidRPr="00950125">
        <w:rPr>
          <w:rFonts w:ascii="Times New Roman" w:hAnsi="Times New Roman" w:cs="Times New Roman"/>
          <w:b/>
          <w:i w:val="0"/>
          <w:szCs w:val="24"/>
        </w:rPr>
        <w:t xml:space="preserve">: </w:t>
      </w:r>
      <w:r w:rsidR="001F4A37" w:rsidRPr="00950125">
        <w:rPr>
          <w:rFonts w:ascii="Times New Roman" w:hAnsi="Times New Roman" w:cs="Times New Roman"/>
          <w:b/>
          <w:i w:val="0"/>
          <w:szCs w:val="24"/>
        </w:rPr>
        <w:t>Output of unit root test</w:t>
      </w:r>
      <w:bookmarkEnd w:id="50"/>
    </w:p>
    <w:tbl>
      <w:tblPr>
        <w:tblStyle w:val="TableGridLight"/>
        <w:tblW w:w="9100" w:type="dxa"/>
        <w:tblLook w:val="04A0" w:firstRow="1" w:lastRow="0" w:firstColumn="1" w:lastColumn="0" w:noHBand="0" w:noVBand="1"/>
      </w:tblPr>
      <w:tblGrid>
        <w:gridCol w:w="2300"/>
        <w:gridCol w:w="1115"/>
        <w:gridCol w:w="1845"/>
        <w:gridCol w:w="1567"/>
        <w:gridCol w:w="2273"/>
      </w:tblGrid>
      <w:tr w:rsidR="001F4A37" w:rsidRPr="00950125" w14:paraId="0230EE2F" w14:textId="77777777" w:rsidTr="00950125">
        <w:trPr>
          <w:trHeight w:val="315"/>
        </w:trPr>
        <w:tc>
          <w:tcPr>
            <w:tcW w:w="2300" w:type="dxa"/>
            <w:noWrap/>
            <w:hideMark/>
          </w:tcPr>
          <w:p w14:paraId="79F61448" w14:textId="5137887B" w:rsidR="001F4A37" w:rsidRPr="00950125" w:rsidRDefault="0091131E" w:rsidP="00D46E36">
            <w:pPr>
              <w:spacing w:line="276" w:lineRule="auto"/>
              <w:jc w:val="center"/>
              <w:rPr>
                <w:rFonts w:ascii="Times New Roman" w:eastAsia="Times New Roman" w:hAnsi="Times New Roman" w:cs="Times New Roman"/>
                <w:color w:val="000000"/>
                <w:sz w:val="28"/>
                <w:szCs w:val="24"/>
              </w:rPr>
            </w:pPr>
            <w:r w:rsidRPr="00950125">
              <w:rPr>
                <w:rFonts w:ascii="Times New Roman" w:eastAsia="Times New Roman" w:hAnsi="Times New Roman" w:cs="Times New Roman"/>
                <w:color w:val="000000"/>
                <w:sz w:val="28"/>
                <w:szCs w:val="24"/>
              </w:rPr>
              <w:t>Variables</w:t>
            </w:r>
          </w:p>
        </w:tc>
        <w:tc>
          <w:tcPr>
            <w:tcW w:w="2960" w:type="dxa"/>
            <w:gridSpan w:val="2"/>
            <w:noWrap/>
            <w:hideMark/>
          </w:tcPr>
          <w:p w14:paraId="70750EF5" w14:textId="77777777" w:rsidR="001F4A37" w:rsidRPr="00950125" w:rsidRDefault="001F4A37" w:rsidP="00D46E36">
            <w:pPr>
              <w:spacing w:line="276" w:lineRule="auto"/>
              <w:jc w:val="center"/>
              <w:rPr>
                <w:rFonts w:ascii="Times New Roman" w:eastAsia="Times New Roman" w:hAnsi="Times New Roman" w:cs="Times New Roman"/>
                <w:color w:val="000000"/>
                <w:sz w:val="28"/>
                <w:szCs w:val="24"/>
              </w:rPr>
            </w:pPr>
            <w:r w:rsidRPr="00950125">
              <w:rPr>
                <w:rFonts w:ascii="Times New Roman" w:eastAsia="Times New Roman" w:hAnsi="Times New Roman" w:cs="Times New Roman"/>
                <w:color w:val="000000"/>
                <w:sz w:val="28"/>
                <w:szCs w:val="24"/>
              </w:rPr>
              <w:t>At level</w:t>
            </w:r>
          </w:p>
        </w:tc>
        <w:tc>
          <w:tcPr>
            <w:tcW w:w="3840" w:type="dxa"/>
            <w:gridSpan w:val="2"/>
            <w:noWrap/>
            <w:hideMark/>
          </w:tcPr>
          <w:p w14:paraId="55CBB022" w14:textId="06587DA8" w:rsidR="001F4A37" w:rsidRPr="00950125" w:rsidRDefault="001F4A37" w:rsidP="00D46E36">
            <w:pPr>
              <w:spacing w:line="276" w:lineRule="auto"/>
              <w:jc w:val="center"/>
              <w:rPr>
                <w:rFonts w:ascii="Times New Roman" w:eastAsia="Times New Roman" w:hAnsi="Times New Roman" w:cs="Times New Roman"/>
                <w:color w:val="000000"/>
                <w:sz w:val="28"/>
                <w:szCs w:val="24"/>
              </w:rPr>
            </w:pPr>
            <w:r w:rsidRPr="00950125">
              <w:rPr>
                <w:rFonts w:ascii="Times New Roman" w:eastAsia="Times New Roman" w:hAnsi="Times New Roman" w:cs="Times New Roman"/>
                <w:color w:val="000000"/>
                <w:sz w:val="28"/>
                <w:szCs w:val="24"/>
              </w:rPr>
              <w:t>∆</w:t>
            </w:r>
            <w:r w:rsidR="00503EA7" w:rsidRPr="00950125">
              <w:rPr>
                <w:rFonts w:ascii="Times New Roman" w:eastAsia="Times New Roman" w:hAnsi="Times New Roman" w:cs="Times New Roman"/>
                <w:color w:val="000000"/>
                <w:sz w:val="28"/>
                <w:szCs w:val="24"/>
              </w:rPr>
              <w:t xml:space="preserve"> (First Difference)</w:t>
            </w:r>
          </w:p>
        </w:tc>
      </w:tr>
      <w:tr w:rsidR="001F4A37" w:rsidRPr="00950125" w14:paraId="0B5235FF" w14:textId="77777777" w:rsidTr="00950125">
        <w:trPr>
          <w:trHeight w:val="315"/>
        </w:trPr>
        <w:tc>
          <w:tcPr>
            <w:tcW w:w="2300" w:type="dxa"/>
            <w:noWrap/>
            <w:hideMark/>
          </w:tcPr>
          <w:p w14:paraId="2A2E2EC8" w14:textId="5A7BBED5" w:rsidR="001F4A37" w:rsidRPr="00950125" w:rsidRDefault="001F4A37" w:rsidP="00D46E36">
            <w:pPr>
              <w:spacing w:line="276" w:lineRule="auto"/>
              <w:jc w:val="center"/>
              <w:rPr>
                <w:rFonts w:ascii="Times New Roman" w:eastAsia="Times New Roman" w:hAnsi="Times New Roman" w:cs="Times New Roman"/>
                <w:color w:val="000000"/>
                <w:sz w:val="28"/>
                <w:szCs w:val="24"/>
              </w:rPr>
            </w:pPr>
          </w:p>
        </w:tc>
        <w:tc>
          <w:tcPr>
            <w:tcW w:w="1115" w:type="dxa"/>
            <w:noWrap/>
            <w:hideMark/>
          </w:tcPr>
          <w:p w14:paraId="48C580DB"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CIPS</w:t>
            </w:r>
          </w:p>
        </w:tc>
        <w:tc>
          <w:tcPr>
            <w:tcW w:w="1845" w:type="dxa"/>
            <w:hideMark/>
          </w:tcPr>
          <w:p w14:paraId="5BED2600"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CADF</w:t>
            </w:r>
          </w:p>
        </w:tc>
        <w:tc>
          <w:tcPr>
            <w:tcW w:w="1567" w:type="dxa"/>
            <w:noWrap/>
            <w:hideMark/>
          </w:tcPr>
          <w:p w14:paraId="33D7C30A"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CIPS</w:t>
            </w:r>
          </w:p>
        </w:tc>
        <w:tc>
          <w:tcPr>
            <w:tcW w:w="2273" w:type="dxa"/>
            <w:hideMark/>
          </w:tcPr>
          <w:p w14:paraId="776225D4"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CADF</w:t>
            </w:r>
          </w:p>
        </w:tc>
      </w:tr>
      <w:tr w:rsidR="001F4A37" w:rsidRPr="00950125" w14:paraId="735A33A8" w14:textId="77777777" w:rsidTr="00950125">
        <w:trPr>
          <w:trHeight w:val="323"/>
        </w:trPr>
        <w:tc>
          <w:tcPr>
            <w:tcW w:w="2300" w:type="dxa"/>
            <w:hideMark/>
          </w:tcPr>
          <w:p w14:paraId="6BEE3467" w14:textId="77777777" w:rsidR="001F4A37" w:rsidRPr="00950125" w:rsidRDefault="001F4A37" w:rsidP="00D46E36">
            <w:pPr>
              <w:spacing w:line="276" w:lineRule="auto"/>
              <w:jc w:val="center"/>
              <w:rPr>
                <w:rFonts w:ascii="Times New Roman" w:eastAsia="Times New Roman" w:hAnsi="Times New Roman" w:cs="Times New Roman"/>
                <w:color w:val="000000"/>
                <w:sz w:val="28"/>
              </w:rPr>
            </w:pPr>
            <w:r w:rsidRPr="00950125">
              <w:rPr>
                <w:rFonts w:ascii="Times New Roman" w:eastAsia="Times New Roman" w:hAnsi="Times New Roman" w:cs="Times New Roman"/>
                <w:color w:val="000000"/>
                <w:sz w:val="28"/>
              </w:rPr>
              <w:t>REC</w:t>
            </w:r>
          </w:p>
        </w:tc>
        <w:tc>
          <w:tcPr>
            <w:tcW w:w="1115" w:type="dxa"/>
            <w:noWrap/>
            <w:hideMark/>
          </w:tcPr>
          <w:p w14:paraId="2C5D392C"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-1.263</w:t>
            </w:r>
          </w:p>
        </w:tc>
        <w:tc>
          <w:tcPr>
            <w:tcW w:w="1845" w:type="dxa"/>
            <w:noWrap/>
            <w:hideMark/>
          </w:tcPr>
          <w:p w14:paraId="0F671A3D"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-2.878</w:t>
            </w:r>
          </w:p>
        </w:tc>
        <w:tc>
          <w:tcPr>
            <w:tcW w:w="1567" w:type="dxa"/>
            <w:noWrap/>
            <w:hideMark/>
          </w:tcPr>
          <w:p w14:paraId="0166540E"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-5.223***</w:t>
            </w:r>
          </w:p>
        </w:tc>
        <w:tc>
          <w:tcPr>
            <w:tcW w:w="2273" w:type="dxa"/>
            <w:noWrap/>
            <w:hideMark/>
          </w:tcPr>
          <w:p w14:paraId="4DB351E9"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-5.196***</w:t>
            </w:r>
          </w:p>
        </w:tc>
      </w:tr>
      <w:tr w:rsidR="001F4A37" w:rsidRPr="00950125" w14:paraId="73BD3E63" w14:textId="77777777" w:rsidTr="00950125">
        <w:trPr>
          <w:trHeight w:val="323"/>
        </w:trPr>
        <w:tc>
          <w:tcPr>
            <w:tcW w:w="2300" w:type="dxa"/>
            <w:hideMark/>
          </w:tcPr>
          <w:p w14:paraId="667C9B6E" w14:textId="77777777" w:rsidR="001F4A37" w:rsidRPr="00950125" w:rsidRDefault="001F4A37" w:rsidP="00D46E36">
            <w:pPr>
              <w:spacing w:line="276" w:lineRule="auto"/>
              <w:jc w:val="center"/>
              <w:rPr>
                <w:rFonts w:ascii="Times New Roman" w:eastAsia="Times New Roman" w:hAnsi="Times New Roman" w:cs="Times New Roman"/>
                <w:color w:val="000000"/>
                <w:sz w:val="28"/>
              </w:rPr>
            </w:pPr>
            <w:r w:rsidRPr="00950125">
              <w:rPr>
                <w:rFonts w:ascii="Times New Roman" w:eastAsia="Times New Roman" w:hAnsi="Times New Roman" w:cs="Times New Roman"/>
                <w:color w:val="000000"/>
                <w:sz w:val="28"/>
              </w:rPr>
              <w:t>CO2</w:t>
            </w:r>
          </w:p>
        </w:tc>
        <w:tc>
          <w:tcPr>
            <w:tcW w:w="1115" w:type="dxa"/>
            <w:noWrap/>
            <w:hideMark/>
          </w:tcPr>
          <w:p w14:paraId="5563BE46"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-1.285</w:t>
            </w:r>
          </w:p>
        </w:tc>
        <w:tc>
          <w:tcPr>
            <w:tcW w:w="1845" w:type="dxa"/>
            <w:noWrap/>
            <w:hideMark/>
          </w:tcPr>
          <w:p w14:paraId="6E87722C"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-2.614</w:t>
            </w:r>
          </w:p>
        </w:tc>
        <w:tc>
          <w:tcPr>
            <w:tcW w:w="1567" w:type="dxa"/>
            <w:noWrap/>
            <w:hideMark/>
          </w:tcPr>
          <w:p w14:paraId="5D33EDA8"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-6.851***</w:t>
            </w:r>
          </w:p>
        </w:tc>
        <w:tc>
          <w:tcPr>
            <w:tcW w:w="2273" w:type="dxa"/>
            <w:noWrap/>
            <w:hideMark/>
          </w:tcPr>
          <w:p w14:paraId="2C31209F"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-4.083***</w:t>
            </w:r>
          </w:p>
        </w:tc>
      </w:tr>
      <w:tr w:rsidR="001F4A37" w:rsidRPr="00950125" w14:paraId="1B180815" w14:textId="77777777" w:rsidTr="00950125">
        <w:trPr>
          <w:trHeight w:val="323"/>
        </w:trPr>
        <w:tc>
          <w:tcPr>
            <w:tcW w:w="2300" w:type="dxa"/>
            <w:hideMark/>
          </w:tcPr>
          <w:p w14:paraId="3E0F58DF" w14:textId="77777777" w:rsidR="001F4A37" w:rsidRPr="00950125" w:rsidRDefault="001F4A37" w:rsidP="00D46E36">
            <w:pPr>
              <w:spacing w:line="276" w:lineRule="auto"/>
              <w:jc w:val="center"/>
              <w:rPr>
                <w:rFonts w:ascii="Times New Roman" w:eastAsia="Times New Roman" w:hAnsi="Times New Roman" w:cs="Times New Roman"/>
                <w:color w:val="000000"/>
                <w:sz w:val="28"/>
              </w:rPr>
            </w:pPr>
            <w:r w:rsidRPr="00950125">
              <w:rPr>
                <w:rFonts w:ascii="Times New Roman" w:eastAsia="Times New Roman" w:hAnsi="Times New Roman" w:cs="Times New Roman"/>
                <w:color w:val="000000"/>
                <w:sz w:val="28"/>
              </w:rPr>
              <w:t>IQ</w:t>
            </w:r>
          </w:p>
        </w:tc>
        <w:tc>
          <w:tcPr>
            <w:tcW w:w="1115" w:type="dxa"/>
            <w:noWrap/>
            <w:hideMark/>
          </w:tcPr>
          <w:p w14:paraId="6DD1350E"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-2.055</w:t>
            </w:r>
          </w:p>
        </w:tc>
        <w:tc>
          <w:tcPr>
            <w:tcW w:w="1845" w:type="dxa"/>
            <w:noWrap/>
            <w:hideMark/>
          </w:tcPr>
          <w:p w14:paraId="0DED5652"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-1.071</w:t>
            </w:r>
          </w:p>
        </w:tc>
        <w:tc>
          <w:tcPr>
            <w:tcW w:w="1567" w:type="dxa"/>
            <w:noWrap/>
            <w:hideMark/>
          </w:tcPr>
          <w:p w14:paraId="6515418F"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-3.008***</w:t>
            </w:r>
          </w:p>
        </w:tc>
        <w:tc>
          <w:tcPr>
            <w:tcW w:w="2273" w:type="dxa"/>
            <w:noWrap/>
            <w:hideMark/>
          </w:tcPr>
          <w:p w14:paraId="7B80E682"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-4.793***</w:t>
            </w:r>
          </w:p>
        </w:tc>
      </w:tr>
      <w:tr w:rsidR="001F4A37" w:rsidRPr="00950125" w14:paraId="07EC141E" w14:textId="77777777" w:rsidTr="00950125">
        <w:trPr>
          <w:trHeight w:val="323"/>
        </w:trPr>
        <w:tc>
          <w:tcPr>
            <w:tcW w:w="2300" w:type="dxa"/>
            <w:hideMark/>
          </w:tcPr>
          <w:p w14:paraId="03FAD50A" w14:textId="77777777" w:rsidR="001F4A37" w:rsidRPr="00950125" w:rsidRDefault="001F4A37" w:rsidP="00D46E36">
            <w:pPr>
              <w:spacing w:line="276" w:lineRule="auto"/>
              <w:jc w:val="center"/>
              <w:rPr>
                <w:rFonts w:ascii="Times New Roman" w:eastAsia="Times New Roman" w:hAnsi="Times New Roman" w:cs="Times New Roman"/>
                <w:color w:val="000000"/>
                <w:sz w:val="28"/>
              </w:rPr>
            </w:pPr>
            <w:r w:rsidRPr="00950125">
              <w:rPr>
                <w:rFonts w:ascii="Times New Roman" w:eastAsia="Times New Roman" w:hAnsi="Times New Roman" w:cs="Times New Roman"/>
                <w:color w:val="000000"/>
                <w:sz w:val="28"/>
              </w:rPr>
              <w:t>ICT</w:t>
            </w:r>
          </w:p>
        </w:tc>
        <w:tc>
          <w:tcPr>
            <w:tcW w:w="1115" w:type="dxa"/>
            <w:noWrap/>
            <w:hideMark/>
          </w:tcPr>
          <w:p w14:paraId="48CB9814"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-2.196</w:t>
            </w:r>
          </w:p>
        </w:tc>
        <w:tc>
          <w:tcPr>
            <w:tcW w:w="1845" w:type="dxa"/>
            <w:noWrap/>
            <w:hideMark/>
          </w:tcPr>
          <w:p w14:paraId="459620FD"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-1.768</w:t>
            </w:r>
          </w:p>
        </w:tc>
        <w:tc>
          <w:tcPr>
            <w:tcW w:w="1567" w:type="dxa"/>
            <w:noWrap/>
            <w:hideMark/>
          </w:tcPr>
          <w:p w14:paraId="2B7C6F11"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-3.429***</w:t>
            </w:r>
          </w:p>
        </w:tc>
        <w:tc>
          <w:tcPr>
            <w:tcW w:w="2273" w:type="dxa"/>
            <w:noWrap/>
            <w:hideMark/>
          </w:tcPr>
          <w:p w14:paraId="5FBD9AE4"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-2.245***</w:t>
            </w:r>
          </w:p>
        </w:tc>
      </w:tr>
      <w:tr w:rsidR="001F4A37" w:rsidRPr="00950125" w14:paraId="76417589" w14:textId="77777777" w:rsidTr="00950125">
        <w:trPr>
          <w:trHeight w:val="323"/>
        </w:trPr>
        <w:tc>
          <w:tcPr>
            <w:tcW w:w="2300" w:type="dxa"/>
            <w:hideMark/>
          </w:tcPr>
          <w:p w14:paraId="06CC7CF9" w14:textId="77777777" w:rsidR="001F4A37" w:rsidRPr="00950125" w:rsidRDefault="001F4A37" w:rsidP="00D46E36">
            <w:pPr>
              <w:spacing w:line="276" w:lineRule="auto"/>
              <w:jc w:val="center"/>
              <w:rPr>
                <w:rFonts w:ascii="Times New Roman" w:eastAsia="Times New Roman" w:hAnsi="Times New Roman" w:cs="Times New Roman"/>
                <w:color w:val="000000"/>
                <w:sz w:val="28"/>
              </w:rPr>
            </w:pPr>
            <w:r w:rsidRPr="00950125">
              <w:rPr>
                <w:rFonts w:ascii="Times New Roman" w:eastAsia="Times New Roman" w:hAnsi="Times New Roman" w:cs="Times New Roman"/>
                <w:color w:val="000000"/>
                <w:sz w:val="28"/>
              </w:rPr>
              <w:t>EF</w:t>
            </w:r>
          </w:p>
        </w:tc>
        <w:tc>
          <w:tcPr>
            <w:tcW w:w="1115" w:type="dxa"/>
            <w:noWrap/>
            <w:hideMark/>
          </w:tcPr>
          <w:p w14:paraId="6DE3072A"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-2.27</w:t>
            </w:r>
          </w:p>
        </w:tc>
        <w:tc>
          <w:tcPr>
            <w:tcW w:w="1845" w:type="dxa"/>
            <w:noWrap/>
            <w:hideMark/>
          </w:tcPr>
          <w:p w14:paraId="3996C4A1"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-2.54</w:t>
            </w:r>
          </w:p>
        </w:tc>
        <w:tc>
          <w:tcPr>
            <w:tcW w:w="1567" w:type="dxa"/>
            <w:noWrap/>
            <w:hideMark/>
          </w:tcPr>
          <w:p w14:paraId="68021D64"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-2.307***</w:t>
            </w:r>
          </w:p>
        </w:tc>
        <w:tc>
          <w:tcPr>
            <w:tcW w:w="2273" w:type="dxa"/>
            <w:noWrap/>
            <w:hideMark/>
          </w:tcPr>
          <w:p w14:paraId="342E7B6B"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-3.558***</w:t>
            </w:r>
          </w:p>
        </w:tc>
      </w:tr>
      <w:tr w:rsidR="001F4A37" w:rsidRPr="00950125" w14:paraId="00F397AF" w14:textId="77777777" w:rsidTr="00950125">
        <w:trPr>
          <w:trHeight w:val="323"/>
        </w:trPr>
        <w:tc>
          <w:tcPr>
            <w:tcW w:w="2300" w:type="dxa"/>
            <w:hideMark/>
          </w:tcPr>
          <w:p w14:paraId="4846F56A" w14:textId="77777777" w:rsidR="001F4A37" w:rsidRPr="00950125" w:rsidRDefault="001F4A37" w:rsidP="00D46E36">
            <w:pPr>
              <w:spacing w:line="276" w:lineRule="auto"/>
              <w:jc w:val="center"/>
              <w:rPr>
                <w:rFonts w:ascii="Times New Roman" w:eastAsia="Times New Roman" w:hAnsi="Times New Roman" w:cs="Times New Roman"/>
                <w:color w:val="000000"/>
                <w:sz w:val="28"/>
              </w:rPr>
            </w:pPr>
            <w:r w:rsidRPr="00950125">
              <w:rPr>
                <w:rFonts w:ascii="Times New Roman" w:eastAsia="Times New Roman" w:hAnsi="Times New Roman" w:cs="Times New Roman"/>
                <w:color w:val="000000"/>
                <w:sz w:val="28"/>
              </w:rPr>
              <w:t>NNR</w:t>
            </w:r>
          </w:p>
        </w:tc>
        <w:tc>
          <w:tcPr>
            <w:tcW w:w="1115" w:type="dxa"/>
            <w:noWrap/>
            <w:hideMark/>
          </w:tcPr>
          <w:p w14:paraId="6541CC08"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-2.241</w:t>
            </w:r>
          </w:p>
        </w:tc>
        <w:tc>
          <w:tcPr>
            <w:tcW w:w="1845" w:type="dxa"/>
            <w:noWrap/>
            <w:hideMark/>
          </w:tcPr>
          <w:p w14:paraId="283D37A8"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-1.631</w:t>
            </w:r>
          </w:p>
        </w:tc>
        <w:tc>
          <w:tcPr>
            <w:tcW w:w="1567" w:type="dxa"/>
            <w:noWrap/>
            <w:hideMark/>
          </w:tcPr>
          <w:p w14:paraId="4F8CFF52"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-6.564***</w:t>
            </w:r>
          </w:p>
        </w:tc>
        <w:tc>
          <w:tcPr>
            <w:tcW w:w="2273" w:type="dxa"/>
            <w:noWrap/>
            <w:hideMark/>
          </w:tcPr>
          <w:p w14:paraId="6F2BDE14"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-5.172***</w:t>
            </w:r>
          </w:p>
        </w:tc>
      </w:tr>
      <w:tr w:rsidR="001F4A37" w:rsidRPr="00950125" w14:paraId="5F4C65CF" w14:textId="77777777" w:rsidTr="00950125">
        <w:trPr>
          <w:trHeight w:val="323"/>
        </w:trPr>
        <w:tc>
          <w:tcPr>
            <w:tcW w:w="2300" w:type="dxa"/>
            <w:hideMark/>
          </w:tcPr>
          <w:p w14:paraId="1C0ED624" w14:textId="77777777" w:rsidR="001F4A37" w:rsidRPr="00950125" w:rsidRDefault="001F4A37" w:rsidP="00D46E36">
            <w:pPr>
              <w:spacing w:line="276" w:lineRule="auto"/>
              <w:jc w:val="center"/>
              <w:rPr>
                <w:rFonts w:ascii="Times New Roman" w:eastAsia="Times New Roman" w:hAnsi="Times New Roman" w:cs="Times New Roman"/>
                <w:color w:val="000000"/>
                <w:sz w:val="28"/>
              </w:rPr>
            </w:pPr>
            <w:r w:rsidRPr="00950125">
              <w:rPr>
                <w:rFonts w:ascii="Times New Roman" w:eastAsia="Times New Roman" w:hAnsi="Times New Roman" w:cs="Times New Roman"/>
                <w:color w:val="000000"/>
                <w:sz w:val="28"/>
              </w:rPr>
              <w:t>HCD</w:t>
            </w:r>
          </w:p>
        </w:tc>
        <w:tc>
          <w:tcPr>
            <w:tcW w:w="1115" w:type="dxa"/>
            <w:noWrap/>
            <w:hideMark/>
          </w:tcPr>
          <w:p w14:paraId="0039D416"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-2.752</w:t>
            </w:r>
          </w:p>
        </w:tc>
        <w:tc>
          <w:tcPr>
            <w:tcW w:w="1845" w:type="dxa"/>
            <w:noWrap/>
            <w:hideMark/>
          </w:tcPr>
          <w:p w14:paraId="458A0707"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-2.857</w:t>
            </w:r>
          </w:p>
        </w:tc>
        <w:tc>
          <w:tcPr>
            <w:tcW w:w="1567" w:type="dxa"/>
            <w:noWrap/>
            <w:hideMark/>
          </w:tcPr>
          <w:p w14:paraId="5B3C6E1F"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-2.015***</w:t>
            </w:r>
          </w:p>
        </w:tc>
        <w:tc>
          <w:tcPr>
            <w:tcW w:w="2273" w:type="dxa"/>
            <w:noWrap/>
            <w:hideMark/>
          </w:tcPr>
          <w:p w14:paraId="38599240"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-3.409***</w:t>
            </w:r>
          </w:p>
        </w:tc>
      </w:tr>
      <w:tr w:rsidR="001F4A37" w:rsidRPr="00950125" w14:paraId="5A3B91C6" w14:textId="77777777" w:rsidTr="00950125">
        <w:trPr>
          <w:trHeight w:val="315"/>
        </w:trPr>
        <w:tc>
          <w:tcPr>
            <w:tcW w:w="2300" w:type="dxa"/>
            <w:noWrap/>
            <w:hideMark/>
          </w:tcPr>
          <w:p w14:paraId="10EA97C2" w14:textId="77777777" w:rsidR="001F4A37" w:rsidRPr="00950125" w:rsidRDefault="001F4A37" w:rsidP="00D46E36">
            <w:pPr>
              <w:spacing w:line="276" w:lineRule="auto"/>
              <w:jc w:val="center"/>
              <w:rPr>
                <w:rFonts w:ascii="Times New Roman" w:eastAsia="Times New Roman" w:hAnsi="Times New Roman" w:cs="Times New Roman"/>
                <w:i/>
                <w:iCs/>
                <w:color w:val="000000"/>
                <w:sz w:val="28"/>
                <w:szCs w:val="24"/>
              </w:rPr>
            </w:pPr>
            <w:r w:rsidRPr="00950125">
              <w:rPr>
                <w:rFonts w:ascii="Times New Roman" w:eastAsia="Times New Roman" w:hAnsi="Times New Roman" w:cs="Times New Roman"/>
                <w:i/>
                <w:iCs/>
                <w:color w:val="000000"/>
                <w:sz w:val="28"/>
                <w:szCs w:val="24"/>
              </w:rPr>
              <w:t>Y</w:t>
            </w:r>
          </w:p>
        </w:tc>
        <w:tc>
          <w:tcPr>
            <w:tcW w:w="1115" w:type="dxa"/>
            <w:noWrap/>
            <w:hideMark/>
          </w:tcPr>
          <w:p w14:paraId="12CCB3FD"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-2.721</w:t>
            </w:r>
          </w:p>
        </w:tc>
        <w:tc>
          <w:tcPr>
            <w:tcW w:w="1845" w:type="dxa"/>
            <w:noWrap/>
            <w:hideMark/>
          </w:tcPr>
          <w:p w14:paraId="5221A177"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-1.74</w:t>
            </w:r>
          </w:p>
        </w:tc>
        <w:tc>
          <w:tcPr>
            <w:tcW w:w="1567" w:type="dxa"/>
            <w:noWrap/>
            <w:hideMark/>
          </w:tcPr>
          <w:p w14:paraId="6F3C20AE"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-6.73***</w:t>
            </w:r>
          </w:p>
        </w:tc>
        <w:tc>
          <w:tcPr>
            <w:tcW w:w="2273" w:type="dxa"/>
            <w:noWrap/>
            <w:hideMark/>
          </w:tcPr>
          <w:p w14:paraId="70BE93DE"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4"/>
              </w:rPr>
            </w:pPr>
            <w:r w:rsidRPr="00950125">
              <w:rPr>
                <w:rFonts w:ascii="Times New Roman" w:eastAsia="Times New Roman" w:hAnsi="Times New Roman" w:cs="Times New Roman"/>
                <w:b/>
                <w:color w:val="000000"/>
                <w:sz w:val="28"/>
                <w:szCs w:val="24"/>
              </w:rPr>
              <w:t>-5.603***</w:t>
            </w:r>
          </w:p>
        </w:tc>
      </w:tr>
    </w:tbl>
    <w:p w14:paraId="3651CB6C" w14:textId="485DD3E2" w:rsidR="00F965BC" w:rsidRPr="00950125" w:rsidRDefault="00F965BC" w:rsidP="00D46E36">
      <w:pPr>
        <w:pStyle w:val="ng-star-inserted"/>
        <w:shd w:val="clear" w:color="auto" w:fill="FFFFFF"/>
        <w:spacing w:after="270" w:afterAutospacing="0" w:line="276" w:lineRule="auto"/>
        <w:jc w:val="both"/>
        <w:rPr>
          <w:rFonts w:eastAsiaTheme="minorHAnsi"/>
          <w:szCs w:val="22"/>
        </w:rPr>
      </w:pPr>
      <w:r w:rsidRPr="00950125">
        <w:rPr>
          <w:rFonts w:eastAsiaTheme="minorHAnsi"/>
          <w:szCs w:val="22"/>
        </w:rPr>
        <w:t xml:space="preserve">When tested at their levels, neither the CIPS nor the CADF tests are able to reject the null hypothesis of a unit root for any of the variables. The test statistics for REC (-1.263) and CO2 ( -1.285) are all statistically insignificant, leading to the conclusion that all variables are non-stationary in their original form. However, after transforming the variables into their first </w:t>
      </w:r>
      <w:r w:rsidRPr="00950125">
        <w:rPr>
          <w:rFonts w:eastAsiaTheme="minorHAnsi"/>
          <w:szCs w:val="22"/>
        </w:rPr>
        <w:lastRenderedPageBreak/>
        <w:t>difference (Δ), there is a universal and strong rejection of the unit root hypothesis. The test statistics from both CIPS and CADF become highly significant at the 1% level for every single variable. For instance, the CIPS statistic for CO2 emissions drops to -6.851*** and Renewable Energy Consumption to -5.223***, providing powerful evidence of stationarity. Similarly, the CADF test statistics (e.g., -5.196*** for REC, -4.083*** for CO2) are all significant and corroborate the CIPS results.</w:t>
      </w:r>
    </w:p>
    <w:p w14:paraId="0B7A78FB" w14:textId="77777777" w:rsidR="00F965BC" w:rsidRPr="00950125" w:rsidRDefault="00F965BC" w:rsidP="00D46E36">
      <w:pPr>
        <w:pStyle w:val="ng-star-inserted"/>
        <w:shd w:val="clear" w:color="auto" w:fill="FFFFFF"/>
        <w:spacing w:after="270" w:afterAutospacing="0" w:line="276" w:lineRule="auto"/>
        <w:jc w:val="both"/>
        <w:rPr>
          <w:rFonts w:eastAsiaTheme="minorHAnsi"/>
          <w:szCs w:val="22"/>
        </w:rPr>
      </w:pPr>
      <w:r w:rsidRPr="00950125">
        <w:rPr>
          <w:rFonts w:eastAsiaTheme="minorHAnsi"/>
          <w:szCs w:val="22"/>
        </w:rPr>
        <w:t>The conclusion from this analysis is that all variables are integrated of order one, I(1). This shared order of integration is a fundamental prerequisite that allows for the investigation of a potential long-run cointegrating relationship between the variables, paving the way for the next stage of the analysis.</w:t>
      </w:r>
    </w:p>
    <w:p w14:paraId="280989DD" w14:textId="7789C2EF" w:rsidR="00F965BC" w:rsidRPr="00950125" w:rsidRDefault="00F965BC" w:rsidP="00D46E36">
      <w:pPr>
        <w:pStyle w:val="Heading2"/>
        <w:numPr>
          <w:ilvl w:val="0"/>
          <w:numId w:val="16"/>
        </w:numPr>
        <w:spacing w:line="276" w:lineRule="auto"/>
        <w:rPr>
          <w:rFonts w:ascii="Times New Roman" w:hAnsi="Times New Roman" w:cs="Times New Roman"/>
          <w:b/>
          <w:color w:val="1A1C1E"/>
          <w:sz w:val="21"/>
          <w:szCs w:val="21"/>
          <w:u w:val="single"/>
        </w:rPr>
      </w:pPr>
      <w:bookmarkStart w:id="51" w:name="_Toc204723907"/>
      <w:r w:rsidRPr="00950125">
        <w:rPr>
          <w:rFonts w:ascii="Times New Roman" w:hAnsi="Times New Roman" w:cs="Times New Roman"/>
          <w:b/>
          <w:u w:val="single"/>
        </w:rPr>
        <w:t>Panel Cointegration Test Results</w:t>
      </w:r>
      <w:bookmarkEnd w:id="51"/>
    </w:p>
    <w:p w14:paraId="27B19D0B" w14:textId="43E0AD92" w:rsidR="00447C69" w:rsidRPr="00F4455B" w:rsidRDefault="00447C69" w:rsidP="00D46E36">
      <w:pPr>
        <w:pStyle w:val="ng-star-inserted"/>
        <w:shd w:val="clear" w:color="auto" w:fill="FFFFFF"/>
        <w:spacing w:after="270" w:afterAutospacing="0" w:line="276" w:lineRule="auto"/>
        <w:jc w:val="both"/>
        <w:rPr>
          <w:rFonts w:eastAsiaTheme="minorHAnsi"/>
          <w:szCs w:val="22"/>
        </w:rPr>
      </w:pPr>
      <w:r w:rsidRPr="00950125">
        <w:rPr>
          <w:rFonts w:eastAsiaTheme="minorHAnsi"/>
          <w:szCs w:val="22"/>
        </w:rPr>
        <w:t>The next step is to test for the presence of a long-run cointegrating relationship. This study employs two sets of advanced, second-generation cointegration tests: the Westerlund and Edgerton (2008) test, which accounts for structural breaks, and the Westerlund (2007) error-correction based test.</w:t>
      </w:r>
    </w:p>
    <w:p w14:paraId="06D14A31" w14:textId="77BCFEE9" w:rsidR="001F4A37" w:rsidRPr="00950125" w:rsidRDefault="00F4455B" w:rsidP="00D46E36">
      <w:pPr>
        <w:pStyle w:val="Caption"/>
        <w:spacing w:line="276" w:lineRule="auto"/>
        <w:rPr>
          <w:rFonts w:ascii="Times New Roman" w:hAnsi="Times New Roman" w:cs="Times New Roman"/>
          <w:b/>
          <w:i w:val="0"/>
        </w:rPr>
      </w:pPr>
      <w:bookmarkStart w:id="52" w:name="_Toc204723238"/>
      <w:r>
        <w:t xml:space="preserve">Table </w:t>
      </w:r>
      <w:r w:rsidR="0029645F">
        <w:rPr>
          <w:noProof/>
        </w:rPr>
        <w:fldChar w:fldCharType="begin"/>
      </w:r>
      <w:r w:rsidR="0029645F">
        <w:rPr>
          <w:noProof/>
        </w:rPr>
        <w:instrText xml:space="preserve"> SEQ Table \* ARABIC </w:instrText>
      </w:r>
      <w:r w:rsidR="0029645F">
        <w:rPr>
          <w:noProof/>
        </w:rPr>
        <w:fldChar w:fldCharType="separate"/>
      </w:r>
      <w:r w:rsidR="003F2868">
        <w:rPr>
          <w:noProof/>
        </w:rPr>
        <w:t>8</w:t>
      </w:r>
      <w:r w:rsidR="0029645F">
        <w:rPr>
          <w:noProof/>
        </w:rPr>
        <w:fldChar w:fldCharType="end"/>
      </w:r>
      <w:r w:rsidR="00F965BC" w:rsidRPr="00950125">
        <w:rPr>
          <w:rFonts w:ascii="Times New Roman" w:hAnsi="Times New Roman" w:cs="Times New Roman"/>
          <w:b/>
          <w:i w:val="0"/>
        </w:rPr>
        <w:t xml:space="preserve">: </w:t>
      </w:r>
      <w:r w:rsidR="001F4A37" w:rsidRPr="00950125">
        <w:rPr>
          <w:rFonts w:ascii="Times New Roman" w:hAnsi="Times New Roman" w:cs="Times New Roman"/>
          <w:b/>
          <w:i w:val="0"/>
        </w:rPr>
        <w:t>Output of cointegration test</w:t>
      </w:r>
      <w:bookmarkEnd w:id="52"/>
    </w:p>
    <w:tbl>
      <w:tblPr>
        <w:tblStyle w:val="TableGridLight"/>
        <w:tblW w:w="10261" w:type="dxa"/>
        <w:tblLook w:val="04A0" w:firstRow="1" w:lastRow="0" w:firstColumn="1" w:lastColumn="0" w:noHBand="0" w:noVBand="1"/>
      </w:tblPr>
      <w:tblGrid>
        <w:gridCol w:w="1255"/>
        <w:gridCol w:w="1530"/>
        <w:gridCol w:w="1530"/>
        <w:gridCol w:w="1530"/>
        <w:gridCol w:w="1530"/>
        <w:gridCol w:w="1480"/>
        <w:gridCol w:w="1406"/>
      </w:tblGrid>
      <w:tr w:rsidR="001F4A37" w:rsidRPr="00950125" w14:paraId="7C9809C0" w14:textId="77777777" w:rsidTr="00950125">
        <w:trPr>
          <w:trHeight w:val="285"/>
        </w:trPr>
        <w:tc>
          <w:tcPr>
            <w:tcW w:w="10261" w:type="dxa"/>
            <w:gridSpan w:val="7"/>
            <w:noWrap/>
            <w:hideMark/>
          </w:tcPr>
          <w:p w14:paraId="2617DD78" w14:textId="1893C50F" w:rsidR="001F4A37" w:rsidRPr="00950125" w:rsidRDefault="00D97BAA" w:rsidP="00D46E36">
            <w:pPr>
              <w:spacing w:line="276" w:lineRule="auto"/>
              <w:jc w:val="center"/>
              <w:rPr>
                <w:rFonts w:ascii="Times New Roman" w:eastAsia="Times New Roman" w:hAnsi="Times New Roman" w:cs="Times New Roman"/>
                <w:color w:val="000000"/>
                <w:sz w:val="28"/>
                <w:szCs w:val="26"/>
              </w:rPr>
            </w:pPr>
            <w:r w:rsidRPr="00950125">
              <w:rPr>
                <w:rFonts w:ascii="Times New Roman" w:eastAsia="Times New Roman" w:hAnsi="Times New Roman" w:cs="Times New Roman"/>
                <w:color w:val="000000"/>
                <w:sz w:val="28"/>
                <w:szCs w:val="26"/>
              </w:rPr>
              <w:t>Panel A</w:t>
            </w:r>
            <w:r w:rsidR="008A4ED5" w:rsidRPr="00950125">
              <w:rPr>
                <w:rFonts w:ascii="Times New Roman" w:eastAsia="Times New Roman" w:hAnsi="Times New Roman" w:cs="Times New Roman"/>
                <w:color w:val="000000"/>
                <w:sz w:val="28"/>
                <w:szCs w:val="26"/>
              </w:rPr>
              <w:t>: Cointegration T</w:t>
            </w:r>
            <w:r w:rsidR="001F4A37" w:rsidRPr="00950125">
              <w:rPr>
                <w:rFonts w:ascii="Times New Roman" w:eastAsia="Times New Roman" w:hAnsi="Times New Roman" w:cs="Times New Roman"/>
                <w:color w:val="000000"/>
                <w:sz w:val="28"/>
                <w:szCs w:val="26"/>
              </w:rPr>
              <w:t>est of Westerlund and Edgerton (2008)</w:t>
            </w:r>
          </w:p>
        </w:tc>
      </w:tr>
      <w:tr w:rsidR="001F4A37" w:rsidRPr="00950125" w14:paraId="319D6DC2" w14:textId="77777777" w:rsidTr="00950125">
        <w:trPr>
          <w:trHeight w:val="285"/>
        </w:trPr>
        <w:tc>
          <w:tcPr>
            <w:tcW w:w="1255" w:type="dxa"/>
            <w:noWrap/>
            <w:hideMark/>
          </w:tcPr>
          <w:p w14:paraId="6FBAFDB0" w14:textId="7456633B" w:rsidR="001F4A37" w:rsidRPr="00950125" w:rsidRDefault="001F4A37" w:rsidP="00D46E36">
            <w:pPr>
              <w:spacing w:line="276" w:lineRule="auto"/>
              <w:jc w:val="center"/>
              <w:rPr>
                <w:rFonts w:ascii="Times New Roman" w:eastAsia="Times New Roman" w:hAnsi="Times New Roman" w:cs="Times New Roman"/>
                <w:color w:val="000000"/>
                <w:sz w:val="28"/>
                <w:szCs w:val="26"/>
              </w:rPr>
            </w:pPr>
          </w:p>
        </w:tc>
        <w:tc>
          <w:tcPr>
            <w:tcW w:w="3060" w:type="dxa"/>
            <w:gridSpan w:val="2"/>
            <w:noWrap/>
            <w:hideMark/>
          </w:tcPr>
          <w:p w14:paraId="73A33B5A" w14:textId="53F33AEB" w:rsidR="001F4A37" w:rsidRPr="00950125" w:rsidRDefault="008A4ED5"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No S</w:t>
            </w:r>
            <w:r w:rsidR="001F4A37" w:rsidRPr="00950125">
              <w:rPr>
                <w:rFonts w:ascii="Times New Roman" w:eastAsia="Times New Roman" w:hAnsi="Times New Roman" w:cs="Times New Roman"/>
                <w:b/>
                <w:color w:val="000000"/>
                <w:sz w:val="28"/>
                <w:szCs w:val="26"/>
              </w:rPr>
              <w:t>hift</w:t>
            </w:r>
          </w:p>
        </w:tc>
        <w:tc>
          <w:tcPr>
            <w:tcW w:w="3060" w:type="dxa"/>
            <w:gridSpan w:val="2"/>
            <w:noWrap/>
            <w:hideMark/>
          </w:tcPr>
          <w:p w14:paraId="5828D39F" w14:textId="39A618B0" w:rsidR="001F4A37" w:rsidRPr="00950125" w:rsidRDefault="008A4ED5"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Mean S</w:t>
            </w:r>
            <w:r w:rsidR="001F4A37" w:rsidRPr="00950125">
              <w:rPr>
                <w:rFonts w:ascii="Times New Roman" w:eastAsia="Times New Roman" w:hAnsi="Times New Roman" w:cs="Times New Roman"/>
                <w:b/>
                <w:color w:val="000000"/>
                <w:sz w:val="28"/>
                <w:szCs w:val="26"/>
              </w:rPr>
              <w:t>hift</w:t>
            </w:r>
          </w:p>
        </w:tc>
        <w:tc>
          <w:tcPr>
            <w:tcW w:w="2886" w:type="dxa"/>
            <w:gridSpan w:val="2"/>
            <w:noWrap/>
            <w:hideMark/>
          </w:tcPr>
          <w:p w14:paraId="314B5234" w14:textId="5D8AE4C2" w:rsidR="001F4A37" w:rsidRPr="00950125" w:rsidRDefault="008A4ED5"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Regi</w:t>
            </w:r>
            <w:r w:rsidR="00447C69" w:rsidRPr="00950125">
              <w:rPr>
                <w:rFonts w:ascii="Times New Roman" w:eastAsia="Times New Roman" w:hAnsi="Times New Roman" w:cs="Times New Roman"/>
                <w:b/>
                <w:color w:val="000000"/>
                <w:sz w:val="28"/>
                <w:szCs w:val="26"/>
              </w:rPr>
              <w:t>me</w:t>
            </w:r>
            <w:r w:rsidRPr="00950125">
              <w:rPr>
                <w:rFonts w:ascii="Times New Roman" w:eastAsia="Times New Roman" w:hAnsi="Times New Roman" w:cs="Times New Roman"/>
                <w:b/>
                <w:color w:val="000000"/>
                <w:sz w:val="28"/>
                <w:szCs w:val="26"/>
              </w:rPr>
              <w:t xml:space="preserve"> S</w:t>
            </w:r>
            <w:r w:rsidR="001F4A37" w:rsidRPr="00950125">
              <w:rPr>
                <w:rFonts w:ascii="Times New Roman" w:eastAsia="Times New Roman" w:hAnsi="Times New Roman" w:cs="Times New Roman"/>
                <w:b/>
                <w:color w:val="000000"/>
                <w:sz w:val="28"/>
                <w:szCs w:val="26"/>
              </w:rPr>
              <w:t>hift</w:t>
            </w:r>
          </w:p>
        </w:tc>
      </w:tr>
      <w:tr w:rsidR="001F4A37" w:rsidRPr="00950125" w14:paraId="5EC684A8" w14:textId="77777777" w:rsidTr="00950125">
        <w:trPr>
          <w:trHeight w:val="285"/>
        </w:trPr>
        <w:tc>
          <w:tcPr>
            <w:tcW w:w="1255" w:type="dxa"/>
            <w:noWrap/>
            <w:hideMark/>
          </w:tcPr>
          <w:p w14:paraId="7F886F48" w14:textId="3FA19B59" w:rsidR="001F4A37" w:rsidRPr="00950125" w:rsidRDefault="001F4A37" w:rsidP="00D46E36">
            <w:pPr>
              <w:spacing w:line="276" w:lineRule="auto"/>
              <w:jc w:val="center"/>
              <w:rPr>
                <w:rFonts w:ascii="Times New Roman" w:eastAsia="Times New Roman" w:hAnsi="Times New Roman" w:cs="Times New Roman"/>
                <w:color w:val="000000"/>
                <w:sz w:val="28"/>
                <w:szCs w:val="26"/>
              </w:rPr>
            </w:pPr>
          </w:p>
        </w:tc>
        <w:tc>
          <w:tcPr>
            <w:tcW w:w="1530" w:type="dxa"/>
            <w:noWrap/>
            <w:hideMark/>
          </w:tcPr>
          <w:p w14:paraId="30222C1F"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LMг</w:t>
            </w:r>
          </w:p>
        </w:tc>
        <w:tc>
          <w:tcPr>
            <w:tcW w:w="1530" w:type="dxa"/>
            <w:noWrap/>
            <w:hideMark/>
          </w:tcPr>
          <w:p w14:paraId="2A036A9E"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LMΦ</w:t>
            </w:r>
          </w:p>
        </w:tc>
        <w:tc>
          <w:tcPr>
            <w:tcW w:w="1530" w:type="dxa"/>
            <w:noWrap/>
            <w:hideMark/>
          </w:tcPr>
          <w:p w14:paraId="601E0291"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LMг</w:t>
            </w:r>
          </w:p>
        </w:tc>
        <w:tc>
          <w:tcPr>
            <w:tcW w:w="1530" w:type="dxa"/>
            <w:noWrap/>
            <w:hideMark/>
          </w:tcPr>
          <w:p w14:paraId="7A556657"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LMΦ</w:t>
            </w:r>
          </w:p>
        </w:tc>
        <w:tc>
          <w:tcPr>
            <w:tcW w:w="1480" w:type="dxa"/>
            <w:noWrap/>
            <w:hideMark/>
          </w:tcPr>
          <w:p w14:paraId="39440680"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LMг</w:t>
            </w:r>
          </w:p>
        </w:tc>
        <w:tc>
          <w:tcPr>
            <w:tcW w:w="1406" w:type="dxa"/>
            <w:noWrap/>
            <w:hideMark/>
          </w:tcPr>
          <w:p w14:paraId="01BA2FC0"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LMΦ</w:t>
            </w:r>
          </w:p>
        </w:tc>
      </w:tr>
      <w:tr w:rsidR="001F4A37" w:rsidRPr="00950125" w14:paraId="0DB6F5FC" w14:textId="77777777" w:rsidTr="00950125">
        <w:trPr>
          <w:trHeight w:val="285"/>
        </w:trPr>
        <w:tc>
          <w:tcPr>
            <w:tcW w:w="1255" w:type="dxa"/>
            <w:noWrap/>
            <w:hideMark/>
          </w:tcPr>
          <w:p w14:paraId="00DC0BD0" w14:textId="77777777" w:rsidR="001F4A37" w:rsidRPr="00950125" w:rsidRDefault="001F4A37" w:rsidP="00D46E36">
            <w:pPr>
              <w:spacing w:line="276" w:lineRule="auto"/>
              <w:jc w:val="center"/>
              <w:rPr>
                <w:rFonts w:ascii="Times New Roman" w:eastAsia="Times New Roman" w:hAnsi="Times New Roman" w:cs="Times New Roman"/>
                <w:color w:val="000000"/>
                <w:sz w:val="28"/>
                <w:szCs w:val="26"/>
              </w:rPr>
            </w:pPr>
            <w:r w:rsidRPr="00950125">
              <w:rPr>
                <w:rFonts w:ascii="Times New Roman" w:eastAsia="Times New Roman" w:hAnsi="Times New Roman" w:cs="Times New Roman"/>
                <w:color w:val="000000"/>
                <w:sz w:val="28"/>
                <w:szCs w:val="26"/>
              </w:rPr>
              <w:t>Model 1</w:t>
            </w:r>
          </w:p>
        </w:tc>
        <w:tc>
          <w:tcPr>
            <w:tcW w:w="1530" w:type="dxa"/>
            <w:noWrap/>
            <w:hideMark/>
          </w:tcPr>
          <w:p w14:paraId="14BDC876"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-4.9969***</w:t>
            </w:r>
          </w:p>
        </w:tc>
        <w:tc>
          <w:tcPr>
            <w:tcW w:w="1530" w:type="dxa"/>
            <w:noWrap/>
            <w:hideMark/>
          </w:tcPr>
          <w:p w14:paraId="4FC01C8D"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-2.4528***</w:t>
            </w:r>
          </w:p>
        </w:tc>
        <w:tc>
          <w:tcPr>
            <w:tcW w:w="1530" w:type="dxa"/>
            <w:noWrap/>
            <w:hideMark/>
          </w:tcPr>
          <w:p w14:paraId="18142FB8"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-3.4191***</w:t>
            </w:r>
          </w:p>
        </w:tc>
        <w:tc>
          <w:tcPr>
            <w:tcW w:w="1530" w:type="dxa"/>
            <w:noWrap/>
            <w:hideMark/>
          </w:tcPr>
          <w:p w14:paraId="59776395"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-4.9529***</w:t>
            </w:r>
          </w:p>
        </w:tc>
        <w:tc>
          <w:tcPr>
            <w:tcW w:w="1480" w:type="dxa"/>
            <w:noWrap/>
            <w:hideMark/>
          </w:tcPr>
          <w:p w14:paraId="54343EBE"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-2.7016***</w:t>
            </w:r>
          </w:p>
        </w:tc>
        <w:tc>
          <w:tcPr>
            <w:tcW w:w="1406" w:type="dxa"/>
            <w:noWrap/>
            <w:hideMark/>
          </w:tcPr>
          <w:p w14:paraId="7357E346"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-2.3942***</w:t>
            </w:r>
          </w:p>
        </w:tc>
      </w:tr>
      <w:tr w:rsidR="001F4A37" w:rsidRPr="00950125" w14:paraId="0D4F0DC3" w14:textId="77777777" w:rsidTr="00950125">
        <w:trPr>
          <w:trHeight w:val="285"/>
        </w:trPr>
        <w:tc>
          <w:tcPr>
            <w:tcW w:w="1255" w:type="dxa"/>
            <w:noWrap/>
            <w:hideMark/>
          </w:tcPr>
          <w:p w14:paraId="3F077A45" w14:textId="77777777" w:rsidR="001F4A37" w:rsidRPr="00950125" w:rsidRDefault="001F4A37" w:rsidP="00D46E36">
            <w:pPr>
              <w:spacing w:line="276" w:lineRule="auto"/>
              <w:jc w:val="center"/>
              <w:rPr>
                <w:rFonts w:ascii="Times New Roman" w:eastAsia="Times New Roman" w:hAnsi="Times New Roman" w:cs="Times New Roman"/>
                <w:color w:val="000000"/>
                <w:sz w:val="28"/>
                <w:szCs w:val="26"/>
              </w:rPr>
            </w:pPr>
            <w:r w:rsidRPr="00950125">
              <w:rPr>
                <w:rFonts w:ascii="Times New Roman" w:eastAsia="Times New Roman" w:hAnsi="Times New Roman" w:cs="Times New Roman"/>
                <w:color w:val="000000"/>
                <w:sz w:val="28"/>
                <w:szCs w:val="26"/>
              </w:rPr>
              <w:t>Model 2</w:t>
            </w:r>
          </w:p>
        </w:tc>
        <w:tc>
          <w:tcPr>
            <w:tcW w:w="1530" w:type="dxa"/>
            <w:noWrap/>
            <w:hideMark/>
          </w:tcPr>
          <w:p w14:paraId="1CEA8BF9"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-4.4827***</w:t>
            </w:r>
          </w:p>
        </w:tc>
        <w:tc>
          <w:tcPr>
            <w:tcW w:w="1530" w:type="dxa"/>
            <w:noWrap/>
            <w:hideMark/>
          </w:tcPr>
          <w:p w14:paraId="6D08A04D"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-4.3887***</w:t>
            </w:r>
          </w:p>
        </w:tc>
        <w:tc>
          <w:tcPr>
            <w:tcW w:w="1530" w:type="dxa"/>
            <w:noWrap/>
            <w:hideMark/>
          </w:tcPr>
          <w:p w14:paraId="7EFAA9CC"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-2.9075***</w:t>
            </w:r>
          </w:p>
        </w:tc>
        <w:tc>
          <w:tcPr>
            <w:tcW w:w="1530" w:type="dxa"/>
            <w:noWrap/>
            <w:hideMark/>
          </w:tcPr>
          <w:p w14:paraId="7150F2D0"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-4.3665***</w:t>
            </w:r>
          </w:p>
        </w:tc>
        <w:tc>
          <w:tcPr>
            <w:tcW w:w="1480" w:type="dxa"/>
            <w:noWrap/>
            <w:hideMark/>
          </w:tcPr>
          <w:p w14:paraId="49801192"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-3.1246***</w:t>
            </w:r>
          </w:p>
        </w:tc>
        <w:tc>
          <w:tcPr>
            <w:tcW w:w="1406" w:type="dxa"/>
            <w:noWrap/>
            <w:hideMark/>
          </w:tcPr>
          <w:p w14:paraId="512ED931"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-3.7256***</w:t>
            </w:r>
          </w:p>
        </w:tc>
      </w:tr>
      <w:tr w:rsidR="00D97BAA" w:rsidRPr="00950125" w14:paraId="35452341" w14:textId="77777777" w:rsidTr="00950125">
        <w:trPr>
          <w:trHeight w:val="285"/>
        </w:trPr>
        <w:tc>
          <w:tcPr>
            <w:tcW w:w="10261" w:type="dxa"/>
            <w:gridSpan w:val="7"/>
            <w:noWrap/>
          </w:tcPr>
          <w:p w14:paraId="2CCFA6F7" w14:textId="62C500AA" w:rsidR="00D97BAA" w:rsidRPr="00950125" w:rsidRDefault="00D97BAA" w:rsidP="00D46E36">
            <w:pPr>
              <w:spacing w:line="276" w:lineRule="auto"/>
              <w:jc w:val="center"/>
              <w:rPr>
                <w:rFonts w:ascii="Times New Roman" w:eastAsia="Times New Roman" w:hAnsi="Times New Roman" w:cs="Times New Roman"/>
                <w:color w:val="000000"/>
                <w:sz w:val="28"/>
                <w:szCs w:val="26"/>
              </w:rPr>
            </w:pPr>
            <w:r w:rsidRPr="00950125">
              <w:rPr>
                <w:rFonts w:ascii="Times New Roman" w:eastAsia="Times New Roman" w:hAnsi="Times New Roman" w:cs="Times New Roman"/>
                <w:color w:val="000000"/>
                <w:sz w:val="28"/>
                <w:szCs w:val="26"/>
              </w:rPr>
              <w:t>Panel B</w:t>
            </w:r>
            <w:r w:rsidR="008A4ED5" w:rsidRPr="00950125">
              <w:rPr>
                <w:rFonts w:ascii="Times New Roman" w:eastAsia="Times New Roman" w:hAnsi="Times New Roman" w:cs="Times New Roman"/>
                <w:color w:val="000000"/>
                <w:sz w:val="28"/>
                <w:szCs w:val="26"/>
              </w:rPr>
              <w:t>: Cointegration T</w:t>
            </w:r>
            <w:r w:rsidRPr="00950125">
              <w:rPr>
                <w:rFonts w:ascii="Times New Roman" w:eastAsia="Times New Roman" w:hAnsi="Times New Roman" w:cs="Times New Roman"/>
                <w:color w:val="000000"/>
                <w:sz w:val="28"/>
                <w:szCs w:val="26"/>
              </w:rPr>
              <w:t>est –error correction based</w:t>
            </w:r>
          </w:p>
        </w:tc>
      </w:tr>
      <w:tr w:rsidR="001F4A37" w:rsidRPr="00950125" w14:paraId="7D0F2193" w14:textId="77777777" w:rsidTr="00950125">
        <w:trPr>
          <w:trHeight w:val="285"/>
        </w:trPr>
        <w:tc>
          <w:tcPr>
            <w:tcW w:w="1255" w:type="dxa"/>
            <w:noWrap/>
            <w:hideMark/>
          </w:tcPr>
          <w:p w14:paraId="38664011" w14:textId="3F7BDE81" w:rsidR="001F4A37" w:rsidRPr="00950125" w:rsidRDefault="001F4A37" w:rsidP="00D46E36">
            <w:pPr>
              <w:spacing w:line="276" w:lineRule="auto"/>
              <w:jc w:val="center"/>
              <w:rPr>
                <w:rFonts w:ascii="Times New Roman" w:eastAsia="Times New Roman" w:hAnsi="Times New Roman" w:cs="Times New Roman"/>
                <w:color w:val="000000"/>
                <w:sz w:val="28"/>
                <w:szCs w:val="26"/>
              </w:rPr>
            </w:pPr>
            <w:r w:rsidRPr="00950125">
              <w:rPr>
                <w:rFonts w:ascii="Times New Roman" w:eastAsia="Times New Roman" w:hAnsi="Times New Roman" w:cs="Times New Roman"/>
                <w:color w:val="000000"/>
                <w:sz w:val="28"/>
                <w:szCs w:val="26"/>
              </w:rPr>
              <w:t>Model</w:t>
            </w:r>
          </w:p>
        </w:tc>
        <w:tc>
          <w:tcPr>
            <w:tcW w:w="1530" w:type="dxa"/>
            <w:noWrap/>
            <w:hideMark/>
          </w:tcPr>
          <w:p w14:paraId="45B4A2A5"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Gt</w:t>
            </w:r>
          </w:p>
        </w:tc>
        <w:tc>
          <w:tcPr>
            <w:tcW w:w="1530" w:type="dxa"/>
            <w:noWrap/>
            <w:hideMark/>
          </w:tcPr>
          <w:p w14:paraId="3DD05EF2"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Ga</w:t>
            </w:r>
          </w:p>
        </w:tc>
        <w:tc>
          <w:tcPr>
            <w:tcW w:w="1530" w:type="dxa"/>
            <w:noWrap/>
            <w:hideMark/>
          </w:tcPr>
          <w:p w14:paraId="7DD73CEE"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Pt</w:t>
            </w:r>
          </w:p>
        </w:tc>
        <w:tc>
          <w:tcPr>
            <w:tcW w:w="1530" w:type="dxa"/>
            <w:noWrap/>
            <w:hideMark/>
          </w:tcPr>
          <w:p w14:paraId="4549808E"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Pa</w:t>
            </w:r>
          </w:p>
        </w:tc>
        <w:tc>
          <w:tcPr>
            <w:tcW w:w="1480" w:type="dxa"/>
            <w:noWrap/>
            <w:hideMark/>
          </w:tcPr>
          <w:p w14:paraId="2FD5986F"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p>
        </w:tc>
        <w:tc>
          <w:tcPr>
            <w:tcW w:w="1406" w:type="dxa"/>
            <w:noWrap/>
            <w:hideMark/>
          </w:tcPr>
          <w:p w14:paraId="3045B3CA" w14:textId="77777777" w:rsidR="001F4A37" w:rsidRPr="00950125" w:rsidRDefault="001F4A37" w:rsidP="00D46E36">
            <w:pPr>
              <w:spacing w:line="276" w:lineRule="auto"/>
              <w:jc w:val="center"/>
              <w:rPr>
                <w:rFonts w:ascii="Times New Roman" w:eastAsia="Times New Roman" w:hAnsi="Times New Roman" w:cs="Times New Roman"/>
                <w:b/>
                <w:sz w:val="28"/>
                <w:szCs w:val="26"/>
              </w:rPr>
            </w:pPr>
          </w:p>
        </w:tc>
      </w:tr>
      <w:tr w:rsidR="001F4A37" w:rsidRPr="00950125" w14:paraId="46F74F9C" w14:textId="77777777" w:rsidTr="00950125">
        <w:trPr>
          <w:trHeight w:val="285"/>
        </w:trPr>
        <w:tc>
          <w:tcPr>
            <w:tcW w:w="1255" w:type="dxa"/>
            <w:noWrap/>
            <w:hideMark/>
          </w:tcPr>
          <w:p w14:paraId="4887F266" w14:textId="50CCE747" w:rsidR="001F4A37" w:rsidRPr="00950125" w:rsidRDefault="00447C69" w:rsidP="00D46E36">
            <w:pPr>
              <w:spacing w:line="276" w:lineRule="auto"/>
              <w:jc w:val="center"/>
              <w:rPr>
                <w:rFonts w:ascii="Times New Roman" w:eastAsia="Times New Roman" w:hAnsi="Times New Roman" w:cs="Times New Roman"/>
                <w:color w:val="000000"/>
                <w:sz w:val="28"/>
                <w:szCs w:val="26"/>
              </w:rPr>
            </w:pPr>
            <w:r w:rsidRPr="00950125">
              <w:rPr>
                <w:rFonts w:ascii="Times New Roman" w:eastAsia="Times New Roman" w:hAnsi="Times New Roman" w:cs="Times New Roman"/>
                <w:color w:val="000000"/>
                <w:sz w:val="28"/>
                <w:szCs w:val="26"/>
              </w:rPr>
              <w:t>Model 1</w:t>
            </w:r>
          </w:p>
        </w:tc>
        <w:tc>
          <w:tcPr>
            <w:tcW w:w="1530" w:type="dxa"/>
            <w:noWrap/>
            <w:hideMark/>
          </w:tcPr>
          <w:p w14:paraId="226AFF69"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-11.336***</w:t>
            </w:r>
          </w:p>
        </w:tc>
        <w:tc>
          <w:tcPr>
            <w:tcW w:w="1530" w:type="dxa"/>
            <w:noWrap/>
            <w:hideMark/>
          </w:tcPr>
          <w:p w14:paraId="7DD51623"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-13.699***</w:t>
            </w:r>
          </w:p>
        </w:tc>
        <w:tc>
          <w:tcPr>
            <w:tcW w:w="1530" w:type="dxa"/>
            <w:noWrap/>
            <w:hideMark/>
          </w:tcPr>
          <w:p w14:paraId="72BF495A"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-15.751***</w:t>
            </w:r>
          </w:p>
        </w:tc>
        <w:tc>
          <w:tcPr>
            <w:tcW w:w="3010" w:type="dxa"/>
            <w:gridSpan w:val="2"/>
            <w:noWrap/>
            <w:hideMark/>
          </w:tcPr>
          <w:p w14:paraId="2F6DFFA7"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-12.561***</w:t>
            </w:r>
          </w:p>
        </w:tc>
        <w:tc>
          <w:tcPr>
            <w:tcW w:w="1406" w:type="dxa"/>
            <w:noWrap/>
            <w:hideMark/>
          </w:tcPr>
          <w:p w14:paraId="29F56A2F"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p>
        </w:tc>
      </w:tr>
      <w:tr w:rsidR="001F4A37" w:rsidRPr="00950125" w14:paraId="52F6C276" w14:textId="77777777" w:rsidTr="00950125">
        <w:trPr>
          <w:trHeight w:val="285"/>
        </w:trPr>
        <w:tc>
          <w:tcPr>
            <w:tcW w:w="1255" w:type="dxa"/>
            <w:noWrap/>
            <w:hideMark/>
          </w:tcPr>
          <w:p w14:paraId="18B5F8E7" w14:textId="44F02305" w:rsidR="001F4A37" w:rsidRPr="00950125" w:rsidRDefault="00447C69" w:rsidP="00D46E36">
            <w:pPr>
              <w:spacing w:line="276" w:lineRule="auto"/>
              <w:jc w:val="center"/>
              <w:rPr>
                <w:rFonts w:ascii="Times New Roman" w:eastAsia="Times New Roman" w:hAnsi="Times New Roman" w:cs="Times New Roman"/>
                <w:color w:val="000000"/>
                <w:sz w:val="28"/>
                <w:szCs w:val="26"/>
              </w:rPr>
            </w:pPr>
            <w:r w:rsidRPr="00950125">
              <w:rPr>
                <w:rFonts w:ascii="Times New Roman" w:eastAsia="Times New Roman" w:hAnsi="Times New Roman" w:cs="Times New Roman"/>
                <w:color w:val="000000"/>
                <w:sz w:val="28"/>
                <w:szCs w:val="26"/>
              </w:rPr>
              <w:t>Model 2</w:t>
            </w:r>
          </w:p>
        </w:tc>
        <w:tc>
          <w:tcPr>
            <w:tcW w:w="1530" w:type="dxa"/>
            <w:noWrap/>
            <w:hideMark/>
          </w:tcPr>
          <w:p w14:paraId="181A789B"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-8.687***</w:t>
            </w:r>
          </w:p>
        </w:tc>
        <w:tc>
          <w:tcPr>
            <w:tcW w:w="1530" w:type="dxa"/>
            <w:noWrap/>
            <w:hideMark/>
          </w:tcPr>
          <w:p w14:paraId="4A919F1C"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-4.924***</w:t>
            </w:r>
          </w:p>
        </w:tc>
        <w:tc>
          <w:tcPr>
            <w:tcW w:w="1530" w:type="dxa"/>
            <w:noWrap/>
            <w:hideMark/>
          </w:tcPr>
          <w:p w14:paraId="4F91D5FB"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-13.421***</w:t>
            </w:r>
          </w:p>
        </w:tc>
        <w:tc>
          <w:tcPr>
            <w:tcW w:w="1530" w:type="dxa"/>
            <w:noWrap/>
            <w:hideMark/>
          </w:tcPr>
          <w:p w14:paraId="28CACBBC"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r w:rsidRPr="00950125">
              <w:rPr>
                <w:rFonts w:ascii="Times New Roman" w:eastAsia="Times New Roman" w:hAnsi="Times New Roman" w:cs="Times New Roman"/>
                <w:b/>
                <w:color w:val="000000"/>
                <w:sz w:val="28"/>
                <w:szCs w:val="26"/>
              </w:rPr>
              <w:t>-4.097***</w:t>
            </w:r>
          </w:p>
        </w:tc>
        <w:tc>
          <w:tcPr>
            <w:tcW w:w="1480" w:type="dxa"/>
            <w:noWrap/>
            <w:hideMark/>
          </w:tcPr>
          <w:p w14:paraId="06F6C511" w14:textId="77777777" w:rsidR="001F4A37" w:rsidRPr="00950125" w:rsidRDefault="001F4A37" w:rsidP="00D46E36">
            <w:pPr>
              <w:spacing w:line="276" w:lineRule="auto"/>
              <w:jc w:val="center"/>
              <w:rPr>
                <w:rFonts w:ascii="Times New Roman" w:eastAsia="Times New Roman" w:hAnsi="Times New Roman" w:cs="Times New Roman"/>
                <w:b/>
                <w:color w:val="000000"/>
                <w:sz w:val="28"/>
                <w:szCs w:val="26"/>
              </w:rPr>
            </w:pPr>
          </w:p>
        </w:tc>
        <w:tc>
          <w:tcPr>
            <w:tcW w:w="1406" w:type="dxa"/>
            <w:noWrap/>
            <w:hideMark/>
          </w:tcPr>
          <w:p w14:paraId="43F2C184" w14:textId="77777777" w:rsidR="001F4A37" w:rsidRPr="00950125" w:rsidRDefault="001F4A37" w:rsidP="00D46E36">
            <w:pPr>
              <w:spacing w:line="276" w:lineRule="auto"/>
              <w:jc w:val="center"/>
              <w:rPr>
                <w:rFonts w:ascii="Times New Roman" w:eastAsia="Times New Roman" w:hAnsi="Times New Roman" w:cs="Times New Roman"/>
                <w:b/>
                <w:sz w:val="28"/>
                <w:szCs w:val="26"/>
              </w:rPr>
            </w:pPr>
          </w:p>
        </w:tc>
      </w:tr>
    </w:tbl>
    <w:p w14:paraId="77E8A323" w14:textId="77777777" w:rsidR="00447C69" w:rsidRPr="00950125" w:rsidRDefault="00447C69" w:rsidP="00D46E36">
      <w:pPr>
        <w:spacing w:line="276" w:lineRule="auto"/>
        <w:rPr>
          <w:rFonts w:ascii="Times New Roman" w:hAnsi="Times New Roman" w:cs="Times New Roman"/>
        </w:rPr>
      </w:pPr>
    </w:p>
    <w:p w14:paraId="3DCC0A61" w14:textId="77777777" w:rsidR="00447C69" w:rsidRPr="00950125" w:rsidRDefault="00447C69" w:rsidP="00D46E36">
      <w:pPr>
        <w:pStyle w:val="ng-star-inserted"/>
        <w:shd w:val="clear" w:color="auto" w:fill="FFFFFF"/>
        <w:spacing w:after="270" w:afterAutospacing="0" w:line="276" w:lineRule="auto"/>
        <w:jc w:val="both"/>
        <w:rPr>
          <w:rFonts w:eastAsiaTheme="minorHAnsi"/>
          <w:szCs w:val="22"/>
        </w:rPr>
      </w:pPr>
      <w:r w:rsidRPr="00950125">
        <w:rPr>
          <w:rFonts w:eastAsiaTheme="minorHAnsi"/>
          <w:szCs w:val="22"/>
        </w:rPr>
        <w:t xml:space="preserve">The results from the Westerlund and Edgerton (2008) test, which examines cointegration in the presence of structural shifts, are presented in Panel A of the table. The test statistics and their associated significance levels are used to determine the existence of cointegration under three scenarios: no shifts, a mean shift, and a regime shift. When not considering any shifts in the data, the LMг and LMΦ test statistics are statistically significant at the 1% level for both Model 1 (LMг = -4.9969***, LMΦ = 2.4528***) and Model 2 (LMг = -4.4827***, LMΦ = 4.3887***). </w:t>
      </w:r>
      <w:r w:rsidRPr="00950125">
        <w:rPr>
          <w:rFonts w:eastAsiaTheme="minorHAnsi"/>
          <w:szCs w:val="22"/>
        </w:rPr>
        <w:lastRenderedPageBreak/>
        <w:t>This provides initial strong evidence of a long-term equilibrium relationship among the variables. Even when accounting for a potential mean shift, the LMг and LMΦ statistics remain highly significant for both models (P &lt; 0.01). This suggests that the cointegration relationship is robust and that a stable long-term relationship persists even after considering a structural break in the mean of the variables. Finally, in the regime shift scenario, the LMг and LMΦ statistics for both models are again statistically significant (P &lt; 0.01). This implies that the cointegration relationship continues to hold even with a more complex structural change in both the intercept and slope of the regression, confirming the durability of the long-run association between the variables.</w:t>
      </w:r>
    </w:p>
    <w:p w14:paraId="07E6E6CF" w14:textId="3C708080" w:rsidR="00D97BAA" w:rsidRPr="00950125" w:rsidRDefault="00447C69" w:rsidP="00D46E36">
      <w:pPr>
        <w:pStyle w:val="ng-star-inserted"/>
        <w:shd w:val="clear" w:color="auto" w:fill="FFFFFF"/>
        <w:spacing w:after="270" w:afterAutospacing="0" w:line="276" w:lineRule="auto"/>
        <w:jc w:val="both"/>
        <w:rPr>
          <w:rFonts w:eastAsiaTheme="minorHAnsi"/>
          <w:szCs w:val="22"/>
        </w:rPr>
      </w:pPr>
      <w:r w:rsidRPr="00950125">
        <w:rPr>
          <w:rFonts w:eastAsiaTheme="minorHAnsi"/>
          <w:szCs w:val="22"/>
        </w:rPr>
        <w:t>Second, the results from the Westerlund (2007) error-correction based cointegration test are presented in Panel B. This test provides four statistics: Gt and Ga, which test the null hypothesis of no cointegration for the entire panel, and Pt and Pa, which test the null of no cointegration for at least some of the individual panel members. The results show that the Gt, Ga, Pt, and Pa test statistics are statistically significant at the 1% level across both models presented. For the first model, all four statistics strongly reject the null hypothesis of no cointegration. Likewise, for the second specification, the statistics are also unanimously significant. These findings provide strong, consistent evidence of a long-run relationship among the variables, irrespective of the model specification. This confirms that the variables move together over time, thus validating the existence of a cointegrating equilibrium.</w:t>
      </w:r>
    </w:p>
    <w:p w14:paraId="403146FA" w14:textId="71CF5507" w:rsidR="00D97BAA" w:rsidRPr="00950125" w:rsidRDefault="00486EEE" w:rsidP="00D46E36">
      <w:pPr>
        <w:pStyle w:val="Heading2"/>
        <w:numPr>
          <w:ilvl w:val="0"/>
          <w:numId w:val="17"/>
        </w:numPr>
        <w:spacing w:line="276" w:lineRule="auto"/>
        <w:rPr>
          <w:rFonts w:ascii="Times New Roman" w:hAnsi="Times New Roman" w:cs="Times New Roman"/>
          <w:b/>
          <w:sz w:val="28"/>
          <w:u w:val="single"/>
        </w:rPr>
      </w:pPr>
      <w:r w:rsidRPr="00950125">
        <w:rPr>
          <w:rFonts w:ascii="Times New Roman" w:hAnsi="Times New Roman" w:cs="Times New Roman"/>
          <w:b/>
          <w:sz w:val="28"/>
          <w:u w:val="single"/>
        </w:rPr>
        <w:t xml:space="preserve"> </w:t>
      </w:r>
      <w:bookmarkStart w:id="53" w:name="_Toc204723908"/>
      <w:r w:rsidR="00D97BAA" w:rsidRPr="00950125">
        <w:rPr>
          <w:rFonts w:ascii="Times New Roman" w:hAnsi="Times New Roman" w:cs="Times New Roman"/>
          <w:b/>
          <w:sz w:val="28"/>
          <w:u w:val="single"/>
        </w:rPr>
        <w:t xml:space="preserve">Empirical mode with SGD </w:t>
      </w:r>
      <w:r w:rsidR="00BB7052" w:rsidRPr="00950125">
        <w:rPr>
          <w:rFonts w:ascii="Times New Roman" w:hAnsi="Times New Roman" w:cs="Times New Roman"/>
          <w:b/>
          <w:sz w:val="28"/>
          <w:u w:val="single"/>
        </w:rPr>
        <w:t>13</w:t>
      </w:r>
      <w:bookmarkEnd w:id="53"/>
    </w:p>
    <w:p w14:paraId="3D7CAC01" w14:textId="713B3B8F" w:rsidR="00D97BAA" w:rsidRPr="00950125" w:rsidRDefault="00447C69" w:rsidP="00D46E36">
      <w:pPr>
        <w:pStyle w:val="ng-star-inserted"/>
        <w:shd w:val="clear" w:color="auto" w:fill="FFFFFF"/>
        <w:spacing w:after="270" w:afterAutospacing="0" w:line="276" w:lineRule="auto"/>
        <w:jc w:val="both"/>
        <w:rPr>
          <w:rFonts w:eastAsiaTheme="minorHAnsi"/>
          <w:szCs w:val="22"/>
        </w:rPr>
      </w:pPr>
      <w:r w:rsidRPr="00950125">
        <w:rPr>
          <w:rFonts w:eastAsiaTheme="minorHAnsi"/>
          <w:szCs w:val="22"/>
        </w:rPr>
        <w:t>This section presents and interprets the long-run and short-run coefficients estimated for the Carbon Emission model. The results, obtained using a dynamic panel estimation technique robust to cross-sectional dependence, are detailed in the table below. The discussion begins with an analysis of the long-run equilibrium, followed by the short-run dynamics and the crucial error correction mechanism that links them.</w:t>
      </w:r>
    </w:p>
    <w:p w14:paraId="0868C2C8" w14:textId="08A611C0" w:rsidR="00950125" w:rsidRPr="00950125" w:rsidRDefault="00F4455B" w:rsidP="00D46E36">
      <w:pPr>
        <w:pStyle w:val="Caption"/>
        <w:spacing w:line="276" w:lineRule="auto"/>
        <w:rPr>
          <w:szCs w:val="22"/>
        </w:rPr>
      </w:pPr>
      <w:bookmarkStart w:id="54" w:name="_Toc204723239"/>
      <w:r>
        <w:t xml:space="preserve">Table </w:t>
      </w:r>
      <w:r w:rsidR="0029645F">
        <w:rPr>
          <w:noProof/>
        </w:rPr>
        <w:fldChar w:fldCharType="begin"/>
      </w:r>
      <w:r w:rsidR="0029645F">
        <w:rPr>
          <w:noProof/>
        </w:rPr>
        <w:instrText xml:space="preserve"> SEQ Table \* ARABIC </w:instrText>
      </w:r>
      <w:r w:rsidR="0029645F">
        <w:rPr>
          <w:noProof/>
        </w:rPr>
        <w:fldChar w:fldCharType="separate"/>
      </w:r>
      <w:r w:rsidR="003F2868">
        <w:rPr>
          <w:noProof/>
        </w:rPr>
        <w:t>9</w:t>
      </w:r>
      <w:r w:rsidR="0029645F">
        <w:rPr>
          <w:noProof/>
        </w:rPr>
        <w:fldChar w:fldCharType="end"/>
      </w:r>
      <w:r>
        <w:rPr>
          <w:b/>
          <w:i w:val="0"/>
        </w:rPr>
        <w:t>:</w:t>
      </w:r>
      <w:r w:rsidR="00950125" w:rsidRPr="00950125">
        <w:rPr>
          <w:b/>
          <w:i w:val="0"/>
        </w:rPr>
        <w:t xml:space="preserve"> Empirical mode with SDG 13</w:t>
      </w:r>
      <w:bookmarkEnd w:id="54"/>
    </w:p>
    <w:tbl>
      <w:tblPr>
        <w:tblStyle w:val="GridTable1Light"/>
        <w:tblW w:w="8815" w:type="dxa"/>
        <w:tblLook w:val="04A0" w:firstRow="1" w:lastRow="0" w:firstColumn="1" w:lastColumn="0" w:noHBand="0" w:noVBand="1"/>
      </w:tblPr>
      <w:tblGrid>
        <w:gridCol w:w="1795"/>
        <w:gridCol w:w="2160"/>
        <w:gridCol w:w="2430"/>
        <w:gridCol w:w="2430"/>
      </w:tblGrid>
      <w:tr w:rsidR="00D97BAA" w:rsidRPr="00950125" w14:paraId="5AA1FA69" w14:textId="77777777" w:rsidTr="00950125">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795" w:type="dxa"/>
            <w:noWrap/>
            <w:hideMark/>
          </w:tcPr>
          <w:p w14:paraId="72DF6B44" w14:textId="77777777" w:rsidR="00D97BAA" w:rsidRPr="00950125" w:rsidRDefault="00D97BAA" w:rsidP="00D46E36">
            <w:pPr>
              <w:spacing w:line="276" w:lineRule="auto"/>
              <w:rPr>
                <w:rFonts w:ascii="Times New Roman" w:eastAsia="Times New Roman" w:hAnsi="Times New Roman" w:cs="Times New Roman"/>
                <w:sz w:val="24"/>
                <w:szCs w:val="24"/>
              </w:rPr>
            </w:pPr>
          </w:p>
        </w:tc>
        <w:tc>
          <w:tcPr>
            <w:tcW w:w="7020" w:type="dxa"/>
            <w:gridSpan w:val="3"/>
            <w:noWrap/>
            <w:hideMark/>
          </w:tcPr>
          <w:p w14:paraId="002305CB" w14:textId="0EB9FE66" w:rsidR="00D97BAA" w:rsidRPr="00950125" w:rsidRDefault="0091131E" w:rsidP="00D46E3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rPr>
            </w:pPr>
            <w:r w:rsidRPr="00950125">
              <w:rPr>
                <w:rFonts w:ascii="Times New Roman" w:eastAsia="Times New Roman" w:hAnsi="Times New Roman" w:cs="Times New Roman"/>
                <w:color w:val="000000"/>
                <w:sz w:val="28"/>
              </w:rPr>
              <w:t>Carbon E</w:t>
            </w:r>
            <w:r w:rsidR="00D97BAA" w:rsidRPr="00950125">
              <w:rPr>
                <w:rFonts w:ascii="Times New Roman" w:eastAsia="Times New Roman" w:hAnsi="Times New Roman" w:cs="Times New Roman"/>
                <w:color w:val="000000"/>
                <w:sz w:val="28"/>
              </w:rPr>
              <w:t xml:space="preserve">mission </w:t>
            </w:r>
          </w:p>
        </w:tc>
      </w:tr>
      <w:tr w:rsidR="00D97BAA" w:rsidRPr="00950125" w14:paraId="60FEE7FB" w14:textId="77777777" w:rsidTr="00950125">
        <w:trPr>
          <w:trHeight w:val="285"/>
        </w:trPr>
        <w:tc>
          <w:tcPr>
            <w:cnfStyle w:val="001000000000" w:firstRow="0" w:lastRow="0" w:firstColumn="1" w:lastColumn="0" w:oddVBand="0" w:evenVBand="0" w:oddHBand="0" w:evenHBand="0" w:firstRowFirstColumn="0" w:firstRowLastColumn="0" w:lastRowFirstColumn="0" w:lastRowLastColumn="0"/>
            <w:tcW w:w="1795" w:type="dxa"/>
            <w:noWrap/>
            <w:hideMark/>
          </w:tcPr>
          <w:p w14:paraId="13107ACC"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p>
        </w:tc>
        <w:tc>
          <w:tcPr>
            <w:tcW w:w="2160" w:type="dxa"/>
            <w:noWrap/>
            <w:hideMark/>
          </w:tcPr>
          <w:p w14:paraId="7A438E24" w14:textId="7F546D6C"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Coefficient</w:t>
            </w:r>
          </w:p>
        </w:tc>
        <w:tc>
          <w:tcPr>
            <w:tcW w:w="2430" w:type="dxa"/>
            <w:noWrap/>
            <w:hideMark/>
          </w:tcPr>
          <w:p w14:paraId="0CB0F776" w14:textId="64F6D433"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std.error</w:t>
            </w:r>
          </w:p>
        </w:tc>
        <w:tc>
          <w:tcPr>
            <w:tcW w:w="2430" w:type="dxa"/>
            <w:noWrap/>
            <w:hideMark/>
          </w:tcPr>
          <w:p w14:paraId="7C12316C"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t-stat</w:t>
            </w:r>
          </w:p>
        </w:tc>
      </w:tr>
      <w:tr w:rsidR="00D97BAA" w:rsidRPr="00950125" w14:paraId="47223DF9" w14:textId="77777777" w:rsidTr="00950125">
        <w:trPr>
          <w:trHeight w:val="293"/>
        </w:trPr>
        <w:tc>
          <w:tcPr>
            <w:cnfStyle w:val="001000000000" w:firstRow="0" w:lastRow="0" w:firstColumn="1" w:lastColumn="0" w:oddVBand="0" w:evenVBand="0" w:oddHBand="0" w:evenHBand="0" w:firstRowFirstColumn="0" w:firstRowLastColumn="0" w:lastRowFirstColumn="0" w:lastRowLastColumn="0"/>
            <w:tcW w:w="1795" w:type="dxa"/>
            <w:noWrap/>
            <w:hideMark/>
          </w:tcPr>
          <w:p w14:paraId="2E1669D1" w14:textId="2E3BCD38" w:rsidR="00D97BAA" w:rsidRPr="00950125" w:rsidRDefault="0091131E"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Long-Run</w:t>
            </w:r>
          </w:p>
        </w:tc>
        <w:tc>
          <w:tcPr>
            <w:tcW w:w="2160" w:type="dxa"/>
            <w:noWrap/>
            <w:hideMark/>
          </w:tcPr>
          <w:p w14:paraId="2CE64467"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p>
        </w:tc>
        <w:tc>
          <w:tcPr>
            <w:tcW w:w="2430" w:type="dxa"/>
            <w:noWrap/>
            <w:hideMark/>
          </w:tcPr>
          <w:p w14:paraId="18DAF637"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8"/>
                <w:szCs w:val="28"/>
              </w:rPr>
            </w:pPr>
          </w:p>
        </w:tc>
        <w:tc>
          <w:tcPr>
            <w:tcW w:w="2430" w:type="dxa"/>
            <w:noWrap/>
            <w:hideMark/>
          </w:tcPr>
          <w:p w14:paraId="23246ACF"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8"/>
                <w:szCs w:val="28"/>
              </w:rPr>
            </w:pPr>
          </w:p>
        </w:tc>
      </w:tr>
      <w:tr w:rsidR="00D97BAA" w:rsidRPr="00950125" w14:paraId="1B4CD30D" w14:textId="77777777" w:rsidTr="00950125">
        <w:trPr>
          <w:trHeight w:val="293"/>
        </w:trPr>
        <w:tc>
          <w:tcPr>
            <w:cnfStyle w:val="001000000000" w:firstRow="0" w:lastRow="0" w:firstColumn="1" w:lastColumn="0" w:oddVBand="0" w:evenVBand="0" w:oddHBand="0" w:evenHBand="0" w:firstRowFirstColumn="0" w:firstRowLastColumn="0" w:lastRowFirstColumn="0" w:lastRowLastColumn="0"/>
            <w:tcW w:w="1795" w:type="dxa"/>
            <w:noWrap/>
            <w:hideMark/>
          </w:tcPr>
          <w:p w14:paraId="07B04AD5"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IQ</w:t>
            </w:r>
          </w:p>
        </w:tc>
        <w:tc>
          <w:tcPr>
            <w:tcW w:w="2160" w:type="dxa"/>
            <w:noWrap/>
            <w:hideMark/>
          </w:tcPr>
          <w:p w14:paraId="11338AE6"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-0.0506</w:t>
            </w:r>
          </w:p>
        </w:tc>
        <w:tc>
          <w:tcPr>
            <w:tcW w:w="2430" w:type="dxa"/>
            <w:noWrap/>
            <w:hideMark/>
          </w:tcPr>
          <w:p w14:paraId="016451E8"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0.0089</w:t>
            </w:r>
          </w:p>
        </w:tc>
        <w:tc>
          <w:tcPr>
            <w:tcW w:w="2430" w:type="dxa"/>
            <w:noWrap/>
            <w:hideMark/>
          </w:tcPr>
          <w:p w14:paraId="00A6D52D"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-5.6853</w:t>
            </w:r>
          </w:p>
        </w:tc>
      </w:tr>
      <w:tr w:rsidR="00D97BAA" w:rsidRPr="00950125" w14:paraId="704172CA" w14:textId="77777777" w:rsidTr="00950125">
        <w:trPr>
          <w:trHeight w:val="293"/>
        </w:trPr>
        <w:tc>
          <w:tcPr>
            <w:cnfStyle w:val="001000000000" w:firstRow="0" w:lastRow="0" w:firstColumn="1" w:lastColumn="0" w:oddVBand="0" w:evenVBand="0" w:oddHBand="0" w:evenHBand="0" w:firstRowFirstColumn="0" w:firstRowLastColumn="0" w:lastRowFirstColumn="0" w:lastRowLastColumn="0"/>
            <w:tcW w:w="1795" w:type="dxa"/>
            <w:noWrap/>
            <w:hideMark/>
          </w:tcPr>
          <w:p w14:paraId="6D49656F"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ICT</w:t>
            </w:r>
          </w:p>
        </w:tc>
        <w:tc>
          <w:tcPr>
            <w:tcW w:w="2160" w:type="dxa"/>
            <w:noWrap/>
            <w:hideMark/>
          </w:tcPr>
          <w:p w14:paraId="33C53E5C"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-0.1583</w:t>
            </w:r>
          </w:p>
        </w:tc>
        <w:tc>
          <w:tcPr>
            <w:tcW w:w="2430" w:type="dxa"/>
            <w:noWrap/>
            <w:hideMark/>
          </w:tcPr>
          <w:p w14:paraId="30F6285D"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0.0052</w:t>
            </w:r>
          </w:p>
        </w:tc>
        <w:tc>
          <w:tcPr>
            <w:tcW w:w="2430" w:type="dxa"/>
            <w:noWrap/>
            <w:hideMark/>
          </w:tcPr>
          <w:p w14:paraId="6E774290"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-30.4423</w:t>
            </w:r>
          </w:p>
        </w:tc>
      </w:tr>
      <w:tr w:rsidR="00D97BAA" w:rsidRPr="00950125" w14:paraId="368E4966" w14:textId="77777777" w:rsidTr="00950125">
        <w:trPr>
          <w:trHeight w:val="293"/>
        </w:trPr>
        <w:tc>
          <w:tcPr>
            <w:cnfStyle w:val="001000000000" w:firstRow="0" w:lastRow="0" w:firstColumn="1" w:lastColumn="0" w:oddVBand="0" w:evenVBand="0" w:oddHBand="0" w:evenHBand="0" w:firstRowFirstColumn="0" w:firstRowLastColumn="0" w:lastRowFirstColumn="0" w:lastRowLastColumn="0"/>
            <w:tcW w:w="1795" w:type="dxa"/>
            <w:noWrap/>
            <w:hideMark/>
          </w:tcPr>
          <w:p w14:paraId="19DD9F8E"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EF</w:t>
            </w:r>
          </w:p>
        </w:tc>
        <w:tc>
          <w:tcPr>
            <w:tcW w:w="2160" w:type="dxa"/>
            <w:noWrap/>
            <w:hideMark/>
          </w:tcPr>
          <w:p w14:paraId="663EBAEA"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-0.1502</w:t>
            </w:r>
          </w:p>
        </w:tc>
        <w:tc>
          <w:tcPr>
            <w:tcW w:w="2430" w:type="dxa"/>
            <w:noWrap/>
            <w:hideMark/>
          </w:tcPr>
          <w:p w14:paraId="0F9582EB"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0.0044</w:t>
            </w:r>
          </w:p>
        </w:tc>
        <w:tc>
          <w:tcPr>
            <w:tcW w:w="2430" w:type="dxa"/>
            <w:noWrap/>
            <w:hideMark/>
          </w:tcPr>
          <w:p w14:paraId="75CC3807"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-34.1363</w:t>
            </w:r>
          </w:p>
        </w:tc>
      </w:tr>
      <w:tr w:rsidR="00D97BAA" w:rsidRPr="00950125" w14:paraId="3D74A796" w14:textId="77777777" w:rsidTr="00950125">
        <w:trPr>
          <w:trHeight w:val="293"/>
        </w:trPr>
        <w:tc>
          <w:tcPr>
            <w:cnfStyle w:val="001000000000" w:firstRow="0" w:lastRow="0" w:firstColumn="1" w:lastColumn="0" w:oddVBand="0" w:evenVBand="0" w:oddHBand="0" w:evenHBand="0" w:firstRowFirstColumn="0" w:firstRowLastColumn="0" w:lastRowFirstColumn="0" w:lastRowLastColumn="0"/>
            <w:tcW w:w="1795" w:type="dxa"/>
            <w:noWrap/>
            <w:hideMark/>
          </w:tcPr>
          <w:p w14:paraId="0BA2946A"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NRR</w:t>
            </w:r>
          </w:p>
        </w:tc>
        <w:tc>
          <w:tcPr>
            <w:tcW w:w="2160" w:type="dxa"/>
            <w:noWrap/>
            <w:hideMark/>
          </w:tcPr>
          <w:p w14:paraId="77246F7C"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0.1493</w:t>
            </w:r>
          </w:p>
        </w:tc>
        <w:tc>
          <w:tcPr>
            <w:tcW w:w="2430" w:type="dxa"/>
            <w:noWrap/>
            <w:hideMark/>
          </w:tcPr>
          <w:p w14:paraId="4BD5E51A"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0.0109</w:t>
            </w:r>
          </w:p>
        </w:tc>
        <w:tc>
          <w:tcPr>
            <w:tcW w:w="2430" w:type="dxa"/>
            <w:noWrap/>
            <w:hideMark/>
          </w:tcPr>
          <w:p w14:paraId="67C2F66D"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13.6972</w:t>
            </w:r>
          </w:p>
        </w:tc>
      </w:tr>
      <w:tr w:rsidR="00D97BAA" w:rsidRPr="00950125" w14:paraId="1FAA5C0B" w14:textId="77777777" w:rsidTr="00950125">
        <w:trPr>
          <w:trHeight w:val="293"/>
        </w:trPr>
        <w:tc>
          <w:tcPr>
            <w:cnfStyle w:val="001000000000" w:firstRow="0" w:lastRow="0" w:firstColumn="1" w:lastColumn="0" w:oddVBand="0" w:evenVBand="0" w:oddHBand="0" w:evenHBand="0" w:firstRowFirstColumn="0" w:firstRowLastColumn="0" w:lastRowFirstColumn="0" w:lastRowLastColumn="0"/>
            <w:tcW w:w="1795" w:type="dxa"/>
            <w:noWrap/>
            <w:hideMark/>
          </w:tcPr>
          <w:p w14:paraId="3F4E063A"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HCD</w:t>
            </w:r>
          </w:p>
        </w:tc>
        <w:tc>
          <w:tcPr>
            <w:tcW w:w="2160" w:type="dxa"/>
            <w:noWrap/>
            <w:hideMark/>
          </w:tcPr>
          <w:p w14:paraId="2F51A5A7"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-0.0593</w:t>
            </w:r>
          </w:p>
        </w:tc>
        <w:tc>
          <w:tcPr>
            <w:tcW w:w="2430" w:type="dxa"/>
            <w:noWrap/>
            <w:hideMark/>
          </w:tcPr>
          <w:p w14:paraId="6A4CD58D"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0.0071</w:t>
            </w:r>
          </w:p>
        </w:tc>
        <w:tc>
          <w:tcPr>
            <w:tcW w:w="2430" w:type="dxa"/>
            <w:noWrap/>
            <w:hideMark/>
          </w:tcPr>
          <w:p w14:paraId="20A972EB"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-8.3521</w:t>
            </w:r>
          </w:p>
        </w:tc>
      </w:tr>
      <w:tr w:rsidR="00D97BAA" w:rsidRPr="00950125" w14:paraId="2F32F4EB" w14:textId="77777777" w:rsidTr="00950125">
        <w:trPr>
          <w:trHeight w:val="285"/>
        </w:trPr>
        <w:tc>
          <w:tcPr>
            <w:cnfStyle w:val="001000000000" w:firstRow="0" w:lastRow="0" w:firstColumn="1" w:lastColumn="0" w:oddVBand="0" w:evenVBand="0" w:oddHBand="0" w:evenHBand="0" w:firstRowFirstColumn="0" w:firstRowLastColumn="0" w:lastRowFirstColumn="0" w:lastRowLastColumn="0"/>
            <w:tcW w:w="1795" w:type="dxa"/>
            <w:noWrap/>
            <w:hideMark/>
          </w:tcPr>
          <w:p w14:paraId="6599CE16"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Y</w:t>
            </w:r>
          </w:p>
        </w:tc>
        <w:tc>
          <w:tcPr>
            <w:tcW w:w="2160" w:type="dxa"/>
            <w:noWrap/>
            <w:hideMark/>
          </w:tcPr>
          <w:p w14:paraId="588415C1"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0.0849</w:t>
            </w:r>
          </w:p>
        </w:tc>
        <w:tc>
          <w:tcPr>
            <w:tcW w:w="2430" w:type="dxa"/>
            <w:noWrap/>
            <w:hideMark/>
          </w:tcPr>
          <w:p w14:paraId="5E437F4D"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0.0109</w:t>
            </w:r>
          </w:p>
        </w:tc>
        <w:tc>
          <w:tcPr>
            <w:tcW w:w="2430" w:type="dxa"/>
            <w:noWrap/>
            <w:hideMark/>
          </w:tcPr>
          <w:p w14:paraId="5E77A648"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7.7889</w:t>
            </w:r>
          </w:p>
        </w:tc>
      </w:tr>
      <w:tr w:rsidR="00D97BAA" w:rsidRPr="00950125" w14:paraId="3B237395" w14:textId="77777777" w:rsidTr="00950125">
        <w:trPr>
          <w:trHeight w:val="285"/>
        </w:trPr>
        <w:tc>
          <w:tcPr>
            <w:cnfStyle w:val="001000000000" w:firstRow="0" w:lastRow="0" w:firstColumn="1" w:lastColumn="0" w:oddVBand="0" w:evenVBand="0" w:oddHBand="0" w:evenHBand="0" w:firstRowFirstColumn="0" w:firstRowLastColumn="0" w:lastRowFirstColumn="0" w:lastRowLastColumn="0"/>
            <w:tcW w:w="1795" w:type="dxa"/>
            <w:noWrap/>
            <w:hideMark/>
          </w:tcPr>
          <w:p w14:paraId="50EAB044" w14:textId="2A518DA6"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lastRenderedPageBreak/>
              <w:t>C</w:t>
            </w:r>
          </w:p>
        </w:tc>
        <w:tc>
          <w:tcPr>
            <w:tcW w:w="2160" w:type="dxa"/>
            <w:noWrap/>
            <w:hideMark/>
          </w:tcPr>
          <w:p w14:paraId="5678F2D3"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0.9529</w:t>
            </w:r>
          </w:p>
        </w:tc>
        <w:tc>
          <w:tcPr>
            <w:tcW w:w="2430" w:type="dxa"/>
            <w:noWrap/>
            <w:hideMark/>
          </w:tcPr>
          <w:p w14:paraId="7908657C"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0.004</w:t>
            </w:r>
          </w:p>
        </w:tc>
        <w:tc>
          <w:tcPr>
            <w:tcW w:w="2430" w:type="dxa"/>
            <w:noWrap/>
            <w:hideMark/>
          </w:tcPr>
          <w:p w14:paraId="522A4845"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238.225</w:t>
            </w:r>
          </w:p>
        </w:tc>
      </w:tr>
      <w:tr w:rsidR="00D97BAA" w:rsidRPr="00950125" w14:paraId="1644AE7B" w14:textId="77777777" w:rsidTr="00950125">
        <w:trPr>
          <w:trHeight w:val="293"/>
        </w:trPr>
        <w:tc>
          <w:tcPr>
            <w:cnfStyle w:val="001000000000" w:firstRow="0" w:lastRow="0" w:firstColumn="1" w:lastColumn="0" w:oddVBand="0" w:evenVBand="0" w:oddHBand="0" w:evenHBand="0" w:firstRowFirstColumn="0" w:firstRowLastColumn="0" w:lastRowFirstColumn="0" w:lastRowLastColumn="0"/>
            <w:tcW w:w="1795" w:type="dxa"/>
            <w:noWrap/>
            <w:hideMark/>
          </w:tcPr>
          <w:p w14:paraId="5A15DFE9" w14:textId="332B1CA2" w:rsidR="00D97BAA" w:rsidRPr="00950125" w:rsidRDefault="0091131E"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Short-R</w:t>
            </w:r>
            <w:r w:rsidR="00D97BAA" w:rsidRPr="00950125">
              <w:rPr>
                <w:rFonts w:ascii="Times New Roman" w:eastAsia="Times New Roman" w:hAnsi="Times New Roman" w:cs="Times New Roman"/>
                <w:color w:val="000000"/>
                <w:sz w:val="28"/>
                <w:szCs w:val="28"/>
              </w:rPr>
              <w:t>un</w:t>
            </w:r>
          </w:p>
        </w:tc>
        <w:tc>
          <w:tcPr>
            <w:tcW w:w="2160" w:type="dxa"/>
            <w:noWrap/>
            <w:hideMark/>
          </w:tcPr>
          <w:p w14:paraId="143BE41C"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p>
        </w:tc>
        <w:tc>
          <w:tcPr>
            <w:tcW w:w="2430" w:type="dxa"/>
            <w:noWrap/>
            <w:hideMark/>
          </w:tcPr>
          <w:p w14:paraId="58AAC051"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8"/>
                <w:szCs w:val="28"/>
              </w:rPr>
            </w:pPr>
          </w:p>
        </w:tc>
        <w:tc>
          <w:tcPr>
            <w:tcW w:w="2430" w:type="dxa"/>
            <w:noWrap/>
            <w:hideMark/>
          </w:tcPr>
          <w:p w14:paraId="29A0BB78"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8"/>
                <w:szCs w:val="28"/>
              </w:rPr>
            </w:pPr>
          </w:p>
        </w:tc>
      </w:tr>
      <w:tr w:rsidR="00D97BAA" w:rsidRPr="00950125" w14:paraId="50AEC02E" w14:textId="77777777" w:rsidTr="00950125">
        <w:trPr>
          <w:trHeight w:val="293"/>
        </w:trPr>
        <w:tc>
          <w:tcPr>
            <w:cnfStyle w:val="001000000000" w:firstRow="0" w:lastRow="0" w:firstColumn="1" w:lastColumn="0" w:oddVBand="0" w:evenVBand="0" w:oddHBand="0" w:evenHBand="0" w:firstRowFirstColumn="0" w:firstRowLastColumn="0" w:lastRowFirstColumn="0" w:lastRowLastColumn="0"/>
            <w:tcW w:w="1795" w:type="dxa"/>
            <w:noWrap/>
            <w:hideMark/>
          </w:tcPr>
          <w:p w14:paraId="63E66DE3"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IQ</w:t>
            </w:r>
          </w:p>
        </w:tc>
        <w:tc>
          <w:tcPr>
            <w:tcW w:w="2160" w:type="dxa"/>
            <w:noWrap/>
            <w:hideMark/>
          </w:tcPr>
          <w:p w14:paraId="1A128911"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-0.0817</w:t>
            </w:r>
          </w:p>
        </w:tc>
        <w:tc>
          <w:tcPr>
            <w:tcW w:w="2430" w:type="dxa"/>
            <w:noWrap/>
            <w:hideMark/>
          </w:tcPr>
          <w:p w14:paraId="5420FE5B"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0.0086</w:t>
            </w:r>
          </w:p>
        </w:tc>
        <w:tc>
          <w:tcPr>
            <w:tcW w:w="2430" w:type="dxa"/>
            <w:noWrap/>
            <w:hideMark/>
          </w:tcPr>
          <w:p w14:paraId="10CAD735"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-9.5</w:t>
            </w:r>
          </w:p>
        </w:tc>
      </w:tr>
      <w:tr w:rsidR="00D97BAA" w:rsidRPr="00950125" w14:paraId="62761A4E" w14:textId="77777777" w:rsidTr="00950125">
        <w:trPr>
          <w:trHeight w:val="293"/>
        </w:trPr>
        <w:tc>
          <w:tcPr>
            <w:cnfStyle w:val="001000000000" w:firstRow="0" w:lastRow="0" w:firstColumn="1" w:lastColumn="0" w:oddVBand="0" w:evenVBand="0" w:oddHBand="0" w:evenHBand="0" w:firstRowFirstColumn="0" w:firstRowLastColumn="0" w:lastRowFirstColumn="0" w:lastRowLastColumn="0"/>
            <w:tcW w:w="1795" w:type="dxa"/>
            <w:noWrap/>
            <w:hideMark/>
          </w:tcPr>
          <w:p w14:paraId="5B0F79D4"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ICT</w:t>
            </w:r>
          </w:p>
        </w:tc>
        <w:tc>
          <w:tcPr>
            <w:tcW w:w="2160" w:type="dxa"/>
            <w:noWrap/>
            <w:hideMark/>
          </w:tcPr>
          <w:p w14:paraId="7BC1A10A"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-0.0449</w:t>
            </w:r>
          </w:p>
        </w:tc>
        <w:tc>
          <w:tcPr>
            <w:tcW w:w="2430" w:type="dxa"/>
            <w:noWrap/>
            <w:hideMark/>
          </w:tcPr>
          <w:p w14:paraId="4E4BF378"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0.0032</w:t>
            </w:r>
          </w:p>
        </w:tc>
        <w:tc>
          <w:tcPr>
            <w:tcW w:w="2430" w:type="dxa"/>
            <w:noWrap/>
            <w:hideMark/>
          </w:tcPr>
          <w:p w14:paraId="52C81FBB"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-14.0312</w:t>
            </w:r>
          </w:p>
        </w:tc>
      </w:tr>
      <w:tr w:rsidR="00D97BAA" w:rsidRPr="00950125" w14:paraId="39B6E5C1" w14:textId="77777777" w:rsidTr="00950125">
        <w:trPr>
          <w:trHeight w:val="293"/>
        </w:trPr>
        <w:tc>
          <w:tcPr>
            <w:cnfStyle w:val="001000000000" w:firstRow="0" w:lastRow="0" w:firstColumn="1" w:lastColumn="0" w:oddVBand="0" w:evenVBand="0" w:oddHBand="0" w:evenHBand="0" w:firstRowFirstColumn="0" w:firstRowLastColumn="0" w:lastRowFirstColumn="0" w:lastRowLastColumn="0"/>
            <w:tcW w:w="1795" w:type="dxa"/>
            <w:noWrap/>
            <w:hideMark/>
          </w:tcPr>
          <w:p w14:paraId="67DC0637"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EF</w:t>
            </w:r>
          </w:p>
        </w:tc>
        <w:tc>
          <w:tcPr>
            <w:tcW w:w="2160" w:type="dxa"/>
            <w:noWrap/>
            <w:hideMark/>
          </w:tcPr>
          <w:p w14:paraId="7EE74AB0"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-0.0122</w:t>
            </w:r>
          </w:p>
        </w:tc>
        <w:tc>
          <w:tcPr>
            <w:tcW w:w="2430" w:type="dxa"/>
            <w:noWrap/>
            <w:hideMark/>
          </w:tcPr>
          <w:p w14:paraId="0A29328F"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0.0092</w:t>
            </w:r>
          </w:p>
        </w:tc>
        <w:tc>
          <w:tcPr>
            <w:tcW w:w="2430" w:type="dxa"/>
            <w:noWrap/>
            <w:hideMark/>
          </w:tcPr>
          <w:p w14:paraId="69854BB9"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-1.326</w:t>
            </w:r>
          </w:p>
        </w:tc>
      </w:tr>
      <w:tr w:rsidR="00D97BAA" w:rsidRPr="00950125" w14:paraId="3F13F682" w14:textId="77777777" w:rsidTr="00950125">
        <w:trPr>
          <w:trHeight w:val="293"/>
        </w:trPr>
        <w:tc>
          <w:tcPr>
            <w:cnfStyle w:val="001000000000" w:firstRow="0" w:lastRow="0" w:firstColumn="1" w:lastColumn="0" w:oddVBand="0" w:evenVBand="0" w:oddHBand="0" w:evenHBand="0" w:firstRowFirstColumn="0" w:firstRowLastColumn="0" w:lastRowFirstColumn="0" w:lastRowLastColumn="0"/>
            <w:tcW w:w="1795" w:type="dxa"/>
            <w:noWrap/>
            <w:hideMark/>
          </w:tcPr>
          <w:p w14:paraId="3898E605"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NRR</w:t>
            </w:r>
          </w:p>
        </w:tc>
        <w:tc>
          <w:tcPr>
            <w:tcW w:w="2160" w:type="dxa"/>
            <w:noWrap/>
            <w:hideMark/>
          </w:tcPr>
          <w:p w14:paraId="5CBD1D8A"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00.0468</w:t>
            </w:r>
          </w:p>
        </w:tc>
        <w:tc>
          <w:tcPr>
            <w:tcW w:w="2430" w:type="dxa"/>
            <w:noWrap/>
            <w:hideMark/>
          </w:tcPr>
          <w:p w14:paraId="5E231B29"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0.0067</w:t>
            </w:r>
          </w:p>
        </w:tc>
        <w:tc>
          <w:tcPr>
            <w:tcW w:w="2430" w:type="dxa"/>
            <w:noWrap/>
            <w:hideMark/>
          </w:tcPr>
          <w:p w14:paraId="03D5E08B"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6.985</w:t>
            </w:r>
          </w:p>
        </w:tc>
      </w:tr>
      <w:tr w:rsidR="00D97BAA" w:rsidRPr="00950125" w14:paraId="1127B06B" w14:textId="77777777" w:rsidTr="00950125">
        <w:trPr>
          <w:trHeight w:val="293"/>
        </w:trPr>
        <w:tc>
          <w:tcPr>
            <w:cnfStyle w:val="001000000000" w:firstRow="0" w:lastRow="0" w:firstColumn="1" w:lastColumn="0" w:oddVBand="0" w:evenVBand="0" w:oddHBand="0" w:evenHBand="0" w:firstRowFirstColumn="0" w:firstRowLastColumn="0" w:lastRowFirstColumn="0" w:lastRowLastColumn="0"/>
            <w:tcW w:w="1795" w:type="dxa"/>
            <w:noWrap/>
            <w:hideMark/>
          </w:tcPr>
          <w:p w14:paraId="7BE4B409"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HCD</w:t>
            </w:r>
          </w:p>
        </w:tc>
        <w:tc>
          <w:tcPr>
            <w:tcW w:w="2160" w:type="dxa"/>
            <w:noWrap/>
            <w:hideMark/>
          </w:tcPr>
          <w:p w14:paraId="0FDBC32B"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-0.0146</w:t>
            </w:r>
          </w:p>
        </w:tc>
        <w:tc>
          <w:tcPr>
            <w:tcW w:w="2430" w:type="dxa"/>
            <w:noWrap/>
            <w:hideMark/>
          </w:tcPr>
          <w:p w14:paraId="7CDB12DF"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0.0057</w:t>
            </w:r>
          </w:p>
        </w:tc>
        <w:tc>
          <w:tcPr>
            <w:tcW w:w="2430" w:type="dxa"/>
            <w:noWrap/>
            <w:hideMark/>
          </w:tcPr>
          <w:p w14:paraId="7B6FF56F"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-2.5614</w:t>
            </w:r>
          </w:p>
        </w:tc>
      </w:tr>
      <w:tr w:rsidR="00D97BAA" w:rsidRPr="00950125" w14:paraId="733D4842" w14:textId="77777777" w:rsidTr="00950125">
        <w:trPr>
          <w:trHeight w:val="285"/>
        </w:trPr>
        <w:tc>
          <w:tcPr>
            <w:cnfStyle w:val="001000000000" w:firstRow="0" w:lastRow="0" w:firstColumn="1" w:lastColumn="0" w:oddVBand="0" w:evenVBand="0" w:oddHBand="0" w:evenHBand="0" w:firstRowFirstColumn="0" w:firstRowLastColumn="0" w:lastRowFirstColumn="0" w:lastRowLastColumn="0"/>
            <w:tcW w:w="1795" w:type="dxa"/>
            <w:noWrap/>
            <w:hideMark/>
          </w:tcPr>
          <w:p w14:paraId="3AA7AD8C"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Y</w:t>
            </w:r>
          </w:p>
        </w:tc>
        <w:tc>
          <w:tcPr>
            <w:tcW w:w="2160" w:type="dxa"/>
            <w:noWrap/>
            <w:hideMark/>
          </w:tcPr>
          <w:p w14:paraId="4DB9A1EF"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0.0678</w:t>
            </w:r>
          </w:p>
        </w:tc>
        <w:tc>
          <w:tcPr>
            <w:tcW w:w="2430" w:type="dxa"/>
            <w:noWrap/>
            <w:hideMark/>
          </w:tcPr>
          <w:p w14:paraId="65863200"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0.0047</w:t>
            </w:r>
          </w:p>
        </w:tc>
        <w:tc>
          <w:tcPr>
            <w:tcW w:w="2430" w:type="dxa"/>
            <w:noWrap/>
            <w:hideMark/>
          </w:tcPr>
          <w:p w14:paraId="68392495"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14.4255</w:t>
            </w:r>
          </w:p>
        </w:tc>
      </w:tr>
      <w:tr w:rsidR="00D97BAA" w:rsidRPr="00950125" w14:paraId="203ABC26" w14:textId="77777777" w:rsidTr="00950125">
        <w:trPr>
          <w:trHeight w:val="285"/>
        </w:trPr>
        <w:tc>
          <w:tcPr>
            <w:cnfStyle w:val="001000000000" w:firstRow="0" w:lastRow="0" w:firstColumn="1" w:lastColumn="0" w:oddVBand="0" w:evenVBand="0" w:oddHBand="0" w:evenHBand="0" w:firstRowFirstColumn="0" w:firstRowLastColumn="0" w:lastRowFirstColumn="0" w:lastRowLastColumn="0"/>
            <w:tcW w:w="1795" w:type="dxa"/>
            <w:noWrap/>
            <w:hideMark/>
          </w:tcPr>
          <w:p w14:paraId="110A0DE8" w14:textId="360B729C" w:rsidR="00D97BAA" w:rsidRPr="00950125" w:rsidRDefault="0091131E"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ETC</w:t>
            </w:r>
          </w:p>
        </w:tc>
        <w:tc>
          <w:tcPr>
            <w:tcW w:w="2160" w:type="dxa"/>
            <w:noWrap/>
            <w:hideMark/>
          </w:tcPr>
          <w:p w14:paraId="49C42F8F"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-0.1279</w:t>
            </w:r>
          </w:p>
        </w:tc>
        <w:tc>
          <w:tcPr>
            <w:tcW w:w="2430" w:type="dxa"/>
            <w:noWrap/>
            <w:hideMark/>
          </w:tcPr>
          <w:p w14:paraId="06615639"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0.004</w:t>
            </w:r>
          </w:p>
        </w:tc>
        <w:tc>
          <w:tcPr>
            <w:tcW w:w="2430" w:type="dxa"/>
            <w:noWrap/>
            <w:hideMark/>
          </w:tcPr>
          <w:p w14:paraId="5F3570F1"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-31.975</w:t>
            </w:r>
          </w:p>
        </w:tc>
      </w:tr>
      <w:tr w:rsidR="00D97BAA" w:rsidRPr="00950125" w14:paraId="34193C8D" w14:textId="77777777" w:rsidTr="00950125">
        <w:trPr>
          <w:trHeight w:val="285"/>
        </w:trPr>
        <w:tc>
          <w:tcPr>
            <w:cnfStyle w:val="001000000000" w:firstRow="0" w:lastRow="0" w:firstColumn="1" w:lastColumn="0" w:oddVBand="0" w:evenVBand="0" w:oddHBand="0" w:evenHBand="0" w:firstRowFirstColumn="0" w:firstRowLastColumn="0" w:lastRowFirstColumn="0" w:lastRowLastColumn="0"/>
            <w:tcW w:w="3955" w:type="dxa"/>
            <w:gridSpan w:val="2"/>
            <w:noWrap/>
            <w:hideMark/>
          </w:tcPr>
          <w:p w14:paraId="0850B52E" w14:textId="584E0740" w:rsidR="00D97BAA" w:rsidRPr="00950125" w:rsidRDefault="0091131E"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CD T</w:t>
            </w:r>
            <w:r w:rsidR="00D97BAA" w:rsidRPr="00950125">
              <w:rPr>
                <w:rFonts w:ascii="Times New Roman" w:eastAsia="Times New Roman" w:hAnsi="Times New Roman" w:cs="Times New Roman"/>
                <w:color w:val="000000"/>
                <w:sz w:val="28"/>
                <w:szCs w:val="28"/>
              </w:rPr>
              <w:t>est</w:t>
            </w:r>
          </w:p>
        </w:tc>
        <w:tc>
          <w:tcPr>
            <w:tcW w:w="2430" w:type="dxa"/>
            <w:noWrap/>
            <w:hideMark/>
          </w:tcPr>
          <w:p w14:paraId="1B43621B"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0.02608</w:t>
            </w:r>
          </w:p>
        </w:tc>
        <w:tc>
          <w:tcPr>
            <w:tcW w:w="2430" w:type="dxa"/>
            <w:noWrap/>
            <w:hideMark/>
          </w:tcPr>
          <w:p w14:paraId="031768B9"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p>
        </w:tc>
      </w:tr>
      <w:tr w:rsidR="00D97BAA" w:rsidRPr="00950125" w14:paraId="18E40CC0" w14:textId="77777777" w:rsidTr="00950125">
        <w:trPr>
          <w:trHeight w:val="285"/>
        </w:trPr>
        <w:tc>
          <w:tcPr>
            <w:cnfStyle w:val="001000000000" w:firstRow="0" w:lastRow="0" w:firstColumn="1" w:lastColumn="0" w:oddVBand="0" w:evenVBand="0" w:oddHBand="0" w:evenHBand="0" w:firstRowFirstColumn="0" w:firstRowLastColumn="0" w:lastRowFirstColumn="0" w:lastRowLastColumn="0"/>
            <w:tcW w:w="3955" w:type="dxa"/>
            <w:gridSpan w:val="2"/>
            <w:noWrap/>
            <w:hideMark/>
          </w:tcPr>
          <w:p w14:paraId="4734C1AB" w14:textId="269C704F" w:rsidR="00D97BAA" w:rsidRPr="00950125" w:rsidRDefault="0091131E"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Wooldridge Test for A</w:t>
            </w:r>
            <w:r w:rsidR="00D97BAA" w:rsidRPr="00950125">
              <w:rPr>
                <w:rFonts w:ascii="Times New Roman" w:eastAsia="Times New Roman" w:hAnsi="Times New Roman" w:cs="Times New Roman"/>
                <w:color w:val="000000"/>
                <w:sz w:val="28"/>
                <w:szCs w:val="28"/>
              </w:rPr>
              <w:t>utoco</w:t>
            </w:r>
          </w:p>
        </w:tc>
        <w:tc>
          <w:tcPr>
            <w:tcW w:w="2430" w:type="dxa"/>
            <w:noWrap/>
            <w:hideMark/>
          </w:tcPr>
          <w:p w14:paraId="4DF6A2CC"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0.648321</w:t>
            </w:r>
          </w:p>
        </w:tc>
        <w:tc>
          <w:tcPr>
            <w:tcW w:w="2430" w:type="dxa"/>
            <w:noWrap/>
            <w:hideMark/>
          </w:tcPr>
          <w:p w14:paraId="09D0589C"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p>
        </w:tc>
      </w:tr>
      <w:tr w:rsidR="00D97BAA" w:rsidRPr="00950125" w14:paraId="102F1E9F" w14:textId="77777777" w:rsidTr="00950125">
        <w:trPr>
          <w:trHeight w:val="285"/>
        </w:trPr>
        <w:tc>
          <w:tcPr>
            <w:cnfStyle w:val="001000000000" w:firstRow="0" w:lastRow="0" w:firstColumn="1" w:lastColumn="0" w:oddVBand="0" w:evenVBand="0" w:oddHBand="0" w:evenHBand="0" w:firstRowFirstColumn="0" w:firstRowLastColumn="0" w:lastRowFirstColumn="0" w:lastRowLastColumn="0"/>
            <w:tcW w:w="3955" w:type="dxa"/>
            <w:gridSpan w:val="2"/>
            <w:noWrap/>
            <w:hideMark/>
          </w:tcPr>
          <w:p w14:paraId="7FC9DE70" w14:textId="74418F9B" w:rsidR="00D97BAA" w:rsidRPr="00950125" w:rsidRDefault="0091131E"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Normality T</w:t>
            </w:r>
            <w:r w:rsidR="00D97BAA" w:rsidRPr="00950125">
              <w:rPr>
                <w:rFonts w:ascii="Times New Roman" w:eastAsia="Times New Roman" w:hAnsi="Times New Roman" w:cs="Times New Roman"/>
                <w:color w:val="000000"/>
                <w:sz w:val="28"/>
                <w:szCs w:val="28"/>
              </w:rPr>
              <w:t>est</w:t>
            </w:r>
          </w:p>
        </w:tc>
        <w:tc>
          <w:tcPr>
            <w:tcW w:w="2430" w:type="dxa"/>
            <w:noWrap/>
            <w:hideMark/>
          </w:tcPr>
          <w:p w14:paraId="7E6773D5"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0.98469</w:t>
            </w:r>
          </w:p>
        </w:tc>
        <w:tc>
          <w:tcPr>
            <w:tcW w:w="2430" w:type="dxa"/>
            <w:noWrap/>
            <w:hideMark/>
          </w:tcPr>
          <w:p w14:paraId="61D3AA0A"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p>
        </w:tc>
      </w:tr>
      <w:tr w:rsidR="00D97BAA" w:rsidRPr="00950125" w14:paraId="64DDA0D9" w14:textId="77777777" w:rsidTr="00950125">
        <w:trPr>
          <w:trHeight w:val="285"/>
        </w:trPr>
        <w:tc>
          <w:tcPr>
            <w:cnfStyle w:val="001000000000" w:firstRow="0" w:lastRow="0" w:firstColumn="1" w:lastColumn="0" w:oddVBand="0" w:evenVBand="0" w:oddHBand="0" w:evenHBand="0" w:firstRowFirstColumn="0" w:firstRowLastColumn="0" w:lastRowFirstColumn="0" w:lastRowLastColumn="0"/>
            <w:tcW w:w="3955" w:type="dxa"/>
            <w:gridSpan w:val="2"/>
            <w:noWrap/>
            <w:hideMark/>
          </w:tcPr>
          <w:p w14:paraId="7AB67D32" w14:textId="50D6BBA9" w:rsidR="00D97BAA" w:rsidRPr="00950125" w:rsidRDefault="0091131E"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Remsey Reset T</w:t>
            </w:r>
            <w:r w:rsidR="00D97BAA" w:rsidRPr="00950125">
              <w:rPr>
                <w:rFonts w:ascii="Times New Roman" w:eastAsia="Times New Roman" w:hAnsi="Times New Roman" w:cs="Times New Roman"/>
                <w:color w:val="000000"/>
                <w:sz w:val="28"/>
                <w:szCs w:val="28"/>
              </w:rPr>
              <w:t>est</w:t>
            </w:r>
          </w:p>
        </w:tc>
        <w:tc>
          <w:tcPr>
            <w:tcW w:w="2430" w:type="dxa"/>
            <w:noWrap/>
            <w:hideMark/>
          </w:tcPr>
          <w:p w14:paraId="45EDD349"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0.682735</w:t>
            </w:r>
          </w:p>
        </w:tc>
        <w:tc>
          <w:tcPr>
            <w:tcW w:w="2430" w:type="dxa"/>
            <w:noWrap/>
            <w:hideMark/>
          </w:tcPr>
          <w:p w14:paraId="4FCF758E" w14:textId="77777777" w:rsidR="00D97BAA" w:rsidRPr="00950125" w:rsidRDefault="00D97BAA" w:rsidP="00D46E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8"/>
                <w:szCs w:val="28"/>
              </w:rPr>
            </w:pPr>
          </w:p>
        </w:tc>
      </w:tr>
    </w:tbl>
    <w:p w14:paraId="66368B3B" w14:textId="77777777" w:rsidR="00447C69" w:rsidRPr="00950125" w:rsidRDefault="00447C69" w:rsidP="00D46E36">
      <w:pPr>
        <w:pStyle w:val="Heading4"/>
        <w:shd w:val="clear" w:color="auto" w:fill="FFFFFF"/>
        <w:spacing w:before="0" w:line="276" w:lineRule="auto"/>
        <w:rPr>
          <w:rFonts w:ascii="Times New Roman" w:hAnsi="Times New Roman" w:cs="Times New Roman"/>
          <w:color w:val="1A1C1E"/>
          <w:sz w:val="21"/>
          <w:szCs w:val="21"/>
        </w:rPr>
      </w:pPr>
    </w:p>
    <w:p w14:paraId="13D23FF2" w14:textId="77777777" w:rsidR="00B35A42" w:rsidRPr="00950125" w:rsidRDefault="00447C69" w:rsidP="00D46E36">
      <w:pPr>
        <w:pStyle w:val="ng-star-inserted"/>
        <w:shd w:val="clear" w:color="auto" w:fill="FFFFFF"/>
        <w:spacing w:after="270" w:afterAutospacing="0" w:line="276" w:lineRule="auto"/>
        <w:jc w:val="both"/>
        <w:rPr>
          <w:rFonts w:eastAsiaTheme="minorHAnsi"/>
          <w:szCs w:val="22"/>
        </w:rPr>
      </w:pPr>
      <w:r w:rsidRPr="00950125">
        <w:rPr>
          <w:rFonts w:eastAsiaTheme="minorHAnsi"/>
          <w:b/>
          <w:szCs w:val="22"/>
          <w:u w:val="single"/>
        </w:rPr>
        <w:t>Interpretation of Long-Run Coefficients:</w:t>
      </w:r>
      <w:r w:rsidRPr="00950125">
        <w:rPr>
          <w:rFonts w:eastAsiaTheme="minorHAnsi"/>
          <w:szCs w:val="22"/>
        </w:rPr>
        <w:t xml:space="preserve"> The long-run coefficients represent the final equilibrium relationship between the independent variables and Carbon Emissions after all short-run adjustments have settled. The validity of these interpretations is contingent upon a significant error correct</w:t>
      </w:r>
      <w:r w:rsidR="00B35A42" w:rsidRPr="00950125">
        <w:rPr>
          <w:rFonts w:eastAsiaTheme="minorHAnsi"/>
          <w:szCs w:val="22"/>
        </w:rPr>
        <w:t>ion term.</w:t>
      </w:r>
    </w:p>
    <w:p w14:paraId="46D76D72" w14:textId="77777777" w:rsidR="00B35A42" w:rsidRPr="00950125" w:rsidRDefault="00447C69" w:rsidP="00D46E36">
      <w:pPr>
        <w:pStyle w:val="ng-star-inserted"/>
        <w:shd w:val="clear" w:color="auto" w:fill="FFFFFF"/>
        <w:spacing w:after="270" w:afterAutospacing="0" w:line="276" w:lineRule="auto"/>
        <w:jc w:val="both"/>
        <w:rPr>
          <w:rFonts w:eastAsiaTheme="minorHAnsi"/>
          <w:szCs w:val="22"/>
        </w:rPr>
      </w:pPr>
      <w:r w:rsidRPr="00950125">
        <w:rPr>
          <w:rFonts w:eastAsiaTheme="minorHAnsi"/>
          <w:szCs w:val="22"/>
        </w:rPr>
        <w:t xml:space="preserve">The long-run coefficient for </w:t>
      </w:r>
      <w:r w:rsidR="00B35A42" w:rsidRPr="00950125">
        <w:rPr>
          <w:rFonts w:eastAsiaTheme="minorHAnsi"/>
          <w:szCs w:val="22"/>
        </w:rPr>
        <w:t>Institutional Quality (</w:t>
      </w:r>
      <w:r w:rsidRPr="00950125">
        <w:rPr>
          <w:rFonts w:eastAsiaTheme="minorHAnsi"/>
          <w:szCs w:val="22"/>
        </w:rPr>
        <w:t>IQ</w:t>
      </w:r>
      <w:r w:rsidR="00B35A42" w:rsidRPr="00950125">
        <w:rPr>
          <w:rFonts w:eastAsiaTheme="minorHAnsi"/>
          <w:szCs w:val="22"/>
        </w:rPr>
        <w:t>)</w:t>
      </w:r>
      <w:r w:rsidRPr="00950125">
        <w:rPr>
          <w:rFonts w:eastAsiaTheme="minorHAnsi"/>
          <w:szCs w:val="22"/>
        </w:rPr>
        <w:t xml:space="preserve"> is -0.0506 and is statistically significant (t = -5.6853). This indicates that in the long run, a 1% improvement in institutional quality is associated with a 0.051% decrease in carbon emissions. This finding strongly aligns with the established theory that robust institutions are effective in designing and enforcing environmental regulations, leading to better environmental outcomes.</w:t>
      </w:r>
      <w:r w:rsidR="00B35A42" w:rsidRPr="00950125">
        <w:rPr>
          <w:rFonts w:eastAsiaTheme="minorHAnsi"/>
          <w:szCs w:val="22"/>
        </w:rPr>
        <w:t xml:space="preserve"> In terms of </w:t>
      </w:r>
      <w:r w:rsidRPr="00950125">
        <w:rPr>
          <w:rFonts w:eastAsiaTheme="minorHAnsi"/>
          <w:szCs w:val="22"/>
        </w:rPr>
        <w:t>Information and Communication Technology (ICT)</w:t>
      </w:r>
      <w:r w:rsidR="00B35A42" w:rsidRPr="00950125">
        <w:rPr>
          <w:rFonts w:eastAsiaTheme="minorHAnsi"/>
          <w:szCs w:val="22"/>
        </w:rPr>
        <w:t>, it</w:t>
      </w:r>
      <w:r w:rsidRPr="00950125">
        <w:rPr>
          <w:rFonts w:eastAsiaTheme="minorHAnsi"/>
          <w:szCs w:val="22"/>
        </w:rPr>
        <w:t xml:space="preserve"> has a long-run coefficient of -0.1583, which is highly significant</w:t>
      </w:r>
      <w:r w:rsidR="00B35A42" w:rsidRPr="00950125">
        <w:rPr>
          <w:rFonts w:eastAsiaTheme="minorHAnsi"/>
          <w:szCs w:val="22"/>
        </w:rPr>
        <w:t xml:space="preserve"> (t-test = --30.4423)</w:t>
      </w:r>
      <w:r w:rsidRPr="00950125">
        <w:rPr>
          <w:rFonts w:eastAsiaTheme="minorHAnsi"/>
          <w:szCs w:val="22"/>
        </w:rPr>
        <w:t>. This implies that a 1% increase in ICT development is associated with a 0.158% reduction in carbon emissions in the long run. This supports the hypothesis that while ICT has its own energy footprint, its net long-term effect is to enhance energy efficiency, enable dematerialization, and facilitate a greener economy, thereby mitigating CO2 emissions.</w:t>
      </w:r>
      <w:r w:rsidR="00B35A42" w:rsidRPr="00950125">
        <w:rPr>
          <w:rFonts w:eastAsiaTheme="minorHAnsi"/>
          <w:szCs w:val="22"/>
        </w:rPr>
        <w:t xml:space="preserve"> </w:t>
      </w:r>
      <w:r w:rsidRPr="00950125">
        <w:rPr>
          <w:rFonts w:eastAsiaTheme="minorHAnsi"/>
          <w:szCs w:val="22"/>
        </w:rPr>
        <w:t>Economic Freedom (EF)</w:t>
      </w:r>
      <w:r w:rsidR="00B35A42" w:rsidRPr="00950125">
        <w:rPr>
          <w:rFonts w:eastAsiaTheme="minorHAnsi"/>
          <w:szCs w:val="22"/>
        </w:rPr>
        <w:t xml:space="preserve"> on the other hand has a long-run coefficient of</w:t>
      </w:r>
      <w:r w:rsidRPr="00950125">
        <w:rPr>
          <w:rFonts w:eastAsiaTheme="minorHAnsi"/>
          <w:szCs w:val="22"/>
        </w:rPr>
        <w:t> -0.1502 and is highly significant. This result suggests that a 1% increase in economic freedom leads to a 0.150% decrease in carbon emissions. This finding supports the argument that greater economic freedom contributes to more efficient resource use and the adoption of cleaner technologies, thereby reducing pollution in the long run.</w:t>
      </w:r>
    </w:p>
    <w:p w14:paraId="0B6C730A" w14:textId="43D1BBF7" w:rsidR="00447C69" w:rsidRPr="00950125" w:rsidRDefault="00447C69" w:rsidP="00D46E36">
      <w:pPr>
        <w:pStyle w:val="ng-star-inserted"/>
        <w:shd w:val="clear" w:color="auto" w:fill="FFFFFF"/>
        <w:spacing w:after="270" w:afterAutospacing="0" w:line="276" w:lineRule="auto"/>
        <w:jc w:val="both"/>
        <w:rPr>
          <w:rFonts w:eastAsiaTheme="minorHAnsi"/>
          <w:szCs w:val="22"/>
        </w:rPr>
      </w:pPr>
      <w:r w:rsidRPr="00950125">
        <w:rPr>
          <w:rFonts w:eastAsiaTheme="minorHAnsi"/>
          <w:b/>
          <w:szCs w:val="22"/>
          <w:u w:val="single"/>
        </w:rPr>
        <w:t>Interpretation of the Error Correction Term (ECT)</w:t>
      </w:r>
      <w:r w:rsidR="00B35A42" w:rsidRPr="00950125">
        <w:rPr>
          <w:rFonts w:eastAsiaTheme="minorHAnsi"/>
          <w:b/>
          <w:szCs w:val="22"/>
          <w:u w:val="single"/>
        </w:rPr>
        <w:t>:</w:t>
      </w:r>
      <w:r w:rsidR="00B35A42" w:rsidRPr="00950125">
        <w:rPr>
          <w:rFonts w:eastAsiaTheme="minorHAnsi"/>
          <w:szCs w:val="22"/>
        </w:rPr>
        <w:t xml:space="preserve"> </w:t>
      </w:r>
      <w:r w:rsidRPr="00950125">
        <w:rPr>
          <w:rFonts w:eastAsiaTheme="minorHAnsi"/>
          <w:szCs w:val="22"/>
        </w:rPr>
        <w:t>The Error Correction Term is the cornerstone of the model, linking the short-run dynamics to the long-run equilibrium.</w:t>
      </w:r>
      <w:r w:rsidRPr="00950125">
        <w:rPr>
          <w:rFonts w:eastAsiaTheme="minorHAnsi"/>
          <w:szCs w:val="22"/>
        </w:rPr>
        <w:br/>
      </w:r>
      <w:r w:rsidRPr="00950125">
        <w:rPr>
          <w:rFonts w:eastAsiaTheme="minorHAnsi"/>
          <w:szCs w:val="22"/>
        </w:rPr>
        <w:lastRenderedPageBreak/>
        <w:t xml:space="preserve">The coefficient of the ECT is -0.1279. </w:t>
      </w:r>
      <w:r w:rsidR="000E2280" w:rsidRPr="00950125">
        <w:rPr>
          <w:rFonts w:eastAsiaTheme="minorHAnsi"/>
          <w:szCs w:val="22"/>
        </w:rPr>
        <w:t>This coefficient</w:t>
      </w:r>
      <w:r w:rsidRPr="00950125">
        <w:rPr>
          <w:rFonts w:eastAsiaTheme="minorHAnsi"/>
          <w:szCs w:val="22"/>
        </w:rPr>
        <w:t xml:space="preserve"> is negative, as required for convergence to equilibrium.</w:t>
      </w:r>
      <w:r w:rsidR="000E2280" w:rsidRPr="00950125">
        <w:rPr>
          <w:rFonts w:eastAsiaTheme="minorHAnsi"/>
          <w:szCs w:val="22"/>
        </w:rPr>
        <w:t xml:space="preserve"> Also, i</w:t>
      </w:r>
      <w:r w:rsidRPr="00950125">
        <w:rPr>
          <w:rFonts w:eastAsiaTheme="minorHAnsi"/>
          <w:szCs w:val="22"/>
        </w:rPr>
        <w:t>t lies between -1 and 0</w:t>
      </w:r>
      <w:r w:rsidR="000E2280" w:rsidRPr="00950125">
        <w:rPr>
          <w:rFonts w:eastAsiaTheme="minorHAnsi"/>
          <w:szCs w:val="22"/>
        </w:rPr>
        <w:t xml:space="preserve"> and it’</w:t>
      </w:r>
      <w:r w:rsidRPr="00950125">
        <w:rPr>
          <w:rFonts w:eastAsiaTheme="minorHAnsi"/>
          <w:szCs w:val="22"/>
        </w:rPr>
        <w:t>s highly significant, with a t-statistic of -31.975.</w:t>
      </w:r>
      <w:r w:rsidR="000E2280" w:rsidRPr="00950125">
        <w:rPr>
          <w:rFonts w:eastAsiaTheme="minorHAnsi"/>
          <w:szCs w:val="22"/>
        </w:rPr>
        <w:t xml:space="preserve"> Therefore, t</w:t>
      </w:r>
      <w:r w:rsidRPr="00950125">
        <w:rPr>
          <w:rFonts w:eastAsiaTheme="minorHAnsi"/>
          <w:szCs w:val="22"/>
        </w:rPr>
        <w:t>h</w:t>
      </w:r>
      <w:r w:rsidR="000E2280" w:rsidRPr="00950125">
        <w:rPr>
          <w:rFonts w:eastAsiaTheme="minorHAnsi"/>
          <w:szCs w:val="22"/>
        </w:rPr>
        <w:t>is</w:t>
      </w:r>
      <w:r w:rsidRPr="00950125">
        <w:rPr>
          <w:rFonts w:eastAsiaTheme="minorHAnsi"/>
          <w:szCs w:val="22"/>
        </w:rPr>
        <w:t xml:space="preserve"> valid ECT coefficient confirms the existence of a stable, long-run cointegrating relationship among the variables. The value of -0.1279 indicates the speed of adjustment. Specifically, 12.79% of the disequilibrium from the previous period is corrected in the current period. This implies that when the system is shocked away from its long-run path, it adjusts back towards equilibrium at a moderate pace of approximately 13% per year.</w:t>
      </w:r>
    </w:p>
    <w:p w14:paraId="4F83DE9C" w14:textId="38194A21" w:rsidR="00447C69" w:rsidRPr="00950125" w:rsidRDefault="00447C69" w:rsidP="00D46E36">
      <w:pPr>
        <w:pStyle w:val="ng-star-inserted"/>
        <w:shd w:val="clear" w:color="auto" w:fill="FFFFFF"/>
        <w:spacing w:after="270" w:afterAutospacing="0" w:line="276" w:lineRule="auto"/>
        <w:jc w:val="both"/>
        <w:rPr>
          <w:rFonts w:eastAsiaTheme="minorHAnsi"/>
          <w:szCs w:val="22"/>
        </w:rPr>
      </w:pPr>
      <w:r w:rsidRPr="00950125">
        <w:rPr>
          <w:rFonts w:eastAsiaTheme="minorHAnsi"/>
          <w:b/>
          <w:szCs w:val="22"/>
          <w:u w:val="single"/>
        </w:rPr>
        <w:t>Interpretation of Short-Run Coefficients</w:t>
      </w:r>
      <w:r w:rsidR="000E2280" w:rsidRPr="00950125">
        <w:rPr>
          <w:rFonts w:eastAsiaTheme="minorHAnsi"/>
          <w:b/>
          <w:szCs w:val="22"/>
          <w:u w:val="single"/>
        </w:rPr>
        <w:t>:</w:t>
      </w:r>
      <w:r w:rsidR="000E2280" w:rsidRPr="00950125">
        <w:rPr>
          <w:rFonts w:eastAsiaTheme="minorHAnsi"/>
          <w:szCs w:val="22"/>
        </w:rPr>
        <w:t xml:space="preserve"> T</w:t>
      </w:r>
      <w:r w:rsidRPr="00950125">
        <w:rPr>
          <w:rFonts w:eastAsiaTheme="minorHAnsi"/>
          <w:szCs w:val="22"/>
        </w:rPr>
        <w:t>he short-run coefficients reveal the immediate, period-to-period impact of changes in the independent variables on Carbon Emissions.</w:t>
      </w:r>
      <w:r w:rsidR="000E2280" w:rsidRPr="00950125">
        <w:rPr>
          <w:rFonts w:eastAsiaTheme="minorHAnsi"/>
          <w:szCs w:val="22"/>
        </w:rPr>
        <w:t xml:space="preserve"> </w:t>
      </w:r>
      <w:r w:rsidRPr="00950125">
        <w:rPr>
          <w:rFonts w:eastAsiaTheme="minorHAnsi"/>
          <w:szCs w:val="22"/>
        </w:rPr>
        <w:t>The short-run coefficients for IQ (-0.0817)</w:t>
      </w:r>
      <w:r w:rsidR="000E2280" w:rsidRPr="00950125">
        <w:rPr>
          <w:rFonts w:eastAsiaTheme="minorHAnsi"/>
          <w:szCs w:val="22"/>
        </w:rPr>
        <w:t xml:space="preserve"> and</w:t>
      </w:r>
      <w:r w:rsidRPr="00950125">
        <w:rPr>
          <w:rFonts w:eastAsiaTheme="minorHAnsi"/>
          <w:szCs w:val="22"/>
        </w:rPr>
        <w:t> ICT (-0.0449)</w:t>
      </w:r>
      <w:r w:rsidR="000E2280" w:rsidRPr="00950125">
        <w:rPr>
          <w:rFonts w:eastAsiaTheme="minorHAnsi"/>
          <w:szCs w:val="22"/>
        </w:rPr>
        <w:t xml:space="preserve"> </w:t>
      </w:r>
      <w:r w:rsidRPr="00950125">
        <w:rPr>
          <w:rFonts w:eastAsiaTheme="minorHAnsi"/>
          <w:szCs w:val="22"/>
        </w:rPr>
        <w:t>are all statistically significant and carry the same signs as their long-run counterparts. This suggests that their immediate impact on emissions growth aligns with their final long-run effect. For instance, a 1% increase in the growth rate of ICT is associated with an immediate </w:t>
      </w:r>
      <w:r w:rsidR="000E2280" w:rsidRPr="00950125">
        <w:rPr>
          <w:rFonts w:eastAsiaTheme="minorHAnsi"/>
          <w:szCs w:val="22"/>
        </w:rPr>
        <w:t>0.0449</w:t>
      </w:r>
      <w:r w:rsidRPr="00950125">
        <w:rPr>
          <w:rFonts w:eastAsiaTheme="minorHAnsi"/>
          <w:szCs w:val="22"/>
        </w:rPr>
        <w:t>% decrease in the growth of CO2 emissions. Notably, the mitigating effect of ICT is substantially larger in the long run (-0.1583) than in the short run, highlighting that its full environmental benefits accumulate over time.</w:t>
      </w:r>
      <w:r w:rsidR="000E2280" w:rsidRPr="00950125">
        <w:rPr>
          <w:rFonts w:eastAsiaTheme="minorHAnsi"/>
          <w:szCs w:val="22"/>
        </w:rPr>
        <w:t xml:space="preserve"> Conversely</w:t>
      </w:r>
      <w:r w:rsidRPr="00950125">
        <w:rPr>
          <w:rFonts w:eastAsiaTheme="minorHAnsi"/>
          <w:szCs w:val="22"/>
        </w:rPr>
        <w:t>, the short-run coefficient for Economic Freedom (EF) is -0.0122 but is statistically insignificant (t = -1.326). This is a key finding, implying that while economic freedom has a significant mitigating effect on emissions in the long run, its immediate, period-to-period changes do not have a statistically discernible impact on CO2 emissions.</w:t>
      </w:r>
    </w:p>
    <w:p w14:paraId="41946770" w14:textId="78C64E38" w:rsidR="00447C69" w:rsidRPr="00950125" w:rsidRDefault="00447C69" w:rsidP="00D46E36">
      <w:pPr>
        <w:pStyle w:val="ng-star-inserted"/>
        <w:shd w:val="clear" w:color="auto" w:fill="FFFFFF"/>
        <w:spacing w:after="270" w:afterAutospacing="0" w:line="276" w:lineRule="auto"/>
        <w:jc w:val="both"/>
        <w:rPr>
          <w:rFonts w:eastAsiaTheme="minorHAnsi"/>
          <w:szCs w:val="22"/>
        </w:rPr>
      </w:pPr>
      <w:r w:rsidRPr="00950125">
        <w:rPr>
          <w:rFonts w:eastAsiaTheme="minorHAnsi"/>
          <w:b/>
          <w:szCs w:val="22"/>
          <w:u w:val="single"/>
        </w:rPr>
        <w:t>Post-Estimation Diagnostic Tests</w:t>
      </w:r>
      <w:r w:rsidR="000E2280" w:rsidRPr="00950125">
        <w:rPr>
          <w:rFonts w:eastAsiaTheme="minorHAnsi"/>
          <w:b/>
          <w:szCs w:val="22"/>
          <w:u w:val="single"/>
        </w:rPr>
        <w:t>:</w:t>
      </w:r>
      <w:r w:rsidR="000E2280" w:rsidRPr="00950125">
        <w:rPr>
          <w:rFonts w:eastAsiaTheme="minorHAnsi"/>
          <w:szCs w:val="22"/>
        </w:rPr>
        <w:t xml:space="preserve"> T</w:t>
      </w:r>
      <w:r w:rsidRPr="00950125">
        <w:rPr>
          <w:rFonts w:eastAsiaTheme="minorHAnsi"/>
          <w:szCs w:val="22"/>
        </w:rPr>
        <w:t>he robustness of the above interpretations is strongly supported by a series of diagnostic tests:</w:t>
      </w:r>
    </w:p>
    <w:p w14:paraId="0400C7DA" w14:textId="77777777" w:rsidR="000E2280" w:rsidRPr="00950125" w:rsidRDefault="000E2280" w:rsidP="00D46E36">
      <w:pPr>
        <w:pStyle w:val="ng-star-inserted"/>
        <w:numPr>
          <w:ilvl w:val="0"/>
          <w:numId w:val="7"/>
        </w:numPr>
        <w:shd w:val="clear" w:color="auto" w:fill="FFFFFF"/>
        <w:spacing w:after="270" w:afterAutospacing="0" w:line="276" w:lineRule="auto"/>
        <w:jc w:val="both"/>
        <w:rPr>
          <w:rFonts w:eastAsiaTheme="minorHAnsi"/>
          <w:szCs w:val="22"/>
        </w:rPr>
      </w:pPr>
      <w:r w:rsidRPr="00950125">
        <w:rPr>
          <w:rFonts w:eastAsiaTheme="minorHAnsi"/>
          <w:szCs w:val="22"/>
        </w:rPr>
        <w:t xml:space="preserve">The </w:t>
      </w:r>
      <w:r w:rsidR="00447C69" w:rsidRPr="00950125">
        <w:rPr>
          <w:rFonts w:eastAsiaTheme="minorHAnsi"/>
          <w:szCs w:val="22"/>
        </w:rPr>
        <w:t xml:space="preserve">CD Test </w:t>
      </w:r>
      <w:r w:rsidRPr="00950125">
        <w:rPr>
          <w:rFonts w:eastAsiaTheme="minorHAnsi"/>
          <w:szCs w:val="22"/>
        </w:rPr>
        <w:t>with a score of p=0.026, r</w:t>
      </w:r>
      <w:r w:rsidR="00447C69" w:rsidRPr="00950125">
        <w:rPr>
          <w:rFonts w:eastAsiaTheme="minorHAnsi"/>
          <w:szCs w:val="22"/>
        </w:rPr>
        <w:t xml:space="preserve">ejects the null </w:t>
      </w:r>
      <w:r w:rsidRPr="00950125">
        <w:rPr>
          <w:rFonts w:eastAsiaTheme="minorHAnsi"/>
          <w:szCs w:val="22"/>
        </w:rPr>
        <w:t xml:space="preserve">hypothesis </w:t>
      </w:r>
      <w:r w:rsidR="00447C69" w:rsidRPr="00950125">
        <w:rPr>
          <w:rFonts w:eastAsiaTheme="minorHAnsi"/>
          <w:szCs w:val="22"/>
        </w:rPr>
        <w:t>of no cross-sectio</w:t>
      </w:r>
      <w:r w:rsidRPr="00950125">
        <w:rPr>
          <w:rFonts w:eastAsiaTheme="minorHAnsi"/>
          <w:szCs w:val="22"/>
        </w:rPr>
        <w:t>nal dependence in the residuals. It indicates</w:t>
      </w:r>
      <w:r w:rsidR="00447C69" w:rsidRPr="00950125">
        <w:rPr>
          <w:rFonts w:eastAsiaTheme="minorHAnsi"/>
          <w:szCs w:val="22"/>
        </w:rPr>
        <w:t xml:space="preserve"> that the chosen estimator has successfully accounted for the initial CSD in the variables.</w:t>
      </w:r>
    </w:p>
    <w:p w14:paraId="600A6ACA" w14:textId="77777777" w:rsidR="00C5098E" w:rsidRPr="00950125" w:rsidRDefault="00447C69" w:rsidP="00D46E36">
      <w:pPr>
        <w:pStyle w:val="ng-star-inserted"/>
        <w:numPr>
          <w:ilvl w:val="0"/>
          <w:numId w:val="7"/>
        </w:numPr>
        <w:shd w:val="clear" w:color="auto" w:fill="FFFFFF"/>
        <w:spacing w:after="270" w:afterAutospacing="0" w:line="276" w:lineRule="auto"/>
        <w:jc w:val="both"/>
        <w:rPr>
          <w:rFonts w:eastAsiaTheme="minorHAnsi"/>
          <w:szCs w:val="22"/>
        </w:rPr>
      </w:pPr>
      <w:r w:rsidRPr="00950125">
        <w:rPr>
          <w:rFonts w:eastAsiaTheme="minorHAnsi"/>
          <w:szCs w:val="22"/>
        </w:rPr>
        <w:t>Wooldridge Test for Autocorrelation (p=0.648)</w:t>
      </w:r>
      <w:r w:rsidR="000E2280" w:rsidRPr="00950125">
        <w:rPr>
          <w:rFonts w:eastAsiaTheme="minorHAnsi"/>
          <w:szCs w:val="22"/>
        </w:rPr>
        <w:t xml:space="preserve"> f</w:t>
      </w:r>
      <w:r w:rsidRPr="00950125">
        <w:rPr>
          <w:rFonts w:eastAsiaTheme="minorHAnsi"/>
          <w:szCs w:val="22"/>
        </w:rPr>
        <w:t>ails to reject the null hypothesis, suggesting the model is free from first-order serial correlation.</w:t>
      </w:r>
    </w:p>
    <w:p w14:paraId="6CED46A4" w14:textId="77777777" w:rsidR="00C5098E" w:rsidRPr="00950125" w:rsidRDefault="00447C69" w:rsidP="00D46E36">
      <w:pPr>
        <w:pStyle w:val="ng-star-inserted"/>
        <w:numPr>
          <w:ilvl w:val="0"/>
          <w:numId w:val="7"/>
        </w:numPr>
        <w:shd w:val="clear" w:color="auto" w:fill="FFFFFF"/>
        <w:spacing w:after="270" w:afterAutospacing="0" w:line="276" w:lineRule="auto"/>
        <w:jc w:val="both"/>
        <w:rPr>
          <w:rFonts w:eastAsiaTheme="minorHAnsi"/>
          <w:szCs w:val="22"/>
        </w:rPr>
      </w:pPr>
      <w:r w:rsidRPr="00950125">
        <w:rPr>
          <w:rFonts w:eastAsiaTheme="minorHAnsi"/>
          <w:szCs w:val="22"/>
        </w:rPr>
        <w:t>Normality Test (p=0.984)</w:t>
      </w:r>
      <w:r w:rsidR="000E2280" w:rsidRPr="00950125">
        <w:rPr>
          <w:rFonts w:eastAsiaTheme="minorHAnsi"/>
          <w:szCs w:val="22"/>
        </w:rPr>
        <w:t xml:space="preserve"> also f</w:t>
      </w:r>
      <w:r w:rsidRPr="00950125">
        <w:rPr>
          <w:rFonts w:eastAsiaTheme="minorHAnsi"/>
          <w:szCs w:val="22"/>
        </w:rPr>
        <w:t>ails to reject the null hypothesis, indicating the residuals are normally distributed.</w:t>
      </w:r>
    </w:p>
    <w:p w14:paraId="652BAEE6" w14:textId="06079BB6" w:rsidR="00FB319C" w:rsidRPr="00950125" w:rsidRDefault="00447C69" w:rsidP="00D46E36">
      <w:pPr>
        <w:pStyle w:val="ng-star-inserted"/>
        <w:numPr>
          <w:ilvl w:val="0"/>
          <w:numId w:val="7"/>
        </w:numPr>
        <w:shd w:val="clear" w:color="auto" w:fill="FFFFFF"/>
        <w:spacing w:after="270" w:afterAutospacing="0" w:line="276" w:lineRule="auto"/>
        <w:jc w:val="both"/>
        <w:rPr>
          <w:rFonts w:eastAsiaTheme="minorHAnsi"/>
          <w:szCs w:val="22"/>
        </w:rPr>
      </w:pPr>
      <w:r w:rsidRPr="00950125">
        <w:rPr>
          <w:rFonts w:eastAsiaTheme="minorHAnsi"/>
          <w:szCs w:val="22"/>
        </w:rPr>
        <w:t>Ramsey Reset Test (p=0.682)</w:t>
      </w:r>
      <w:r w:rsidR="000E2280" w:rsidRPr="00950125">
        <w:rPr>
          <w:rFonts w:eastAsiaTheme="minorHAnsi"/>
          <w:szCs w:val="22"/>
        </w:rPr>
        <w:t xml:space="preserve"> f</w:t>
      </w:r>
      <w:r w:rsidRPr="00950125">
        <w:rPr>
          <w:rFonts w:eastAsiaTheme="minorHAnsi"/>
          <w:szCs w:val="22"/>
        </w:rPr>
        <w:t>ails to reject the null hypothesis of correct fu</w:t>
      </w:r>
      <w:r w:rsidR="000E2280" w:rsidRPr="00950125">
        <w:rPr>
          <w:rFonts w:eastAsiaTheme="minorHAnsi"/>
          <w:szCs w:val="22"/>
        </w:rPr>
        <w:t>nctional form as well.</w:t>
      </w:r>
      <w:r w:rsidRPr="00950125">
        <w:rPr>
          <w:rFonts w:eastAsiaTheme="minorHAnsi"/>
          <w:szCs w:val="22"/>
        </w:rPr>
        <w:t xml:space="preserve"> </w:t>
      </w:r>
      <w:r w:rsidR="000E2280" w:rsidRPr="00950125">
        <w:rPr>
          <w:rFonts w:eastAsiaTheme="minorHAnsi"/>
          <w:szCs w:val="22"/>
        </w:rPr>
        <w:t>It suggests that</w:t>
      </w:r>
      <w:r w:rsidRPr="00950125">
        <w:rPr>
          <w:rFonts w:eastAsiaTheme="minorHAnsi"/>
          <w:szCs w:val="22"/>
        </w:rPr>
        <w:t xml:space="preserve"> the model is well-specified.</w:t>
      </w:r>
    </w:p>
    <w:p w14:paraId="685E3C6A" w14:textId="77777777" w:rsidR="00FB319C" w:rsidRPr="00950125" w:rsidRDefault="00FB319C" w:rsidP="00D46E36">
      <w:pPr>
        <w:pStyle w:val="ng-star-inserted"/>
        <w:shd w:val="clear" w:color="auto" w:fill="FFFFFF"/>
        <w:spacing w:after="270" w:afterAutospacing="0" w:line="276" w:lineRule="auto"/>
        <w:jc w:val="both"/>
        <w:rPr>
          <w:rFonts w:eastAsiaTheme="minorHAnsi"/>
          <w:szCs w:val="22"/>
        </w:rPr>
      </w:pPr>
      <w:r w:rsidRPr="00950125">
        <w:rPr>
          <w:rFonts w:eastAsiaTheme="minorHAnsi"/>
          <w:szCs w:val="22"/>
        </w:rPr>
        <w:t>Al</w:t>
      </w:r>
      <w:r w:rsidR="00447C69" w:rsidRPr="00950125">
        <w:rPr>
          <w:rFonts w:eastAsiaTheme="minorHAnsi"/>
          <w:szCs w:val="22"/>
        </w:rPr>
        <w:t>together, these diagnostics confirm that the model is statistically sound, robust, and well-specified, lending strong confidence to the empirical findings.</w:t>
      </w:r>
    </w:p>
    <w:p w14:paraId="37175571" w14:textId="7EEBD959" w:rsidR="00D97BAA" w:rsidRPr="00950125" w:rsidRDefault="00950125" w:rsidP="00D46E36">
      <w:pPr>
        <w:pStyle w:val="Heading2"/>
        <w:numPr>
          <w:ilvl w:val="0"/>
          <w:numId w:val="18"/>
        </w:numPr>
        <w:spacing w:line="276" w:lineRule="auto"/>
        <w:rPr>
          <w:rFonts w:ascii="Times New Roman" w:hAnsi="Times New Roman" w:cs="Times New Roman"/>
          <w:b/>
          <w:sz w:val="28"/>
          <w:u w:val="single"/>
        </w:rPr>
      </w:pPr>
      <w:r w:rsidRPr="00950125">
        <w:rPr>
          <w:rFonts w:ascii="Times New Roman" w:hAnsi="Times New Roman" w:cs="Times New Roman"/>
          <w:b/>
          <w:sz w:val="28"/>
          <w:u w:val="single"/>
        </w:rPr>
        <w:lastRenderedPageBreak/>
        <w:t xml:space="preserve"> </w:t>
      </w:r>
      <w:bookmarkStart w:id="55" w:name="_Toc204723909"/>
      <w:r w:rsidR="00D97BAA" w:rsidRPr="00950125">
        <w:rPr>
          <w:rFonts w:ascii="Times New Roman" w:hAnsi="Times New Roman" w:cs="Times New Roman"/>
          <w:b/>
          <w:sz w:val="28"/>
          <w:u w:val="single"/>
        </w:rPr>
        <w:t xml:space="preserve">Empirical mode with SGD </w:t>
      </w:r>
      <w:r w:rsidR="00BB7052" w:rsidRPr="00950125">
        <w:rPr>
          <w:rFonts w:ascii="Times New Roman" w:hAnsi="Times New Roman" w:cs="Times New Roman"/>
          <w:b/>
          <w:sz w:val="28"/>
          <w:u w:val="single"/>
        </w:rPr>
        <w:t>7</w:t>
      </w:r>
      <w:bookmarkEnd w:id="55"/>
    </w:p>
    <w:p w14:paraId="17B3F898" w14:textId="28C1232A" w:rsidR="00FB319C" w:rsidRPr="00950125" w:rsidRDefault="00FB319C" w:rsidP="00D46E36">
      <w:pPr>
        <w:spacing w:line="276" w:lineRule="auto"/>
        <w:jc w:val="both"/>
        <w:rPr>
          <w:rFonts w:ascii="Times New Roman" w:hAnsi="Times New Roman" w:cs="Times New Roman"/>
          <w:sz w:val="24"/>
        </w:rPr>
      </w:pPr>
      <w:r w:rsidRPr="00950125">
        <w:rPr>
          <w:rFonts w:ascii="Times New Roman" w:hAnsi="Times New Roman" w:cs="Times New Roman"/>
          <w:sz w:val="24"/>
        </w:rPr>
        <w:t>This section interprets the empirical findings for the model of Renewable Energy Consumption (REC). Following the same robust panel estimation methodology, the analysis reveals the long-run and short-run factors influencing the adoption of renewable energy. The results are detailed in the table below, followed by a systematic interpretation of the coefficients and the model's dynamic properties.</w:t>
      </w:r>
    </w:p>
    <w:p w14:paraId="146ECC4A" w14:textId="2DD04039" w:rsidR="00950125" w:rsidRPr="00950125" w:rsidRDefault="00F4455B" w:rsidP="00D46E36">
      <w:pPr>
        <w:pStyle w:val="Caption"/>
        <w:spacing w:line="276" w:lineRule="auto"/>
        <w:rPr>
          <w:szCs w:val="22"/>
        </w:rPr>
      </w:pPr>
      <w:bookmarkStart w:id="56" w:name="_Toc204723240"/>
      <w:r>
        <w:t xml:space="preserve">Table </w:t>
      </w:r>
      <w:r w:rsidR="0029645F">
        <w:rPr>
          <w:noProof/>
        </w:rPr>
        <w:fldChar w:fldCharType="begin"/>
      </w:r>
      <w:r w:rsidR="0029645F">
        <w:rPr>
          <w:noProof/>
        </w:rPr>
        <w:instrText xml:space="preserve"> SEQ Table \* ARABIC </w:instrText>
      </w:r>
      <w:r w:rsidR="0029645F">
        <w:rPr>
          <w:noProof/>
        </w:rPr>
        <w:fldChar w:fldCharType="separate"/>
      </w:r>
      <w:r w:rsidR="003F2868">
        <w:rPr>
          <w:noProof/>
        </w:rPr>
        <w:t>10</w:t>
      </w:r>
      <w:r w:rsidR="0029645F">
        <w:rPr>
          <w:noProof/>
        </w:rPr>
        <w:fldChar w:fldCharType="end"/>
      </w:r>
      <w:r w:rsidR="00950125" w:rsidRPr="00950125">
        <w:rPr>
          <w:b/>
          <w:i w:val="0"/>
        </w:rPr>
        <w:t>: Empirical mode with SDG 7</w:t>
      </w:r>
      <w:bookmarkEnd w:id="56"/>
    </w:p>
    <w:tbl>
      <w:tblPr>
        <w:tblStyle w:val="TableGridLight"/>
        <w:tblW w:w="8815" w:type="dxa"/>
        <w:tblLook w:val="04A0" w:firstRow="1" w:lastRow="0" w:firstColumn="1" w:lastColumn="0" w:noHBand="0" w:noVBand="1"/>
      </w:tblPr>
      <w:tblGrid>
        <w:gridCol w:w="1795"/>
        <w:gridCol w:w="2160"/>
        <w:gridCol w:w="2430"/>
        <w:gridCol w:w="2430"/>
      </w:tblGrid>
      <w:tr w:rsidR="00D97BAA" w:rsidRPr="00950125" w14:paraId="4310EB56" w14:textId="77777777" w:rsidTr="00950125">
        <w:trPr>
          <w:trHeight w:val="285"/>
        </w:trPr>
        <w:tc>
          <w:tcPr>
            <w:tcW w:w="1795" w:type="dxa"/>
          </w:tcPr>
          <w:p w14:paraId="15359BE2"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p>
        </w:tc>
        <w:tc>
          <w:tcPr>
            <w:tcW w:w="7020" w:type="dxa"/>
            <w:gridSpan w:val="3"/>
            <w:noWrap/>
            <w:hideMark/>
          </w:tcPr>
          <w:p w14:paraId="44A9D9AF" w14:textId="76632E19" w:rsidR="00D97BAA" w:rsidRPr="00950125" w:rsidRDefault="0091131E"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 xml:space="preserve">Renewable Energy Consumption </w:t>
            </w:r>
          </w:p>
        </w:tc>
      </w:tr>
      <w:tr w:rsidR="00D97BAA" w:rsidRPr="00950125" w14:paraId="4851287D" w14:textId="77777777" w:rsidTr="00950125">
        <w:trPr>
          <w:trHeight w:val="285"/>
        </w:trPr>
        <w:tc>
          <w:tcPr>
            <w:tcW w:w="1795" w:type="dxa"/>
          </w:tcPr>
          <w:p w14:paraId="7B211722"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p>
        </w:tc>
        <w:tc>
          <w:tcPr>
            <w:tcW w:w="2160" w:type="dxa"/>
            <w:noWrap/>
            <w:hideMark/>
          </w:tcPr>
          <w:p w14:paraId="3F816BD6" w14:textId="48B8274D"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Cofficient</w:t>
            </w:r>
          </w:p>
        </w:tc>
        <w:tc>
          <w:tcPr>
            <w:tcW w:w="2430" w:type="dxa"/>
            <w:noWrap/>
            <w:hideMark/>
          </w:tcPr>
          <w:p w14:paraId="6312CD94" w14:textId="5BC88033"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std.error</w:t>
            </w:r>
          </w:p>
        </w:tc>
        <w:tc>
          <w:tcPr>
            <w:tcW w:w="2430" w:type="dxa"/>
            <w:noWrap/>
            <w:hideMark/>
          </w:tcPr>
          <w:p w14:paraId="636582A0"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t-stat</w:t>
            </w:r>
          </w:p>
        </w:tc>
      </w:tr>
      <w:tr w:rsidR="00D97BAA" w:rsidRPr="00950125" w14:paraId="17383572" w14:textId="77777777" w:rsidTr="00950125">
        <w:trPr>
          <w:trHeight w:val="293"/>
        </w:trPr>
        <w:tc>
          <w:tcPr>
            <w:tcW w:w="1795" w:type="dxa"/>
          </w:tcPr>
          <w:p w14:paraId="6C8B209E"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p>
        </w:tc>
        <w:tc>
          <w:tcPr>
            <w:tcW w:w="2160" w:type="dxa"/>
            <w:noWrap/>
            <w:hideMark/>
          </w:tcPr>
          <w:p w14:paraId="306F4C1A"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p>
        </w:tc>
        <w:tc>
          <w:tcPr>
            <w:tcW w:w="2430" w:type="dxa"/>
            <w:noWrap/>
            <w:hideMark/>
          </w:tcPr>
          <w:p w14:paraId="38C76148" w14:textId="77777777" w:rsidR="00D97BAA" w:rsidRPr="00950125" w:rsidRDefault="00D97BAA" w:rsidP="00D46E36">
            <w:pPr>
              <w:spacing w:line="276" w:lineRule="auto"/>
              <w:jc w:val="center"/>
              <w:rPr>
                <w:rFonts w:ascii="Times New Roman" w:eastAsia="Times New Roman" w:hAnsi="Times New Roman" w:cs="Times New Roman"/>
                <w:b/>
                <w:sz w:val="28"/>
                <w:szCs w:val="28"/>
              </w:rPr>
            </w:pPr>
          </w:p>
        </w:tc>
        <w:tc>
          <w:tcPr>
            <w:tcW w:w="2430" w:type="dxa"/>
            <w:noWrap/>
            <w:hideMark/>
          </w:tcPr>
          <w:p w14:paraId="53EBC6D8" w14:textId="77777777" w:rsidR="00D97BAA" w:rsidRPr="00950125" w:rsidRDefault="00D97BAA" w:rsidP="00D46E36">
            <w:pPr>
              <w:spacing w:line="276" w:lineRule="auto"/>
              <w:jc w:val="center"/>
              <w:rPr>
                <w:rFonts w:ascii="Times New Roman" w:eastAsia="Times New Roman" w:hAnsi="Times New Roman" w:cs="Times New Roman"/>
                <w:b/>
                <w:sz w:val="28"/>
                <w:szCs w:val="28"/>
              </w:rPr>
            </w:pPr>
          </w:p>
        </w:tc>
      </w:tr>
      <w:tr w:rsidR="00D97BAA" w:rsidRPr="00950125" w14:paraId="51DC3B3E" w14:textId="77777777" w:rsidTr="00950125">
        <w:trPr>
          <w:trHeight w:val="293"/>
        </w:trPr>
        <w:tc>
          <w:tcPr>
            <w:tcW w:w="1795" w:type="dxa"/>
          </w:tcPr>
          <w:p w14:paraId="62671C3F"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IQ</w:t>
            </w:r>
          </w:p>
        </w:tc>
        <w:tc>
          <w:tcPr>
            <w:tcW w:w="2160" w:type="dxa"/>
            <w:noWrap/>
            <w:hideMark/>
          </w:tcPr>
          <w:p w14:paraId="28B381D1"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0.0665</w:t>
            </w:r>
          </w:p>
        </w:tc>
        <w:tc>
          <w:tcPr>
            <w:tcW w:w="2430" w:type="dxa"/>
            <w:noWrap/>
            <w:hideMark/>
          </w:tcPr>
          <w:p w14:paraId="0987FC1B"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0.0116</w:t>
            </w:r>
          </w:p>
        </w:tc>
        <w:tc>
          <w:tcPr>
            <w:tcW w:w="2430" w:type="dxa"/>
            <w:noWrap/>
            <w:hideMark/>
          </w:tcPr>
          <w:p w14:paraId="40DF4EBB"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5.7327</w:t>
            </w:r>
          </w:p>
        </w:tc>
      </w:tr>
      <w:tr w:rsidR="00D97BAA" w:rsidRPr="00950125" w14:paraId="5574397A" w14:textId="77777777" w:rsidTr="00950125">
        <w:trPr>
          <w:trHeight w:val="293"/>
        </w:trPr>
        <w:tc>
          <w:tcPr>
            <w:tcW w:w="1795" w:type="dxa"/>
          </w:tcPr>
          <w:p w14:paraId="08D9952A"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ICT</w:t>
            </w:r>
          </w:p>
        </w:tc>
        <w:tc>
          <w:tcPr>
            <w:tcW w:w="2160" w:type="dxa"/>
            <w:noWrap/>
            <w:hideMark/>
          </w:tcPr>
          <w:p w14:paraId="1E3C255B"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0.086</w:t>
            </w:r>
          </w:p>
        </w:tc>
        <w:tc>
          <w:tcPr>
            <w:tcW w:w="2430" w:type="dxa"/>
            <w:noWrap/>
            <w:hideMark/>
          </w:tcPr>
          <w:p w14:paraId="0471D746"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0.0057</w:t>
            </w:r>
          </w:p>
        </w:tc>
        <w:tc>
          <w:tcPr>
            <w:tcW w:w="2430" w:type="dxa"/>
            <w:noWrap/>
            <w:hideMark/>
          </w:tcPr>
          <w:p w14:paraId="1E5C4949"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15.0877</w:t>
            </w:r>
          </w:p>
        </w:tc>
      </w:tr>
      <w:tr w:rsidR="00D97BAA" w:rsidRPr="00950125" w14:paraId="1C34AC80" w14:textId="77777777" w:rsidTr="00950125">
        <w:trPr>
          <w:trHeight w:val="293"/>
        </w:trPr>
        <w:tc>
          <w:tcPr>
            <w:tcW w:w="1795" w:type="dxa"/>
          </w:tcPr>
          <w:p w14:paraId="66CDF3DB"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EF</w:t>
            </w:r>
          </w:p>
        </w:tc>
        <w:tc>
          <w:tcPr>
            <w:tcW w:w="2160" w:type="dxa"/>
            <w:noWrap/>
            <w:hideMark/>
          </w:tcPr>
          <w:p w14:paraId="0611000A"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0.1064</w:t>
            </w:r>
          </w:p>
        </w:tc>
        <w:tc>
          <w:tcPr>
            <w:tcW w:w="2430" w:type="dxa"/>
            <w:noWrap/>
            <w:hideMark/>
          </w:tcPr>
          <w:p w14:paraId="553B2D30"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0.006</w:t>
            </w:r>
          </w:p>
        </w:tc>
        <w:tc>
          <w:tcPr>
            <w:tcW w:w="2430" w:type="dxa"/>
            <w:noWrap/>
            <w:hideMark/>
          </w:tcPr>
          <w:p w14:paraId="5A41750F"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17.7333</w:t>
            </w:r>
          </w:p>
        </w:tc>
      </w:tr>
      <w:tr w:rsidR="00D97BAA" w:rsidRPr="00950125" w14:paraId="7CBAA5C6" w14:textId="77777777" w:rsidTr="00950125">
        <w:trPr>
          <w:trHeight w:val="293"/>
        </w:trPr>
        <w:tc>
          <w:tcPr>
            <w:tcW w:w="1795" w:type="dxa"/>
          </w:tcPr>
          <w:p w14:paraId="2BCA5B21"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NRR</w:t>
            </w:r>
          </w:p>
        </w:tc>
        <w:tc>
          <w:tcPr>
            <w:tcW w:w="2160" w:type="dxa"/>
            <w:noWrap/>
            <w:hideMark/>
          </w:tcPr>
          <w:p w14:paraId="0D16D669"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-0.1091</w:t>
            </w:r>
          </w:p>
        </w:tc>
        <w:tc>
          <w:tcPr>
            <w:tcW w:w="2430" w:type="dxa"/>
            <w:noWrap/>
            <w:hideMark/>
          </w:tcPr>
          <w:p w14:paraId="402C3051"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0.0069</w:t>
            </w:r>
          </w:p>
        </w:tc>
        <w:tc>
          <w:tcPr>
            <w:tcW w:w="2430" w:type="dxa"/>
            <w:noWrap/>
            <w:hideMark/>
          </w:tcPr>
          <w:p w14:paraId="7A4679C6"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-15.8115</w:t>
            </w:r>
          </w:p>
        </w:tc>
      </w:tr>
      <w:tr w:rsidR="00D97BAA" w:rsidRPr="00950125" w14:paraId="1E457541" w14:textId="77777777" w:rsidTr="00950125">
        <w:trPr>
          <w:trHeight w:val="293"/>
        </w:trPr>
        <w:tc>
          <w:tcPr>
            <w:tcW w:w="1795" w:type="dxa"/>
          </w:tcPr>
          <w:p w14:paraId="1F769F15"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HCD</w:t>
            </w:r>
          </w:p>
        </w:tc>
        <w:tc>
          <w:tcPr>
            <w:tcW w:w="2160" w:type="dxa"/>
            <w:noWrap/>
            <w:hideMark/>
          </w:tcPr>
          <w:p w14:paraId="24C1AFBD"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0.0499</w:t>
            </w:r>
          </w:p>
        </w:tc>
        <w:tc>
          <w:tcPr>
            <w:tcW w:w="2430" w:type="dxa"/>
            <w:noWrap/>
            <w:hideMark/>
          </w:tcPr>
          <w:p w14:paraId="357FA799"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0.008</w:t>
            </w:r>
          </w:p>
        </w:tc>
        <w:tc>
          <w:tcPr>
            <w:tcW w:w="2430" w:type="dxa"/>
            <w:noWrap/>
            <w:hideMark/>
          </w:tcPr>
          <w:p w14:paraId="7D4D6C6C"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6.2375</w:t>
            </w:r>
          </w:p>
        </w:tc>
      </w:tr>
      <w:tr w:rsidR="00D97BAA" w:rsidRPr="00950125" w14:paraId="6E3C972C" w14:textId="77777777" w:rsidTr="00950125">
        <w:trPr>
          <w:trHeight w:val="285"/>
        </w:trPr>
        <w:tc>
          <w:tcPr>
            <w:tcW w:w="1795" w:type="dxa"/>
          </w:tcPr>
          <w:p w14:paraId="69B00891"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Y</w:t>
            </w:r>
          </w:p>
        </w:tc>
        <w:tc>
          <w:tcPr>
            <w:tcW w:w="2160" w:type="dxa"/>
            <w:noWrap/>
            <w:hideMark/>
          </w:tcPr>
          <w:p w14:paraId="2145873B"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0.0798</w:t>
            </w:r>
          </w:p>
        </w:tc>
        <w:tc>
          <w:tcPr>
            <w:tcW w:w="2430" w:type="dxa"/>
            <w:noWrap/>
            <w:hideMark/>
          </w:tcPr>
          <w:p w14:paraId="0361B323"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0.003</w:t>
            </w:r>
          </w:p>
        </w:tc>
        <w:tc>
          <w:tcPr>
            <w:tcW w:w="2430" w:type="dxa"/>
            <w:noWrap/>
            <w:hideMark/>
          </w:tcPr>
          <w:p w14:paraId="5621EAE1"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26.6</w:t>
            </w:r>
            <w:r w:rsidR="00D627AB" w:rsidRPr="00950125">
              <w:rPr>
                <w:rFonts w:ascii="Times New Roman" w:eastAsia="Times New Roman" w:hAnsi="Times New Roman" w:cs="Times New Roman"/>
                <w:b/>
                <w:color w:val="000000"/>
                <w:sz w:val="28"/>
                <w:szCs w:val="28"/>
              </w:rPr>
              <w:t>021</w:t>
            </w:r>
          </w:p>
        </w:tc>
      </w:tr>
      <w:tr w:rsidR="00D97BAA" w:rsidRPr="00950125" w14:paraId="642E70EF" w14:textId="77777777" w:rsidTr="00950125">
        <w:trPr>
          <w:trHeight w:val="285"/>
        </w:trPr>
        <w:tc>
          <w:tcPr>
            <w:tcW w:w="1795" w:type="dxa"/>
          </w:tcPr>
          <w:p w14:paraId="2580603B" w14:textId="77777777" w:rsidR="00D97BAA" w:rsidRPr="00950125" w:rsidRDefault="00D627AB"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C</w:t>
            </w:r>
          </w:p>
        </w:tc>
        <w:tc>
          <w:tcPr>
            <w:tcW w:w="2160" w:type="dxa"/>
            <w:noWrap/>
            <w:hideMark/>
          </w:tcPr>
          <w:p w14:paraId="48F88AFA"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w:t>
            </w:r>
            <w:r w:rsidR="00D627AB" w:rsidRPr="00950125">
              <w:rPr>
                <w:rFonts w:ascii="Times New Roman" w:eastAsia="Times New Roman" w:hAnsi="Times New Roman" w:cs="Times New Roman"/>
                <w:b/>
                <w:color w:val="000000"/>
                <w:sz w:val="28"/>
                <w:szCs w:val="28"/>
              </w:rPr>
              <w:t>7</w:t>
            </w:r>
            <w:r w:rsidRPr="00950125">
              <w:rPr>
                <w:rFonts w:ascii="Times New Roman" w:eastAsia="Times New Roman" w:hAnsi="Times New Roman" w:cs="Times New Roman"/>
                <w:b/>
                <w:color w:val="000000"/>
                <w:sz w:val="28"/>
                <w:szCs w:val="28"/>
              </w:rPr>
              <w:t>.111</w:t>
            </w:r>
          </w:p>
        </w:tc>
        <w:tc>
          <w:tcPr>
            <w:tcW w:w="2430" w:type="dxa"/>
            <w:noWrap/>
            <w:hideMark/>
          </w:tcPr>
          <w:p w14:paraId="01F886F8"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0.0089</w:t>
            </w:r>
          </w:p>
        </w:tc>
        <w:tc>
          <w:tcPr>
            <w:tcW w:w="2430" w:type="dxa"/>
            <w:noWrap/>
            <w:hideMark/>
          </w:tcPr>
          <w:p w14:paraId="365E8C05"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w:t>
            </w:r>
            <w:r w:rsidR="00D627AB" w:rsidRPr="00950125">
              <w:rPr>
                <w:rFonts w:ascii="Times New Roman" w:eastAsia="Times New Roman" w:hAnsi="Times New Roman" w:cs="Times New Roman"/>
                <w:b/>
                <w:color w:val="000000"/>
                <w:sz w:val="28"/>
                <w:szCs w:val="28"/>
              </w:rPr>
              <w:t>9</w:t>
            </w:r>
            <w:r w:rsidRPr="00950125">
              <w:rPr>
                <w:rFonts w:ascii="Times New Roman" w:eastAsia="Times New Roman" w:hAnsi="Times New Roman" w:cs="Times New Roman"/>
                <w:b/>
                <w:color w:val="000000"/>
                <w:sz w:val="28"/>
                <w:szCs w:val="28"/>
              </w:rPr>
              <w:t>2.4719</w:t>
            </w:r>
          </w:p>
        </w:tc>
      </w:tr>
      <w:tr w:rsidR="00D97BAA" w:rsidRPr="00950125" w14:paraId="7CAE10B5" w14:textId="77777777" w:rsidTr="00950125">
        <w:trPr>
          <w:trHeight w:val="293"/>
        </w:trPr>
        <w:tc>
          <w:tcPr>
            <w:tcW w:w="1795" w:type="dxa"/>
          </w:tcPr>
          <w:p w14:paraId="64AF7EDA" w14:textId="77777777" w:rsidR="00D97BAA" w:rsidRPr="00950125" w:rsidRDefault="00D97BAA" w:rsidP="00D46E36">
            <w:pPr>
              <w:spacing w:line="276" w:lineRule="auto"/>
              <w:jc w:val="center"/>
              <w:rPr>
                <w:rFonts w:ascii="Times New Roman" w:eastAsia="Times New Roman" w:hAnsi="Times New Roman" w:cs="Times New Roman"/>
                <w:color w:val="000000"/>
                <w:sz w:val="28"/>
                <w:szCs w:val="28"/>
              </w:rPr>
            </w:pPr>
          </w:p>
        </w:tc>
        <w:tc>
          <w:tcPr>
            <w:tcW w:w="2160" w:type="dxa"/>
            <w:noWrap/>
            <w:hideMark/>
          </w:tcPr>
          <w:p w14:paraId="3BA25EF7" w14:textId="77777777" w:rsidR="00D97BAA" w:rsidRPr="00950125" w:rsidRDefault="00D97BAA" w:rsidP="00D46E36">
            <w:pPr>
              <w:spacing w:line="276" w:lineRule="auto"/>
              <w:jc w:val="center"/>
              <w:rPr>
                <w:rFonts w:ascii="Times New Roman" w:eastAsia="Times New Roman" w:hAnsi="Times New Roman" w:cs="Times New Roman"/>
                <w:b/>
                <w:color w:val="000000"/>
                <w:sz w:val="28"/>
                <w:szCs w:val="28"/>
              </w:rPr>
            </w:pPr>
          </w:p>
        </w:tc>
        <w:tc>
          <w:tcPr>
            <w:tcW w:w="2430" w:type="dxa"/>
            <w:noWrap/>
            <w:hideMark/>
          </w:tcPr>
          <w:p w14:paraId="5F22078A" w14:textId="77777777" w:rsidR="00D97BAA" w:rsidRPr="00950125" w:rsidRDefault="00D97BAA" w:rsidP="00D46E36">
            <w:pPr>
              <w:spacing w:line="276" w:lineRule="auto"/>
              <w:jc w:val="center"/>
              <w:rPr>
                <w:rFonts w:ascii="Times New Roman" w:eastAsia="Times New Roman" w:hAnsi="Times New Roman" w:cs="Times New Roman"/>
                <w:b/>
                <w:sz w:val="28"/>
                <w:szCs w:val="28"/>
              </w:rPr>
            </w:pPr>
          </w:p>
        </w:tc>
        <w:tc>
          <w:tcPr>
            <w:tcW w:w="2430" w:type="dxa"/>
            <w:noWrap/>
            <w:hideMark/>
          </w:tcPr>
          <w:p w14:paraId="378822DC" w14:textId="77777777" w:rsidR="00D97BAA" w:rsidRPr="00950125" w:rsidRDefault="00D97BAA" w:rsidP="00D46E36">
            <w:pPr>
              <w:spacing w:line="276" w:lineRule="auto"/>
              <w:jc w:val="center"/>
              <w:rPr>
                <w:rFonts w:ascii="Times New Roman" w:eastAsia="Times New Roman" w:hAnsi="Times New Roman" w:cs="Times New Roman"/>
                <w:b/>
                <w:sz w:val="28"/>
                <w:szCs w:val="28"/>
              </w:rPr>
            </w:pPr>
          </w:p>
        </w:tc>
      </w:tr>
      <w:tr w:rsidR="00D627AB" w:rsidRPr="00950125" w14:paraId="5F5FA382" w14:textId="77777777" w:rsidTr="00950125">
        <w:trPr>
          <w:trHeight w:val="293"/>
        </w:trPr>
        <w:tc>
          <w:tcPr>
            <w:tcW w:w="1795" w:type="dxa"/>
          </w:tcPr>
          <w:p w14:paraId="3CC3F833" w14:textId="77777777" w:rsidR="00D627AB" w:rsidRPr="00950125" w:rsidRDefault="00D627AB"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IQ</w:t>
            </w:r>
          </w:p>
        </w:tc>
        <w:tc>
          <w:tcPr>
            <w:tcW w:w="2160" w:type="dxa"/>
            <w:noWrap/>
            <w:hideMark/>
          </w:tcPr>
          <w:p w14:paraId="45158D86"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0.0594</w:t>
            </w:r>
          </w:p>
        </w:tc>
        <w:tc>
          <w:tcPr>
            <w:tcW w:w="2430" w:type="dxa"/>
            <w:noWrap/>
            <w:hideMark/>
          </w:tcPr>
          <w:p w14:paraId="66E33514"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0.0058</w:t>
            </w:r>
          </w:p>
        </w:tc>
        <w:tc>
          <w:tcPr>
            <w:tcW w:w="2430" w:type="dxa"/>
            <w:noWrap/>
            <w:hideMark/>
          </w:tcPr>
          <w:p w14:paraId="35783395"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10.2413</w:t>
            </w:r>
          </w:p>
        </w:tc>
      </w:tr>
      <w:tr w:rsidR="00D627AB" w:rsidRPr="00950125" w14:paraId="0559B967" w14:textId="77777777" w:rsidTr="00950125">
        <w:trPr>
          <w:trHeight w:val="293"/>
        </w:trPr>
        <w:tc>
          <w:tcPr>
            <w:tcW w:w="1795" w:type="dxa"/>
          </w:tcPr>
          <w:p w14:paraId="73109DE5" w14:textId="77777777" w:rsidR="00D627AB" w:rsidRPr="00950125" w:rsidRDefault="00D627AB"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ICT</w:t>
            </w:r>
          </w:p>
        </w:tc>
        <w:tc>
          <w:tcPr>
            <w:tcW w:w="2160" w:type="dxa"/>
            <w:noWrap/>
            <w:hideMark/>
          </w:tcPr>
          <w:p w14:paraId="5F865B11"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0.0395</w:t>
            </w:r>
          </w:p>
        </w:tc>
        <w:tc>
          <w:tcPr>
            <w:tcW w:w="2430" w:type="dxa"/>
            <w:noWrap/>
            <w:hideMark/>
          </w:tcPr>
          <w:p w14:paraId="40608533"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0.0072</w:t>
            </w:r>
          </w:p>
        </w:tc>
        <w:tc>
          <w:tcPr>
            <w:tcW w:w="2430" w:type="dxa"/>
            <w:noWrap/>
            <w:hideMark/>
          </w:tcPr>
          <w:p w14:paraId="51E2D031"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5.4861</w:t>
            </w:r>
          </w:p>
        </w:tc>
      </w:tr>
      <w:tr w:rsidR="00D627AB" w:rsidRPr="00950125" w14:paraId="612FEA33" w14:textId="77777777" w:rsidTr="00950125">
        <w:trPr>
          <w:trHeight w:val="293"/>
        </w:trPr>
        <w:tc>
          <w:tcPr>
            <w:tcW w:w="1795" w:type="dxa"/>
          </w:tcPr>
          <w:p w14:paraId="5E2A5079" w14:textId="77777777" w:rsidR="00D627AB" w:rsidRPr="00950125" w:rsidRDefault="00D627AB"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EF</w:t>
            </w:r>
          </w:p>
        </w:tc>
        <w:tc>
          <w:tcPr>
            <w:tcW w:w="2160" w:type="dxa"/>
            <w:noWrap/>
            <w:hideMark/>
          </w:tcPr>
          <w:p w14:paraId="185E2AAB"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0.0751</w:t>
            </w:r>
          </w:p>
        </w:tc>
        <w:tc>
          <w:tcPr>
            <w:tcW w:w="2430" w:type="dxa"/>
            <w:noWrap/>
            <w:hideMark/>
          </w:tcPr>
          <w:p w14:paraId="6F97AD7F"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0.0116</w:t>
            </w:r>
          </w:p>
        </w:tc>
        <w:tc>
          <w:tcPr>
            <w:tcW w:w="2430" w:type="dxa"/>
            <w:noWrap/>
            <w:hideMark/>
          </w:tcPr>
          <w:p w14:paraId="28E7D700"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6.4741</w:t>
            </w:r>
          </w:p>
        </w:tc>
      </w:tr>
      <w:tr w:rsidR="00D627AB" w:rsidRPr="00950125" w14:paraId="66F86755" w14:textId="77777777" w:rsidTr="00950125">
        <w:trPr>
          <w:trHeight w:val="293"/>
        </w:trPr>
        <w:tc>
          <w:tcPr>
            <w:tcW w:w="1795" w:type="dxa"/>
          </w:tcPr>
          <w:p w14:paraId="06388025" w14:textId="77777777" w:rsidR="00D627AB" w:rsidRPr="00950125" w:rsidRDefault="00D627AB"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NRR</w:t>
            </w:r>
          </w:p>
        </w:tc>
        <w:tc>
          <w:tcPr>
            <w:tcW w:w="2160" w:type="dxa"/>
            <w:noWrap/>
            <w:hideMark/>
          </w:tcPr>
          <w:p w14:paraId="4098C835"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-0.0801</w:t>
            </w:r>
          </w:p>
        </w:tc>
        <w:tc>
          <w:tcPr>
            <w:tcW w:w="2430" w:type="dxa"/>
            <w:noWrap/>
            <w:hideMark/>
          </w:tcPr>
          <w:p w14:paraId="40457F02"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0.0058</w:t>
            </w:r>
          </w:p>
        </w:tc>
        <w:tc>
          <w:tcPr>
            <w:tcW w:w="2430" w:type="dxa"/>
            <w:noWrap/>
            <w:hideMark/>
          </w:tcPr>
          <w:p w14:paraId="45263CD4"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-13.8103</w:t>
            </w:r>
          </w:p>
        </w:tc>
      </w:tr>
      <w:tr w:rsidR="00D627AB" w:rsidRPr="00950125" w14:paraId="10E36D27" w14:textId="77777777" w:rsidTr="00950125">
        <w:trPr>
          <w:trHeight w:val="293"/>
        </w:trPr>
        <w:tc>
          <w:tcPr>
            <w:tcW w:w="1795" w:type="dxa"/>
          </w:tcPr>
          <w:p w14:paraId="62A10B4F" w14:textId="77777777" w:rsidR="00D627AB" w:rsidRPr="00950125" w:rsidRDefault="00D627AB"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HCD</w:t>
            </w:r>
          </w:p>
        </w:tc>
        <w:tc>
          <w:tcPr>
            <w:tcW w:w="2160" w:type="dxa"/>
            <w:noWrap/>
            <w:hideMark/>
          </w:tcPr>
          <w:p w14:paraId="573BB0F6"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0.0387</w:t>
            </w:r>
          </w:p>
        </w:tc>
        <w:tc>
          <w:tcPr>
            <w:tcW w:w="2430" w:type="dxa"/>
            <w:noWrap/>
            <w:hideMark/>
          </w:tcPr>
          <w:p w14:paraId="2800B059"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0.0053</w:t>
            </w:r>
          </w:p>
        </w:tc>
        <w:tc>
          <w:tcPr>
            <w:tcW w:w="2430" w:type="dxa"/>
            <w:noWrap/>
            <w:hideMark/>
          </w:tcPr>
          <w:p w14:paraId="3D7A1E26"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7.3018</w:t>
            </w:r>
          </w:p>
        </w:tc>
      </w:tr>
      <w:tr w:rsidR="00D627AB" w:rsidRPr="00950125" w14:paraId="20D61244" w14:textId="77777777" w:rsidTr="00950125">
        <w:trPr>
          <w:trHeight w:val="285"/>
        </w:trPr>
        <w:tc>
          <w:tcPr>
            <w:tcW w:w="1795" w:type="dxa"/>
          </w:tcPr>
          <w:p w14:paraId="7FDF205F" w14:textId="77777777" w:rsidR="00D627AB" w:rsidRPr="00950125" w:rsidRDefault="00D627AB"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Y</w:t>
            </w:r>
          </w:p>
        </w:tc>
        <w:tc>
          <w:tcPr>
            <w:tcW w:w="2160" w:type="dxa"/>
            <w:noWrap/>
            <w:hideMark/>
          </w:tcPr>
          <w:p w14:paraId="2DE9C6FC"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0.0417</w:t>
            </w:r>
          </w:p>
        </w:tc>
        <w:tc>
          <w:tcPr>
            <w:tcW w:w="2430" w:type="dxa"/>
            <w:noWrap/>
            <w:hideMark/>
          </w:tcPr>
          <w:p w14:paraId="7C838FBA"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0.0059</w:t>
            </w:r>
          </w:p>
        </w:tc>
        <w:tc>
          <w:tcPr>
            <w:tcW w:w="2430" w:type="dxa"/>
            <w:noWrap/>
            <w:hideMark/>
          </w:tcPr>
          <w:p w14:paraId="5E2DDF22"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7.0677</w:t>
            </w:r>
          </w:p>
        </w:tc>
      </w:tr>
      <w:tr w:rsidR="00D627AB" w:rsidRPr="00950125" w14:paraId="36CB5711" w14:textId="77777777" w:rsidTr="00950125">
        <w:trPr>
          <w:trHeight w:val="285"/>
        </w:trPr>
        <w:tc>
          <w:tcPr>
            <w:tcW w:w="1795" w:type="dxa"/>
          </w:tcPr>
          <w:p w14:paraId="4F87784B" w14:textId="77777777" w:rsidR="00D627AB" w:rsidRPr="00950125" w:rsidRDefault="00D627AB"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ECT</w:t>
            </w:r>
          </w:p>
        </w:tc>
        <w:tc>
          <w:tcPr>
            <w:tcW w:w="2160" w:type="dxa"/>
            <w:noWrap/>
            <w:hideMark/>
          </w:tcPr>
          <w:p w14:paraId="1B1EBAED"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-0.1224</w:t>
            </w:r>
          </w:p>
        </w:tc>
        <w:tc>
          <w:tcPr>
            <w:tcW w:w="2430" w:type="dxa"/>
            <w:noWrap/>
            <w:hideMark/>
          </w:tcPr>
          <w:p w14:paraId="04F5DC3C"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0.0047</w:t>
            </w:r>
          </w:p>
        </w:tc>
        <w:tc>
          <w:tcPr>
            <w:tcW w:w="2430" w:type="dxa"/>
            <w:noWrap/>
            <w:hideMark/>
          </w:tcPr>
          <w:p w14:paraId="670E9DDF"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-26.0425</w:t>
            </w:r>
          </w:p>
        </w:tc>
      </w:tr>
      <w:tr w:rsidR="00D627AB" w:rsidRPr="00950125" w14:paraId="70290E0F" w14:textId="77777777" w:rsidTr="00950125">
        <w:trPr>
          <w:trHeight w:val="285"/>
        </w:trPr>
        <w:tc>
          <w:tcPr>
            <w:tcW w:w="3955" w:type="dxa"/>
            <w:gridSpan w:val="2"/>
          </w:tcPr>
          <w:p w14:paraId="31D805F6" w14:textId="0A74D7C1" w:rsidR="00D627AB" w:rsidRPr="00950125" w:rsidRDefault="0091131E" w:rsidP="00D46E36">
            <w:pPr>
              <w:spacing w:line="276" w:lineRule="auto"/>
              <w:jc w:val="center"/>
              <w:rPr>
                <w:rFonts w:ascii="Times New Roman" w:eastAsia="Times New Roman" w:hAnsi="Times New Roman" w:cs="Times New Roman"/>
                <w:color w:val="000000"/>
                <w:sz w:val="28"/>
                <w:szCs w:val="28"/>
              </w:rPr>
            </w:pPr>
            <w:r w:rsidRPr="00950125">
              <w:rPr>
                <w:rFonts w:ascii="Times New Roman" w:eastAsia="Times New Roman" w:hAnsi="Times New Roman" w:cs="Times New Roman"/>
                <w:color w:val="000000"/>
                <w:sz w:val="28"/>
                <w:szCs w:val="28"/>
              </w:rPr>
              <w:t>CD T</w:t>
            </w:r>
            <w:r w:rsidR="00D627AB" w:rsidRPr="00950125">
              <w:rPr>
                <w:rFonts w:ascii="Times New Roman" w:eastAsia="Times New Roman" w:hAnsi="Times New Roman" w:cs="Times New Roman"/>
                <w:color w:val="000000"/>
                <w:sz w:val="28"/>
                <w:szCs w:val="28"/>
              </w:rPr>
              <w:t>est</w:t>
            </w:r>
          </w:p>
        </w:tc>
        <w:tc>
          <w:tcPr>
            <w:tcW w:w="2430" w:type="dxa"/>
            <w:noWrap/>
            <w:hideMark/>
          </w:tcPr>
          <w:p w14:paraId="47697F97"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0.029013</w:t>
            </w:r>
          </w:p>
        </w:tc>
        <w:tc>
          <w:tcPr>
            <w:tcW w:w="2430" w:type="dxa"/>
            <w:noWrap/>
            <w:hideMark/>
          </w:tcPr>
          <w:p w14:paraId="355099CD"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p>
        </w:tc>
      </w:tr>
      <w:tr w:rsidR="00D627AB" w:rsidRPr="00950125" w14:paraId="074C5D6D" w14:textId="77777777" w:rsidTr="00950125">
        <w:trPr>
          <w:trHeight w:val="285"/>
        </w:trPr>
        <w:tc>
          <w:tcPr>
            <w:tcW w:w="3955" w:type="dxa"/>
            <w:gridSpan w:val="2"/>
          </w:tcPr>
          <w:p w14:paraId="720D4550" w14:textId="319FA794" w:rsidR="00D627AB" w:rsidRPr="00950125" w:rsidRDefault="0091131E" w:rsidP="00D46E36">
            <w:pPr>
              <w:spacing w:line="276" w:lineRule="auto"/>
              <w:jc w:val="center"/>
              <w:rPr>
                <w:rFonts w:ascii="Times New Roman" w:eastAsia="Times New Roman" w:hAnsi="Times New Roman" w:cs="Times New Roman"/>
                <w:sz w:val="28"/>
                <w:szCs w:val="28"/>
              </w:rPr>
            </w:pPr>
            <w:r w:rsidRPr="00950125">
              <w:rPr>
                <w:rFonts w:ascii="Times New Roman" w:eastAsia="Times New Roman" w:hAnsi="Times New Roman" w:cs="Times New Roman"/>
                <w:color w:val="000000"/>
                <w:sz w:val="28"/>
                <w:szCs w:val="28"/>
              </w:rPr>
              <w:t>Wooldridge Test for A</w:t>
            </w:r>
            <w:r w:rsidR="00D627AB" w:rsidRPr="00950125">
              <w:rPr>
                <w:rFonts w:ascii="Times New Roman" w:eastAsia="Times New Roman" w:hAnsi="Times New Roman" w:cs="Times New Roman"/>
                <w:color w:val="000000"/>
                <w:sz w:val="28"/>
                <w:szCs w:val="28"/>
              </w:rPr>
              <w:t>utoco</w:t>
            </w:r>
          </w:p>
        </w:tc>
        <w:tc>
          <w:tcPr>
            <w:tcW w:w="2430" w:type="dxa"/>
            <w:noWrap/>
            <w:hideMark/>
          </w:tcPr>
          <w:p w14:paraId="0229159D"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0.596672</w:t>
            </w:r>
          </w:p>
        </w:tc>
        <w:tc>
          <w:tcPr>
            <w:tcW w:w="2430" w:type="dxa"/>
            <w:noWrap/>
            <w:hideMark/>
          </w:tcPr>
          <w:p w14:paraId="7D2ECBC6"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p>
        </w:tc>
      </w:tr>
      <w:tr w:rsidR="00D627AB" w:rsidRPr="00950125" w14:paraId="34E8FD62" w14:textId="77777777" w:rsidTr="00950125">
        <w:trPr>
          <w:trHeight w:val="285"/>
        </w:trPr>
        <w:tc>
          <w:tcPr>
            <w:tcW w:w="3955" w:type="dxa"/>
            <w:gridSpan w:val="2"/>
          </w:tcPr>
          <w:p w14:paraId="17A8D7C5" w14:textId="2F878AB5" w:rsidR="00D627AB" w:rsidRPr="00950125" w:rsidRDefault="0091131E" w:rsidP="00D46E36">
            <w:pPr>
              <w:spacing w:line="276" w:lineRule="auto"/>
              <w:jc w:val="center"/>
              <w:rPr>
                <w:rFonts w:ascii="Times New Roman" w:eastAsia="Times New Roman" w:hAnsi="Times New Roman" w:cs="Times New Roman"/>
                <w:sz w:val="28"/>
                <w:szCs w:val="28"/>
              </w:rPr>
            </w:pPr>
            <w:r w:rsidRPr="00950125">
              <w:rPr>
                <w:rFonts w:ascii="Times New Roman" w:eastAsia="Times New Roman" w:hAnsi="Times New Roman" w:cs="Times New Roman"/>
                <w:color w:val="000000"/>
                <w:sz w:val="28"/>
                <w:szCs w:val="28"/>
              </w:rPr>
              <w:t>Normality T</w:t>
            </w:r>
            <w:r w:rsidR="00D627AB" w:rsidRPr="00950125">
              <w:rPr>
                <w:rFonts w:ascii="Times New Roman" w:eastAsia="Times New Roman" w:hAnsi="Times New Roman" w:cs="Times New Roman"/>
                <w:color w:val="000000"/>
                <w:sz w:val="28"/>
                <w:szCs w:val="28"/>
              </w:rPr>
              <w:t>est</w:t>
            </w:r>
          </w:p>
        </w:tc>
        <w:tc>
          <w:tcPr>
            <w:tcW w:w="2430" w:type="dxa"/>
            <w:noWrap/>
            <w:hideMark/>
          </w:tcPr>
          <w:p w14:paraId="436A6ABF"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0.346079</w:t>
            </w:r>
          </w:p>
        </w:tc>
        <w:tc>
          <w:tcPr>
            <w:tcW w:w="2430" w:type="dxa"/>
            <w:noWrap/>
            <w:hideMark/>
          </w:tcPr>
          <w:p w14:paraId="648DF47B"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p>
        </w:tc>
      </w:tr>
      <w:tr w:rsidR="00D627AB" w:rsidRPr="00950125" w14:paraId="40C49C1F" w14:textId="77777777" w:rsidTr="00950125">
        <w:trPr>
          <w:trHeight w:val="285"/>
        </w:trPr>
        <w:tc>
          <w:tcPr>
            <w:tcW w:w="3955" w:type="dxa"/>
            <w:gridSpan w:val="2"/>
          </w:tcPr>
          <w:p w14:paraId="694D6540" w14:textId="7967BED4" w:rsidR="00D627AB" w:rsidRPr="00950125" w:rsidRDefault="0091131E" w:rsidP="00D46E36">
            <w:pPr>
              <w:spacing w:line="276" w:lineRule="auto"/>
              <w:jc w:val="center"/>
              <w:rPr>
                <w:rFonts w:ascii="Times New Roman" w:eastAsia="Times New Roman" w:hAnsi="Times New Roman" w:cs="Times New Roman"/>
                <w:sz w:val="28"/>
                <w:szCs w:val="28"/>
              </w:rPr>
            </w:pPr>
            <w:r w:rsidRPr="00950125">
              <w:rPr>
                <w:rFonts w:ascii="Times New Roman" w:eastAsia="Times New Roman" w:hAnsi="Times New Roman" w:cs="Times New Roman"/>
                <w:color w:val="000000"/>
                <w:sz w:val="28"/>
                <w:szCs w:val="28"/>
              </w:rPr>
              <w:t>Remsey Reset T</w:t>
            </w:r>
            <w:r w:rsidR="00D627AB" w:rsidRPr="00950125">
              <w:rPr>
                <w:rFonts w:ascii="Times New Roman" w:eastAsia="Times New Roman" w:hAnsi="Times New Roman" w:cs="Times New Roman"/>
                <w:color w:val="000000"/>
                <w:sz w:val="28"/>
                <w:szCs w:val="28"/>
              </w:rPr>
              <w:t>est</w:t>
            </w:r>
          </w:p>
        </w:tc>
        <w:tc>
          <w:tcPr>
            <w:tcW w:w="2430" w:type="dxa"/>
            <w:noWrap/>
            <w:hideMark/>
          </w:tcPr>
          <w:p w14:paraId="5932417C"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r w:rsidRPr="00950125">
              <w:rPr>
                <w:rFonts w:ascii="Times New Roman" w:eastAsia="Times New Roman" w:hAnsi="Times New Roman" w:cs="Times New Roman"/>
                <w:b/>
                <w:color w:val="000000"/>
                <w:sz w:val="28"/>
                <w:szCs w:val="28"/>
              </w:rPr>
              <w:t>0.643619</w:t>
            </w:r>
          </w:p>
        </w:tc>
        <w:tc>
          <w:tcPr>
            <w:tcW w:w="2430" w:type="dxa"/>
            <w:noWrap/>
            <w:hideMark/>
          </w:tcPr>
          <w:p w14:paraId="780707D6" w14:textId="77777777" w:rsidR="00D627AB" w:rsidRPr="00950125" w:rsidRDefault="00D627AB" w:rsidP="00D46E36">
            <w:pPr>
              <w:spacing w:line="276" w:lineRule="auto"/>
              <w:jc w:val="center"/>
              <w:rPr>
                <w:rFonts w:ascii="Times New Roman" w:eastAsia="Times New Roman" w:hAnsi="Times New Roman" w:cs="Times New Roman"/>
                <w:b/>
                <w:color w:val="000000"/>
                <w:sz w:val="28"/>
                <w:szCs w:val="28"/>
              </w:rPr>
            </w:pPr>
          </w:p>
        </w:tc>
      </w:tr>
    </w:tbl>
    <w:p w14:paraId="51A62302" w14:textId="77777777" w:rsidR="00D97BAA" w:rsidRPr="00950125" w:rsidRDefault="00D97BAA" w:rsidP="00D46E36">
      <w:pPr>
        <w:spacing w:line="276" w:lineRule="auto"/>
        <w:rPr>
          <w:rFonts w:ascii="Times New Roman" w:eastAsiaTheme="majorEastAsia" w:hAnsi="Times New Roman" w:cs="Times New Roman"/>
          <w:b/>
          <w:color w:val="2E74B5" w:themeColor="accent1" w:themeShade="BF"/>
          <w:sz w:val="32"/>
          <w:szCs w:val="24"/>
          <w:u w:val="single"/>
        </w:rPr>
      </w:pPr>
    </w:p>
    <w:p w14:paraId="25BEA1B6" w14:textId="690CC222" w:rsidR="00FB319C" w:rsidRPr="00950125" w:rsidRDefault="00FB319C" w:rsidP="00D46E36">
      <w:pPr>
        <w:spacing w:line="276" w:lineRule="auto"/>
        <w:jc w:val="both"/>
        <w:rPr>
          <w:rFonts w:ascii="Times New Roman" w:hAnsi="Times New Roman" w:cs="Times New Roman"/>
          <w:sz w:val="24"/>
        </w:rPr>
      </w:pPr>
      <w:r w:rsidRPr="00950125">
        <w:rPr>
          <w:rFonts w:ascii="Times New Roman" w:hAnsi="Times New Roman" w:cs="Times New Roman"/>
          <w:b/>
          <w:sz w:val="24"/>
          <w:u w:val="single"/>
        </w:rPr>
        <w:t>Interpretation of Long-Run Coefficients:</w:t>
      </w:r>
      <w:r w:rsidRPr="00950125">
        <w:rPr>
          <w:rFonts w:ascii="Times New Roman" w:hAnsi="Times New Roman" w:cs="Times New Roman"/>
          <w:sz w:val="24"/>
        </w:rPr>
        <w:t xml:space="preserve"> The long-run results reveal the equilibrium determinants of renewable energy consumption. Interpreted as elasticities, these coefficients show the expected percentage change in REC for a 1% change in each independent variable.</w:t>
      </w:r>
    </w:p>
    <w:p w14:paraId="7B8589AB" w14:textId="4B3D0755" w:rsidR="00FB319C" w:rsidRPr="00950125" w:rsidRDefault="00FB319C" w:rsidP="00D46E36">
      <w:pPr>
        <w:spacing w:line="276" w:lineRule="auto"/>
        <w:jc w:val="both"/>
        <w:rPr>
          <w:rFonts w:ascii="Times New Roman" w:hAnsi="Times New Roman" w:cs="Times New Roman"/>
          <w:sz w:val="24"/>
        </w:rPr>
      </w:pPr>
      <w:r w:rsidRPr="00950125">
        <w:rPr>
          <w:rFonts w:ascii="Times New Roman" w:hAnsi="Times New Roman" w:cs="Times New Roman"/>
          <w:sz w:val="24"/>
        </w:rPr>
        <w:lastRenderedPageBreak/>
        <w:t>The long-run coefficient for IQ is 0.0665 and is statistically significant (t = 5.7327). This indicates that in the long run, a 1% improvement in institutional quality is associated with a 0.067% increase in renewable energy consumption. This finding is consistent with the hypothesis that a stable political environment with strong rule of law reduces investment risk and encourages the long-term capital commitments required for renewable energy projects.</w:t>
      </w:r>
      <w:r w:rsidR="00543C13" w:rsidRPr="00950125">
        <w:rPr>
          <w:rFonts w:ascii="Times New Roman" w:hAnsi="Times New Roman" w:cs="Times New Roman"/>
          <w:sz w:val="24"/>
        </w:rPr>
        <w:t xml:space="preserve"> </w:t>
      </w:r>
      <w:r w:rsidRPr="00950125">
        <w:rPr>
          <w:rFonts w:ascii="Times New Roman" w:hAnsi="Times New Roman" w:cs="Times New Roman"/>
          <w:sz w:val="24"/>
        </w:rPr>
        <w:t>ICT</w:t>
      </w:r>
      <w:r w:rsidR="00543C13" w:rsidRPr="00950125">
        <w:rPr>
          <w:rFonts w:ascii="Times New Roman" w:hAnsi="Times New Roman" w:cs="Times New Roman"/>
          <w:sz w:val="24"/>
        </w:rPr>
        <w:t xml:space="preserve"> also</w:t>
      </w:r>
      <w:r w:rsidRPr="00950125">
        <w:rPr>
          <w:rFonts w:ascii="Times New Roman" w:hAnsi="Times New Roman" w:cs="Times New Roman"/>
          <w:sz w:val="24"/>
        </w:rPr>
        <w:t xml:space="preserve"> exhibits a highly significant positive coefficient of 0.086. This implies that a 1% increase in ICT penetration leads to a 0.086% increase in renewable energy consumption in the long run. This supports the view that ICT acts as a crucial enabler for the clean energy transition by facilitating smart grids, improving energy management, and fostering innovation.</w:t>
      </w:r>
      <w:r w:rsidR="00543C13" w:rsidRPr="00950125">
        <w:rPr>
          <w:rFonts w:ascii="Times New Roman" w:hAnsi="Times New Roman" w:cs="Times New Roman"/>
          <w:sz w:val="24"/>
        </w:rPr>
        <w:t xml:space="preserve"> </w:t>
      </w:r>
      <w:r w:rsidRPr="00950125">
        <w:rPr>
          <w:rFonts w:ascii="Times New Roman" w:hAnsi="Times New Roman" w:cs="Times New Roman"/>
          <w:sz w:val="24"/>
        </w:rPr>
        <w:t>The long-run coefficient for EF is 0.1064 and is highly significant</w:t>
      </w:r>
      <w:r w:rsidR="00543C13" w:rsidRPr="00950125">
        <w:rPr>
          <w:rFonts w:ascii="Times New Roman" w:hAnsi="Times New Roman" w:cs="Times New Roman"/>
          <w:sz w:val="24"/>
        </w:rPr>
        <w:t xml:space="preserve"> as well</w:t>
      </w:r>
      <w:r w:rsidRPr="00950125">
        <w:rPr>
          <w:rFonts w:ascii="Times New Roman" w:hAnsi="Times New Roman" w:cs="Times New Roman"/>
          <w:sz w:val="24"/>
        </w:rPr>
        <w:t>. This result suggests that a 1% increase in economic freedom is associated with a substantial 0.106% increase in renewable energy consumption. This provides strong support for the argument that freer markets stimulate competition and innovation, driving down the costs of renewables and promoting their widespread adoption.</w:t>
      </w:r>
    </w:p>
    <w:p w14:paraId="437142AE" w14:textId="03454F45" w:rsidR="00FB319C" w:rsidRPr="00950125" w:rsidRDefault="00FB319C" w:rsidP="00D46E36">
      <w:pPr>
        <w:spacing w:line="276" w:lineRule="auto"/>
        <w:jc w:val="both"/>
        <w:rPr>
          <w:rFonts w:ascii="Times New Roman" w:hAnsi="Times New Roman" w:cs="Times New Roman"/>
          <w:sz w:val="24"/>
        </w:rPr>
      </w:pPr>
      <w:r w:rsidRPr="00950125">
        <w:rPr>
          <w:rFonts w:ascii="Times New Roman" w:hAnsi="Times New Roman" w:cs="Times New Roman"/>
          <w:b/>
          <w:sz w:val="24"/>
          <w:u w:val="single"/>
        </w:rPr>
        <w:t>Interpretation of the Error Correction Term (ECT)</w:t>
      </w:r>
      <w:r w:rsidR="00543C13" w:rsidRPr="00950125">
        <w:rPr>
          <w:rFonts w:ascii="Times New Roman" w:hAnsi="Times New Roman" w:cs="Times New Roman"/>
          <w:b/>
          <w:sz w:val="24"/>
          <w:u w:val="single"/>
        </w:rPr>
        <w:t>:</w:t>
      </w:r>
      <w:r w:rsidR="00543C13" w:rsidRPr="00950125">
        <w:rPr>
          <w:rFonts w:ascii="Times New Roman" w:hAnsi="Times New Roman" w:cs="Times New Roman"/>
          <w:sz w:val="24"/>
        </w:rPr>
        <w:t xml:space="preserve"> </w:t>
      </w:r>
      <w:r w:rsidRPr="00950125">
        <w:rPr>
          <w:rFonts w:ascii="Times New Roman" w:hAnsi="Times New Roman" w:cs="Times New Roman"/>
          <w:sz w:val="24"/>
        </w:rPr>
        <w:t>The Error Correction Term (ECT) is fundamental to validating the entire model. The coefficient for the ECT is -0.1224. It successfully meets all theoretical requirements: it is negative, lies between -1 and 0, and is highly statistically significant (t = -26.0425).</w:t>
      </w:r>
      <w:r w:rsidR="00543C13" w:rsidRPr="00950125">
        <w:rPr>
          <w:rFonts w:ascii="Times New Roman" w:hAnsi="Times New Roman" w:cs="Times New Roman"/>
          <w:sz w:val="24"/>
        </w:rPr>
        <w:t> This</w:t>
      </w:r>
      <w:r w:rsidRPr="00950125">
        <w:rPr>
          <w:rFonts w:ascii="Times New Roman" w:hAnsi="Times New Roman" w:cs="Times New Roman"/>
          <w:sz w:val="24"/>
        </w:rPr>
        <w:t xml:space="preserve"> valid ECT coefficient confirms a stable long-run cointegrating relationship between the variables and REC. The value of -0.1224 quantifies the speed of adjustment towards this long-run equilibrium. Specifically, this means that 12.24% of any deviation or shock from the long-run path in one period is corrected in the following period. This indicates a moderate speed of convergence back to the equilibrium.</w:t>
      </w:r>
    </w:p>
    <w:p w14:paraId="2B9DEBF0" w14:textId="390B7D33" w:rsidR="00543C13" w:rsidRPr="00950125" w:rsidRDefault="00FB319C" w:rsidP="00D46E36">
      <w:pPr>
        <w:spacing w:line="276" w:lineRule="auto"/>
        <w:jc w:val="both"/>
        <w:rPr>
          <w:rFonts w:ascii="Times New Roman" w:hAnsi="Times New Roman" w:cs="Times New Roman"/>
          <w:sz w:val="24"/>
        </w:rPr>
      </w:pPr>
      <w:r w:rsidRPr="00950125">
        <w:rPr>
          <w:rFonts w:ascii="Times New Roman" w:hAnsi="Times New Roman" w:cs="Times New Roman"/>
          <w:b/>
          <w:sz w:val="24"/>
          <w:u w:val="single"/>
        </w:rPr>
        <w:t>Interpretation of Short-Run Coefficients</w:t>
      </w:r>
      <w:r w:rsidR="00543C13" w:rsidRPr="00950125">
        <w:rPr>
          <w:rFonts w:ascii="Times New Roman" w:hAnsi="Times New Roman" w:cs="Times New Roman"/>
          <w:b/>
          <w:sz w:val="24"/>
          <w:u w:val="single"/>
        </w:rPr>
        <w:t>:</w:t>
      </w:r>
      <w:r w:rsidR="00543C13" w:rsidRPr="00950125">
        <w:rPr>
          <w:rFonts w:ascii="Times New Roman" w:hAnsi="Times New Roman" w:cs="Times New Roman"/>
          <w:sz w:val="24"/>
        </w:rPr>
        <w:t xml:space="preserve"> </w:t>
      </w:r>
      <w:r w:rsidRPr="00950125">
        <w:rPr>
          <w:rFonts w:ascii="Times New Roman" w:hAnsi="Times New Roman" w:cs="Times New Roman"/>
          <w:sz w:val="24"/>
        </w:rPr>
        <w:t>The short-run coefficients describe the immediate effects of changes in the variables on the change in renewable energy consumption.</w:t>
      </w:r>
      <w:r w:rsidR="00543C13" w:rsidRPr="00950125">
        <w:rPr>
          <w:rFonts w:ascii="Times New Roman" w:hAnsi="Times New Roman" w:cs="Times New Roman"/>
          <w:sz w:val="24"/>
        </w:rPr>
        <w:t xml:space="preserve"> </w:t>
      </w:r>
      <w:r w:rsidRPr="00950125">
        <w:rPr>
          <w:rFonts w:ascii="Times New Roman" w:hAnsi="Times New Roman" w:cs="Times New Roman"/>
          <w:sz w:val="24"/>
        </w:rPr>
        <w:t>All short-run coefficient</w:t>
      </w:r>
      <w:r w:rsidR="00543C13" w:rsidRPr="00950125">
        <w:rPr>
          <w:rFonts w:ascii="Times New Roman" w:hAnsi="Times New Roman" w:cs="Times New Roman"/>
          <w:sz w:val="24"/>
        </w:rPr>
        <w:t>s</w:t>
      </w:r>
      <w:r w:rsidRPr="00950125">
        <w:rPr>
          <w:rFonts w:ascii="Times New Roman" w:hAnsi="Times New Roman" w:cs="Times New Roman"/>
          <w:sz w:val="24"/>
        </w:rPr>
        <w:t> </w:t>
      </w:r>
      <w:r w:rsidR="00543C13" w:rsidRPr="00950125">
        <w:rPr>
          <w:rFonts w:ascii="Times New Roman" w:hAnsi="Times New Roman" w:cs="Times New Roman"/>
          <w:sz w:val="24"/>
        </w:rPr>
        <w:t xml:space="preserve">[ </w:t>
      </w:r>
      <w:r w:rsidRPr="00950125">
        <w:rPr>
          <w:rFonts w:ascii="Times New Roman" w:hAnsi="Times New Roman" w:cs="Times New Roman"/>
          <w:sz w:val="24"/>
        </w:rPr>
        <w:t>IQ (0.0594), ICT (0.0395), EF (0.0751)</w:t>
      </w:r>
      <w:r w:rsidR="00BC3E28" w:rsidRPr="00950125">
        <w:rPr>
          <w:rFonts w:ascii="Times New Roman" w:hAnsi="Times New Roman" w:cs="Times New Roman"/>
          <w:sz w:val="24"/>
        </w:rPr>
        <w:t xml:space="preserve"> ]</w:t>
      </w:r>
      <w:r w:rsidR="00543C13" w:rsidRPr="00950125">
        <w:rPr>
          <w:rFonts w:ascii="Times New Roman" w:hAnsi="Times New Roman" w:cs="Times New Roman"/>
          <w:sz w:val="24"/>
        </w:rPr>
        <w:t xml:space="preserve"> </w:t>
      </w:r>
      <w:r w:rsidRPr="00950125">
        <w:rPr>
          <w:rFonts w:ascii="Times New Roman" w:hAnsi="Times New Roman" w:cs="Times New Roman"/>
          <w:sz w:val="24"/>
        </w:rPr>
        <w:t>are statistically significant and share the same sign as their long-run counterparts. This indicates that the immediate impact of these variables aligns with their final equilibrium effect.</w:t>
      </w:r>
      <w:r w:rsidR="00543C13" w:rsidRPr="00950125">
        <w:rPr>
          <w:rFonts w:ascii="Times New Roman" w:hAnsi="Times New Roman" w:cs="Times New Roman"/>
          <w:sz w:val="24"/>
        </w:rPr>
        <w:t xml:space="preserve"> For instance</w:t>
      </w:r>
      <w:r w:rsidRPr="00950125">
        <w:rPr>
          <w:rFonts w:ascii="Times New Roman" w:hAnsi="Times New Roman" w:cs="Times New Roman"/>
          <w:sz w:val="24"/>
        </w:rPr>
        <w:t>, a 1% increase in the growth rate of economic freedom is associated with an immediate 0.075% increase in the growth rate of renewable energy consumption. This effect strengthens over time to the final long-run impact of</w:t>
      </w:r>
      <w:r w:rsidR="00543C13" w:rsidRPr="00950125">
        <w:rPr>
          <w:rFonts w:ascii="Times New Roman" w:hAnsi="Times New Roman" w:cs="Times New Roman"/>
          <w:sz w:val="24"/>
        </w:rPr>
        <w:t xml:space="preserve"> 0.106%. Similarly, the positive</w:t>
      </w:r>
      <w:r w:rsidRPr="00950125">
        <w:rPr>
          <w:rFonts w:ascii="Times New Roman" w:hAnsi="Times New Roman" w:cs="Times New Roman"/>
          <w:sz w:val="24"/>
        </w:rPr>
        <w:t xml:space="preserve"> </w:t>
      </w:r>
      <w:r w:rsidR="00543C13" w:rsidRPr="00950125">
        <w:rPr>
          <w:rFonts w:ascii="Times New Roman" w:hAnsi="Times New Roman" w:cs="Times New Roman"/>
          <w:sz w:val="24"/>
        </w:rPr>
        <w:t>impact of Institutional Quality</w:t>
      </w:r>
      <w:r w:rsidRPr="00950125">
        <w:rPr>
          <w:rFonts w:ascii="Times New Roman" w:hAnsi="Times New Roman" w:cs="Times New Roman"/>
          <w:sz w:val="24"/>
        </w:rPr>
        <w:t xml:space="preserve"> is present in both </w:t>
      </w:r>
      <w:r w:rsidR="00543C13" w:rsidRPr="00950125">
        <w:rPr>
          <w:rFonts w:ascii="Times New Roman" w:hAnsi="Times New Roman" w:cs="Times New Roman"/>
          <w:sz w:val="24"/>
        </w:rPr>
        <w:t>the long run (0.0665) and short run (0.0594</w:t>
      </w:r>
      <w:r w:rsidRPr="00950125">
        <w:rPr>
          <w:rFonts w:ascii="Times New Roman" w:hAnsi="Times New Roman" w:cs="Times New Roman"/>
          <w:sz w:val="24"/>
        </w:rPr>
        <w:t>).</w:t>
      </w:r>
    </w:p>
    <w:p w14:paraId="4C87D293" w14:textId="356D0305" w:rsidR="00FB319C" w:rsidRPr="00950125" w:rsidRDefault="00FB319C" w:rsidP="00D46E36">
      <w:pPr>
        <w:spacing w:line="276" w:lineRule="auto"/>
        <w:jc w:val="both"/>
        <w:rPr>
          <w:rFonts w:ascii="Times New Roman" w:hAnsi="Times New Roman" w:cs="Times New Roman"/>
          <w:sz w:val="24"/>
        </w:rPr>
      </w:pPr>
      <w:r w:rsidRPr="00950125">
        <w:rPr>
          <w:rFonts w:ascii="Times New Roman" w:hAnsi="Times New Roman" w:cs="Times New Roman"/>
          <w:b/>
          <w:sz w:val="24"/>
          <w:u w:val="single"/>
        </w:rPr>
        <w:t>Post-Estimation Diagnostic Tests</w:t>
      </w:r>
      <w:r w:rsidR="004825A0" w:rsidRPr="00950125">
        <w:rPr>
          <w:rFonts w:ascii="Times New Roman" w:hAnsi="Times New Roman" w:cs="Times New Roman"/>
          <w:b/>
          <w:sz w:val="24"/>
          <w:u w:val="single"/>
        </w:rPr>
        <w:t>:</w:t>
      </w:r>
      <w:r w:rsidR="004825A0" w:rsidRPr="00950125">
        <w:rPr>
          <w:rFonts w:ascii="Times New Roman" w:hAnsi="Times New Roman" w:cs="Times New Roman"/>
          <w:sz w:val="24"/>
        </w:rPr>
        <w:t xml:space="preserve"> </w:t>
      </w:r>
      <w:r w:rsidRPr="00950125">
        <w:rPr>
          <w:rFonts w:ascii="Times New Roman" w:hAnsi="Times New Roman" w:cs="Times New Roman"/>
          <w:sz w:val="24"/>
        </w:rPr>
        <w:t>The statistical validity of the model is confirmed by a series of diagnostic tests, which lend credibility to the interpreted results.</w:t>
      </w:r>
    </w:p>
    <w:p w14:paraId="5E5BDC81" w14:textId="77777777" w:rsidR="004825A0" w:rsidRPr="00950125" w:rsidRDefault="00FB319C" w:rsidP="00D46E36">
      <w:pPr>
        <w:pStyle w:val="ListParagraph"/>
        <w:numPr>
          <w:ilvl w:val="0"/>
          <w:numId w:val="8"/>
        </w:numPr>
        <w:spacing w:line="276" w:lineRule="auto"/>
        <w:jc w:val="both"/>
        <w:rPr>
          <w:rFonts w:ascii="Times New Roman" w:hAnsi="Times New Roman" w:cs="Times New Roman"/>
          <w:sz w:val="24"/>
        </w:rPr>
      </w:pPr>
      <w:r w:rsidRPr="00950125">
        <w:rPr>
          <w:rFonts w:ascii="Times New Roman" w:hAnsi="Times New Roman" w:cs="Times New Roman"/>
          <w:sz w:val="24"/>
        </w:rPr>
        <w:t>The</w:t>
      </w:r>
      <w:r w:rsidR="004825A0" w:rsidRPr="00950125">
        <w:rPr>
          <w:rFonts w:ascii="Times New Roman" w:hAnsi="Times New Roman" w:cs="Times New Roman"/>
          <w:sz w:val="24"/>
        </w:rPr>
        <w:t xml:space="preserve"> CD Test (p=0.029)</w:t>
      </w:r>
      <w:r w:rsidRPr="00950125">
        <w:rPr>
          <w:rFonts w:ascii="Times New Roman" w:hAnsi="Times New Roman" w:cs="Times New Roman"/>
          <w:sz w:val="24"/>
        </w:rPr>
        <w:t xml:space="preserve"> on the model's residuals rejects the null of no cross-sectional dependence, indicating the model's structure has adequately addressed the CSD issue present in the raw data.</w:t>
      </w:r>
    </w:p>
    <w:p w14:paraId="41D9F6C2" w14:textId="77777777" w:rsidR="00C5098E" w:rsidRPr="00950125" w:rsidRDefault="00FB319C" w:rsidP="00D46E36">
      <w:pPr>
        <w:pStyle w:val="ListParagraph"/>
        <w:numPr>
          <w:ilvl w:val="0"/>
          <w:numId w:val="8"/>
        </w:numPr>
        <w:spacing w:line="276" w:lineRule="auto"/>
        <w:jc w:val="both"/>
        <w:rPr>
          <w:rFonts w:ascii="Times New Roman" w:hAnsi="Times New Roman" w:cs="Times New Roman"/>
          <w:sz w:val="24"/>
        </w:rPr>
      </w:pPr>
      <w:r w:rsidRPr="00950125">
        <w:rPr>
          <w:rFonts w:ascii="Times New Roman" w:hAnsi="Times New Roman" w:cs="Times New Roman"/>
          <w:sz w:val="24"/>
        </w:rPr>
        <w:t>Wooldridge Test for Autocorrelation (p=0.597)</w:t>
      </w:r>
      <w:r w:rsidR="004825A0" w:rsidRPr="00950125">
        <w:rPr>
          <w:rFonts w:ascii="Times New Roman" w:hAnsi="Times New Roman" w:cs="Times New Roman"/>
          <w:sz w:val="24"/>
        </w:rPr>
        <w:t xml:space="preserve"> f</w:t>
      </w:r>
      <w:r w:rsidRPr="00950125">
        <w:rPr>
          <w:rFonts w:ascii="Times New Roman" w:hAnsi="Times New Roman" w:cs="Times New Roman"/>
          <w:sz w:val="24"/>
        </w:rPr>
        <w:t>ails</w:t>
      </w:r>
      <w:r w:rsidR="004825A0" w:rsidRPr="00950125">
        <w:rPr>
          <w:rFonts w:ascii="Times New Roman" w:hAnsi="Times New Roman" w:cs="Times New Roman"/>
          <w:sz w:val="24"/>
        </w:rPr>
        <w:t xml:space="preserve"> to reject the null hypothesis. It confirms</w:t>
      </w:r>
      <w:r w:rsidRPr="00950125">
        <w:rPr>
          <w:rFonts w:ascii="Times New Roman" w:hAnsi="Times New Roman" w:cs="Times New Roman"/>
          <w:sz w:val="24"/>
        </w:rPr>
        <w:t xml:space="preserve"> that the model's residuals are not afflicted by serial correlation.</w:t>
      </w:r>
    </w:p>
    <w:p w14:paraId="5E965322" w14:textId="77777777" w:rsidR="00C5098E" w:rsidRPr="00950125" w:rsidRDefault="004825A0" w:rsidP="00D46E36">
      <w:pPr>
        <w:pStyle w:val="ListParagraph"/>
        <w:numPr>
          <w:ilvl w:val="0"/>
          <w:numId w:val="8"/>
        </w:numPr>
        <w:spacing w:line="276" w:lineRule="auto"/>
        <w:jc w:val="both"/>
        <w:rPr>
          <w:rFonts w:ascii="Times New Roman" w:hAnsi="Times New Roman" w:cs="Times New Roman"/>
          <w:sz w:val="24"/>
        </w:rPr>
      </w:pPr>
      <w:r w:rsidRPr="00950125">
        <w:rPr>
          <w:rFonts w:ascii="Times New Roman" w:hAnsi="Times New Roman" w:cs="Times New Roman"/>
          <w:sz w:val="24"/>
        </w:rPr>
        <w:lastRenderedPageBreak/>
        <w:t>Normality Test with a p score of 0.346 f</w:t>
      </w:r>
      <w:r w:rsidR="00FB319C" w:rsidRPr="00950125">
        <w:rPr>
          <w:rFonts w:ascii="Times New Roman" w:hAnsi="Times New Roman" w:cs="Times New Roman"/>
          <w:sz w:val="24"/>
        </w:rPr>
        <w:t>ail</w:t>
      </w:r>
      <w:r w:rsidRPr="00950125">
        <w:rPr>
          <w:rFonts w:ascii="Times New Roman" w:hAnsi="Times New Roman" w:cs="Times New Roman"/>
          <w:sz w:val="24"/>
        </w:rPr>
        <w:t>s to reject the null hypothesis. It suggests that</w:t>
      </w:r>
      <w:r w:rsidR="00FB319C" w:rsidRPr="00950125">
        <w:rPr>
          <w:rFonts w:ascii="Times New Roman" w:hAnsi="Times New Roman" w:cs="Times New Roman"/>
          <w:sz w:val="24"/>
        </w:rPr>
        <w:t xml:space="preserve"> the residual</w:t>
      </w:r>
      <w:r w:rsidRPr="00950125">
        <w:rPr>
          <w:rFonts w:ascii="Times New Roman" w:hAnsi="Times New Roman" w:cs="Times New Roman"/>
          <w:sz w:val="24"/>
        </w:rPr>
        <w:t xml:space="preserve">s follow a normal distribution, which is </w:t>
      </w:r>
      <w:r w:rsidR="00FB319C" w:rsidRPr="00950125">
        <w:rPr>
          <w:rFonts w:ascii="Times New Roman" w:hAnsi="Times New Roman" w:cs="Times New Roman"/>
          <w:sz w:val="24"/>
        </w:rPr>
        <w:t>a key assumption for valid inference.</w:t>
      </w:r>
    </w:p>
    <w:p w14:paraId="156803DA" w14:textId="4709D0A6" w:rsidR="00FB319C" w:rsidRPr="00950125" w:rsidRDefault="00FB319C" w:rsidP="00D46E36">
      <w:pPr>
        <w:pStyle w:val="ListParagraph"/>
        <w:numPr>
          <w:ilvl w:val="0"/>
          <w:numId w:val="8"/>
        </w:numPr>
        <w:spacing w:line="276" w:lineRule="auto"/>
        <w:jc w:val="both"/>
        <w:rPr>
          <w:rFonts w:ascii="Times New Roman" w:hAnsi="Times New Roman" w:cs="Times New Roman"/>
          <w:sz w:val="24"/>
        </w:rPr>
      </w:pPr>
      <w:r w:rsidRPr="00950125">
        <w:rPr>
          <w:rFonts w:ascii="Times New Roman" w:hAnsi="Times New Roman" w:cs="Times New Roman"/>
          <w:sz w:val="24"/>
        </w:rPr>
        <w:t>Ramsey Reset Test (p=0.644)</w:t>
      </w:r>
      <w:r w:rsidR="004825A0" w:rsidRPr="00950125">
        <w:rPr>
          <w:rFonts w:ascii="Times New Roman" w:hAnsi="Times New Roman" w:cs="Times New Roman"/>
          <w:sz w:val="24"/>
        </w:rPr>
        <w:t xml:space="preserve"> also f</w:t>
      </w:r>
      <w:r w:rsidRPr="00950125">
        <w:rPr>
          <w:rFonts w:ascii="Times New Roman" w:hAnsi="Times New Roman" w:cs="Times New Roman"/>
          <w:sz w:val="24"/>
        </w:rPr>
        <w:t>ails to reject the null hypothesis, providing evidence that the model has the correct functional form and is not misspecified.</w:t>
      </w:r>
    </w:p>
    <w:p w14:paraId="52687A9E" w14:textId="77777777" w:rsidR="00FB319C" w:rsidRPr="00950125" w:rsidRDefault="00FB319C" w:rsidP="00D46E36">
      <w:pPr>
        <w:spacing w:line="276" w:lineRule="auto"/>
        <w:jc w:val="both"/>
        <w:rPr>
          <w:rFonts w:ascii="Times New Roman" w:hAnsi="Times New Roman" w:cs="Times New Roman"/>
          <w:sz w:val="24"/>
        </w:rPr>
      </w:pPr>
      <w:r w:rsidRPr="00950125">
        <w:rPr>
          <w:rFonts w:ascii="Times New Roman" w:hAnsi="Times New Roman" w:cs="Times New Roman"/>
          <w:sz w:val="24"/>
        </w:rPr>
        <w:t>In summary, the diagnostic tests show that the model is robust, correctly specified, and free from common econometric problems, ensuring that the estimated relationships are reliable.</w:t>
      </w:r>
    </w:p>
    <w:p w14:paraId="6D99E415" w14:textId="77777777" w:rsidR="00D97BAA" w:rsidRPr="00950125" w:rsidRDefault="00D97BAA" w:rsidP="00D46E36">
      <w:pPr>
        <w:spacing w:line="276" w:lineRule="auto"/>
        <w:rPr>
          <w:rFonts w:ascii="Times New Roman" w:eastAsiaTheme="majorEastAsia" w:hAnsi="Times New Roman" w:cs="Times New Roman"/>
          <w:b/>
          <w:color w:val="2E74B5" w:themeColor="accent1" w:themeShade="BF"/>
          <w:sz w:val="32"/>
          <w:szCs w:val="24"/>
          <w:u w:val="single"/>
        </w:rPr>
      </w:pPr>
    </w:p>
    <w:p w14:paraId="16E68377" w14:textId="77777777" w:rsidR="004825A0" w:rsidRPr="00950125" w:rsidRDefault="004825A0" w:rsidP="00D46E36">
      <w:pPr>
        <w:spacing w:line="276" w:lineRule="auto"/>
        <w:rPr>
          <w:rFonts w:ascii="Times New Roman" w:eastAsiaTheme="majorEastAsia" w:hAnsi="Times New Roman" w:cs="Times New Roman"/>
          <w:b/>
          <w:color w:val="2E74B5" w:themeColor="accent1" w:themeShade="BF"/>
          <w:sz w:val="32"/>
          <w:szCs w:val="24"/>
          <w:u w:val="single"/>
        </w:rPr>
      </w:pPr>
      <w:r w:rsidRPr="00950125">
        <w:rPr>
          <w:rFonts w:ascii="Times New Roman" w:eastAsiaTheme="majorEastAsia" w:hAnsi="Times New Roman" w:cs="Times New Roman"/>
          <w:b/>
          <w:color w:val="2E74B5" w:themeColor="accent1" w:themeShade="BF"/>
          <w:sz w:val="32"/>
          <w:szCs w:val="24"/>
          <w:u w:val="single"/>
        </w:rPr>
        <w:br w:type="page"/>
      </w:r>
    </w:p>
    <w:p w14:paraId="1A548D49" w14:textId="1AC14DFB" w:rsidR="00D97BAA" w:rsidRPr="00950125" w:rsidRDefault="004825A0" w:rsidP="00D46E36">
      <w:pPr>
        <w:pStyle w:val="Heading1"/>
        <w:spacing w:line="276" w:lineRule="auto"/>
        <w:jc w:val="center"/>
        <w:rPr>
          <w:rFonts w:ascii="Times New Roman" w:hAnsi="Times New Roman" w:cs="Times New Roman"/>
          <w:b/>
          <w:sz w:val="36"/>
          <w:u w:val="single"/>
        </w:rPr>
      </w:pPr>
      <w:bookmarkStart w:id="57" w:name="_Toc204723910"/>
      <w:r w:rsidRPr="00950125">
        <w:rPr>
          <w:rFonts w:ascii="Times New Roman" w:hAnsi="Times New Roman" w:cs="Times New Roman"/>
          <w:b/>
          <w:sz w:val="36"/>
          <w:u w:val="single"/>
        </w:rPr>
        <w:lastRenderedPageBreak/>
        <w:t>Chapter 5: Discussion</w:t>
      </w:r>
      <w:bookmarkEnd w:id="57"/>
    </w:p>
    <w:p w14:paraId="42B472DF" w14:textId="28B95D08" w:rsidR="007336DC" w:rsidRPr="00950125" w:rsidRDefault="00AD4ED7" w:rsidP="00D46E36">
      <w:pPr>
        <w:spacing w:line="276" w:lineRule="auto"/>
        <w:jc w:val="both"/>
        <w:rPr>
          <w:rFonts w:ascii="Times New Roman" w:hAnsi="Times New Roman" w:cs="Times New Roman"/>
          <w:sz w:val="24"/>
          <w:szCs w:val="24"/>
        </w:rPr>
      </w:pPr>
      <w:r w:rsidRPr="00950125">
        <w:rPr>
          <w:rFonts w:ascii="Times New Roman" w:hAnsi="Times New Roman" w:cs="Times New Roman"/>
          <w:sz w:val="24"/>
          <w:szCs w:val="24"/>
        </w:rPr>
        <w:t xml:space="preserve">Achieving the ambitious targets of SDG 7 (Affordable and Clean Energy) and SDG 13 (Climate Action) is an immense challenge, as it requires addressing complex and interrelated issues such as energy access, climate change, and socio-economic development. The global transition to sustainable energy is hindered by factors such as inadequate infrastructure, technological limitations, and weak governance systems, especially in developing countries. </w:t>
      </w:r>
      <w:r w:rsidR="009C224B" w:rsidRPr="00950125">
        <w:rPr>
          <w:rFonts w:ascii="Times New Roman" w:hAnsi="Times New Roman" w:cs="Times New Roman"/>
          <w:sz w:val="24"/>
          <w:szCs w:val="24"/>
        </w:rPr>
        <w:t xml:space="preserve">Furthermore, the urgent need to combat climate change through effective mitigation and adaptation strategies adds an additional layer of complexity. As the impacts of climate change intensify, the pressure to reduce greenhouse gas emissions while ensuring universal access to clean energy becomes even more critical. </w:t>
      </w:r>
      <w:r w:rsidR="007336DC" w:rsidRPr="00950125">
        <w:rPr>
          <w:rFonts w:ascii="Times New Roman" w:hAnsi="Times New Roman" w:cs="Times New Roman"/>
          <w:sz w:val="24"/>
          <w:szCs w:val="24"/>
        </w:rPr>
        <w:t>To navigate these challenges and create sustainable pathways, it is crucial to dismantle these barriers by leveraging robust governance and economic freedom to drive renewable energy initiatives, foster technological innovation, and lower carbon emissions. Therefore, it is essential to recognize the deeply interconnected nature of governance, technology, and economic policy.</w:t>
      </w:r>
    </w:p>
    <w:p w14:paraId="23E21501" w14:textId="5E671E2C" w:rsidR="008D6A68" w:rsidRPr="00950125" w:rsidRDefault="007223A8" w:rsidP="00D46E36">
      <w:pPr>
        <w:pStyle w:val="ng-star-inserted"/>
        <w:shd w:val="clear" w:color="auto" w:fill="FFFFFF"/>
        <w:spacing w:after="270" w:afterAutospacing="0" w:line="276" w:lineRule="auto"/>
        <w:jc w:val="both"/>
        <w:rPr>
          <w:color w:val="1A1C1E"/>
        </w:rPr>
      </w:pPr>
      <w:r w:rsidRPr="00950125">
        <w:t xml:space="preserve">The transition to renewable energy consumption is widely acknowledged as a critical step in reducing carbon emissions. Yet, the journey toward a low-carbon future is filled with obstacles, many of which create a kind of inertia that makes progress feel slow and difficult. At the core of these challenges is the issue of institutional quality. Unlike traditional energy sectors, the renewable energy industry requires significant upfront investments and has long payback periods, making it particularly vulnerable to risks and uncertainties. Existing literature consistently highlights weak institutional frameworks as one of the biggest barriers to securing the large-scale investments needed to drive a meaningful energy transition. In countries where political instability, inconsistent regulations, and corruption are prevalent, the risks for investors grow dramatically. </w:t>
      </w:r>
      <w:r w:rsidRPr="00950125">
        <w:rPr>
          <w:rStyle w:val="ng-star-inserted1"/>
          <w:color w:val="1A1C1E"/>
        </w:rPr>
        <w:t xml:space="preserve">Studies such as </w:t>
      </w:r>
      <w:r w:rsidRPr="00950125">
        <w:rPr>
          <w:rStyle w:val="ng-star-inserted1"/>
          <w:color w:val="1A1C1E"/>
        </w:rPr>
        <w:fldChar w:fldCharType="begin"/>
      </w:r>
      <w:r w:rsidRPr="00950125">
        <w:rPr>
          <w:rStyle w:val="ng-star-inserted1"/>
          <w:color w:val="1A1C1E"/>
        </w:rPr>
        <w:instrText xml:space="preserve"> ADDIN ZOTERO_ITEM CSL_CITATION {"citationID":"ZEvrbasj","properties":{"formattedCitation":"(Uzar, 2020)","plainCitation":"(Uzar, 2020)","noteIndex":0},"citationItems":[{"id":38,"uris":["http://zotero.org/users/local/dRmf8XHr/items/77WR97E7"],"itemData":{"id":38,"type":"article-journal","container-title":"Renewable Energy","DOI":"10.1016/j.renene.2020.03.172","ISSN":"09601481","journalAbbreviation":"Renewable Energy","language":"en","page":"591-603","source":"DOI.org (Crossref)","title":"Political economy of renewable energy: Does institutional quality make a difference in renewable energy consumption?","title-short":"Political economy of renewable energy","volume":"155","author":[{"family":"Uzar","given":"Umut"}],"issued":{"date-parts":[["2020",8]]}}}],"schema":"https://github.com/citation-style-language/schema/raw/master/csl-citation.json"} </w:instrText>
      </w:r>
      <w:r w:rsidRPr="00950125">
        <w:rPr>
          <w:rStyle w:val="ng-star-inserted1"/>
          <w:color w:val="1A1C1E"/>
        </w:rPr>
        <w:fldChar w:fldCharType="separate"/>
      </w:r>
      <w:r w:rsidRPr="00950125">
        <w:t>(Uzar, 2020)</w:t>
      </w:r>
      <w:r w:rsidRPr="00950125">
        <w:rPr>
          <w:rStyle w:val="ng-star-inserted1"/>
          <w:color w:val="1A1C1E"/>
        </w:rPr>
        <w:fldChar w:fldCharType="end"/>
      </w:r>
      <w:r w:rsidR="008D6A68" w:rsidRPr="00950125">
        <w:rPr>
          <w:rStyle w:val="ng-star-inserted1"/>
          <w:color w:val="1A1C1E"/>
        </w:rPr>
        <w:t xml:space="preserve"> compellingly argue that poor governance structures are a primary cause of stalled renewable e</w:t>
      </w:r>
      <w:r w:rsidRPr="00950125">
        <w:rPr>
          <w:rStyle w:val="ng-star-inserted1"/>
          <w:color w:val="1A1C1E"/>
        </w:rPr>
        <w:t xml:space="preserve">nergy development, as investors (both domestic and international) </w:t>
      </w:r>
      <w:r w:rsidR="008D6A68" w:rsidRPr="00950125">
        <w:rPr>
          <w:rStyle w:val="ng-star-inserted1"/>
          <w:color w:val="1A1C1E"/>
        </w:rPr>
        <w:t>cannot be confident that long-term contract</w:t>
      </w:r>
      <w:r w:rsidRPr="00950125">
        <w:rPr>
          <w:rStyle w:val="ng-star-inserted1"/>
          <w:color w:val="1A1C1E"/>
        </w:rPr>
        <w:t>s will be honored</w:t>
      </w:r>
      <w:r w:rsidR="008D6A68" w:rsidRPr="00950125">
        <w:rPr>
          <w:rStyle w:val="ng-star-inserted1"/>
          <w:color w:val="1A1C1E"/>
        </w:rPr>
        <w:t xml:space="preserve"> </w:t>
      </w:r>
      <w:r w:rsidRPr="00950125">
        <w:rPr>
          <w:rStyle w:val="ng-star-inserted1"/>
          <w:color w:val="1A1C1E"/>
        </w:rPr>
        <w:t xml:space="preserve">or </w:t>
      </w:r>
      <w:r w:rsidR="008D6A68" w:rsidRPr="00950125">
        <w:rPr>
          <w:rStyle w:val="ng-star-inserted1"/>
          <w:color w:val="1A1C1E"/>
        </w:rPr>
        <w:t>that permits will b</w:t>
      </w:r>
      <w:r w:rsidRPr="00950125">
        <w:rPr>
          <w:rStyle w:val="ng-star-inserted1"/>
          <w:color w:val="1A1C1E"/>
        </w:rPr>
        <w:t xml:space="preserve">e granted transparently. </w:t>
      </w:r>
      <w:r w:rsidR="008D6A68" w:rsidRPr="00950125">
        <w:rPr>
          <w:rStyle w:val="ng-star-inserted1"/>
          <w:color w:val="1A1C1E"/>
        </w:rPr>
        <w:t xml:space="preserve"> </w:t>
      </w:r>
      <w:r w:rsidRPr="00950125">
        <w:t>They also fear that sudden policy changes will make their investments worthless.</w:t>
      </w:r>
    </w:p>
    <w:p w14:paraId="334C90F2" w14:textId="4F508237" w:rsidR="008D6A68" w:rsidRPr="00950125" w:rsidRDefault="007223A8" w:rsidP="00D46E36">
      <w:pPr>
        <w:pStyle w:val="ng-star-inserted"/>
        <w:shd w:val="clear" w:color="auto" w:fill="FFFFFF"/>
        <w:spacing w:after="270" w:afterAutospacing="0" w:line="276" w:lineRule="auto"/>
        <w:jc w:val="both"/>
        <w:rPr>
          <w:color w:val="1A1C1E"/>
        </w:rPr>
      </w:pPr>
      <w:r w:rsidRPr="00950125">
        <w:t xml:space="preserve">These institutional gaps show up in many real and damaging ways. </w:t>
      </w:r>
      <w:r w:rsidR="008D6A68" w:rsidRPr="00950125">
        <w:rPr>
          <w:rStyle w:val="ng-star-inserted1"/>
          <w:color w:val="1A1C1E"/>
        </w:rPr>
        <w:t>Corruption, for example, can inflate project costs through demands for illicit payments for licenses and permits, making renewable projects economically unviable. Political instability creates a climate where a new governing regime might reverse the energy policies of its predecessor, revoking feed-in tariffs or renewable portfolio standards that were essential to the initial investment decision. Furthermore, a weak rule of law means there is no credible judicial recourse for investors if a state-owned utility fails to fulfill its obligations under a power purchase agreement (PPA). As hi</w:t>
      </w:r>
      <w:r w:rsidRPr="00950125">
        <w:rPr>
          <w:rStyle w:val="ng-star-inserted1"/>
          <w:color w:val="1A1C1E"/>
        </w:rPr>
        <w:t xml:space="preserve">ghlighted by </w:t>
      </w:r>
      <w:r w:rsidRPr="00950125">
        <w:rPr>
          <w:rStyle w:val="ng-star-inserted1"/>
          <w:color w:val="1A1C1E"/>
        </w:rPr>
        <w:fldChar w:fldCharType="begin"/>
      </w:r>
      <w:r w:rsidRPr="00950125">
        <w:rPr>
          <w:rStyle w:val="ng-star-inserted1"/>
          <w:color w:val="1A1C1E"/>
        </w:rPr>
        <w:instrText xml:space="preserve"> ADDIN ZOTERO_ITEM CSL_CITATION {"citationID":"5M9nOo5I","properties":{"formattedCitation":"(E. Wang et al., 2022)","plainCitation":"(E. Wang et al., 2022)","noteIndex":0},"citationItems":[{"id":37,"uris":["http://zotero.org/users/local/dRmf8XHr/items/SAYAUU7Z"],"itemData":{"id":37,"type":"article-journal","container-title":"Resources Policy","DOI":"10.1016/j.resourpol.2022.103041","ISSN":"03014207","journalAbbreviation":"Resources Policy","language":"en","page":"103041","source":"DOI.org (Crossref)","title":"Effects of institutional quality and political risk on the renewable energy consumption in the OECD countries","volume":"79","author":[{"family":"Wang","given":"Erhong"},{"family":"Gozgor","given":"Giray"},{"family":"Mahalik","given":"Mantu Kumar"},{"family":"Patel","given":"Gupteswar"},{"family":"Hu","given":"Guoheng"}],"issued":{"date-parts":[["2022",12]]}}}],"schema":"https://github.com/citation-style-language/schema/raw/master/csl-citation.json"} </w:instrText>
      </w:r>
      <w:r w:rsidRPr="00950125">
        <w:rPr>
          <w:rStyle w:val="ng-star-inserted1"/>
          <w:color w:val="1A1C1E"/>
        </w:rPr>
        <w:fldChar w:fldCharType="separate"/>
      </w:r>
      <w:r w:rsidRPr="00950125">
        <w:t>(E. Wang et al., 2022)</w:t>
      </w:r>
      <w:r w:rsidRPr="00950125">
        <w:rPr>
          <w:rStyle w:val="ng-star-inserted1"/>
          <w:color w:val="1A1C1E"/>
        </w:rPr>
        <w:fldChar w:fldCharType="end"/>
      </w:r>
      <w:r w:rsidRPr="00950125">
        <w:rPr>
          <w:rStyle w:val="ng-star-inserted1"/>
          <w:color w:val="1A1C1E"/>
        </w:rPr>
        <w:t>,</w:t>
      </w:r>
      <w:r w:rsidR="008D6A68" w:rsidRPr="00950125">
        <w:rPr>
          <w:rStyle w:val="ng-star-inserted1"/>
          <w:color w:val="1A1C1E"/>
        </w:rPr>
        <w:t xml:space="preserve"> these institutional failings collectively create a hostile environment for the very capital that is essential for building wind farms, solar parks, and geothermal plants. This not only slows the pace of REC adoption but can lead to a complete withdrawal of private sector interest, leaving nations dependent on volatile and often state-controlled fossil fuel markets.</w:t>
      </w:r>
    </w:p>
    <w:p w14:paraId="18FA98DB" w14:textId="77777777" w:rsidR="00EE7580" w:rsidRPr="00950125" w:rsidRDefault="007223A8" w:rsidP="00D46E36">
      <w:pPr>
        <w:pStyle w:val="NormalWeb"/>
        <w:spacing w:line="276" w:lineRule="auto"/>
        <w:jc w:val="both"/>
      </w:pPr>
      <w:r w:rsidRPr="00950125">
        <w:rPr>
          <w:rStyle w:val="ng-star-inserted1"/>
          <w:color w:val="1A1C1E"/>
        </w:rPr>
        <w:lastRenderedPageBreak/>
        <w:t xml:space="preserve">Moreover, </w:t>
      </w:r>
      <w:r w:rsidR="008D6A68" w:rsidRPr="00950125">
        <w:rPr>
          <w:rStyle w:val="ng-star-inserted1"/>
          <w:color w:val="1A1C1E"/>
        </w:rPr>
        <w:t xml:space="preserve">institutional weakness directly undermines efforts to reduce CO2 emissions. </w:t>
      </w:r>
      <w:r w:rsidR="00EE7580" w:rsidRPr="00950125">
        <w:t>The most effective policies for reducing carbon emissions, like carbon taxes or emissions trading systems (ETS), require strong institutions to implement, monitor, and enforce. Without a reliable and trustworthy government, these policies are easy to bypass. Tax evasion becomes widespread, emissions data can be falsified with no consequences, and regulations are inconsistently applied. This creates an environment where pollution is allowed to thrive. The harmful effects of carbon emissions aren’t factored into economic activity, leaving industries with no real financial incentive to invest in cleaner technologies or processes. The result is a double failure: clean energy investments are not encouraged, and polluting energy sources go unpunished.</w:t>
      </w:r>
    </w:p>
    <w:p w14:paraId="36C9059E" w14:textId="392437B3" w:rsidR="008D6A68" w:rsidRPr="00950125" w:rsidRDefault="008D6A68" w:rsidP="00D46E36">
      <w:pPr>
        <w:pStyle w:val="ng-star-inserted"/>
        <w:shd w:val="clear" w:color="auto" w:fill="FFFFFF"/>
        <w:spacing w:after="270" w:afterAutospacing="0" w:line="276" w:lineRule="auto"/>
        <w:jc w:val="both"/>
        <w:rPr>
          <w:color w:val="1A1C1E"/>
        </w:rPr>
      </w:pPr>
      <w:r w:rsidRPr="00950125">
        <w:rPr>
          <w:rStyle w:val="ng-star-inserted1"/>
          <w:color w:val="1A1C1E"/>
        </w:rPr>
        <w:t xml:space="preserve">Beyond institutional fragility, </w:t>
      </w:r>
      <w:r w:rsidR="00EE7580" w:rsidRPr="00950125">
        <w:t xml:space="preserve">the transition to sustainability is also slowed by the deeply entrenched economic systems that depend on fossil fuels, a challenge often referred to as "carbon lock-in." This describes the way fossil-fuel-based energy systems become self-reinforcing, embedded not just in infrastructure, but in </w:t>
      </w:r>
      <w:r w:rsidRPr="00950125">
        <w:rPr>
          <w:rStyle w:val="ng-star-inserted1"/>
          <w:color w:val="1A1C1E"/>
        </w:rPr>
        <w:t>economic interests and political power structures. Many nations, particularly those with economies heavily reliant on the extraction or export of fossil fuels, suffer from a powerful "resource curse" that actively works against decarbonization. Incumbent fossil fuel industries often wield significant political influence, lobbying for the continuation of massive direct and indirect subsidies that artificially lower the price of carbon-intensive energy and create a severely unlevel playing field for renewables.</w:t>
      </w:r>
    </w:p>
    <w:p w14:paraId="4AAAE42D" w14:textId="19C5EB27" w:rsidR="00EE7580" w:rsidRPr="00950125" w:rsidRDefault="008D6A68" w:rsidP="00D46E36">
      <w:pPr>
        <w:pStyle w:val="NormalWeb"/>
        <w:spacing w:line="276" w:lineRule="auto"/>
        <w:jc w:val="both"/>
      </w:pPr>
      <w:r w:rsidRPr="00950125">
        <w:rPr>
          <w:rStyle w:val="ng-star-inserted1"/>
          <w:color w:val="1A1C1E"/>
        </w:rPr>
        <w:t xml:space="preserve">This structural barrier is exacerbated by a lack of economic freedom. </w:t>
      </w:r>
      <w:r w:rsidR="00EE7580" w:rsidRPr="00950125">
        <w:t xml:space="preserve">As </w:t>
      </w:r>
      <w:r w:rsidR="00EE7580" w:rsidRPr="00950125">
        <w:fldChar w:fldCharType="begin"/>
      </w:r>
      <w:r w:rsidR="00EE7580" w:rsidRPr="00950125">
        <w:instrText xml:space="preserve"> ADDIN ZOTERO_ITEM CSL_CITATION {"citationID":"Cyt8gC8l","properties":{"formattedCitation":"(Ahmed et al., 2022)","plainCitation":"(Ahmed et al., 2022)","noteIndex":0},"citationItems":[{"id":48,"uris":["http://zotero.org/users/local/dRmf8XHr/items/K8PT46LA"],"itemData":{"id":48,"type":"article-journal","container-title":"Gondwana Research","DOI":"10.1016/j.gr.2022.09.014","ISSN":"1342937X","journalAbbreviation":"Gondwana Research","language":"en","page":"105-115","source":"DOI.org (Crossref)","title":"How do green energy technology investments, technological innovation, and trade globalization enhance green energy supply and stimulate environmental sustainability in the G7 countries?","volume":"112","author":[{"family":"Ahmed","given":"Zahoor"},{"family":"Ahmad","given":"Mahmood"},{"family":"Murshed","given":"Muntasir"},{"family":"Ibrahim Shah","given":"Muhammad"},{"family":"Mahmood","given":"Haider"},{"family":"Abbas","given":"Shujaat"}],"issued":{"date-parts":[["2022",12]]}}}],"schema":"https://github.com/citation-style-language/schema/raw/master/csl-citation.json"} </w:instrText>
      </w:r>
      <w:r w:rsidR="00EE7580" w:rsidRPr="00950125">
        <w:fldChar w:fldCharType="separate"/>
      </w:r>
      <w:r w:rsidR="00EE7580" w:rsidRPr="00950125">
        <w:t>(Ahmed et al., 2022)</w:t>
      </w:r>
      <w:r w:rsidR="00EE7580" w:rsidRPr="00950125">
        <w:fldChar w:fldCharType="end"/>
      </w:r>
      <w:r w:rsidR="00EE7580" w:rsidRPr="00950125">
        <w:t xml:space="preserve"> point out, economies with</w:t>
      </w:r>
      <w:r w:rsidR="00687A63" w:rsidRPr="00950125">
        <w:t xml:space="preserve"> low levels of economic freedom (</w:t>
      </w:r>
      <w:r w:rsidR="00EE7580" w:rsidRPr="00950125">
        <w:t>marked by high entry barriers, excessive regulations, and restr</w:t>
      </w:r>
      <w:r w:rsidR="00687A63" w:rsidRPr="00950125">
        <w:t xml:space="preserve">ictions on trade and investment) </w:t>
      </w:r>
      <w:r w:rsidR="00EE7580" w:rsidRPr="00950125">
        <w:t>are particularly prone to carbon lock-in. These conditions protect powerful, often state-run, fossil fuel monopolies from competition, while stifling the innovation needed to bring renewable technologies to market. In such environments, clean energy entrepreneurs and innovators face a maze of red tape that makes it nearly impossible to start a business, secure funding, or compete fairly with established, government-backed industries. The problem is not just the dominance of the fossil fuel sector, but the deliberate suppression of the market forces that could challenge it.</w:t>
      </w:r>
    </w:p>
    <w:p w14:paraId="19006A17" w14:textId="27F282CA" w:rsidR="00EE7580" w:rsidRPr="00950125" w:rsidRDefault="00EE7580" w:rsidP="00D46E36">
      <w:pPr>
        <w:pStyle w:val="NormalWeb"/>
        <w:spacing w:line="276" w:lineRule="auto"/>
        <w:jc w:val="both"/>
      </w:pPr>
      <w:r w:rsidRPr="00950125">
        <w:t>This lack of economic freedom has far-reaching effects on both renewable energy adoption and carbon emissions reduction. It slows the technological advancements and cost reductions in renewables that typically come from healthy competition. It also limits consumer choice, preventing households and businesses from accessing cleaner and potentially cheaper energy alternatives. In the end, it locks countries into high-carbon development paths, where economic growth is tied to rising emissions. The transition to clean energy is therefore not just an environmental issue; it's a fundamental question about market structure and economic freedom.</w:t>
      </w:r>
    </w:p>
    <w:p w14:paraId="1D9051E2" w14:textId="3AC41414" w:rsidR="00B1757F" w:rsidRPr="00950125" w:rsidRDefault="00B1757F" w:rsidP="00D46E36">
      <w:pPr>
        <w:pStyle w:val="NormalWeb"/>
        <w:spacing w:line="276" w:lineRule="auto"/>
        <w:jc w:val="both"/>
      </w:pPr>
      <w:r w:rsidRPr="00950125">
        <w:rPr>
          <w:color w:val="1A1C1E"/>
          <w:shd w:val="clear" w:color="auto" w:fill="FFFFFF"/>
        </w:rPr>
        <w:t xml:space="preserve">Even with political will and available financing, significant technological and infrastructural barriers remain. A primary technical challenge highlighted across the literature is the intermittency of dominant renewable energy sources like solar and wind. Unlike conventional power plants that </w:t>
      </w:r>
      <w:r w:rsidRPr="00950125">
        <w:rPr>
          <w:color w:val="1A1C1E"/>
          <w:shd w:val="clear" w:color="auto" w:fill="FFFFFF"/>
        </w:rPr>
        <w:lastRenderedPageBreak/>
        <w:t>can provide a stable baseload power supply, the output from these sources fluctuates with weather conditions. Integrating a high share of variable renewables into a traditional electricity grid without compromising its stability is a complex engineering feat. In many developing countries, the grid infrastructure is old, fragile, and ill-equipped to handle these fluctuations, often necessitating a continued reliance on dispatchable (and often carbon-intensive) fossil fuel power plants for backup and grid-balancing services.</w:t>
      </w:r>
    </w:p>
    <w:p w14:paraId="3A395C28" w14:textId="5F5FE572" w:rsidR="008D6A68" w:rsidRPr="00950125" w:rsidRDefault="008D6A68" w:rsidP="00D46E36">
      <w:pPr>
        <w:pStyle w:val="ng-star-inserted"/>
        <w:shd w:val="clear" w:color="auto" w:fill="FFFFFF"/>
        <w:spacing w:after="270" w:afterAutospacing="0" w:line="276" w:lineRule="auto"/>
        <w:jc w:val="both"/>
        <w:rPr>
          <w:rStyle w:val="ng-star-inserted1"/>
          <w:color w:val="1A1C1E"/>
        </w:rPr>
      </w:pPr>
      <w:r w:rsidRPr="00950125">
        <w:rPr>
          <w:rStyle w:val="ng-star-inserted1"/>
          <w:color w:val="1A1C1E"/>
        </w:rPr>
        <w:t>This challenge is compounded by what can be termed a "digital divide" in the energy sector. The effective management of a high-REC grid requires advanced technological infrastructure that is simply absent in many parts o</w:t>
      </w:r>
      <w:r w:rsidR="00687A63" w:rsidRPr="00950125">
        <w:rPr>
          <w:rStyle w:val="ng-star-inserted1"/>
          <w:color w:val="1A1C1E"/>
        </w:rPr>
        <w:t>f the world.</w:t>
      </w:r>
      <w:r w:rsidRPr="00950125">
        <w:rPr>
          <w:rStyle w:val="ng-star-inserted1"/>
          <w:color w:val="1A1C1E"/>
        </w:rPr>
        <w:t xml:space="preserve"> </w:t>
      </w:r>
      <w:r w:rsidR="00687A63" w:rsidRPr="00950125">
        <w:rPr>
          <w:rStyle w:val="ng-star-inserted1"/>
          <w:color w:val="1A1C1E"/>
        </w:rPr>
        <w:fldChar w:fldCharType="begin"/>
      </w:r>
      <w:r w:rsidR="00687A63" w:rsidRPr="00950125">
        <w:rPr>
          <w:rStyle w:val="ng-star-inserted1"/>
          <w:color w:val="1A1C1E"/>
        </w:rPr>
        <w:instrText xml:space="preserve"> ADDIN ZOTERO_ITEM CSL_CITATION {"citationID":"nfjcEX1H","properties":{"formattedCitation":"(Talan et al., 2023)","plainCitation":"(Talan et al., 2023)","noteIndex":0},"citationItems":[{"id":39,"uris":["http://zotero.org/users/local/dRmf8XHr/items/67KIP6WY"],"itemData":{"id":39,"type":"article-journal","container-title":"Resources Policy","DOI":"10.1016/j.resourpol.2023.103447","ISSN":"03014207","journalAbbreviation":"Resources Policy","language":"en","page":"103447","source":"DOI.org (Crossref)","title":"Transition towards clean energy consumption in G7: Can financial sector, ICT and democracy help?","title-short":"Transition towards clean energy consumption in G7","volume":"82","author":[{"family":"Talan","given":"Amogh"},{"family":"Rao","given":"Amar"},{"family":"Sharma","given":"Gagan Deep"},{"family":"Apostu","given":"Simona-Andreea"},{"family":"Abbas","given":"Shujaat"}],"issued":{"date-parts":[["2023",5]]}}}],"schema":"https://github.com/citation-style-language/schema/raw/master/csl-citation.json"} </w:instrText>
      </w:r>
      <w:r w:rsidR="00687A63" w:rsidRPr="00950125">
        <w:rPr>
          <w:rStyle w:val="ng-star-inserted1"/>
          <w:color w:val="1A1C1E"/>
        </w:rPr>
        <w:fldChar w:fldCharType="separate"/>
      </w:r>
      <w:r w:rsidR="00687A63" w:rsidRPr="00950125">
        <w:t>(Talan et al., 2023)</w:t>
      </w:r>
      <w:r w:rsidR="00687A63" w:rsidRPr="00950125">
        <w:rPr>
          <w:rStyle w:val="ng-star-inserted1"/>
          <w:color w:val="1A1C1E"/>
        </w:rPr>
        <w:fldChar w:fldCharType="end"/>
      </w:r>
      <w:r w:rsidR="00687A63" w:rsidRPr="00950125">
        <w:rPr>
          <w:rStyle w:val="ng-star-inserted1"/>
          <w:color w:val="1A1C1E"/>
        </w:rPr>
        <w:t xml:space="preserve"> </w:t>
      </w:r>
      <w:r w:rsidRPr="00950125">
        <w:rPr>
          <w:rStyle w:val="ng-star-inserted1"/>
          <w:color w:val="1A1C1E"/>
        </w:rPr>
        <w:t>emphasize that the lack of investment in Information and Communication Technology (ICT) is a critical bottleneck. This includes the absence of smart grids that can use real-time data to manage energy flows, a lack of advanced metering infrastructure to enable demand-side management, and, most critically, a shortage of affordable, large-scale energy storage solutions like batteries. Without this digital "nervous system," the grid cannot be made flexible and resilient enough to absorb high penetrations of renewables, effectively placing a ceiling on decarbonization efforts and perpetuating the use of fossil fuels to ensure reliability.</w:t>
      </w:r>
    </w:p>
    <w:p w14:paraId="2A5A2591" w14:textId="77777777" w:rsidR="00687A63" w:rsidRPr="00950125" w:rsidRDefault="00687A63" w:rsidP="00D46E36">
      <w:pPr>
        <w:shd w:val="clear" w:color="auto" w:fill="FFFFFF"/>
        <w:spacing w:after="270" w:line="276" w:lineRule="auto"/>
        <w:jc w:val="both"/>
        <w:rPr>
          <w:rFonts w:ascii="Times New Roman" w:hAnsi="Times New Roman" w:cs="Times New Roman"/>
          <w:sz w:val="24"/>
          <w:szCs w:val="24"/>
        </w:rPr>
      </w:pPr>
      <w:r w:rsidRPr="00950125">
        <w:rPr>
          <w:rFonts w:ascii="Times New Roman" w:hAnsi="Times New Roman" w:cs="Times New Roman"/>
          <w:sz w:val="24"/>
          <w:szCs w:val="24"/>
        </w:rPr>
        <w:t>While the barriers are significant, the academic literature consistently points to clear solutions that can help overcome them. These solutions aren’t isolated from one another; they are closely linked and focus on three key areas: building stronger institutions, promoting economic freedom, and speeding up technological innovation.</w:t>
      </w:r>
    </w:p>
    <w:p w14:paraId="41D591B5" w14:textId="1F68933E" w:rsidR="008D6A68" w:rsidRPr="00950125" w:rsidRDefault="00687A63" w:rsidP="00D46E36">
      <w:pPr>
        <w:shd w:val="clear" w:color="auto" w:fill="FFFFFF"/>
        <w:spacing w:after="270" w:line="276" w:lineRule="auto"/>
        <w:jc w:val="both"/>
        <w:rPr>
          <w:rFonts w:ascii="Times New Roman" w:hAnsi="Times New Roman" w:cs="Times New Roman"/>
          <w:color w:val="1A1C1E"/>
          <w:sz w:val="24"/>
          <w:szCs w:val="24"/>
        </w:rPr>
      </w:pPr>
      <w:r w:rsidRPr="00950125">
        <w:rPr>
          <w:rFonts w:ascii="Times New Roman" w:hAnsi="Times New Roman" w:cs="Times New Roman"/>
          <w:color w:val="1A1C1E"/>
          <w:sz w:val="24"/>
          <w:szCs w:val="24"/>
        </w:rPr>
        <w:t>I</w:t>
      </w:r>
      <w:r w:rsidR="008D6A68" w:rsidRPr="00950125">
        <w:rPr>
          <w:rFonts w:ascii="Times New Roman" w:hAnsi="Times New Roman" w:cs="Times New Roman"/>
          <w:color w:val="1A1C1E"/>
          <w:sz w:val="24"/>
          <w:szCs w:val="24"/>
        </w:rPr>
        <w:t xml:space="preserve">nstitutional reform is the bedrock upon which any successful energy transition must be built. The primary solution to the problem of investment risk is the creation of a stable, transparent, and predictable "enabling environment." This involves a concerted effort to strengthen the rule of law, enhance regulatory quality, and combat corruption. As proposed by </w:t>
      </w:r>
      <w:r w:rsidRPr="00950125">
        <w:rPr>
          <w:rFonts w:ascii="Times New Roman" w:hAnsi="Times New Roman" w:cs="Times New Roman"/>
          <w:color w:val="1A1C1E"/>
          <w:sz w:val="24"/>
          <w:szCs w:val="24"/>
        </w:rPr>
        <w:fldChar w:fldCharType="begin"/>
      </w:r>
      <w:r w:rsidRPr="00950125">
        <w:rPr>
          <w:rFonts w:ascii="Times New Roman" w:hAnsi="Times New Roman" w:cs="Times New Roman"/>
          <w:color w:val="1A1C1E"/>
          <w:sz w:val="24"/>
          <w:szCs w:val="24"/>
        </w:rPr>
        <w:instrText xml:space="preserve"> ADDIN ZOTERO_ITEM CSL_CITATION {"citationID":"FrU9a64w","properties":{"formattedCitation":"(E. Wang et al., 2022)","plainCitation":"(E. Wang et al., 2022)","noteIndex":0},"citationItems":[{"id":37,"uris":["http://zotero.org/users/local/dRmf8XHr/items/SAYAUU7Z"],"itemData":{"id":37,"type":"article-journal","container-title":"Resources Policy","DOI":"10.1016/j.resourpol.2022.103041","ISSN":"03014207","journalAbbreviation":"Resources Policy","language":"en","page":"103041","source":"DOI.org (Crossref)","title":"Effects of institutional quality and political risk on the renewable energy consumption in the OECD countries","volume":"79","author":[{"family":"Wang","given":"Erhong"},{"family":"Gozgor","given":"Giray"},{"family":"Mahalik","given":"Mantu Kumar"},{"family":"Patel","given":"Gupteswar"},{"family":"Hu","given":"Guoheng"}],"issued":{"date-parts":[["2022",12]]}}}],"schema":"https://github.com/citation-style-language/schema/raw/master/csl-citation.json"} </w:instrText>
      </w:r>
      <w:r w:rsidRPr="00950125">
        <w:rPr>
          <w:rFonts w:ascii="Times New Roman" w:hAnsi="Times New Roman" w:cs="Times New Roman"/>
          <w:color w:val="1A1C1E"/>
          <w:sz w:val="24"/>
          <w:szCs w:val="24"/>
        </w:rPr>
        <w:fldChar w:fldCharType="separate"/>
      </w:r>
      <w:r w:rsidRPr="00950125">
        <w:rPr>
          <w:rFonts w:ascii="Times New Roman" w:hAnsi="Times New Roman" w:cs="Times New Roman"/>
          <w:sz w:val="24"/>
          <w:szCs w:val="24"/>
        </w:rPr>
        <w:t>(E. Wang et al., 2022)</w:t>
      </w:r>
      <w:r w:rsidRPr="00950125">
        <w:rPr>
          <w:rFonts w:ascii="Times New Roman" w:hAnsi="Times New Roman" w:cs="Times New Roman"/>
          <w:color w:val="1A1C1E"/>
          <w:sz w:val="24"/>
          <w:szCs w:val="24"/>
        </w:rPr>
        <w:fldChar w:fldCharType="end"/>
      </w:r>
      <w:r w:rsidR="008D6A68" w:rsidRPr="00950125">
        <w:rPr>
          <w:rFonts w:ascii="Times New Roman" w:hAnsi="Times New Roman" w:cs="Times New Roman"/>
          <w:color w:val="1A1C1E"/>
          <w:sz w:val="24"/>
          <w:szCs w:val="24"/>
        </w:rPr>
        <w:t>, this is not an abstract concept but translates into specific, actionable policies. Governments can de-risk investment by implementing clear and long-term renewable energy policies, such as stable feed-in tariffs, renewable portfolio standards, or transparent auction mechanisms for new capacity. These policies provide the long-term revenue certainty that investors require.</w:t>
      </w:r>
    </w:p>
    <w:p w14:paraId="54649915" w14:textId="46CD1AAB" w:rsidR="00687A63" w:rsidRPr="00950125" w:rsidRDefault="008D6A68" w:rsidP="00D46E36">
      <w:pPr>
        <w:pStyle w:val="NormalWeb"/>
        <w:spacing w:line="276" w:lineRule="auto"/>
        <w:jc w:val="both"/>
      </w:pPr>
      <w:r w:rsidRPr="00950125">
        <w:rPr>
          <w:rFonts w:eastAsiaTheme="majorEastAsia"/>
          <w:color w:val="1A1C1E"/>
        </w:rPr>
        <w:t xml:space="preserve">Furthermore, </w:t>
      </w:r>
      <w:r w:rsidR="00687A63" w:rsidRPr="00950125">
        <w:t>it’s crucial to make the permitting and licensing processes for renewable energy projects more efficient and transparent. By reducing bureaucratic red tape and creating clear, non-discriminatory rules, governments can significantly lower the transaction costs and uncertainty associated with greenfield investments. A key part of this is having an independent judiciary that can enforce contracts, which helps investors feel secure that agreements with governments or state-run utilities will be honored. By focusing on these elements of good governance, governments can transform themselves from high-risk areas into attractive places for the global investment needed to support the clean energy transition, which directly boosts renewable energy consumption (REC).</w:t>
      </w:r>
    </w:p>
    <w:p w14:paraId="733E282E" w14:textId="438E945D" w:rsidR="008D6A68" w:rsidRPr="00950125" w:rsidRDefault="00687A63" w:rsidP="00D46E36">
      <w:pPr>
        <w:pStyle w:val="NormalWeb"/>
        <w:spacing w:line="276" w:lineRule="auto"/>
        <w:jc w:val="both"/>
      </w:pPr>
      <w:r w:rsidRPr="00950125">
        <w:lastRenderedPageBreak/>
        <w:t xml:space="preserve">This kind of institutional strengthening is also the only credible pathway to meaningful CO2 reduction. Only governments with strong institutional capacity can effectively enforce a meaningful carbon price. Whether through a tax or an emissions trading system (ETS), implementing such policies requires a reliable government that can </w:t>
      </w:r>
      <w:r w:rsidR="00B1757F" w:rsidRPr="00950125">
        <w:rPr>
          <w:rFonts w:eastAsiaTheme="majorEastAsia"/>
          <w:color w:val="1A1C1E"/>
        </w:rPr>
        <w:t>monitor emissions accurately, collect revenues efficiently, and resist political pressure from vested interests seeking exemptions. A strong institutional framework thus provides a dual benefit: it pulls in investment for clean solutions while simultaneously pushing out polluting activities by ensuring their environmental costs are properly accounted for</w:t>
      </w:r>
    </w:p>
    <w:p w14:paraId="1CF31A9E" w14:textId="09BD224F" w:rsidR="008D6A68" w:rsidRPr="00950125" w:rsidRDefault="008D6A68" w:rsidP="00D46E36">
      <w:pPr>
        <w:shd w:val="clear" w:color="auto" w:fill="FFFFFF"/>
        <w:spacing w:after="270" w:line="276" w:lineRule="auto"/>
        <w:jc w:val="both"/>
        <w:rPr>
          <w:rFonts w:ascii="Times New Roman" w:hAnsi="Times New Roman" w:cs="Times New Roman"/>
          <w:color w:val="1A1C1E"/>
          <w:sz w:val="24"/>
          <w:szCs w:val="24"/>
        </w:rPr>
      </w:pPr>
      <w:r w:rsidRPr="00950125">
        <w:rPr>
          <w:rFonts w:ascii="Times New Roman" w:hAnsi="Times New Roman" w:cs="Times New Roman"/>
          <w:color w:val="1A1C1E"/>
          <w:sz w:val="24"/>
          <w:szCs w:val="24"/>
        </w:rPr>
        <w:t>If strong institutions provide the stable ground, economic freedom provides the dynamic engine for the energy transiti</w:t>
      </w:r>
      <w:r w:rsidR="00B1757F" w:rsidRPr="00950125">
        <w:rPr>
          <w:rFonts w:ascii="Times New Roman" w:hAnsi="Times New Roman" w:cs="Times New Roman"/>
          <w:color w:val="1A1C1E"/>
          <w:sz w:val="24"/>
          <w:szCs w:val="24"/>
        </w:rPr>
        <w:t>on. F</w:t>
      </w:r>
      <w:r w:rsidRPr="00950125">
        <w:rPr>
          <w:rFonts w:ascii="Times New Roman" w:hAnsi="Times New Roman" w:cs="Times New Roman"/>
          <w:color w:val="1A1C1E"/>
          <w:sz w:val="24"/>
          <w:szCs w:val="24"/>
        </w:rPr>
        <w:t>reeing up markets is one of the most effective ways to break the cycle of carbon lock-in. The solution is to dismantle the policies that protect incumbents and actively foster an environment where competition and innovation can flourish. This involves phasing out fossil fuel subsidies to level the economic playing field and allow renewables to compete on a more equi</w:t>
      </w:r>
      <w:r w:rsidR="00B1757F" w:rsidRPr="00950125">
        <w:rPr>
          <w:rFonts w:ascii="Times New Roman" w:hAnsi="Times New Roman" w:cs="Times New Roman"/>
          <w:color w:val="1A1C1E"/>
          <w:sz w:val="24"/>
          <w:szCs w:val="24"/>
        </w:rPr>
        <w:t xml:space="preserve">table basis. </w:t>
      </w:r>
      <w:r w:rsidR="00B1757F" w:rsidRPr="00950125">
        <w:rPr>
          <w:rFonts w:ascii="Times New Roman" w:hAnsi="Times New Roman" w:cs="Times New Roman"/>
          <w:color w:val="1A1C1E"/>
          <w:sz w:val="24"/>
          <w:szCs w:val="24"/>
        </w:rPr>
        <w:fldChar w:fldCharType="begin"/>
      </w:r>
      <w:r w:rsidR="00B1757F" w:rsidRPr="00950125">
        <w:rPr>
          <w:rFonts w:ascii="Times New Roman" w:hAnsi="Times New Roman" w:cs="Times New Roman"/>
          <w:color w:val="1A1C1E"/>
          <w:sz w:val="24"/>
          <w:szCs w:val="24"/>
        </w:rPr>
        <w:instrText xml:space="preserve"> ADDIN ZOTERO_ITEM CSL_CITATION {"citationID":"kvXqu2Mt","properties":{"formattedCitation":"(Ahmed et al., 2022)","plainCitation":"(Ahmed et al., 2022)","noteIndex":0},"citationItems":[{"id":48,"uris":["http://zotero.org/users/local/dRmf8XHr/items/K8PT46LA"],"itemData":{"id":48,"type":"article-journal","container-title":"Gondwana Research","DOI":"10.1016/j.gr.2022.09.014","ISSN":"1342937X","journalAbbreviation":"Gondwana Research","language":"en","page":"105-115","source":"DOI.org (Crossref)","title":"How do green energy technology investments, technological innovation, and trade globalization enhance green energy supply and stimulate environmental sustainability in the G7 countries?","volume":"112","author":[{"family":"Ahmed","given":"Zahoor"},{"family":"Ahmad","given":"Mahmood"},{"family":"Murshed","given":"Muntasir"},{"family":"Ibrahim Shah","given":"Muhammad"},{"family":"Mahmood","given":"Haider"},{"family":"Abbas","given":"Shujaat"}],"issued":{"date-parts":[["2022",12]]}}}],"schema":"https://github.com/citation-style-language/schema/raw/master/csl-citation.json"} </w:instrText>
      </w:r>
      <w:r w:rsidR="00B1757F" w:rsidRPr="00950125">
        <w:rPr>
          <w:rFonts w:ascii="Times New Roman" w:hAnsi="Times New Roman" w:cs="Times New Roman"/>
          <w:color w:val="1A1C1E"/>
          <w:sz w:val="24"/>
          <w:szCs w:val="24"/>
        </w:rPr>
        <w:fldChar w:fldCharType="separate"/>
      </w:r>
      <w:r w:rsidR="00B1757F" w:rsidRPr="00950125">
        <w:rPr>
          <w:rFonts w:ascii="Times New Roman" w:hAnsi="Times New Roman" w:cs="Times New Roman"/>
          <w:sz w:val="24"/>
          <w:szCs w:val="24"/>
        </w:rPr>
        <w:t>(Ahmed et al., 2022)</w:t>
      </w:r>
      <w:r w:rsidR="00B1757F" w:rsidRPr="00950125">
        <w:rPr>
          <w:rFonts w:ascii="Times New Roman" w:hAnsi="Times New Roman" w:cs="Times New Roman"/>
          <w:color w:val="1A1C1E"/>
          <w:sz w:val="24"/>
          <w:szCs w:val="24"/>
        </w:rPr>
        <w:fldChar w:fldCharType="end"/>
      </w:r>
      <w:r w:rsidRPr="00950125">
        <w:rPr>
          <w:rFonts w:ascii="Times New Roman" w:hAnsi="Times New Roman" w:cs="Times New Roman"/>
          <w:color w:val="1A1C1E"/>
          <w:sz w:val="24"/>
          <w:szCs w:val="24"/>
        </w:rPr>
        <w:t xml:space="preserve"> implicitly argue for this by showing the positive correlation between economic freedom and environmental performance, suggesting that market-oriented policies create the conditions for a cleaner economy.</w:t>
      </w:r>
    </w:p>
    <w:p w14:paraId="3550EEF9" w14:textId="6404D1D3" w:rsidR="008D6A68" w:rsidRPr="00950125" w:rsidRDefault="00B1757F" w:rsidP="00D46E36">
      <w:pPr>
        <w:shd w:val="clear" w:color="auto" w:fill="FFFFFF"/>
        <w:spacing w:after="270" w:line="276" w:lineRule="auto"/>
        <w:jc w:val="both"/>
        <w:rPr>
          <w:rFonts w:ascii="Times New Roman" w:hAnsi="Times New Roman" w:cs="Times New Roman"/>
          <w:color w:val="1A1C1E"/>
          <w:sz w:val="24"/>
          <w:szCs w:val="24"/>
        </w:rPr>
      </w:pPr>
      <w:r w:rsidRPr="00950125">
        <w:rPr>
          <w:rFonts w:ascii="Times New Roman" w:hAnsi="Times New Roman" w:cs="Times New Roman"/>
          <w:sz w:val="24"/>
          <w:szCs w:val="24"/>
        </w:rPr>
        <w:t xml:space="preserve">In practical terms, this requires lowering the barriers for new energy companies to enter the market, simplifying regulations for small and medium-sized businesses focused on clean technology, and encouraging free trade to help green technologies and investments flow across borders. When markets are open and competitive, innovation speeds up, and costs decrease. A perfect example of this is the drastic drop in the price of solar panels over the last 20 years, largely driven by global competition and innovation. </w:t>
      </w:r>
      <w:r w:rsidR="008D6A68" w:rsidRPr="00950125">
        <w:rPr>
          <w:rFonts w:ascii="Times New Roman" w:hAnsi="Times New Roman" w:cs="Times New Roman"/>
          <w:color w:val="1A1C1E"/>
          <w:sz w:val="24"/>
          <w:szCs w:val="24"/>
        </w:rPr>
        <w:t>Economic freedom empowers consumers with more choice and allows new business models, such as community solar projects or energy-as-a-service providers, to emerge and challenge the centralized, monopolistic structures of the past. This process of "creative destruction," fueled by market freedom, is essential for displacing legacy fossil fuel systems and accelerating the adoption of REC and the reduction of CO2 emissions.</w:t>
      </w:r>
    </w:p>
    <w:p w14:paraId="1C3E9BC0" w14:textId="72F4E168" w:rsidR="008D6A68" w:rsidRPr="00950125" w:rsidRDefault="008D6A68" w:rsidP="00D46E36">
      <w:pPr>
        <w:shd w:val="clear" w:color="auto" w:fill="FFFFFF"/>
        <w:spacing w:after="270" w:line="276" w:lineRule="auto"/>
        <w:jc w:val="both"/>
        <w:rPr>
          <w:rFonts w:ascii="Times New Roman" w:hAnsi="Times New Roman" w:cs="Times New Roman"/>
          <w:color w:val="1A1C1E"/>
          <w:sz w:val="24"/>
          <w:szCs w:val="24"/>
        </w:rPr>
      </w:pPr>
      <w:r w:rsidRPr="00950125">
        <w:rPr>
          <w:rFonts w:ascii="Times New Roman" w:hAnsi="Times New Roman" w:cs="Times New Roman"/>
          <w:color w:val="1A1C1E"/>
          <w:sz w:val="24"/>
          <w:szCs w:val="24"/>
        </w:rPr>
        <w:t xml:space="preserve">Finally, technological innovation, particularly centered around ICT, is presented as the direct solution to the technical and infrastructural barriers holding back the transition. Investment in ICT is the key to modernizing the electricity grid and overcoming the challenge of intermittency. The deployment of smart grids, as </w:t>
      </w:r>
      <w:r w:rsidR="00B1757F" w:rsidRPr="00950125">
        <w:rPr>
          <w:rFonts w:ascii="Times New Roman" w:hAnsi="Times New Roman" w:cs="Times New Roman"/>
          <w:color w:val="1A1C1E"/>
          <w:sz w:val="24"/>
          <w:szCs w:val="24"/>
        </w:rPr>
        <w:t xml:space="preserve">advocated by </w:t>
      </w:r>
      <w:r w:rsidR="00B1757F" w:rsidRPr="00950125">
        <w:rPr>
          <w:rFonts w:ascii="Times New Roman" w:hAnsi="Times New Roman" w:cs="Times New Roman"/>
          <w:color w:val="1A1C1E"/>
          <w:sz w:val="24"/>
          <w:szCs w:val="24"/>
        </w:rPr>
        <w:fldChar w:fldCharType="begin"/>
      </w:r>
      <w:r w:rsidR="00B1757F" w:rsidRPr="00950125">
        <w:rPr>
          <w:rFonts w:ascii="Times New Roman" w:hAnsi="Times New Roman" w:cs="Times New Roman"/>
          <w:color w:val="1A1C1E"/>
          <w:sz w:val="24"/>
          <w:szCs w:val="24"/>
        </w:rPr>
        <w:instrText xml:space="preserve"> ADDIN ZOTERO_ITEM CSL_CITATION {"citationID":"9TRQ0dUD","properties":{"formattedCitation":"(Talan et al., 2023)","plainCitation":"(Talan et al., 2023)","noteIndex":0},"citationItems":[{"id":39,"uris":["http://zotero.org/users/local/dRmf8XHr/items/67KIP6WY"],"itemData":{"id":39,"type":"article-journal","container-title":"Resources Policy","DOI":"10.1016/j.resourpol.2023.103447","ISSN":"03014207","journalAbbreviation":"Resources Policy","language":"en","page":"103447","source":"DOI.org (Crossref)","title":"Transition towards clean energy consumption in G7: Can financial sector, ICT and democracy help?","title-short":"Transition towards clean energy consumption in G7","volume":"82","author":[{"family":"Talan","given":"Amogh"},{"family":"Rao","given":"Amar"},{"family":"Sharma","given":"Gagan Deep"},{"family":"Apostu","given":"Simona-Andreea"},{"family":"Abbas","given":"Shujaat"}],"issued":{"date-parts":[["2023",5]]}}}],"schema":"https://github.com/citation-style-language/schema/raw/master/csl-citation.json"} </w:instrText>
      </w:r>
      <w:r w:rsidR="00B1757F" w:rsidRPr="00950125">
        <w:rPr>
          <w:rFonts w:ascii="Times New Roman" w:hAnsi="Times New Roman" w:cs="Times New Roman"/>
          <w:color w:val="1A1C1E"/>
          <w:sz w:val="24"/>
          <w:szCs w:val="24"/>
        </w:rPr>
        <w:fldChar w:fldCharType="separate"/>
      </w:r>
      <w:r w:rsidR="00B1757F" w:rsidRPr="00950125">
        <w:rPr>
          <w:rFonts w:ascii="Times New Roman" w:hAnsi="Times New Roman" w:cs="Times New Roman"/>
          <w:sz w:val="24"/>
          <w:szCs w:val="24"/>
        </w:rPr>
        <w:t>(Talan et al., 2023)</w:t>
      </w:r>
      <w:r w:rsidR="00B1757F" w:rsidRPr="00950125">
        <w:rPr>
          <w:rFonts w:ascii="Times New Roman" w:hAnsi="Times New Roman" w:cs="Times New Roman"/>
          <w:color w:val="1A1C1E"/>
          <w:sz w:val="24"/>
          <w:szCs w:val="24"/>
        </w:rPr>
        <w:fldChar w:fldCharType="end"/>
      </w:r>
      <w:r w:rsidRPr="00950125">
        <w:rPr>
          <w:rFonts w:ascii="Times New Roman" w:hAnsi="Times New Roman" w:cs="Times New Roman"/>
          <w:color w:val="1A1C1E"/>
          <w:sz w:val="24"/>
          <w:szCs w:val="24"/>
        </w:rPr>
        <w:t>, allows utility operators to manage a complex and decentralized energy system in real-time. By using sensors, data analytics, and automated controls, smart grids can balance supply and demand with precision, seamlessly integrate variable renewable sources, and even predict and prevent outages, thus enhancing grid reliability and resilience.</w:t>
      </w:r>
    </w:p>
    <w:p w14:paraId="28E9D604" w14:textId="77777777" w:rsidR="008D6A68" w:rsidRPr="00950125" w:rsidRDefault="008D6A68" w:rsidP="00D46E36">
      <w:pPr>
        <w:shd w:val="clear" w:color="auto" w:fill="FFFFFF"/>
        <w:spacing w:after="270" w:line="276" w:lineRule="auto"/>
        <w:jc w:val="both"/>
        <w:rPr>
          <w:rFonts w:ascii="Times New Roman" w:hAnsi="Times New Roman" w:cs="Times New Roman"/>
          <w:color w:val="1A1C1E"/>
          <w:sz w:val="24"/>
          <w:szCs w:val="24"/>
        </w:rPr>
      </w:pPr>
      <w:r w:rsidRPr="00950125">
        <w:rPr>
          <w:rFonts w:ascii="Times New Roman" w:hAnsi="Times New Roman" w:cs="Times New Roman"/>
          <w:color w:val="1A1C1E"/>
          <w:sz w:val="24"/>
          <w:szCs w:val="24"/>
        </w:rPr>
        <w:t xml:space="preserve">Alongside smart grids, advancements in energy storage are a critical piece of the puzzle. The falling cost of battery technology allows for the storage of excess energy generated during sunny or windy periods for use during times of low generation or high demand. This capability effectively </w:t>
      </w:r>
      <w:r w:rsidRPr="00950125">
        <w:rPr>
          <w:rFonts w:ascii="Times New Roman" w:hAnsi="Times New Roman" w:cs="Times New Roman"/>
          <w:color w:val="1A1C1E"/>
          <w:sz w:val="24"/>
          <w:szCs w:val="24"/>
        </w:rPr>
        <w:lastRenderedPageBreak/>
        <w:t>transforms intermittent renewables into a dispatchable and reliable source of power, directly addressing their primary technical drawback. Furthermore, ICT enables a host of other solutions that contribute to decarbonization. It underpins the entire "energy efficiency" sector, from smart thermostats in homes that reduce heating and cooling loads, to complex energy management systems in factories that optimize industrial processes. It also facilitates new consumer-centric models like pay-as-you-go solar in developing countries, which leverages mobile payment technology to make clean energy access affordable for low-income households. Strategic public and private investment in this technological ecosystem is therefore essential for providing the practical tools needed to build a modern, efficient, and low-carbon energy infrastructure.</w:t>
      </w:r>
    </w:p>
    <w:p w14:paraId="2DC412F3" w14:textId="64515F9D" w:rsidR="008D6A68" w:rsidRPr="00950125" w:rsidRDefault="00F7482A" w:rsidP="00D46E36">
      <w:pPr>
        <w:shd w:val="clear" w:color="auto" w:fill="FFFFFF"/>
        <w:spacing w:after="0" w:line="276" w:lineRule="auto"/>
        <w:jc w:val="both"/>
        <w:rPr>
          <w:rFonts w:ascii="Times New Roman" w:hAnsi="Times New Roman" w:cs="Times New Roman"/>
          <w:color w:val="1A1C1E"/>
          <w:sz w:val="24"/>
          <w:szCs w:val="24"/>
        </w:rPr>
      </w:pPr>
      <w:r w:rsidRPr="00950125">
        <w:rPr>
          <w:rFonts w:ascii="Times New Roman" w:hAnsi="Times New Roman" w:cs="Times New Roman"/>
          <w:color w:val="1A1C1E"/>
          <w:sz w:val="24"/>
          <w:szCs w:val="24"/>
        </w:rPr>
        <w:t>In summary</w:t>
      </w:r>
      <w:r w:rsidR="008D6A68" w:rsidRPr="00950125">
        <w:rPr>
          <w:rFonts w:ascii="Times New Roman" w:hAnsi="Times New Roman" w:cs="Times New Roman"/>
          <w:color w:val="1A1C1E"/>
          <w:sz w:val="24"/>
          <w:szCs w:val="24"/>
        </w:rPr>
        <w:t>, the path to achieving SDG 7 and SDG 13 is not a singular track but a multi-lane highway requiring simultaneous progress on institutional, economic, and technological fronts. A holistic policy approach that recognizes and addresses these interconnected pillars is therefore the only viable strategy for navigating the complexities of the global energy transition and securing a sustainable and prosperous low-carbon world.</w:t>
      </w:r>
    </w:p>
    <w:p w14:paraId="562BE99E" w14:textId="77777777" w:rsidR="00F7482A" w:rsidRPr="00950125" w:rsidRDefault="00F7482A" w:rsidP="00D46E36">
      <w:pPr>
        <w:shd w:val="clear" w:color="auto" w:fill="FFFFFF"/>
        <w:spacing w:after="0" w:line="276" w:lineRule="auto"/>
        <w:rPr>
          <w:rFonts w:ascii="Times New Roman" w:hAnsi="Times New Roman" w:cs="Times New Roman"/>
          <w:color w:val="1A1C1E"/>
          <w:sz w:val="21"/>
          <w:szCs w:val="21"/>
        </w:rPr>
      </w:pPr>
    </w:p>
    <w:p w14:paraId="1A2AD1AC" w14:textId="5617B04B" w:rsidR="003977AF" w:rsidRPr="00950125" w:rsidRDefault="003977AF" w:rsidP="00D46E36">
      <w:pPr>
        <w:spacing w:line="276" w:lineRule="auto"/>
        <w:rPr>
          <w:rFonts w:ascii="Times New Roman" w:hAnsi="Times New Roman" w:cs="Times New Roman"/>
        </w:rPr>
      </w:pPr>
    </w:p>
    <w:p w14:paraId="5BE660E2" w14:textId="77777777" w:rsidR="009C224B" w:rsidRPr="00950125" w:rsidRDefault="009C224B" w:rsidP="00D46E36">
      <w:pPr>
        <w:spacing w:line="276" w:lineRule="auto"/>
        <w:rPr>
          <w:rFonts w:ascii="Times New Roman" w:hAnsi="Times New Roman" w:cs="Times New Roman"/>
        </w:rPr>
      </w:pPr>
    </w:p>
    <w:p w14:paraId="75C3BA47" w14:textId="6D1211D1" w:rsidR="004825A0" w:rsidRPr="00950125" w:rsidRDefault="004825A0" w:rsidP="00D46E36">
      <w:pPr>
        <w:spacing w:line="276" w:lineRule="auto"/>
        <w:rPr>
          <w:rFonts w:ascii="Times New Roman" w:eastAsiaTheme="majorEastAsia" w:hAnsi="Times New Roman" w:cs="Times New Roman"/>
          <w:b/>
          <w:color w:val="2E74B5" w:themeColor="accent1" w:themeShade="BF"/>
          <w:sz w:val="36"/>
          <w:szCs w:val="32"/>
          <w:u w:val="single"/>
        </w:rPr>
      </w:pPr>
      <w:r w:rsidRPr="00950125">
        <w:rPr>
          <w:rFonts w:ascii="Times New Roman" w:hAnsi="Times New Roman" w:cs="Times New Roman"/>
          <w:b/>
          <w:sz w:val="36"/>
          <w:u w:val="single"/>
        </w:rPr>
        <w:br w:type="page"/>
      </w:r>
    </w:p>
    <w:p w14:paraId="1E73ABE3" w14:textId="38A03951" w:rsidR="00BB7052" w:rsidRPr="00950125" w:rsidRDefault="004825A0" w:rsidP="00D46E36">
      <w:pPr>
        <w:pStyle w:val="Heading1"/>
        <w:spacing w:line="276" w:lineRule="auto"/>
        <w:jc w:val="center"/>
        <w:rPr>
          <w:rFonts w:ascii="Times New Roman" w:hAnsi="Times New Roman" w:cs="Times New Roman"/>
          <w:b/>
          <w:sz w:val="36"/>
          <w:u w:val="single"/>
        </w:rPr>
      </w:pPr>
      <w:bookmarkStart w:id="58" w:name="_Toc204723911"/>
      <w:r w:rsidRPr="00950125">
        <w:rPr>
          <w:rFonts w:ascii="Times New Roman" w:hAnsi="Times New Roman" w:cs="Times New Roman"/>
          <w:b/>
          <w:sz w:val="36"/>
          <w:u w:val="single"/>
        </w:rPr>
        <w:lastRenderedPageBreak/>
        <w:t>Chapter</w:t>
      </w:r>
      <w:r w:rsidR="00BB7052" w:rsidRPr="00950125">
        <w:rPr>
          <w:rFonts w:ascii="Times New Roman" w:hAnsi="Times New Roman" w:cs="Times New Roman"/>
          <w:b/>
          <w:sz w:val="36"/>
          <w:u w:val="single"/>
        </w:rPr>
        <w:t xml:space="preserve"> </w:t>
      </w:r>
      <w:r w:rsidRPr="00950125">
        <w:rPr>
          <w:rFonts w:ascii="Times New Roman" w:hAnsi="Times New Roman" w:cs="Times New Roman"/>
          <w:b/>
          <w:sz w:val="36"/>
          <w:u w:val="single"/>
        </w:rPr>
        <w:t>6: Conclusion, Policy Suggestion and Future Study</w:t>
      </w:r>
      <w:bookmarkEnd w:id="58"/>
    </w:p>
    <w:p w14:paraId="1FAA9DC3" w14:textId="52D8D261" w:rsidR="007E265B" w:rsidRPr="00950125" w:rsidRDefault="00950125" w:rsidP="00D46E36">
      <w:pPr>
        <w:pStyle w:val="Heading2"/>
        <w:numPr>
          <w:ilvl w:val="0"/>
          <w:numId w:val="19"/>
        </w:numPr>
        <w:spacing w:line="276" w:lineRule="auto"/>
        <w:rPr>
          <w:rFonts w:ascii="Times New Roman" w:hAnsi="Times New Roman" w:cs="Times New Roman"/>
        </w:rPr>
      </w:pPr>
      <w:r>
        <w:rPr>
          <w:rFonts w:ascii="Times New Roman" w:hAnsi="Times New Roman" w:cs="Times New Roman"/>
          <w:b/>
          <w:sz w:val="28"/>
          <w:u w:val="single"/>
        </w:rPr>
        <w:t xml:space="preserve"> </w:t>
      </w:r>
      <w:bookmarkStart w:id="59" w:name="_Toc204723912"/>
      <w:r w:rsidR="00BC3E28" w:rsidRPr="00950125">
        <w:rPr>
          <w:rFonts w:ascii="Times New Roman" w:hAnsi="Times New Roman" w:cs="Times New Roman"/>
          <w:b/>
          <w:sz w:val="28"/>
          <w:u w:val="single"/>
        </w:rPr>
        <w:t>Conclusion</w:t>
      </w:r>
      <w:bookmarkEnd w:id="59"/>
    </w:p>
    <w:p w14:paraId="22AB9CB5" w14:textId="43188B73" w:rsidR="00D529CF" w:rsidRPr="00950125" w:rsidRDefault="00D529CF" w:rsidP="00D46E36">
      <w:pPr>
        <w:spacing w:line="276" w:lineRule="auto"/>
        <w:jc w:val="both"/>
        <w:rPr>
          <w:rStyle w:val="ng-star-inserted1"/>
          <w:rFonts w:ascii="Times New Roman" w:hAnsi="Times New Roman" w:cs="Times New Roman"/>
          <w:color w:val="2E74B5" w:themeColor="accent1" w:themeShade="BF"/>
          <w:sz w:val="24"/>
          <w:szCs w:val="24"/>
        </w:rPr>
      </w:pPr>
      <w:r w:rsidRPr="00950125">
        <w:rPr>
          <w:rStyle w:val="ng-star-inserted1"/>
          <w:rFonts w:ascii="Times New Roman" w:hAnsi="Times New Roman" w:cs="Times New Roman"/>
          <w:color w:val="1A1C1E"/>
          <w:sz w:val="24"/>
          <w:szCs w:val="24"/>
        </w:rPr>
        <w:t>This study set out to empirically investigate the multifaceted drivers of environmental sustainability by examining the impact of Institutional Quality (IQ), Information and Communication Technology (ICT), and Economic Freedom (EF) on two critical Sustainable Development Goals: SDG 13 (Climate Action), measured by Carbon Emissions, and SDG 7 (Affordable and Clean Energy), measured by Renewable Energy Consumption. The rigorous econometric analysis, built upon a foundation of robust diagnostic testing that confirmed cross-sectional dependence, a common order of integration I(1), and the presence of stable long-run cointegrating relationships, has yielded several significant and policy-relevant conclusions.</w:t>
      </w:r>
      <w:r w:rsidR="007A3AE5" w:rsidRPr="00950125">
        <w:rPr>
          <w:rStyle w:val="ng-star-inserted1"/>
          <w:rFonts w:ascii="Times New Roman" w:hAnsi="Times New Roman" w:cs="Times New Roman"/>
          <w:color w:val="1A1C1E"/>
          <w:sz w:val="24"/>
          <w:szCs w:val="24"/>
        </w:rPr>
        <w:t xml:space="preserve"> </w:t>
      </w:r>
      <w:r w:rsidRPr="00950125">
        <w:rPr>
          <w:rStyle w:val="ng-star-inserted1"/>
          <w:rFonts w:ascii="Times New Roman" w:hAnsi="Times New Roman" w:cs="Times New Roman"/>
          <w:color w:val="1A1C1E"/>
          <w:sz w:val="24"/>
          <w:szCs w:val="24"/>
        </w:rPr>
        <w:t xml:space="preserve">The empirical results strongly validate </w:t>
      </w:r>
      <w:r w:rsidR="007A3AE5" w:rsidRPr="00950125">
        <w:rPr>
          <w:rStyle w:val="ng-star-inserted1"/>
          <w:rFonts w:ascii="Times New Roman" w:hAnsi="Times New Roman" w:cs="Times New Roman"/>
          <w:color w:val="1A1C1E"/>
          <w:sz w:val="24"/>
          <w:szCs w:val="24"/>
        </w:rPr>
        <w:t>that IQ, ICT and EF</w:t>
      </w:r>
      <w:r w:rsidRPr="00950125">
        <w:rPr>
          <w:rStyle w:val="ng-star-inserted1"/>
          <w:rFonts w:ascii="Times New Roman" w:hAnsi="Times New Roman" w:cs="Times New Roman"/>
          <w:color w:val="1A1C1E"/>
          <w:sz w:val="24"/>
          <w:szCs w:val="24"/>
        </w:rPr>
        <w:t xml:space="preserve"> positively and significantly influence sustainability outcomes. While their effects vary between the short and long run, the presence of a stable long-term equilibrium, confirmed by the Error Correction Term (ECT), is a critical finding. It suggests that despite temporary deviations or policy shocks, economies with strong institutions, advanced technology, and free markets possess an inherent, self-correcting trajectory toward a cleaner energy future.</w:t>
      </w:r>
    </w:p>
    <w:p w14:paraId="40F05B76" w14:textId="4DFFCB0D" w:rsidR="007E265B" w:rsidRPr="00950125" w:rsidRDefault="007E265B" w:rsidP="00D46E36">
      <w:pPr>
        <w:pStyle w:val="ng-star-inserted"/>
        <w:shd w:val="clear" w:color="auto" w:fill="FFFFFF"/>
        <w:spacing w:after="270" w:afterAutospacing="0" w:line="276" w:lineRule="auto"/>
        <w:jc w:val="both"/>
        <w:rPr>
          <w:color w:val="1A1C1E"/>
        </w:rPr>
      </w:pPr>
      <w:r w:rsidRPr="00950125">
        <w:rPr>
          <w:rStyle w:val="ng-star-inserted1"/>
          <w:color w:val="1A1C1E"/>
        </w:rPr>
        <w:t>The finding that a 1% improvement in </w:t>
      </w:r>
      <w:r w:rsidRPr="00950125">
        <w:rPr>
          <w:rStyle w:val="ng-star-inserted1"/>
          <w:bCs/>
          <w:color w:val="1A1C1E"/>
        </w:rPr>
        <w:t>Institutional Quality (IQ)</w:t>
      </w:r>
      <w:r w:rsidRPr="00950125">
        <w:rPr>
          <w:rStyle w:val="ng-star-inserted1"/>
          <w:color w:val="1A1C1E"/>
        </w:rPr>
        <w:t xml:space="preserve"> corresponds with a 0.0665% increase in renewable energy consumption speaks volumes about the foundational role of good governance. This is because the renewable energy sector is capital-intensive and requires long-term investment horizons. Robust institutions create a predictable and secure environment by enforcing contracts, protecting property rights, ensuring regulatory stability, and minimizing corruption. This stability de-risks large-scale investments and provides the confidence necessary for both private and public capital to flow into clean energy projects. Simultaneously, this research finds that a 1% improvement in IQ also leads to a 0.0506% decrease in long-term carbon emissions. The mechanism is complementary: the same institutional capacity that de-risks green investments is also essential for designing and effectively enforcing environmental regulations, such as emissions standards and pollution taxes, ensuring that economic activity aligns with environmental goals. </w:t>
      </w:r>
    </w:p>
    <w:p w14:paraId="5FF181D4" w14:textId="77777777" w:rsidR="007E265B" w:rsidRPr="00950125" w:rsidRDefault="007E265B" w:rsidP="00D46E36">
      <w:pPr>
        <w:pStyle w:val="ng-star-inserted"/>
        <w:shd w:val="clear" w:color="auto" w:fill="FFFFFF"/>
        <w:spacing w:after="270" w:afterAutospacing="0" w:line="276" w:lineRule="auto"/>
        <w:jc w:val="both"/>
        <w:rPr>
          <w:color w:val="1A1C1E"/>
        </w:rPr>
      </w:pPr>
      <w:r w:rsidRPr="00950125">
        <w:rPr>
          <w:rStyle w:val="ng-star-inserted1"/>
          <w:color w:val="1A1C1E"/>
        </w:rPr>
        <w:t>The role of </w:t>
      </w:r>
      <w:r w:rsidRPr="00950125">
        <w:rPr>
          <w:rStyle w:val="ng-star-inserted1"/>
          <w:bCs/>
          <w:color w:val="1A1C1E"/>
        </w:rPr>
        <w:t>Information and Communication Technology (ICT)</w:t>
      </w:r>
      <w:r w:rsidRPr="00950125">
        <w:rPr>
          <w:rStyle w:val="ng-star-inserted1"/>
          <w:color w:val="1A1C1E"/>
        </w:rPr>
        <w:t xml:space="preserve"> emerges as a powerful dual-catalyst for this transition. The analysis shows that a 1% increase in ICT adoption leads to a 0.086% rise in renewable energy consumption. This highlights ICT's multifaceted role in modernizing the energy system, enabling critical advancements like smart grids to manage variable renewables and improving overall energy efficiency through data-driven optimization. The impact of ICT is even more pronounced in emissions reduction, where a 1% increase is associated with a substantial 0.1583% decrease in long-term CO2 emissions. This illustrates a broader decoupling effect, where the digitalization and dematerialization of the economy, facilitated by ICT, directly contribute to mitigating environmental degradation. The combined findings show that ICT acts on both fronts: </w:t>
      </w:r>
      <w:r w:rsidRPr="00950125">
        <w:rPr>
          <w:rStyle w:val="ng-star-inserted1"/>
          <w:color w:val="1A1C1E"/>
        </w:rPr>
        <w:lastRenderedPageBreak/>
        <w:t>it actively facilitates the growth of clean energy while simultaneously helping to shrink the economy's carbon footprint.</w:t>
      </w:r>
    </w:p>
    <w:p w14:paraId="4F0E8093" w14:textId="77777777" w:rsidR="007E265B" w:rsidRPr="00950125" w:rsidRDefault="007E265B" w:rsidP="00D46E36">
      <w:pPr>
        <w:pStyle w:val="ng-star-inserted"/>
        <w:shd w:val="clear" w:color="auto" w:fill="FFFFFF"/>
        <w:spacing w:after="270" w:afterAutospacing="0" w:line="276" w:lineRule="auto"/>
        <w:jc w:val="both"/>
        <w:rPr>
          <w:color w:val="1A1C1E"/>
        </w:rPr>
      </w:pPr>
      <w:r w:rsidRPr="00950125">
        <w:rPr>
          <w:rStyle w:val="ng-star-inserted1"/>
          <w:bCs/>
          <w:color w:val="1A1C1E"/>
        </w:rPr>
        <w:t>Economic Freedom (EF)</w:t>
      </w:r>
      <w:r w:rsidRPr="00950125">
        <w:rPr>
          <w:rStyle w:val="ng-star-inserted1"/>
          <w:color w:val="1A1C1E"/>
        </w:rPr>
        <w:t> stands out as a crucial engine of innovation and market dynamism, with a profound dual impact on the energy transition. On one hand, the finding that a 1% improvement in EF leads to a substantial 0.106% increase in renewable energy consumption aligns with theories positing that free and competitive markets accelerate technological adoption and cost reduction. In an environment of economic freedom, competition drives down the costs of renewables and encourages the emergence of innovative business models. On the other hand, EF proves to be an even more powerful force for direct decarbonization, with a 1% increase associated with a 0.150% decrease in carbon emissions. This supports the argument that free and competitive markets promote greater resource efficiency, drive out wasteful and polluting practices, and accelerate the adoption of cleaner production technologies across the entire economy, not just in the energy sector.</w:t>
      </w:r>
    </w:p>
    <w:p w14:paraId="196AB311" w14:textId="4D14296D" w:rsidR="00D529CF" w:rsidRPr="00950125" w:rsidRDefault="00D529CF" w:rsidP="00D46E36">
      <w:pPr>
        <w:pStyle w:val="ng-star-inserted"/>
        <w:spacing w:after="270" w:afterAutospacing="0" w:line="276" w:lineRule="auto"/>
        <w:jc w:val="both"/>
        <w:rPr>
          <w:color w:val="1A1C1E"/>
        </w:rPr>
      </w:pPr>
      <w:r w:rsidRPr="00950125">
        <w:rPr>
          <w:rStyle w:val="ng-star-inserted1"/>
          <w:color w:val="1A1C1E"/>
        </w:rPr>
        <w:t>The core finding of this research is that strong institutions, advanced technological infrastructure,</w:t>
      </w:r>
      <w:r w:rsidR="00A76D5C" w:rsidRPr="00950125">
        <w:rPr>
          <w:rStyle w:val="ng-star-inserted1"/>
          <w:color w:val="1A1C1E"/>
        </w:rPr>
        <w:t xml:space="preserve"> and free-market principles are</w:t>
      </w:r>
      <w:r w:rsidRPr="00950125">
        <w:rPr>
          <w:rStyle w:val="ng-star-inserted1"/>
          <w:color w:val="1A1C1E"/>
        </w:rPr>
        <w:t xml:space="preserve"> fundamental long-run drivers for achieving a sustainable energy future. For the SDG 13 model, the results conclusively demonstrate that improvements in Institutional Quality, ICT, and Economic Freedom are all associated with statistically significant reductions in carbon emissions in the long run. ICT and Economic Freedom were found to be particularly potent, underscoring that technological advancement and market-based efficiencies are powerf</w:t>
      </w:r>
      <w:r w:rsidR="007E265B" w:rsidRPr="00950125">
        <w:rPr>
          <w:rStyle w:val="ng-star-inserted1"/>
          <w:color w:val="1A1C1E"/>
        </w:rPr>
        <w:t>ul forces for decarbonization.</w:t>
      </w:r>
      <w:r w:rsidR="00A76D5C" w:rsidRPr="00950125">
        <w:rPr>
          <w:color w:val="1A1C1E"/>
        </w:rPr>
        <w:t xml:space="preserve"> </w:t>
      </w:r>
      <w:r w:rsidRPr="00950125">
        <w:rPr>
          <w:rStyle w:val="ng-star-inserted1"/>
          <w:color w:val="1A1C1E"/>
        </w:rPr>
        <w:t>These findings were mirrored i</w:t>
      </w:r>
      <w:r w:rsidR="00A76D5C" w:rsidRPr="00950125">
        <w:rPr>
          <w:rStyle w:val="ng-star-inserted1"/>
          <w:color w:val="1A1C1E"/>
        </w:rPr>
        <w:t>n the SDG 7 model, where IQ, ICT, and EF were</w:t>
      </w:r>
      <w:r w:rsidRPr="00950125">
        <w:rPr>
          <w:rStyle w:val="ng-star-inserted1"/>
          <w:color w:val="1A1C1E"/>
        </w:rPr>
        <w:t xml:space="preserve"> found to be significant long-run determinants of </w:t>
      </w:r>
      <w:r w:rsidRPr="00950125">
        <w:rPr>
          <w:rStyle w:val="ng-star-inserted1"/>
          <w:i/>
          <w:iCs/>
          <w:color w:val="1A1C1E"/>
        </w:rPr>
        <w:t>increased</w:t>
      </w:r>
      <w:r w:rsidRPr="00950125">
        <w:rPr>
          <w:rStyle w:val="ng-star-inserted1"/>
          <w:color w:val="1A1C1E"/>
        </w:rPr>
        <w:t xml:space="preserve"> Renewable Energy Consumption. Economic Freedom emerged as the most influential factor, suggesting that competitive and open markets are highly effective at stimulating innovation and investment in the renewable energy sector. This creates a compelling narrative: the very factors that help reduce emissions also actively promote the adoption of clean energy alternatives. ICT and IQ were also confirmed as crucial enablers, reducing risks and facilitating the integration of renewables. </w:t>
      </w:r>
    </w:p>
    <w:p w14:paraId="2828D46E" w14:textId="5510A7D2" w:rsidR="00D529CF" w:rsidRPr="00950125" w:rsidRDefault="00D529CF" w:rsidP="00D46E36">
      <w:pPr>
        <w:pStyle w:val="ng-star-inserted"/>
        <w:spacing w:after="0" w:afterAutospacing="0" w:line="276" w:lineRule="auto"/>
        <w:jc w:val="both"/>
        <w:rPr>
          <w:color w:val="1A1C1E"/>
        </w:rPr>
      </w:pPr>
      <w:r w:rsidRPr="00950125">
        <w:rPr>
          <w:rStyle w:val="ng-star-inserted1"/>
          <w:color w:val="1A1C1E"/>
        </w:rPr>
        <w:t xml:space="preserve">In summary, </w:t>
      </w:r>
      <w:r w:rsidR="00A76D5C" w:rsidRPr="00950125">
        <w:rPr>
          <w:rStyle w:val="ng-star-inserted1"/>
          <w:color w:val="1A1C1E"/>
        </w:rPr>
        <w:t>f</w:t>
      </w:r>
      <w:r w:rsidRPr="00950125">
        <w:rPr>
          <w:rStyle w:val="ng-star-inserted1"/>
          <w:color w:val="1A1C1E"/>
        </w:rPr>
        <w:t xml:space="preserve">ostering environmental sustainability is not a task that can be achieved through isolated environmental policies. Rather, it requires a holistic and integrated strategy focused on building strong, trustworthy institutions, investing in a digitally advanced infrastructure, and cultivating a free and competitive economic </w:t>
      </w:r>
      <w:r w:rsidR="00A76D5C" w:rsidRPr="00950125">
        <w:rPr>
          <w:rStyle w:val="ng-star-inserted1"/>
          <w:color w:val="1A1C1E"/>
        </w:rPr>
        <w:t xml:space="preserve">environment. IQ, ICT and EF work in synergy to </w:t>
      </w:r>
      <w:r w:rsidRPr="00950125">
        <w:rPr>
          <w:rStyle w:val="ng-star-inserted1"/>
          <w:color w:val="1A1C1E"/>
        </w:rPr>
        <w:t>mitigate the negative externalities of pollution and proactively accelerate the adoption of clean energy, providing a clear, evidence-based roadmap toward achieving SDG 7 and SDG 13.</w:t>
      </w:r>
    </w:p>
    <w:p w14:paraId="633D1A21" w14:textId="77777777" w:rsidR="00BC3E28" w:rsidRPr="00950125" w:rsidRDefault="00BC3E28" w:rsidP="00D46E36">
      <w:pPr>
        <w:spacing w:line="276" w:lineRule="auto"/>
        <w:jc w:val="both"/>
        <w:rPr>
          <w:rFonts w:ascii="Times New Roman" w:hAnsi="Times New Roman" w:cs="Times New Roman"/>
          <w:sz w:val="24"/>
          <w:szCs w:val="24"/>
        </w:rPr>
      </w:pPr>
    </w:p>
    <w:p w14:paraId="5B1F9D4E" w14:textId="77777777" w:rsidR="001F4A37" w:rsidRPr="00950125" w:rsidRDefault="001F4A37" w:rsidP="00D46E36">
      <w:pPr>
        <w:spacing w:line="276" w:lineRule="auto"/>
        <w:rPr>
          <w:rFonts w:ascii="Times New Roman" w:eastAsiaTheme="majorEastAsia" w:hAnsi="Times New Roman" w:cs="Times New Roman"/>
          <w:b/>
          <w:color w:val="2E74B5" w:themeColor="accent1" w:themeShade="BF"/>
          <w:sz w:val="32"/>
          <w:szCs w:val="24"/>
          <w:u w:val="single"/>
        </w:rPr>
      </w:pPr>
    </w:p>
    <w:p w14:paraId="6A960E24" w14:textId="77777777" w:rsidR="007B0471" w:rsidRPr="00950125" w:rsidRDefault="007B0471" w:rsidP="00D46E36">
      <w:pPr>
        <w:spacing w:line="276" w:lineRule="auto"/>
        <w:rPr>
          <w:rFonts w:ascii="Times New Roman" w:hAnsi="Times New Roman" w:cs="Times New Roman"/>
          <w:b/>
          <w:szCs w:val="24"/>
          <w:u w:val="single"/>
        </w:rPr>
      </w:pPr>
      <w:r w:rsidRPr="00950125">
        <w:rPr>
          <w:rFonts w:ascii="Times New Roman" w:hAnsi="Times New Roman" w:cs="Times New Roman"/>
          <w:b/>
          <w:szCs w:val="24"/>
          <w:u w:val="single"/>
        </w:rPr>
        <w:br w:type="page"/>
      </w:r>
    </w:p>
    <w:p w14:paraId="39242546" w14:textId="437A3692" w:rsidR="008429F7" w:rsidRPr="00950125" w:rsidRDefault="00950125" w:rsidP="00D46E36">
      <w:pPr>
        <w:pStyle w:val="Heading2"/>
        <w:numPr>
          <w:ilvl w:val="0"/>
          <w:numId w:val="19"/>
        </w:numPr>
        <w:spacing w:line="276" w:lineRule="auto"/>
        <w:rPr>
          <w:rFonts w:ascii="Times New Roman" w:hAnsi="Times New Roman" w:cs="Times New Roman"/>
        </w:rPr>
      </w:pPr>
      <w:r w:rsidRPr="00950125">
        <w:rPr>
          <w:rFonts w:ascii="Times New Roman" w:hAnsi="Times New Roman" w:cs="Times New Roman"/>
          <w:b/>
          <w:sz w:val="28"/>
          <w:u w:val="single"/>
        </w:rPr>
        <w:lastRenderedPageBreak/>
        <w:t xml:space="preserve"> </w:t>
      </w:r>
      <w:bookmarkStart w:id="60" w:name="_Toc204723913"/>
      <w:r w:rsidRPr="00950125">
        <w:rPr>
          <w:rFonts w:ascii="Times New Roman" w:hAnsi="Times New Roman" w:cs="Times New Roman"/>
          <w:b/>
          <w:sz w:val="28"/>
          <w:u w:val="single"/>
        </w:rPr>
        <w:t>Policy Suggest</w:t>
      </w:r>
      <w:r w:rsidR="007B0471" w:rsidRPr="00950125">
        <w:rPr>
          <w:rFonts w:ascii="Times New Roman" w:hAnsi="Times New Roman" w:cs="Times New Roman"/>
          <w:b/>
          <w:sz w:val="28"/>
          <w:u w:val="single"/>
        </w:rPr>
        <w:t>ions</w:t>
      </w:r>
      <w:bookmarkEnd w:id="60"/>
    </w:p>
    <w:p w14:paraId="6499FAB5" w14:textId="5460A7CA" w:rsidR="008429F7" w:rsidRPr="00950125" w:rsidRDefault="008429F7" w:rsidP="00D46E36">
      <w:pPr>
        <w:pStyle w:val="NormalWeb"/>
        <w:spacing w:line="276" w:lineRule="auto"/>
        <w:jc w:val="both"/>
      </w:pPr>
      <w:r w:rsidRPr="00950125">
        <w:t>Turning these findings into effective policies requires a clear and unified approach. The following recommendations aim to tackle the complex challenges of the energy transition and climate action by fostering an environment that supports sustainable development.</w:t>
      </w:r>
      <w:r w:rsidRPr="00950125">
        <w:rPr>
          <w:rStyle w:val="ng-star-inserted1"/>
          <w:color w:val="1A1C1E"/>
        </w:rPr>
        <w:t xml:space="preserve"> These policies are not mutually exclusive</w:t>
      </w:r>
      <w:r w:rsidRPr="00950125">
        <w:t>; instead, they work together, creating a positive cycle where each element reinforces the others.</w:t>
      </w:r>
    </w:p>
    <w:p w14:paraId="115F952D" w14:textId="2FC90BEB" w:rsidR="00D46E36" w:rsidRPr="00D46E36" w:rsidRDefault="008429F7" w:rsidP="00D46E36">
      <w:pPr>
        <w:pStyle w:val="ListParagraph"/>
        <w:numPr>
          <w:ilvl w:val="0"/>
          <w:numId w:val="29"/>
        </w:numPr>
        <w:spacing w:line="276" w:lineRule="auto"/>
        <w:jc w:val="both"/>
        <w:rPr>
          <w:rStyle w:val="ng-star-inserted1"/>
          <w:rFonts w:ascii="Times New Roman" w:eastAsiaTheme="majorEastAsia" w:hAnsi="Times New Roman" w:cs="Times New Roman"/>
          <w:b/>
          <w:sz w:val="24"/>
          <w:szCs w:val="21"/>
        </w:rPr>
      </w:pPr>
      <w:bookmarkStart w:id="61" w:name="_Toc204723914"/>
      <w:r w:rsidRPr="00D46E36">
        <w:rPr>
          <w:rStyle w:val="Heading3Char"/>
          <w:rFonts w:ascii="Times New Roman" w:hAnsi="Times New Roman" w:cs="Times New Roman"/>
          <w:b/>
          <w:color w:val="auto"/>
        </w:rPr>
        <w:t>Encourage Green Investment and Financing</w:t>
      </w:r>
      <w:bookmarkEnd w:id="61"/>
    </w:p>
    <w:p w14:paraId="61A8D578" w14:textId="3A70B86A" w:rsidR="008429F7" w:rsidRPr="00D46E36" w:rsidRDefault="008429F7" w:rsidP="00D46E36">
      <w:pPr>
        <w:jc w:val="both"/>
        <w:rPr>
          <w:b/>
          <w:sz w:val="28"/>
          <w:szCs w:val="24"/>
        </w:rPr>
      </w:pPr>
      <w:r w:rsidRPr="00D46E36">
        <w:rPr>
          <w:rStyle w:val="ng-star-inserted1"/>
          <w:rFonts w:ascii="Times New Roman" w:hAnsi="Times New Roman" w:cs="Times New Roman"/>
          <w:color w:val="1A1C1E"/>
          <w:sz w:val="24"/>
        </w:rPr>
        <w:t>The transition to a low-carbon economy requires a colossal mobilization of capital. A supportive environment is needed to steer investment towards renewable and sustainable projects. Governments must therefore act proactively to both de-risk private investment and create new channels for green financing.</w:t>
      </w:r>
    </w:p>
    <w:p w14:paraId="50D600DC" w14:textId="5FC0D847" w:rsidR="008429F7" w:rsidRPr="00950125" w:rsidRDefault="008429F7" w:rsidP="00D46E36">
      <w:pPr>
        <w:pStyle w:val="ng-star-inserted"/>
        <w:numPr>
          <w:ilvl w:val="0"/>
          <w:numId w:val="21"/>
        </w:numPr>
        <w:shd w:val="clear" w:color="auto" w:fill="FFFFFF"/>
        <w:spacing w:after="270" w:afterAutospacing="0" w:line="276" w:lineRule="auto"/>
        <w:jc w:val="both"/>
        <w:rPr>
          <w:color w:val="1A1C1E"/>
        </w:rPr>
      </w:pPr>
      <w:r w:rsidRPr="00B622DE">
        <w:rPr>
          <w:rStyle w:val="ng-star-inserted1"/>
          <w:b/>
          <w:bCs/>
          <w:color w:val="1A1C1E"/>
        </w:rPr>
        <w:t>Implement De-Risking Instruments and Stable Frameworks:</w:t>
      </w:r>
      <w:r w:rsidRPr="00950125">
        <w:rPr>
          <w:rStyle w:val="ng-star-inserted1"/>
          <w:bCs/>
          <w:color w:val="1A1C1E"/>
        </w:rPr>
        <w:t xml:space="preserve"> </w:t>
      </w:r>
      <w:r w:rsidRPr="00950125">
        <w:rPr>
          <w:rStyle w:val="ng-star-inserted1"/>
          <w:color w:val="1A1C1E"/>
        </w:rPr>
        <w:t>Private investors are hesitant to commit to long-term, capital-intensive renewable energy projects in environments with high political or regulatory risk. Governments can mitigate these risks by establishing stable, long-term policy frameworks, such as legally binding renewable energy targets and predictable, transparent auction mechanisms for awarding new capacity. Furthermore, the use of public financial instruments like loan guarantees, first-loss protection, and Power Purchase Agreement (PPA) insurance can significantly lower the risk profile for private investors, thereby reducing the cost of capital and attracting a wider pool of investment. A</w:t>
      </w:r>
      <w:r w:rsidR="00FD1E28" w:rsidRPr="00950125">
        <w:rPr>
          <w:rStyle w:val="ng-star-inserted1"/>
          <w:color w:val="1A1C1E"/>
        </w:rPr>
        <w:t xml:space="preserve">s highlighted by the UNDP </w:t>
      </w:r>
      <w:r w:rsidR="00FD1E28" w:rsidRPr="00950125">
        <w:rPr>
          <w:rStyle w:val="ng-star-inserted1"/>
          <w:color w:val="1A1C1E"/>
        </w:rPr>
        <w:fldChar w:fldCharType="begin"/>
      </w:r>
      <w:r w:rsidR="00FD1E28" w:rsidRPr="00950125">
        <w:rPr>
          <w:rStyle w:val="ng-star-inserted1"/>
          <w:color w:val="1A1C1E"/>
        </w:rPr>
        <w:instrText xml:space="preserve"> ADDIN ZOTERO_ITEM CSL_CITATION {"citationID":"XpKGQHrF","properties":{"formattedCitation":"({\\i{}Derisking Renewable Energy Investment Framework}, n.d.)","plainCitation":"(Derisking Renewable Energy Investment Framework, n.d.)","noteIndex":0},"citationItems":[{"id":143,"uris":["http://zotero.org/users/local/dRmf8XHr/items/H5MFC9HR"],"itemData":{"id":143,"type":"webpage","abstract":"Derisking Renewable Energy Investment (DREI) introduces an innovative, quantitative framework to assist policymakers in developing countries to cost-effectively promote and scale-up private sector investment in renewable energy.","container-title":"UNDP","language":"en","title":"Derisking Renewable Energy Investment Framework","URL":"https://www.undp.org/energy/derisking-renewable-energy-investment-framework","accessed":{"date-parts":[["2025",7,29]]}}}],"schema":"https://github.com/citation-style-language/schema/raw/master/csl-citation.json"} </w:instrText>
      </w:r>
      <w:r w:rsidR="00FD1E28" w:rsidRPr="00950125">
        <w:rPr>
          <w:rStyle w:val="ng-star-inserted1"/>
          <w:color w:val="1A1C1E"/>
        </w:rPr>
        <w:fldChar w:fldCharType="separate"/>
      </w:r>
      <w:r w:rsidR="00FD1E28" w:rsidRPr="00950125">
        <w:t>(</w:t>
      </w:r>
      <w:r w:rsidR="00FD1E28" w:rsidRPr="00950125">
        <w:rPr>
          <w:i/>
          <w:iCs/>
        </w:rPr>
        <w:t>Derisking Renewable Energy Investment Framework</w:t>
      </w:r>
      <w:r w:rsidR="00FD1E28" w:rsidRPr="00950125">
        <w:t>, n.d.)</w:t>
      </w:r>
      <w:r w:rsidR="00FD1E28" w:rsidRPr="00950125">
        <w:rPr>
          <w:rStyle w:val="ng-star-inserted1"/>
          <w:color w:val="1A1C1E"/>
        </w:rPr>
        <w:fldChar w:fldCharType="end"/>
      </w:r>
      <w:r w:rsidRPr="00950125">
        <w:rPr>
          <w:rStyle w:val="ng-star-inserted1"/>
          <w:color w:val="1A1C1E"/>
        </w:rPr>
        <w:t>, a "de-risking" approach that systematically identifies and mitigates investment risks through targeted policy and financial measures is critical for scaling up clean energy investment, particularly in developing countries.</w:t>
      </w:r>
    </w:p>
    <w:p w14:paraId="11F2DD7E" w14:textId="2B56C8D9" w:rsidR="008429F7" w:rsidRPr="00950125" w:rsidRDefault="008429F7" w:rsidP="00D46E36">
      <w:pPr>
        <w:pStyle w:val="ng-star-inserted"/>
        <w:numPr>
          <w:ilvl w:val="0"/>
          <w:numId w:val="21"/>
        </w:numPr>
        <w:shd w:val="clear" w:color="auto" w:fill="FFFFFF"/>
        <w:spacing w:before="0" w:beforeAutospacing="0" w:after="45" w:afterAutospacing="0" w:line="276" w:lineRule="auto"/>
        <w:jc w:val="both"/>
        <w:rPr>
          <w:color w:val="1A1C1E"/>
        </w:rPr>
      </w:pPr>
      <w:r w:rsidRPr="00B622DE">
        <w:rPr>
          <w:rStyle w:val="ng-star-inserted1"/>
          <w:b/>
          <w:bCs/>
          <w:color w:val="1A1C1E"/>
        </w:rPr>
        <w:t>Develop and Promote the Green Bond Market</w:t>
      </w:r>
      <w:r w:rsidR="00FD1E28" w:rsidRPr="00B622DE">
        <w:rPr>
          <w:rStyle w:val="ng-star-inserted1"/>
          <w:b/>
          <w:bCs/>
          <w:color w:val="1A1C1E"/>
        </w:rPr>
        <w:t>:</w:t>
      </w:r>
      <w:r w:rsidR="00FD1E28" w:rsidRPr="00950125">
        <w:rPr>
          <w:rStyle w:val="ng-star-inserted1"/>
          <w:bCs/>
          <w:color w:val="1A1C1E"/>
        </w:rPr>
        <w:t xml:space="preserve"> </w:t>
      </w:r>
      <w:r w:rsidRPr="00950125">
        <w:rPr>
          <w:rStyle w:val="ng-star-inserted1"/>
          <w:color w:val="1A1C1E"/>
        </w:rPr>
        <w:t>Green bonds are a powerful financial instrument used to raise capital specifically for projects with positive environmental benefits. Governments can play a crucial role in fostering this market by issuing their own sovereign green bonds to finance public clean energy infrastructure. They can also create supportive regulations, such as establishing clear standards for what qualifies as a "green" project and offering tax incentives for issuers and buyers of certified green bonds. This not only opens a new, large-scale channel for financing but also enhances transparency and accountability in green projects. The OECD emphasizes that while the green bond market is growing, government action is needed to standardize definitions and reporting to build investor confidence and ensure the funds are truly contributing to environmental objectives</w:t>
      </w:r>
      <w:r w:rsidR="00FD1E28" w:rsidRPr="00950125">
        <w:rPr>
          <w:rStyle w:val="ng-star-inserted1"/>
          <w:color w:val="1A1C1E"/>
        </w:rPr>
        <w:t xml:space="preserve"> </w:t>
      </w:r>
      <w:r w:rsidR="00FD1E28" w:rsidRPr="00950125">
        <w:rPr>
          <w:rStyle w:val="ng-star-inserted1"/>
          <w:color w:val="1A1C1E"/>
        </w:rPr>
        <w:fldChar w:fldCharType="begin"/>
      </w:r>
      <w:r w:rsidR="00FD1E28" w:rsidRPr="00950125">
        <w:rPr>
          <w:rStyle w:val="ng-star-inserted1"/>
          <w:color w:val="1A1C1E"/>
        </w:rPr>
        <w:instrText xml:space="preserve"> ADDIN ZOTERO_ITEM CSL_CITATION {"citationID":"r0gKCswX","properties":{"formattedCitation":"({\\i{}Mobilising Bond Markets for a Low-Carbon Transition}, 2017)","plainCitation":"(Mobilising Bond Markets for a Low-Carbon Transition, 2017)","noteIndex":0},"citationItems":[{"id":145,"uris":["http://zotero.org/users/local/dRmf8XHr/items/FRCU9DEU"],"itemData":{"id":145,"type":"webpage","abstract":"This report describes the development of the green bond market as an innovative instrument for green finance, and provides a review of policy actions and options to promote further market development and growth. Since 2007-08, so-called “green bonds” have emerged and the market has risen from ...","container-title":"OECD","language":"en","title":"Mobilising Bond Markets for a Low-Carbon Transition","URL":"https://www.oecd.org/en/publications/mobilising-bond-markets-for-a-low-carbon-transition_9789264272323-en.html","accessed":{"date-parts":[["2025",7,29]]},"issued":{"date-parts":[["2017",4,19]]}}}],"schema":"https://github.com/citation-style-language/schema/raw/master/csl-citation.json"} </w:instrText>
      </w:r>
      <w:r w:rsidR="00FD1E28" w:rsidRPr="00950125">
        <w:rPr>
          <w:rStyle w:val="ng-star-inserted1"/>
          <w:color w:val="1A1C1E"/>
        </w:rPr>
        <w:fldChar w:fldCharType="separate"/>
      </w:r>
      <w:r w:rsidR="00FD1E28" w:rsidRPr="00950125">
        <w:t>(</w:t>
      </w:r>
      <w:r w:rsidR="00FD1E28" w:rsidRPr="00950125">
        <w:rPr>
          <w:i/>
          <w:iCs/>
        </w:rPr>
        <w:t>Mobilising Bond Markets for a Low-Carbon Transition</w:t>
      </w:r>
      <w:r w:rsidR="00FD1E28" w:rsidRPr="00950125">
        <w:t>, 2017)</w:t>
      </w:r>
      <w:r w:rsidR="00FD1E28" w:rsidRPr="00950125">
        <w:rPr>
          <w:rStyle w:val="ng-star-inserted1"/>
          <w:color w:val="1A1C1E"/>
        </w:rPr>
        <w:fldChar w:fldCharType="end"/>
      </w:r>
      <w:r w:rsidRPr="00950125">
        <w:rPr>
          <w:rStyle w:val="ng-star-inserted1"/>
          <w:color w:val="1A1C1E"/>
        </w:rPr>
        <w:t>.</w:t>
      </w:r>
    </w:p>
    <w:p w14:paraId="1762D437" w14:textId="22F31367" w:rsidR="00D46E36" w:rsidRPr="00D46E36" w:rsidRDefault="008429F7" w:rsidP="00D46E36">
      <w:pPr>
        <w:pStyle w:val="ListParagraph"/>
        <w:numPr>
          <w:ilvl w:val="0"/>
          <w:numId w:val="29"/>
        </w:numPr>
        <w:spacing w:line="276" w:lineRule="auto"/>
        <w:jc w:val="both"/>
        <w:rPr>
          <w:rStyle w:val="ng-star-inserted1"/>
          <w:rFonts w:ascii="Times New Roman" w:hAnsi="Times New Roman" w:cs="Times New Roman"/>
          <w:b/>
          <w:sz w:val="24"/>
          <w:szCs w:val="24"/>
        </w:rPr>
      </w:pPr>
      <w:bookmarkStart w:id="62" w:name="_Toc204723915"/>
      <w:r w:rsidRPr="00D46E36">
        <w:rPr>
          <w:rStyle w:val="Heading3Char"/>
          <w:rFonts w:ascii="Times New Roman" w:hAnsi="Times New Roman" w:cs="Times New Roman"/>
          <w:b/>
          <w:color w:val="auto"/>
        </w:rPr>
        <w:t>Implement Carbon Pricing Mechanisms</w:t>
      </w:r>
      <w:bookmarkEnd w:id="62"/>
    </w:p>
    <w:p w14:paraId="49C01709" w14:textId="2D93BA67" w:rsidR="008429F7" w:rsidRPr="00B622DE" w:rsidRDefault="008429F7" w:rsidP="00D46E36">
      <w:pPr>
        <w:jc w:val="both"/>
        <w:rPr>
          <w:b/>
          <w:szCs w:val="24"/>
        </w:rPr>
      </w:pPr>
      <w:r w:rsidRPr="00B622DE">
        <w:rPr>
          <w:rStyle w:val="ng-star-inserted1"/>
          <w:rFonts w:ascii="Times New Roman" w:hAnsi="Times New Roman" w:cs="Times New Roman"/>
          <w:color w:val="1A1C1E"/>
          <w:sz w:val="24"/>
        </w:rPr>
        <w:lastRenderedPageBreak/>
        <w:t>Carbon pricing is widely regarded by economists as the most efficient mechanism to encourage a broad-based shift away from carbon-intensive activities.</w:t>
      </w:r>
    </w:p>
    <w:p w14:paraId="69409DEB" w14:textId="6B952A35" w:rsidR="008429F7" w:rsidRPr="00950125" w:rsidRDefault="008429F7" w:rsidP="00D46E36">
      <w:pPr>
        <w:pStyle w:val="ng-star-inserted"/>
        <w:numPr>
          <w:ilvl w:val="0"/>
          <w:numId w:val="22"/>
        </w:numPr>
        <w:shd w:val="clear" w:color="auto" w:fill="FFFFFF"/>
        <w:spacing w:before="0" w:beforeAutospacing="0" w:after="45" w:afterAutospacing="0" w:line="276" w:lineRule="auto"/>
        <w:jc w:val="both"/>
        <w:rPr>
          <w:color w:val="1A1C1E"/>
        </w:rPr>
      </w:pPr>
      <w:r w:rsidRPr="00B622DE">
        <w:rPr>
          <w:rStyle w:val="ng-star-inserted1"/>
          <w:b/>
          <w:bCs/>
          <w:color w:val="1A1C1E"/>
        </w:rPr>
        <w:t>Establish a Meaningful and Predictable Carbon Price</w:t>
      </w:r>
      <w:r w:rsidR="00FD1E28" w:rsidRPr="00B622DE">
        <w:rPr>
          <w:rStyle w:val="ng-star-inserted1"/>
          <w:b/>
          <w:bCs/>
          <w:color w:val="1A1C1E"/>
        </w:rPr>
        <w:t>:</w:t>
      </w:r>
      <w:r w:rsidR="00FD1E28" w:rsidRPr="00950125">
        <w:rPr>
          <w:rStyle w:val="ng-star-inserted1"/>
          <w:bCs/>
          <w:color w:val="1A1C1E"/>
        </w:rPr>
        <w:t xml:space="preserve"> </w:t>
      </w:r>
      <w:r w:rsidRPr="00950125">
        <w:rPr>
          <w:rStyle w:val="ng-star-inserted1"/>
          <w:color w:val="1A1C1E"/>
        </w:rPr>
        <w:t>Governments should implement an economy-wide carbon price through either a </w:t>
      </w:r>
      <w:r w:rsidRPr="00950125">
        <w:rPr>
          <w:rStyle w:val="ng-star-inserted1"/>
          <w:bCs/>
          <w:color w:val="1A1C1E"/>
        </w:rPr>
        <w:t>carbon tax</w:t>
      </w:r>
      <w:r w:rsidRPr="00950125">
        <w:rPr>
          <w:rStyle w:val="ng-star-inserted1"/>
          <w:color w:val="1A1C1E"/>
        </w:rPr>
        <w:t> or an </w:t>
      </w:r>
      <w:r w:rsidRPr="00950125">
        <w:rPr>
          <w:rStyle w:val="ng-star-inserted1"/>
          <w:bCs/>
          <w:color w:val="1A1C1E"/>
        </w:rPr>
        <w:t>Emissions Trading System (ETS)</w:t>
      </w:r>
      <w:r w:rsidRPr="00950125">
        <w:rPr>
          <w:rStyle w:val="ng-star-inserted1"/>
          <w:color w:val="1A1C1E"/>
        </w:rPr>
        <w:t>. A carbon tax provides price certainty, making it straightforward for businesses to incorporate into their investment decisions. An ETS provides quantity certainty, guaranteeing a specific level of emissions reduction. Regardless of the instrument chosen, the price must be high enough to incentivize meaningful behavioral change and should be designed with a clear, gradually increasing trajectory to provide long-term predictability. The World Bank’s "State and Trends of Carbon Pricing" reports consistently show that while the number of carbon pricing initiatives is growing, many jurisdictions still have prices that are too low to drive significant decarbonization</w:t>
      </w:r>
      <w:r w:rsidR="00FD1E28" w:rsidRPr="00950125">
        <w:rPr>
          <w:rStyle w:val="ng-star-inserted1"/>
          <w:color w:val="1A1C1E"/>
        </w:rPr>
        <w:t xml:space="preserve"> </w:t>
      </w:r>
      <w:r w:rsidR="00FD1E28" w:rsidRPr="00950125">
        <w:rPr>
          <w:rStyle w:val="ng-star-inserted1"/>
          <w:color w:val="1A1C1E"/>
        </w:rPr>
        <w:fldChar w:fldCharType="begin"/>
      </w:r>
      <w:r w:rsidR="00FD1E28" w:rsidRPr="00950125">
        <w:rPr>
          <w:rStyle w:val="ng-star-inserted1"/>
          <w:color w:val="1A1C1E"/>
        </w:rPr>
        <w:instrText xml:space="preserve"> ADDIN ZOTERO_ITEM CSL_CITATION {"citationID":"pgzvahSo","properties":{"formattedCitation":"({\\i{}Open Knowledge Repository}, n.d.)","plainCitation":"(Open Knowledge Repository, n.d.)","noteIndex":0},"citationItems":[{"id":147,"uris":["http://zotero.org/users/local/dRmf8XHr/items/FS3I4C8V"],"itemData":{"id":147,"type":"webpage","title":"Open Knowledge Repository","URL":"https://openknowledge.worldbank.org/entities/publication/b0d66765-299c-4fb8-921f-61f6bb979087","accessed":{"date-parts":[["2025",7,29]]}}}],"schema":"https://github.com/citation-style-language/schema/raw/master/csl-citation.json"} </w:instrText>
      </w:r>
      <w:r w:rsidR="00FD1E28" w:rsidRPr="00950125">
        <w:rPr>
          <w:rStyle w:val="ng-star-inserted1"/>
          <w:color w:val="1A1C1E"/>
        </w:rPr>
        <w:fldChar w:fldCharType="separate"/>
      </w:r>
      <w:r w:rsidR="00FD1E28" w:rsidRPr="00950125">
        <w:t>(</w:t>
      </w:r>
      <w:r w:rsidR="00FD1E28" w:rsidRPr="00950125">
        <w:rPr>
          <w:i/>
          <w:iCs/>
        </w:rPr>
        <w:t>Open Knowledge Repository</w:t>
      </w:r>
      <w:r w:rsidR="00FD1E28" w:rsidRPr="00950125">
        <w:t>, n.d.)</w:t>
      </w:r>
      <w:r w:rsidR="00FD1E28" w:rsidRPr="00950125">
        <w:rPr>
          <w:rStyle w:val="ng-star-inserted1"/>
          <w:color w:val="1A1C1E"/>
        </w:rPr>
        <w:fldChar w:fldCharType="end"/>
      </w:r>
      <w:r w:rsidRPr="00950125">
        <w:rPr>
          <w:rStyle w:val="ng-star-inserted1"/>
          <w:color w:val="1A1C1E"/>
        </w:rPr>
        <w:t>.</w:t>
      </w:r>
    </w:p>
    <w:p w14:paraId="7C6FFCED" w14:textId="2715B695" w:rsidR="008429F7" w:rsidRPr="00950125" w:rsidRDefault="008429F7" w:rsidP="00D46E36">
      <w:pPr>
        <w:pStyle w:val="ng-star-inserted"/>
        <w:numPr>
          <w:ilvl w:val="0"/>
          <w:numId w:val="22"/>
        </w:numPr>
        <w:shd w:val="clear" w:color="auto" w:fill="FFFFFF"/>
        <w:spacing w:before="0" w:beforeAutospacing="0" w:after="45" w:afterAutospacing="0" w:line="276" w:lineRule="auto"/>
        <w:jc w:val="both"/>
        <w:rPr>
          <w:color w:val="1A1C1E"/>
        </w:rPr>
      </w:pPr>
      <w:r w:rsidRPr="00B622DE">
        <w:rPr>
          <w:rStyle w:val="ng-star-inserted1"/>
          <w:b/>
          <w:bCs/>
          <w:color w:val="1A1C1E"/>
        </w:rPr>
        <w:t>Ensure Social Equity and Address Competitiveness</w:t>
      </w:r>
      <w:r w:rsidR="00FD1E28" w:rsidRPr="00B622DE">
        <w:rPr>
          <w:rStyle w:val="ng-star-inserted1"/>
          <w:b/>
          <w:bCs/>
          <w:color w:val="1A1C1E"/>
        </w:rPr>
        <w:t>:</w:t>
      </w:r>
      <w:r w:rsidR="00FD1E28" w:rsidRPr="00950125">
        <w:rPr>
          <w:rStyle w:val="ng-star-inserted1"/>
          <w:bCs/>
          <w:color w:val="1A1C1E"/>
        </w:rPr>
        <w:t xml:space="preserve"> </w:t>
      </w:r>
      <w:r w:rsidRPr="00950125">
        <w:rPr>
          <w:rStyle w:val="ng-star-inserted1"/>
          <w:color w:val="1A1C1E"/>
        </w:rPr>
        <w:t>A key challenge of carbon pricing is its potential regressive impact on low-income households. To ensure public acceptance and a just transition, a significant portion of the revenue generated from the carbon price should be "recycled" back to the public. This can be done through direct "carbon dividends" to all citizens, targeted rebates for lower-income families, or funding for social programs. To address concerns about industrial competitiveness and "carbon leakage" (where companies move production to countries without a carbon price), policymakers should consider implementing a </w:t>
      </w:r>
      <w:r w:rsidRPr="00950125">
        <w:rPr>
          <w:rStyle w:val="ng-star-inserted1"/>
          <w:bCs/>
          <w:color w:val="1A1C1E"/>
        </w:rPr>
        <w:t>Carbon Border Adjustment Mechanism (CBAM)</w:t>
      </w:r>
      <w:r w:rsidRPr="00950125">
        <w:rPr>
          <w:rStyle w:val="ng-star-inserted1"/>
          <w:color w:val="1A1C1E"/>
        </w:rPr>
        <w:t>. A CBAM imposes a levy on imports from countries without equivalent carbon pricing, which levels the playing field and encourages other nations to adopt similar climate policies</w:t>
      </w:r>
      <w:r w:rsidR="0028363C" w:rsidRPr="00950125">
        <w:rPr>
          <w:rStyle w:val="ng-star-inserted1"/>
          <w:color w:val="1A1C1E"/>
        </w:rPr>
        <w:t xml:space="preserve"> </w:t>
      </w:r>
      <w:r w:rsidR="0028363C" w:rsidRPr="00950125">
        <w:rPr>
          <w:rStyle w:val="ng-star-inserted1"/>
          <w:color w:val="1A1C1E"/>
        </w:rPr>
        <w:fldChar w:fldCharType="begin"/>
      </w:r>
      <w:r w:rsidR="0028363C" w:rsidRPr="00950125">
        <w:rPr>
          <w:rStyle w:val="ng-star-inserted1"/>
          <w:color w:val="1A1C1E"/>
        </w:rPr>
        <w:instrText xml:space="preserve"> ADDIN ZOTERO_ITEM CSL_CITATION {"citationID":"ifIGjHhe","properties":{"formattedCitation":"(Bellora &amp; Fontagn\\uc0\\u233{}, 2023)","plainCitation":"(Bellora &amp; Fontagné, 2023)","noteIndex":0},"citationItems":[{"id":149,"uris":["http://zotero.org/users/local/dRmf8XHr/items/MDMCMSKJ"],"itemData":{"id":149,"type":"article-journal","abstract":"To meet the targets of the EU’s Fit for 55 package, the European Commission proposed in July 2021 to implement a Carbon Border Adjustment Mechanism (CBAM) to replace free allocation of Emission Trading System (ETS) allowances for the most trade-exposed emitting industries. CBAM aims to prevent carbon leakage and restore a level playing field in high-emitting industries. Its design, as voted by the European Council in March 2022, by the Parliament in June, and ultimately amended by a provisional agreement between the Council and the European Parliament in December 2022, raises several issues. This paper aims to quantify the economic and environmental impacts of different choices regarding this design. Simulations are based on a dynamic general equilibrium model representing imperfect competition, input–output relations, greenhouse gas emissions, the endogenous price of emission quotas and the presence of free allocation of allowances. We show that CBAM is effective in reducing carbon leakage. But its design increases the price of carbon in the European Emissions Trading Scheme. Competitiveness losses in export markets are expected for downstream sectors that are not covered by the CBAM, as well as for European exporters of high-emitting industries, even in the presence of rebates.","container-title":"Energy Economics","DOI":"10.1016/j.eneco.2023.106673","ISSN":"0140-9883","journalAbbreviation":"Energy Economics","page":"106673","source":"ScienceDirect","title":"EU in search of a Carbon Border Adjustment Mechanism","volume":"123","author":[{"family":"Bellora","given":"Cecilia"},{"family":"Fontagné","given":"Lionel"}],"issued":{"date-parts":[["2023",7,1]]}}}],"schema":"https://github.com/citation-style-language/schema/raw/master/csl-citation.json"} </w:instrText>
      </w:r>
      <w:r w:rsidR="0028363C" w:rsidRPr="00950125">
        <w:rPr>
          <w:rStyle w:val="ng-star-inserted1"/>
          <w:color w:val="1A1C1E"/>
        </w:rPr>
        <w:fldChar w:fldCharType="separate"/>
      </w:r>
      <w:r w:rsidR="0028363C" w:rsidRPr="00950125">
        <w:t>(Bellora &amp; Fontagné, 2023)</w:t>
      </w:r>
      <w:r w:rsidR="0028363C" w:rsidRPr="00950125">
        <w:rPr>
          <w:rStyle w:val="ng-star-inserted1"/>
          <w:color w:val="1A1C1E"/>
        </w:rPr>
        <w:fldChar w:fldCharType="end"/>
      </w:r>
      <w:r w:rsidRPr="00950125">
        <w:rPr>
          <w:rStyle w:val="ng-star-inserted1"/>
          <w:color w:val="1A1C1E"/>
        </w:rPr>
        <w:t>.</w:t>
      </w:r>
    </w:p>
    <w:p w14:paraId="6484FE59" w14:textId="4C3687E7" w:rsidR="00D46E36" w:rsidRPr="00D46E36" w:rsidRDefault="008429F7" w:rsidP="00D46E36">
      <w:pPr>
        <w:pStyle w:val="ListParagraph"/>
        <w:numPr>
          <w:ilvl w:val="0"/>
          <w:numId w:val="29"/>
        </w:numPr>
        <w:spacing w:line="276" w:lineRule="auto"/>
        <w:jc w:val="both"/>
        <w:rPr>
          <w:rStyle w:val="ng-star-inserted1"/>
          <w:rFonts w:ascii="Times New Roman" w:hAnsi="Times New Roman" w:cs="Times New Roman"/>
          <w:b/>
          <w:color w:val="1A1C1E"/>
          <w:sz w:val="24"/>
          <w:szCs w:val="24"/>
        </w:rPr>
      </w:pPr>
      <w:bookmarkStart w:id="63" w:name="_Toc204723916"/>
      <w:r w:rsidRPr="00D46E36">
        <w:rPr>
          <w:rStyle w:val="Heading3Char"/>
          <w:rFonts w:ascii="Times New Roman" w:hAnsi="Times New Roman" w:cs="Times New Roman"/>
          <w:b/>
          <w:color w:val="auto"/>
        </w:rPr>
        <w:t>Implement Foundational Reforms</w:t>
      </w:r>
      <w:bookmarkEnd w:id="63"/>
    </w:p>
    <w:p w14:paraId="2C91B422" w14:textId="3816FA16" w:rsidR="008429F7" w:rsidRPr="00B622DE" w:rsidRDefault="0028363C" w:rsidP="00D46E36">
      <w:pPr>
        <w:jc w:val="both"/>
        <w:rPr>
          <w:b/>
        </w:rPr>
      </w:pPr>
      <w:r w:rsidRPr="00B622DE">
        <w:rPr>
          <w:rStyle w:val="ng-star-inserted1"/>
          <w:rFonts w:ascii="Times New Roman" w:hAnsi="Times New Roman" w:cs="Times New Roman"/>
          <w:color w:val="1A1C1E"/>
          <w:sz w:val="24"/>
          <w:szCs w:val="24"/>
        </w:rPr>
        <w:t>The previous</w:t>
      </w:r>
      <w:r w:rsidR="008429F7" w:rsidRPr="00B622DE">
        <w:rPr>
          <w:rStyle w:val="ng-star-inserted1"/>
          <w:rFonts w:ascii="Times New Roman" w:hAnsi="Times New Roman" w:cs="Times New Roman"/>
          <w:color w:val="1A1C1E"/>
          <w:sz w:val="24"/>
          <w:szCs w:val="24"/>
        </w:rPr>
        <w:t xml:space="preserve"> recommendations can only be effective if they are built upon a solid foundation. This study's central finding is that IQ, ICT, and EF are this foundation. These are not merely background conditions but are active policy levers that enable and amplify the effectiveness of all other measures.</w:t>
      </w:r>
    </w:p>
    <w:p w14:paraId="6CB835D2" w14:textId="15BCB614" w:rsidR="008429F7" w:rsidRPr="00950125" w:rsidRDefault="008429F7" w:rsidP="00D46E36">
      <w:pPr>
        <w:pStyle w:val="ng-star-inserted"/>
        <w:numPr>
          <w:ilvl w:val="0"/>
          <w:numId w:val="23"/>
        </w:numPr>
        <w:shd w:val="clear" w:color="auto" w:fill="FFFFFF"/>
        <w:spacing w:before="0" w:beforeAutospacing="0" w:after="45" w:afterAutospacing="0" w:line="276" w:lineRule="auto"/>
        <w:jc w:val="both"/>
        <w:rPr>
          <w:color w:val="1A1C1E"/>
        </w:rPr>
      </w:pPr>
      <w:r w:rsidRPr="00B622DE">
        <w:rPr>
          <w:rStyle w:val="ng-star-inserted1"/>
          <w:b/>
          <w:bCs/>
          <w:color w:val="1A1C1E"/>
        </w:rPr>
        <w:t>Strengthen Institutional Quality (IQ)</w:t>
      </w:r>
      <w:r w:rsidR="0028363C" w:rsidRPr="00B622DE">
        <w:rPr>
          <w:rStyle w:val="ng-star-inserted1"/>
          <w:b/>
          <w:bCs/>
          <w:color w:val="1A1C1E"/>
        </w:rPr>
        <w:t xml:space="preserve">: </w:t>
      </w:r>
      <w:r w:rsidRPr="00B622DE">
        <w:rPr>
          <w:rStyle w:val="ng-star-inserted1"/>
          <w:color w:val="1A1C1E"/>
        </w:rPr>
        <w:t>Good governance is the prerequisite for both green finance and effective carbon pricing. Policies must focus on enhancing</w:t>
      </w:r>
      <w:r w:rsidRPr="00950125">
        <w:rPr>
          <w:rStyle w:val="ng-star-inserted1"/>
          <w:color w:val="1A1C1E"/>
        </w:rPr>
        <w:t xml:space="preserve"> regulatory quality, strengthening the rule of law, and ensuring government effectiveness. For the energy sector, this means creating independent regulatory agencies to oversee energy markets transparently and establishing clear legal frameworks that protect investors from arbitrary political decisions. Without strong institutions, de-risking instruments fail, and carbon pricing systems are undermined by evasion and corruption.</w:t>
      </w:r>
    </w:p>
    <w:p w14:paraId="31EEBEF4" w14:textId="78957347" w:rsidR="008429F7" w:rsidRPr="00950125" w:rsidRDefault="008429F7" w:rsidP="00D46E36">
      <w:pPr>
        <w:pStyle w:val="ng-star-inserted"/>
        <w:numPr>
          <w:ilvl w:val="0"/>
          <w:numId w:val="23"/>
        </w:numPr>
        <w:shd w:val="clear" w:color="auto" w:fill="FFFFFF"/>
        <w:spacing w:before="0" w:beforeAutospacing="0" w:after="45" w:afterAutospacing="0" w:line="276" w:lineRule="auto"/>
        <w:jc w:val="both"/>
        <w:rPr>
          <w:color w:val="1A1C1E"/>
        </w:rPr>
      </w:pPr>
      <w:r w:rsidRPr="00B622DE">
        <w:rPr>
          <w:rStyle w:val="ng-star-inserted1"/>
          <w:b/>
          <w:bCs/>
          <w:color w:val="1A1C1E"/>
        </w:rPr>
        <w:t>Leverage Information and Communication Technology (ICT)</w:t>
      </w:r>
      <w:r w:rsidR="0028363C" w:rsidRPr="00B622DE">
        <w:rPr>
          <w:rStyle w:val="ng-star-inserted1"/>
          <w:b/>
          <w:bCs/>
          <w:color w:val="1A1C1E"/>
        </w:rPr>
        <w:t>:</w:t>
      </w:r>
      <w:r w:rsidR="0028363C" w:rsidRPr="00950125">
        <w:rPr>
          <w:rStyle w:val="ng-star-inserted1"/>
          <w:bCs/>
          <w:color w:val="1A1C1E"/>
        </w:rPr>
        <w:t xml:space="preserve"> </w:t>
      </w:r>
      <w:r w:rsidRPr="00950125">
        <w:rPr>
          <w:rStyle w:val="ng-star-inserted1"/>
          <w:color w:val="1A1C1E"/>
        </w:rPr>
        <w:t xml:space="preserve">The technical challenges of integrating high shares of variable renewables are significant. ICT is the key to overcoming them. Governments must spearhead a national strategy for the development of smart energy infrastructure. This includes public investment and private incentives for the rollout of smart grids, the deployment of grid-scale battery storage, and the promotion of digital platforms that </w:t>
      </w:r>
      <w:r w:rsidRPr="00950125">
        <w:rPr>
          <w:rStyle w:val="ng-star-inserted1"/>
          <w:color w:val="1A1C1E"/>
        </w:rPr>
        <w:lastRenderedPageBreak/>
        <w:t>allow for demand-side management. As detailed by IRENA, digitalization is essential for creating the flexible, reliable, and efficient energy system required for the transition</w:t>
      </w:r>
      <w:r w:rsidR="0028363C" w:rsidRPr="00950125">
        <w:rPr>
          <w:rStyle w:val="ng-star-inserted1"/>
          <w:color w:val="1A1C1E"/>
        </w:rPr>
        <w:t xml:space="preserve"> </w:t>
      </w:r>
      <w:r w:rsidR="001951F6" w:rsidRPr="00950125">
        <w:rPr>
          <w:rStyle w:val="ng-star-inserted1"/>
          <w:color w:val="1A1C1E"/>
        </w:rPr>
        <w:fldChar w:fldCharType="begin"/>
      </w:r>
      <w:r w:rsidR="001951F6" w:rsidRPr="00950125">
        <w:rPr>
          <w:rStyle w:val="ng-star-inserted1"/>
          <w:color w:val="1A1C1E"/>
        </w:rPr>
        <w:instrText xml:space="preserve"> ADDIN ZOTERO_ITEM CSL_CITATION {"citationID":"q7dAywJE","properties":{"formattedCitation":"(Gielen, 2021)","plainCitation":"(Gielen, 2021)","noteIndex":0},"citationItems":[{"id":151,"uris":["http://zotero.org/users/local/dRmf8XHr/items/CAEZEZ5Z"],"itemData":{"id":151,"type":"book","source":"ResearchGate","title":"Innovations for a Renewable-Powered Future","author":[{"family":"Gielen","given":"Dolf"}],"issued":{"date-parts":[["2021",4,1]]}}}],"schema":"https://github.com/citation-style-language/schema/raw/master/csl-citation.json"} </w:instrText>
      </w:r>
      <w:r w:rsidR="001951F6" w:rsidRPr="00950125">
        <w:rPr>
          <w:rStyle w:val="ng-star-inserted1"/>
          <w:color w:val="1A1C1E"/>
        </w:rPr>
        <w:fldChar w:fldCharType="separate"/>
      </w:r>
      <w:r w:rsidR="001951F6" w:rsidRPr="00950125">
        <w:t>(Gielen, 2021)</w:t>
      </w:r>
      <w:r w:rsidR="001951F6" w:rsidRPr="00950125">
        <w:rPr>
          <w:rStyle w:val="ng-star-inserted1"/>
          <w:color w:val="1A1C1E"/>
        </w:rPr>
        <w:fldChar w:fldCharType="end"/>
      </w:r>
      <w:r w:rsidRPr="00950125">
        <w:rPr>
          <w:rStyle w:val="ng-star-inserted1"/>
          <w:color w:val="1A1C1E"/>
        </w:rPr>
        <w:t>.</w:t>
      </w:r>
      <w:r w:rsidR="001951F6" w:rsidRPr="00950125">
        <w:rPr>
          <w:color w:val="1A1C1E"/>
        </w:rPr>
        <w:t xml:space="preserve"> </w:t>
      </w:r>
    </w:p>
    <w:p w14:paraId="2F206923" w14:textId="6C90BCF0" w:rsidR="008429F7" w:rsidRPr="00950125" w:rsidRDefault="008429F7" w:rsidP="00D46E36">
      <w:pPr>
        <w:pStyle w:val="ng-star-inserted"/>
        <w:numPr>
          <w:ilvl w:val="0"/>
          <w:numId w:val="23"/>
        </w:numPr>
        <w:shd w:val="clear" w:color="auto" w:fill="FFFFFF"/>
        <w:spacing w:before="0" w:beforeAutospacing="0" w:after="45" w:afterAutospacing="0" w:line="276" w:lineRule="auto"/>
        <w:jc w:val="both"/>
        <w:rPr>
          <w:color w:val="1A1C1E"/>
        </w:rPr>
      </w:pPr>
      <w:r w:rsidRPr="00B622DE">
        <w:rPr>
          <w:rStyle w:val="ng-star-inserted1"/>
          <w:b/>
          <w:bCs/>
          <w:color w:val="1A1C1E"/>
        </w:rPr>
        <w:t>Enhance Economic Freedom (EF)</w:t>
      </w:r>
      <w:r w:rsidR="001951F6" w:rsidRPr="00B622DE">
        <w:rPr>
          <w:rStyle w:val="ng-star-inserted1"/>
          <w:b/>
          <w:bCs/>
          <w:color w:val="1A1C1E"/>
        </w:rPr>
        <w:t>:</w:t>
      </w:r>
      <w:r w:rsidR="001951F6" w:rsidRPr="00950125">
        <w:rPr>
          <w:rStyle w:val="ng-star-inserted1"/>
          <w:bCs/>
          <w:color w:val="1A1C1E"/>
        </w:rPr>
        <w:t xml:space="preserve"> </w:t>
      </w:r>
      <w:r w:rsidRPr="00950125">
        <w:rPr>
          <w:rStyle w:val="ng-star-inserted1"/>
          <w:color w:val="1A1C1E"/>
        </w:rPr>
        <w:t>Free and competitive markets are a powerful engine for innovation and efficiency. The most impactful policy to enhance economic freedom in the energy sector is the </w:t>
      </w:r>
      <w:r w:rsidRPr="00950125">
        <w:rPr>
          <w:rStyle w:val="ng-star-inserted1"/>
          <w:bCs/>
          <w:color w:val="1A1C1E"/>
        </w:rPr>
        <w:t>elimination of fossil fuel subsidies</w:t>
      </w:r>
      <w:r w:rsidR="001951F6" w:rsidRPr="00950125">
        <w:rPr>
          <w:rStyle w:val="ng-star-inserted1"/>
          <w:bCs/>
          <w:color w:val="1A1C1E"/>
        </w:rPr>
        <w:t xml:space="preserve"> </w:t>
      </w:r>
      <w:r w:rsidR="001951F6" w:rsidRPr="00950125">
        <w:rPr>
          <w:rStyle w:val="ng-star-inserted1"/>
          <w:bCs/>
          <w:color w:val="1A1C1E"/>
        </w:rPr>
        <w:fldChar w:fldCharType="begin"/>
      </w:r>
      <w:r w:rsidR="001951F6" w:rsidRPr="00950125">
        <w:rPr>
          <w:rStyle w:val="ng-star-inserted1"/>
          <w:bCs/>
          <w:color w:val="1A1C1E"/>
        </w:rPr>
        <w:instrText xml:space="preserve"> ADDIN ZOTERO_ITEM CSL_CITATION {"citationID":"zcz061QX","properties":{"formattedCitation":"(Shang, n.d.)","plainCitation":"(Shang, n.d.)","noteIndex":0},"citationItems":[{"id":153,"uris":["http://zotero.org/users/local/dRmf8XHr/items/8S9IIBQZ"],"itemData":{"id":153,"type":"webpage","abstract":"This paper updates estimates of fossil fuel subsidies, defined as fuel consumption times the gap between existing and efficient prices (i.e., prices warranted by supply costs, environmental costs, and revenue considerations), for 191 countries. Globally, subsidies remained large at $4.7 trillion (6.3 percent of global GDP) in 2015 and are projected at $5.2 trillion (6.5 percent of GDP) in 2017. The largest subsidizers in 2015 were China (&lt;/head&gt;.4 trillion), United States ($649 billion), Russia ($551 billion), European Union ($289 billion), and India ($209 billion). About three quarters of global subsidies are due to domestic factors—energy pricing reform thus remains largely in countries’ own national interest—while coal and petroleum together account for 85 percent of global subsidies. Efficient fossil fuel pricing in 2015 would have lowered global carbon emissions by 28 percent and fossil fuel air pollution deaths by 46 percent, and increased government revenue by 3.8 percent of GDP.","container-title":"IMF","language":"ENG","title":"Global Fossil Fuel Subsidies Remain Large: An Update Based on Country-Level Estimates","title-short":"Global Fossil Fuel Subsidies Remain Large","URL":"https://www.imf.org/en/Publications/WP/Issues/2019/05/02/Global-Fossil-Fuel-Subsidies-Remain-Large-An-Update-Based-on-Country-Level-Estimates-46509","author":[{"family":"Shang","given":"David Coady","suffix":"Ian W. H. Parry,Nghia-Piotr Le,Baoping"}],"accessed":{"date-parts":[["2025",7,29]]}}}],"schema":"https://github.com/citation-style-language/schema/raw/master/csl-citation.json"} </w:instrText>
      </w:r>
      <w:r w:rsidR="001951F6" w:rsidRPr="00950125">
        <w:rPr>
          <w:rStyle w:val="ng-star-inserted1"/>
          <w:bCs/>
          <w:color w:val="1A1C1E"/>
        </w:rPr>
        <w:fldChar w:fldCharType="separate"/>
      </w:r>
      <w:r w:rsidR="001951F6" w:rsidRPr="00950125">
        <w:t>(Shang, n.d.)</w:t>
      </w:r>
      <w:r w:rsidR="001951F6" w:rsidRPr="00950125">
        <w:rPr>
          <w:rStyle w:val="ng-star-inserted1"/>
          <w:bCs/>
          <w:color w:val="1A1C1E"/>
        </w:rPr>
        <w:fldChar w:fldCharType="end"/>
      </w:r>
      <w:r w:rsidRPr="00950125">
        <w:rPr>
          <w:rStyle w:val="ng-star-inserted1"/>
          <w:color w:val="1A1C1E"/>
        </w:rPr>
        <w:t>. These subsidies create market distortions that disadvantage clean energy and represent a massive misallocation of public funds. Phasing them out levels the playing field, making renewables more competitive and making the carbon price signal more effective. Furthermore, liberalizing energy markets by allowing private and community-based renewable energy producers to sell power to the grid fosters competition, drives down costs, and accelerates the deployment of clean energy.</w:t>
      </w:r>
    </w:p>
    <w:p w14:paraId="78A72D7E" w14:textId="6A46CA66" w:rsidR="001951F6" w:rsidRPr="00950125" w:rsidRDefault="00B622DE" w:rsidP="00D46E36">
      <w:pPr>
        <w:spacing w:line="276" w:lineRule="auto"/>
        <w:rPr>
          <w:rFonts w:ascii="Times New Roman" w:eastAsiaTheme="majorEastAsia" w:hAnsi="Times New Roman" w:cs="Times New Roman"/>
          <w:b/>
          <w:color w:val="2E74B5" w:themeColor="accent1" w:themeShade="BF"/>
          <w:sz w:val="32"/>
          <w:szCs w:val="24"/>
          <w:u w:val="single"/>
        </w:rPr>
      </w:pPr>
      <w:r>
        <w:rPr>
          <w:rFonts w:ascii="Times New Roman" w:eastAsiaTheme="majorEastAsia" w:hAnsi="Times New Roman" w:cs="Times New Roman"/>
          <w:b/>
          <w:color w:val="2E74B5" w:themeColor="accent1" w:themeShade="BF"/>
          <w:sz w:val="32"/>
          <w:szCs w:val="24"/>
          <w:u w:val="single"/>
        </w:rPr>
        <w:br w:type="page"/>
      </w:r>
    </w:p>
    <w:p w14:paraId="61269AA3" w14:textId="3AC0EE3A" w:rsidR="001951F6" w:rsidRPr="00950125" w:rsidRDefault="00950125" w:rsidP="00D46E36">
      <w:pPr>
        <w:pStyle w:val="Heading4"/>
        <w:numPr>
          <w:ilvl w:val="0"/>
          <w:numId w:val="20"/>
        </w:numPr>
        <w:shd w:val="clear" w:color="auto" w:fill="FFFFFF"/>
        <w:spacing w:before="0" w:line="276" w:lineRule="auto"/>
        <w:rPr>
          <w:rStyle w:val="Heading2Char"/>
          <w:rFonts w:ascii="Times New Roman" w:hAnsi="Times New Roman" w:cs="Times New Roman"/>
          <w:b/>
          <w:i w:val="0"/>
          <w:u w:val="single"/>
        </w:rPr>
      </w:pPr>
      <w:r w:rsidRPr="00950125">
        <w:rPr>
          <w:rStyle w:val="Heading2Char"/>
          <w:rFonts w:ascii="Times New Roman" w:hAnsi="Times New Roman" w:cs="Times New Roman"/>
          <w:b/>
          <w:i w:val="0"/>
          <w:u w:val="single"/>
        </w:rPr>
        <w:lastRenderedPageBreak/>
        <w:t xml:space="preserve"> </w:t>
      </w:r>
      <w:bookmarkStart w:id="64" w:name="_Toc204723917"/>
      <w:r w:rsidR="001951F6" w:rsidRPr="00D46E36">
        <w:rPr>
          <w:rStyle w:val="Heading2Char"/>
          <w:rFonts w:ascii="Times New Roman" w:hAnsi="Times New Roman" w:cs="Times New Roman"/>
          <w:b/>
          <w:i w:val="0"/>
          <w:sz w:val="28"/>
          <w:u w:val="single"/>
        </w:rPr>
        <w:t>Recommendations for Future Study</w:t>
      </w:r>
      <w:bookmarkEnd w:id="64"/>
    </w:p>
    <w:p w14:paraId="2C3ECB21" w14:textId="77777777" w:rsidR="001951F6" w:rsidRPr="00950125" w:rsidRDefault="001951F6" w:rsidP="00D46E36">
      <w:pPr>
        <w:pStyle w:val="ng-star-inserted"/>
        <w:shd w:val="clear" w:color="auto" w:fill="FFFFFF"/>
        <w:spacing w:after="270" w:afterAutospacing="0" w:line="276" w:lineRule="auto"/>
        <w:jc w:val="both"/>
        <w:rPr>
          <w:color w:val="1A1C1E"/>
          <w:szCs w:val="21"/>
        </w:rPr>
      </w:pPr>
      <w:r w:rsidRPr="00950125">
        <w:rPr>
          <w:rStyle w:val="ng-star-inserted1"/>
          <w:color w:val="1A1C1E"/>
          <w:szCs w:val="21"/>
        </w:rPr>
        <w:t>While this study provides valuable insights into the roles of Institutional Quality (IQ), Information and Communication Technology (ICT), and Economic Freedom (EF) in the global energy transition, it also illuminates several promising avenues for future research. Building upon the findings and acknowledging the limitations inherent in a macro-panel analysis, future studies could deepen and broaden our understanding by exploring the following areas:</w:t>
      </w:r>
    </w:p>
    <w:p w14:paraId="61A11F99" w14:textId="77777777" w:rsidR="00D46E36" w:rsidRDefault="001951F6" w:rsidP="00D46E36">
      <w:pPr>
        <w:pStyle w:val="Heading3"/>
        <w:numPr>
          <w:ilvl w:val="0"/>
          <w:numId w:val="28"/>
        </w:numPr>
        <w:spacing w:line="276" w:lineRule="auto"/>
        <w:jc w:val="both"/>
        <w:rPr>
          <w:rStyle w:val="ng-star-inserted1"/>
          <w:rFonts w:ascii="Times New Roman" w:hAnsi="Times New Roman" w:cs="Times New Roman"/>
          <w:b/>
          <w:color w:val="1A1C1E"/>
          <w:szCs w:val="21"/>
        </w:rPr>
      </w:pPr>
      <w:bookmarkStart w:id="65" w:name="_Toc204723918"/>
      <w:r w:rsidRPr="00950125">
        <w:rPr>
          <w:rStyle w:val="ng-star-inserted1"/>
          <w:rFonts w:ascii="Times New Roman" w:hAnsi="Times New Roman" w:cs="Times New Roman"/>
          <w:b/>
          <w:color w:val="1A1C1E"/>
          <w:szCs w:val="21"/>
        </w:rPr>
        <w:t>Disaggregation of Core Determinants</w:t>
      </w:r>
      <w:r w:rsidR="00B622DE">
        <w:rPr>
          <w:rStyle w:val="ng-star-inserted1"/>
          <w:rFonts w:ascii="Times New Roman" w:hAnsi="Times New Roman" w:cs="Times New Roman"/>
          <w:b/>
          <w:color w:val="1A1C1E"/>
          <w:szCs w:val="21"/>
        </w:rPr>
        <w:t>:</w:t>
      </w:r>
      <w:bookmarkEnd w:id="65"/>
      <w:r w:rsidR="00B622DE">
        <w:rPr>
          <w:rStyle w:val="ng-star-inserted1"/>
          <w:rFonts w:ascii="Times New Roman" w:hAnsi="Times New Roman" w:cs="Times New Roman"/>
          <w:b/>
          <w:color w:val="1A1C1E"/>
          <w:szCs w:val="21"/>
        </w:rPr>
        <w:t xml:space="preserve"> </w:t>
      </w:r>
    </w:p>
    <w:p w14:paraId="1E62AD32" w14:textId="4FA40002" w:rsidR="001951F6" w:rsidRPr="00D46E36" w:rsidRDefault="001951F6" w:rsidP="00D46E36">
      <w:pPr>
        <w:spacing w:line="276" w:lineRule="auto"/>
        <w:jc w:val="both"/>
        <w:rPr>
          <w:sz w:val="32"/>
        </w:rPr>
      </w:pPr>
      <w:r w:rsidRPr="00D46E36">
        <w:rPr>
          <w:rStyle w:val="ng-star-inserted1"/>
          <w:rFonts w:ascii="Times New Roman" w:hAnsi="Times New Roman" w:cs="Times New Roman"/>
          <w:color w:val="1A1C1E"/>
          <w:sz w:val="24"/>
          <w:szCs w:val="21"/>
        </w:rPr>
        <w:t>This research utilized composite indices for IQ, ICT, and EF, which are effective for capturing broad relationships but can mask the effects of their underlying components. Future research should aim to disaggregate these variables to provide more targeted policy guidance.</w:t>
      </w:r>
    </w:p>
    <w:p w14:paraId="0174D263" w14:textId="77777777" w:rsidR="00B622DE" w:rsidRDefault="001951F6" w:rsidP="00D46E36">
      <w:pPr>
        <w:pStyle w:val="ng-star-inserted"/>
        <w:numPr>
          <w:ilvl w:val="0"/>
          <w:numId w:val="11"/>
        </w:numPr>
        <w:shd w:val="clear" w:color="auto" w:fill="FFFFFF"/>
        <w:spacing w:before="0" w:beforeAutospacing="0" w:after="45" w:afterAutospacing="0" w:line="276" w:lineRule="auto"/>
        <w:jc w:val="both"/>
        <w:rPr>
          <w:color w:val="1A1C1E"/>
          <w:szCs w:val="21"/>
        </w:rPr>
      </w:pPr>
      <w:r w:rsidRPr="00950125">
        <w:rPr>
          <w:rStyle w:val="ng-star-inserted1"/>
          <w:color w:val="1A1C1E"/>
          <w:szCs w:val="21"/>
        </w:rPr>
        <w:t xml:space="preserve">Instead of a single IQ metric, studies could employ individual components from </w:t>
      </w:r>
      <w:r w:rsidR="00330EA9" w:rsidRPr="00950125">
        <w:rPr>
          <w:rStyle w:val="ng-star-inserted1"/>
          <w:color w:val="1A1C1E"/>
          <w:szCs w:val="21"/>
        </w:rPr>
        <w:t>the World Governance Indicators (</w:t>
      </w:r>
      <w:r w:rsidRPr="00950125">
        <w:rPr>
          <w:rStyle w:val="ng-star-inserted1"/>
          <w:color w:val="1A1C1E"/>
          <w:szCs w:val="21"/>
        </w:rPr>
        <w:t>such as </w:t>
      </w:r>
      <w:r w:rsidRPr="00950125">
        <w:rPr>
          <w:rStyle w:val="ng-star-inserted1"/>
          <w:bCs/>
          <w:color w:val="1A1C1E"/>
          <w:szCs w:val="21"/>
        </w:rPr>
        <w:t>Rule of Law, Control of Corruption, Political Stability, and Regulatory Quality</w:t>
      </w:r>
      <w:r w:rsidR="00330EA9" w:rsidRPr="00950125">
        <w:rPr>
          <w:rStyle w:val="ng-star-inserted1"/>
          <w:bCs/>
          <w:color w:val="1A1C1E"/>
          <w:szCs w:val="21"/>
        </w:rPr>
        <w:t>)</w:t>
      </w:r>
      <w:r w:rsidR="00330EA9" w:rsidRPr="00950125">
        <w:rPr>
          <w:rStyle w:val="ng-star-inserted1"/>
          <w:color w:val="1A1C1E"/>
          <w:szCs w:val="21"/>
        </w:rPr>
        <w:t xml:space="preserve"> </w:t>
      </w:r>
      <w:r w:rsidRPr="00950125">
        <w:rPr>
          <w:rStyle w:val="ng-star-inserted1"/>
          <w:color w:val="1A1C1E"/>
          <w:szCs w:val="21"/>
        </w:rPr>
        <w:t>as separate explanatory variables. This would help identify which specific dimensions of governance are most critical for de-risking renewable energy investments versus those that are more effective at enforcing emissions regulations.</w:t>
      </w:r>
    </w:p>
    <w:p w14:paraId="680C2156" w14:textId="77777777" w:rsidR="00B622DE" w:rsidRDefault="00330EA9" w:rsidP="00D46E36">
      <w:pPr>
        <w:pStyle w:val="ng-star-inserted"/>
        <w:numPr>
          <w:ilvl w:val="0"/>
          <w:numId w:val="11"/>
        </w:numPr>
        <w:shd w:val="clear" w:color="auto" w:fill="FFFFFF"/>
        <w:spacing w:before="0" w:beforeAutospacing="0" w:after="45" w:afterAutospacing="0" w:line="276" w:lineRule="auto"/>
        <w:jc w:val="both"/>
        <w:rPr>
          <w:rStyle w:val="ng-star-inserted1"/>
          <w:color w:val="1A1C1E"/>
          <w:szCs w:val="21"/>
        </w:rPr>
      </w:pPr>
      <w:r w:rsidRPr="00B622DE">
        <w:rPr>
          <w:rStyle w:val="ng-star-inserted1"/>
          <w:bCs/>
          <w:color w:val="1A1C1E"/>
          <w:szCs w:val="21"/>
        </w:rPr>
        <w:t>F</w:t>
      </w:r>
      <w:r w:rsidR="001951F6" w:rsidRPr="00B622DE">
        <w:rPr>
          <w:rStyle w:val="ng-star-inserted1"/>
          <w:color w:val="1A1C1E"/>
          <w:szCs w:val="21"/>
        </w:rPr>
        <w:t>uture analysis could decompose the Index of Economic Freedom to examine the distinct impacts of </w:t>
      </w:r>
      <w:r w:rsidR="001951F6" w:rsidRPr="00B622DE">
        <w:rPr>
          <w:rStyle w:val="ng-star-inserted1"/>
          <w:bCs/>
          <w:color w:val="1A1C1E"/>
          <w:szCs w:val="21"/>
        </w:rPr>
        <w:t>Trade Freedom, Investment Freedom, Financial Freedom, and Property Rights</w:t>
      </w:r>
      <w:r w:rsidR="001951F6" w:rsidRPr="00B622DE">
        <w:rPr>
          <w:rStyle w:val="ng-star-inserted1"/>
          <w:color w:val="1A1C1E"/>
          <w:szCs w:val="21"/>
        </w:rPr>
        <w:t>. This could reveal, for instance, whether it is the freedom to attract foreign investment or the freedom from burdensome regulation that most powerfully accelerates the adoption of clean energy.</w:t>
      </w:r>
    </w:p>
    <w:p w14:paraId="3D5B8C29" w14:textId="3333DF59" w:rsidR="00330EA9" w:rsidRPr="00B622DE" w:rsidRDefault="00330EA9" w:rsidP="00D46E36">
      <w:pPr>
        <w:pStyle w:val="ng-star-inserted"/>
        <w:numPr>
          <w:ilvl w:val="0"/>
          <w:numId w:val="11"/>
        </w:numPr>
        <w:shd w:val="clear" w:color="auto" w:fill="FFFFFF"/>
        <w:spacing w:before="0" w:beforeAutospacing="0" w:after="45" w:afterAutospacing="0" w:line="276" w:lineRule="auto"/>
        <w:jc w:val="both"/>
        <w:rPr>
          <w:color w:val="1A1C1E"/>
          <w:szCs w:val="21"/>
        </w:rPr>
      </w:pPr>
      <w:r w:rsidRPr="00B622DE">
        <w:rPr>
          <w:rFonts w:eastAsiaTheme="minorHAnsi"/>
          <w:color w:val="1A1C1E"/>
          <w:szCs w:val="21"/>
          <w:shd w:val="clear" w:color="auto" w:fill="FFFFFF"/>
        </w:rPr>
        <w:t>Future studies could separately analyze ICT metrics like </w:t>
      </w:r>
      <w:r w:rsidRPr="00B622DE">
        <w:rPr>
          <w:rFonts w:eastAsiaTheme="minorHAnsi"/>
          <w:bCs/>
          <w:color w:val="1A1C1E"/>
          <w:szCs w:val="21"/>
          <w:shd w:val="clear" w:color="auto" w:fill="FFFFFF"/>
        </w:rPr>
        <w:t>Mobile Cellular Subscriptions, Individuals Using the Internet, Broadband Subscriptions</w:t>
      </w:r>
      <w:r w:rsidRPr="00B622DE">
        <w:rPr>
          <w:rFonts w:eastAsiaTheme="minorHAnsi"/>
          <w:color w:val="1A1C1E"/>
          <w:szCs w:val="21"/>
          <w:shd w:val="clear" w:color="auto" w:fill="FFFFFF"/>
        </w:rPr>
        <w:t> or </w:t>
      </w:r>
      <w:r w:rsidRPr="00B622DE">
        <w:rPr>
          <w:rFonts w:eastAsiaTheme="minorHAnsi"/>
          <w:bCs/>
          <w:color w:val="1A1C1E"/>
          <w:szCs w:val="21"/>
          <w:shd w:val="clear" w:color="auto" w:fill="FFFFFF"/>
        </w:rPr>
        <w:t>Secure Internet Servers</w:t>
      </w:r>
      <w:r w:rsidRPr="00B622DE">
        <w:rPr>
          <w:rFonts w:eastAsiaTheme="minorHAnsi"/>
          <w:color w:val="1A1C1E"/>
          <w:szCs w:val="21"/>
          <w:shd w:val="clear" w:color="auto" w:fill="FFFFFF"/>
        </w:rPr>
        <w:t>. This would allow researchers to pinpoint whether the primary environmental benefits of ICT stem from broad-based mobile connectivity, widespread internet usage, or the high-level infrastructure required for sophisticated smart grid management.</w:t>
      </w:r>
    </w:p>
    <w:p w14:paraId="594F3641" w14:textId="2FC2A561" w:rsidR="00330EA9" w:rsidRPr="00950125" w:rsidRDefault="00330EA9" w:rsidP="00D46E36">
      <w:pPr>
        <w:pStyle w:val="ng-star-inserted"/>
        <w:shd w:val="clear" w:color="auto" w:fill="FFFFFF"/>
        <w:spacing w:before="0" w:beforeAutospacing="0" w:after="45" w:afterAutospacing="0" w:line="276" w:lineRule="auto"/>
        <w:jc w:val="both"/>
        <w:rPr>
          <w:color w:val="1A1C1E"/>
          <w:szCs w:val="21"/>
        </w:rPr>
      </w:pPr>
    </w:p>
    <w:p w14:paraId="36502E18" w14:textId="77777777" w:rsidR="00D46E36" w:rsidRDefault="001951F6" w:rsidP="00D46E36">
      <w:pPr>
        <w:pStyle w:val="Heading3"/>
        <w:numPr>
          <w:ilvl w:val="0"/>
          <w:numId w:val="28"/>
        </w:numPr>
        <w:spacing w:line="276" w:lineRule="auto"/>
        <w:jc w:val="both"/>
        <w:rPr>
          <w:rStyle w:val="ng-star-inserted1"/>
          <w:rFonts w:ascii="Times New Roman" w:hAnsi="Times New Roman" w:cs="Times New Roman"/>
          <w:b/>
          <w:color w:val="1A1C1E"/>
          <w:szCs w:val="21"/>
        </w:rPr>
      </w:pPr>
      <w:bookmarkStart w:id="66" w:name="_Toc204723919"/>
      <w:r w:rsidRPr="00950125">
        <w:rPr>
          <w:rStyle w:val="ng-star-inserted1"/>
          <w:rFonts w:ascii="Times New Roman" w:hAnsi="Times New Roman" w:cs="Times New Roman"/>
          <w:b/>
          <w:color w:val="1A1C1E"/>
          <w:szCs w:val="21"/>
        </w:rPr>
        <w:t>Investigating Cross-Country Heterogeneity and Non-Linear Relationships</w:t>
      </w:r>
      <w:r w:rsidR="00B622DE">
        <w:rPr>
          <w:rStyle w:val="ng-star-inserted1"/>
          <w:rFonts w:ascii="Times New Roman" w:hAnsi="Times New Roman" w:cs="Times New Roman"/>
          <w:b/>
          <w:color w:val="1A1C1E"/>
          <w:szCs w:val="21"/>
        </w:rPr>
        <w:t>:</w:t>
      </w:r>
      <w:bookmarkEnd w:id="66"/>
      <w:r w:rsidR="00B622DE">
        <w:rPr>
          <w:rStyle w:val="ng-star-inserted1"/>
          <w:rFonts w:ascii="Times New Roman" w:hAnsi="Times New Roman" w:cs="Times New Roman"/>
          <w:b/>
          <w:color w:val="1A1C1E"/>
          <w:szCs w:val="21"/>
        </w:rPr>
        <w:t xml:space="preserve"> </w:t>
      </w:r>
    </w:p>
    <w:p w14:paraId="4DC71DB2" w14:textId="28A7540D" w:rsidR="001951F6" w:rsidRPr="00D46E36" w:rsidRDefault="001951F6" w:rsidP="00D46E36">
      <w:pPr>
        <w:jc w:val="both"/>
        <w:rPr>
          <w:sz w:val="32"/>
        </w:rPr>
      </w:pPr>
      <w:r w:rsidRPr="00D46E36">
        <w:rPr>
          <w:rStyle w:val="ng-star-inserted1"/>
          <w:rFonts w:ascii="Times New Roman" w:hAnsi="Times New Roman" w:cs="Times New Roman"/>
          <w:color w:val="1A1C1E"/>
          <w:sz w:val="24"/>
          <w:szCs w:val="21"/>
        </w:rPr>
        <w:t>The current panel model assumes that the impact of the explanatory variables is largely homogenous across the sample. However, the reality is likely more complex, with relationships varying based on a country's specific context.</w:t>
      </w:r>
      <w:r w:rsidR="00330EA9" w:rsidRPr="00D46E36">
        <w:rPr>
          <w:sz w:val="24"/>
        </w:rPr>
        <w:t xml:space="preserve"> </w:t>
      </w:r>
      <w:r w:rsidRPr="00D46E36">
        <w:rPr>
          <w:rStyle w:val="ng-star-inserted1"/>
          <w:rFonts w:ascii="Times New Roman" w:hAnsi="Times New Roman" w:cs="Times New Roman"/>
          <w:color w:val="1A1C1E"/>
          <w:sz w:val="24"/>
          <w:szCs w:val="21"/>
        </w:rPr>
        <w:t>Future studies could employ techniques like </w:t>
      </w:r>
      <w:r w:rsidRPr="00D46E36">
        <w:rPr>
          <w:rStyle w:val="ng-star-inserted1"/>
          <w:rFonts w:ascii="Times New Roman" w:hAnsi="Times New Roman" w:cs="Times New Roman"/>
          <w:bCs/>
          <w:color w:val="1A1C1E"/>
          <w:sz w:val="24"/>
          <w:szCs w:val="21"/>
        </w:rPr>
        <w:t>Panel Threshold Regression (PTR)</w:t>
      </w:r>
      <w:r w:rsidRPr="00D46E36">
        <w:rPr>
          <w:rStyle w:val="ng-star-inserted1"/>
          <w:rFonts w:ascii="Times New Roman" w:hAnsi="Times New Roman" w:cs="Times New Roman"/>
          <w:color w:val="1A1C1E"/>
          <w:sz w:val="24"/>
          <w:szCs w:val="21"/>
        </w:rPr>
        <w:t> or Quantile Regression to investigate whether the impact of ICT, IQ, or EF differs between high-income, middle-income, and low-income countries</w:t>
      </w:r>
    </w:p>
    <w:p w14:paraId="66699BC7" w14:textId="77777777" w:rsidR="00D46E36" w:rsidRPr="00D46E36" w:rsidRDefault="001951F6" w:rsidP="00D46E36">
      <w:pPr>
        <w:pStyle w:val="ListParagraph"/>
        <w:numPr>
          <w:ilvl w:val="0"/>
          <w:numId w:val="28"/>
        </w:numPr>
        <w:jc w:val="both"/>
        <w:rPr>
          <w:rStyle w:val="ng-star-inserted1"/>
          <w:rFonts w:ascii="Times New Roman" w:hAnsi="Times New Roman" w:cs="Times New Roman"/>
          <w:b/>
          <w:color w:val="1A1C1E"/>
          <w:sz w:val="24"/>
          <w:szCs w:val="21"/>
        </w:rPr>
      </w:pPr>
      <w:r w:rsidRPr="00D46E36">
        <w:rPr>
          <w:rStyle w:val="ng-star-inserted1"/>
          <w:rFonts w:ascii="Times New Roman" w:hAnsi="Times New Roman" w:cs="Times New Roman"/>
          <w:b/>
          <w:color w:val="1A1C1E"/>
          <w:sz w:val="24"/>
          <w:szCs w:val="21"/>
        </w:rPr>
        <w:t>Exploring Transmission Channels and Mediating Factors</w:t>
      </w:r>
      <w:r w:rsidR="00B622DE" w:rsidRPr="00D46E36">
        <w:rPr>
          <w:rStyle w:val="ng-star-inserted1"/>
          <w:rFonts w:ascii="Times New Roman" w:hAnsi="Times New Roman" w:cs="Times New Roman"/>
          <w:b/>
          <w:color w:val="1A1C1E"/>
          <w:sz w:val="24"/>
          <w:szCs w:val="21"/>
        </w:rPr>
        <w:t xml:space="preserve">: </w:t>
      </w:r>
    </w:p>
    <w:p w14:paraId="0E745321" w14:textId="46F2A9D1" w:rsidR="001951F6" w:rsidRPr="00D46E36" w:rsidRDefault="001951F6" w:rsidP="00D46E36">
      <w:pPr>
        <w:jc w:val="both"/>
        <w:rPr>
          <w:b/>
          <w:sz w:val="24"/>
        </w:rPr>
      </w:pPr>
      <w:r w:rsidRPr="00D46E36">
        <w:rPr>
          <w:rStyle w:val="ng-star-inserted1"/>
          <w:rFonts w:ascii="Times New Roman" w:hAnsi="Times New Roman" w:cs="Times New Roman"/>
          <w:color w:val="1A1C1E"/>
          <w:sz w:val="24"/>
          <w:szCs w:val="21"/>
        </w:rPr>
        <w:t>This study establishes a direct link between the core variables and sustainability outcomes, but the precise mechanisms or "transmission channels" through which these effects operate are an important area for future inquiry.</w:t>
      </w:r>
    </w:p>
    <w:p w14:paraId="1FA5CFC3" w14:textId="51400BF9" w:rsidR="001951F6" w:rsidRPr="00950125" w:rsidRDefault="001951F6" w:rsidP="00D46E36">
      <w:pPr>
        <w:pStyle w:val="ng-star-inserted"/>
        <w:numPr>
          <w:ilvl w:val="0"/>
          <w:numId w:val="9"/>
        </w:numPr>
        <w:shd w:val="clear" w:color="auto" w:fill="FFFFFF"/>
        <w:spacing w:before="0" w:beforeAutospacing="0" w:after="45" w:afterAutospacing="0" w:line="276" w:lineRule="auto"/>
        <w:jc w:val="both"/>
        <w:rPr>
          <w:color w:val="1A1C1E"/>
          <w:szCs w:val="21"/>
        </w:rPr>
      </w:pPr>
      <w:r w:rsidRPr="00950125">
        <w:rPr>
          <w:rStyle w:val="ng-star-inserted1"/>
          <w:color w:val="1A1C1E"/>
          <w:szCs w:val="21"/>
        </w:rPr>
        <w:lastRenderedPageBreak/>
        <w:t>A crucial channel through which economic freedom and institutional quality likely influence renewable energy is through the financial sector. Future research should explicitly model the mediating role of </w:t>
      </w:r>
      <w:r w:rsidRPr="00950125">
        <w:rPr>
          <w:rStyle w:val="ng-star-inserted1"/>
          <w:bCs/>
          <w:color w:val="1A1C1E"/>
          <w:szCs w:val="21"/>
        </w:rPr>
        <w:t>financial development, foreign direct investment (FDI), and the availability of green financing</w:t>
      </w:r>
      <w:r w:rsidR="00330EA9" w:rsidRPr="00950125">
        <w:rPr>
          <w:rStyle w:val="ng-star-inserted1"/>
          <w:bCs/>
          <w:color w:val="1A1C1E"/>
          <w:szCs w:val="21"/>
        </w:rPr>
        <w:t>/investment</w:t>
      </w:r>
      <w:r w:rsidRPr="00950125">
        <w:rPr>
          <w:rStyle w:val="ng-star-inserted1"/>
          <w:color w:val="1A1C1E"/>
          <w:szCs w:val="21"/>
        </w:rPr>
        <w:t xml:space="preserve">. </w:t>
      </w:r>
    </w:p>
    <w:p w14:paraId="37203D36" w14:textId="74A12CDA" w:rsidR="001951F6" w:rsidRPr="00950125" w:rsidRDefault="001951F6" w:rsidP="00D46E36">
      <w:pPr>
        <w:pStyle w:val="ng-star-inserted"/>
        <w:numPr>
          <w:ilvl w:val="0"/>
          <w:numId w:val="9"/>
        </w:numPr>
        <w:shd w:val="clear" w:color="auto" w:fill="FFFFFF"/>
        <w:spacing w:before="0" w:beforeAutospacing="0" w:after="45" w:afterAutospacing="0" w:line="276" w:lineRule="auto"/>
        <w:jc w:val="both"/>
        <w:rPr>
          <w:color w:val="1A1C1E"/>
          <w:szCs w:val="21"/>
        </w:rPr>
      </w:pPr>
      <w:r w:rsidRPr="00950125">
        <w:rPr>
          <w:rStyle w:val="ng-star-inserted1"/>
          <w:color w:val="1A1C1E"/>
          <w:szCs w:val="21"/>
        </w:rPr>
        <w:t>The effectiveness of both ICT and institutional reforms may be moderated by the level of human capital in a country. Future studies could use interaction terms to explore whether the positive effects of ICT on clean energy are amplified in countries with a more educated and technically skilled workforce.</w:t>
      </w:r>
    </w:p>
    <w:p w14:paraId="7013F541" w14:textId="77777777" w:rsidR="00D46E36" w:rsidRDefault="001951F6" w:rsidP="00D46E36">
      <w:pPr>
        <w:pStyle w:val="Heading3"/>
        <w:numPr>
          <w:ilvl w:val="0"/>
          <w:numId w:val="28"/>
        </w:numPr>
        <w:spacing w:line="276" w:lineRule="auto"/>
        <w:rPr>
          <w:rStyle w:val="ng-star-inserted1"/>
          <w:rFonts w:ascii="Times New Roman" w:hAnsi="Times New Roman" w:cs="Times New Roman"/>
          <w:b/>
          <w:color w:val="1A1C1E"/>
          <w:szCs w:val="21"/>
        </w:rPr>
      </w:pPr>
      <w:bookmarkStart w:id="67" w:name="_Toc204723920"/>
      <w:r w:rsidRPr="00950125">
        <w:rPr>
          <w:rStyle w:val="ng-star-inserted1"/>
          <w:rFonts w:ascii="Times New Roman" w:hAnsi="Times New Roman" w:cs="Times New Roman"/>
          <w:b/>
          <w:color w:val="1A1C1E"/>
          <w:szCs w:val="21"/>
        </w:rPr>
        <w:t>Granular Analysis at the Sectoral and Technological Level</w:t>
      </w:r>
      <w:r w:rsidR="00B622DE">
        <w:rPr>
          <w:rStyle w:val="ng-star-inserted1"/>
          <w:rFonts w:ascii="Times New Roman" w:hAnsi="Times New Roman" w:cs="Times New Roman"/>
          <w:b/>
          <w:color w:val="1A1C1E"/>
          <w:szCs w:val="21"/>
        </w:rPr>
        <w:t>:</w:t>
      </w:r>
      <w:bookmarkEnd w:id="67"/>
      <w:r w:rsidR="00B622DE">
        <w:rPr>
          <w:rStyle w:val="ng-star-inserted1"/>
          <w:rFonts w:ascii="Times New Roman" w:hAnsi="Times New Roman" w:cs="Times New Roman"/>
          <w:b/>
          <w:color w:val="1A1C1E"/>
          <w:szCs w:val="21"/>
        </w:rPr>
        <w:t xml:space="preserve"> </w:t>
      </w:r>
    </w:p>
    <w:p w14:paraId="2759FAD9" w14:textId="24050816" w:rsidR="001951F6" w:rsidRPr="00D46E36" w:rsidRDefault="001951F6" w:rsidP="00D46E36">
      <w:pPr>
        <w:jc w:val="both"/>
        <w:rPr>
          <w:sz w:val="32"/>
        </w:rPr>
      </w:pPr>
      <w:r w:rsidRPr="00D46E36">
        <w:rPr>
          <w:rStyle w:val="ng-star-inserted1"/>
          <w:rFonts w:ascii="Times New Roman" w:hAnsi="Times New Roman" w:cs="Times New Roman"/>
          <w:color w:val="1A1C1E"/>
          <w:sz w:val="24"/>
          <w:szCs w:val="21"/>
        </w:rPr>
        <w:t>A more granular analysis could yield more specific and actionable insights.</w:t>
      </w:r>
    </w:p>
    <w:p w14:paraId="41F92116" w14:textId="44B1C62B" w:rsidR="001951F6" w:rsidRPr="00950125" w:rsidRDefault="001951F6" w:rsidP="00D46E36">
      <w:pPr>
        <w:pStyle w:val="ng-star-inserted"/>
        <w:numPr>
          <w:ilvl w:val="0"/>
          <w:numId w:val="10"/>
        </w:numPr>
        <w:shd w:val="clear" w:color="auto" w:fill="FFFFFF"/>
        <w:spacing w:before="0" w:beforeAutospacing="0" w:after="45" w:afterAutospacing="0" w:line="276" w:lineRule="auto"/>
        <w:jc w:val="both"/>
        <w:rPr>
          <w:color w:val="1A1C1E"/>
          <w:szCs w:val="21"/>
        </w:rPr>
      </w:pPr>
      <w:r w:rsidRPr="00950125">
        <w:rPr>
          <w:rStyle w:val="ng-star-inserted1"/>
          <w:color w:val="1A1C1E"/>
          <w:szCs w:val="21"/>
        </w:rPr>
        <w:t>Future research should analyze the determinants for specific types of renewable energy, such as </w:t>
      </w:r>
      <w:r w:rsidRPr="00950125">
        <w:rPr>
          <w:rStyle w:val="ng-star-inserted1"/>
          <w:bCs/>
          <w:color w:val="1A1C1E"/>
          <w:szCs w:val="21"/>
        </w:rPr>
        <w:t>solar, wind, and hydropower</w:t>
      </w:r>
      <w:r w:rsidRPr="00950125">
        <w:rPr>
          <w:rStyle w:val="ng-star-inserted1"/>
          <w:color w:val="1A1C1E"/>
          <w:szCs w:val="21"/>
        </w:rPr>
        <w:t>. The economic and institutional factors required to develop large-scale hydropower dams are very different from those needed to foster decentralized solar PV installations. Understanding these differences is critical for designing effective, technology-specific policies.</w:t>
      </w:r>
    </w:p>
    <w:p w14:paraId="0D77230F" w14:textId="691F7232" w:rsidR="001951F6" w:rsidRPr="00950125" w:rsidRDefault="001951F6" w:rsidP="00D46E36">
      <w:pPr>
        <w:pStyle w:val="ng-star-inserted"/>
        <w:numPr>
          <w:ilvl w:val="0"/>
          <w:numId w:val="10"/>
        </w:numPr>
        <w:shd w:val="clear" w:color="auto" w:fill="FFFFFF"/>
        <w:spacing w:before="0" w:beforeAutospacing="0" w:after="45" w:afterAutospacing="0" w:line="276" w:lineRule="auto"/>
        <w:jc w:val="both"/>
        <w:rPr>
          <w:color w:val="1A1C1E"/>
          <w:szCs w:val="21"/>
        </w:rPr>
      </w:pPr>
      <w:r w:rsidRPr="00950125">
        <w:rPr>
          <w:rStyle w:val="ng-star-inserted1"/>
          <w:color w:val="1A1C1E"/>
          <w:szCs w:val="21"/>
        </w:rPr>
        <w:t>Similarly, future work could investigate the impact of IQ, ICT, and EF on emissions from specific sectors of the economy, such as the </w:t>
      </w:r>
      <w:r w:rsidRPr="00950125">
        <w:rPr>
          <w:rStyle w:val="ng-star-inserted1"/>
          <w:bCs/>
          <w:color w:val="1A1C1E"/>
          <w:szCs w:val="21"/>
        </w:rPr>
        <w:t>electricity, transport, and industrial sectors</w:t>
      </w:r>
      <w:r w:rsidRPr="00950125">
        <w:rPr>
          <w:rStyle w:val="ng-star-inserted1"/>
          <w:color w:val="1A1C1E"/>
          <w:szCs w:val="21"/>
        </w:rPr>
        <w:t>. This would allow for a more nuanced understanding of where these drivers have the most potent decarbonization effect and help policymakers prioritize their efforts.</w:t>
      </w:r>
    </w:p>
    <w:p w14:paraId="2D553D6B" w14:textId="48AC45A8" w:rsidR="001951F6" w:rsidRPr="00950125" w:rsidRDefault="001951F6" w:rsidP="00D46E36">
      <w:pPr>
        <w:pStyle w:val="ng-star-inserted"/>
        <w:shd w:val="clear" w:color="auto" w:fill="FFFFFF"/>
        <w:spacing w:after="0" w:afterAutospacing="0" w:line="276" w:lineRule="auto"/>
        <w:jc w:val="both"/>
        <w:rPr>
          <w:color w:val="1A1C1E"/>
          <w:szCs w:val="21"/>
        </w:rPr>
      </w:pPr>
      <w:r w:rsidRPr="00950125">
        <w:rPr>
          <w:rStyle w:val="ng-star-inserted1"/>
          <w:color w:val="1A1C1E"/>
          <w:szCs w:val="21"/>
        </w:rPr>
        <w:t>By pursuing these research directions, the academic community can build upon the foundation laid by this thesis, developing a more nuanced, context-aware, and actionable body of knowledge to guide policymakers in navigating the immense complexities of the global energy transition.</w:t>
      </w:r>
    </w:p>
    <w:p w14:paraId="5869B36A" w14:textId="77777777" w:rsidR="001951F6" w:rsidRPr="00950125" w:rsidRDefault="001951F6" w:rsidP="00D46E36">
      <w:pPr>
        <w:spacing w:line="276" w:lineRule="auto"/>
        <w:rPr>
          <w:rFonts w:ascii="Times New Roman" w:hAnsi="Times New Roman" w:cs="Times New Roman"/>
        </w:rPr>
      </w:pPr>
    </w:p>
    <w:p w14:paraId="1F292085" w14:textId="5432AD69" w:rsidR="00423160" w:rsidRPr="00950125" w:rsidRDefault="001951F6" w:rsidP="00D46E36">
      <w:pPr>
        <w:pStyle w:val="Heading1"/>
        <w:spacing w:line="276" w:lineRule="auto"/>
        <w:jc w:val="center"/>
        <w:rPr>
          <w:rFonts w:ascii="Times New Roman" w:hAnsi="Times New Roman" w:cs="Times New Roman"/>
          <w:b/>
          <w:u w:val="single"/>
        </w:rPr>
      </w:pPr>
      <w:r w:rsidRPr="00950125">
        <w:rPr>
          <w:rFonts w:ascii="Times New Roman" w:hAnsi="Times New Roman" w:cs="Times New Roman"/>
        </w:rPr>
        <w:br w:type="page"/>
      </w:r>
      <w:bookmarkStart w:id="68" w:name="_Toc204723921"/>
      <w:r w:rsidR="002658C0" w:rsidRPr="00950125">
        <w:rPr>
          <w:rFonts w:ascii="Times New Roman" w:hAnsi="Times New Roman" w:cs="Times New Roman"/>
          <w:b/>
          <w:u w:val="single"/>
        </w:rPr>
        <w:lastRenderedPageBreak/>
        <w:t>References</w:t>
      </w:r>
      <w:bookmarkEnd w:id="68"/>
    </w:p>
    <w:p w14:paraId="225A2480" w14:textId="77777777" w:rsidR="009570B0" w:rsidRPr="00950125" w:rsidRDefault="00423160" w:rsidP="00D46E36">
      <w:pPr>
        <w:pStyle w:val="Bibliography"/>
        <w:spacing w:line="276" w:lineRule="auto"/>
        <w:rPr>
          <w:rFonts w:ascii="Times New Roman" w:hAnsi="Times New Roman" w:cs="Times New Roman"/>
        </w:rPr>
      </w:pPr>
      <w:r w:rsidRPr="00950125">
        <w:rPr>
          <w:rFonts w:ascii="Times New Roman" w:hAnsi="Times New Roman" w:cs="Times New Roman"/>
        </w:rPr>
        <w:fldChar w:fldCharType="begin"/>
      </w:r>
      <w:r w:rsidRPr="00950125">
        <w:rPr>
          <w:rFonts w:ascii="Times New Roman" w:hAnsi="Times New Roman" w:cs="Times New Roman"/>
        </w:rPr>
        <w:instrText xml:space="preserve"> ADDIN ZOTERO_BIBL {"uncited":[],"omitted":[],"custom":[]} CSL_BIBLIOGRAPHY </w:instrText>
      </w:r>
      <w:r w:rsidRPr="00950125">
        <w:rPr>
          <w:rFonts w:ascii="Times New Roman" w:hAnsi="Times New Roman" w:cs="Times New Roman"/>
        </w:rPr>
        <w:fldChar w:fldCharType="separate"/>
      </w:r>
      <w:r w:rsidR="009570B0" w:rsidRPr="00950125">
        <w:rPr>
          <w:rFonts w:ascii="Times New Roman" w:hAnsi="Times New Roman" w:cs="Times New Roman"/>
        </w:rPr>
        <w:t xml:space="preserve">Abd Razak, F. D., Khalid, N., &amp; Ali, M. H. (2021). Asymmetric Impact of Institutional Quality on Environmental Degradation: Evidence of the Environmental Kuznets Curve. </w:t>
      </w:r>
      <w:r w:rsidR="009570B0" w:rsidRPr="00950125">
        <w:rPr>
          <w:rFonts w:ascii="Times New Roman" w:hAnsi="Times New Roman" w:cs="Times New Roman"/>
          <w:i/>
          <w:iCs/>
        </w:rPr>
        <w:t>Sustainability</w:t>
      </w:r>
      <w:r w:rsidR="009570B0" w:rsidRPr="00950125">
        <w:rPr>
          <w:rFonts w:ascii="Times New Roman" w:hAnsi="Times New Roman" w:cs="Times New Roman"/>
        </w:rPr>
        <w:t xml:space="preserve">, </w:t>
      </w:r>
      <w:r w:rsidR="009570B0" w:rsidRPr="00950125">
        <w:rPr>
          <w:rFonts w:ascii="Times New Roman" w:hAnsi="Times New Roman" w:cs="Times New Roman"/>
          <w:i/>
          <w:iCs/>
        </w:rPr>
        <w:t>13</w:t>
      </w:r>
      <w:r w:rsidR="009570B0" w:rsidRPr="00950125">
        <w:rPr>
          <w:rFonts w:ascii="Times New Roman" w:hAnsi="Times New Roman" w:cs="Times New Roman"/>
        </w:rPr>
        <w:t>(22), 12507. https://doi.org/10.3390/su132212507</w:t>
      </w:r>
    </w:p>
    <w:p w14:paraId="773701BD"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Abdelkawy, N. A., &amp; Alzuwaidi, L. (2025). Institutional Quality, Energy Efficiency, and Natural Gas: Explaining CO2 Emissions in the GCC, 2000–2023. </w:t>
      </w:r>
      <w:r w:rsidRPr="00950125">
        <w:rPr>
          <w:rFonts w:ascii="Times New Roman" w:hAnsi="Times New Roman" w:cs="Times New Roman"/>
          <w:i/>
          <w:iCs/>
        </w:rPr>
        <w:t>Sustainability</w:t>
      </w:r>
      <w:r w:rsidRPr="00950125">
        <w:rPr>
          <w:rFonts w:ascii="Times New Roman" w:hAnsi="Times New Roman" w:cs="Times New Roman"/>
        </w:rPr>
        <w:t xml:space="preserve">, </w:t>
      </w:r>
      <w:r w:rsidRPr="00950125">
        <w:rPr>
          <w:rFonts w:ascii="Times New Roman" w:hAnsi="Times New Roman" w:cs="Times New Roman"/>
          <w:i/>
          <w:iCs/>
        </w:rPr>
        <w:t>17</w:t>
      </w:r>
      <w:r w:rsidRPr="00950125">
        <w:rPr>
          <w:rFonts w:ascii="Times New Roman" w:hAnsi="Times New Roman" w:cs="Times New Roman"/>
        </w:rPr>
        <w:t>(15), Article 15. https://doi.org/10.3390/su17156746</w:t>
      </w:r>
    </w:p>
    <w:p w14:paraId="144A9531"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Abdulmagid Basheer Agila, T., Khalifa, W. M. S., Saint Akadiri, S., Adebayo, T. S., &amp; Altuntaş, M. (2022). Determinants of load capacity factor in South Korea: Does structural change matter? </w:t>
      </w:r>
      <w:r w:rsidRPr="00950125">
        <w:rPr>
          <w:rFonts w:ascii="Times New Roman" w:hAnsi="Times New Roman" w:cs="Times New Roman"/>
          <w:i/>
          <w:iCs/>
        </w:rPr>
        <w:t>Environmental Science and Pollution Research</w:t>
      </w:r>
      <w:r w:rsidRPr="00950125">
        <w:rPr>
          <w:rFonts w:ascii="Times New Roman" w:hAnsi="Times New Roman" w:cs="Times New Roman"/>
        </w:rPr>
        <w:t xml:space="preserve">, </w:t>
      </w:r>
      <w:r w:rsidRPr="00950125">
        <w:rPr>
          <w:rFonts w:ascii="Times New Roman" w:hAnsi="Times New Roman" w:cs="Times New Roman"/>
          <w:i/>
          <w:iCs/>
        </w:rPr>
        <w:t>29</w:t>
      </w:r>
      <w:r w:rsidRPr="00950125">
        <w:rPr>
          <w:rFonts w:ascii="Times New Roman" w:hAnsi="Times New Roman" w:cs="Times New Roman"/>
        </w:rPr>
        <w:t>(46), 69932–69948. https://doi.org/10.1007/s11356-022-20676-2</w:t>
      </w:r>
    </w:p>
    <w:p w14:paraId="0C4A3113"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Ahmed, Z., Ahmad, M., Murshed, M., Ibrahim Shah, M., Mahmood, H., &amp; Abbas, S. (2022). How do green energy technology investments, technological innovation, and trade globalization enhance green energy supply and stimulate environmental sustainability in the G7 countries? </w:t>
      </w:r>
      <w:r w:rsidRPr="00950125">
        <w:rPr>
          <w:rFonts w:ascii="Times New Roman" w:hAnsi="Times New Roman" w:cs="Times New Roman"/>
          <w:i/>
          <w:iCs/>
        </w:rPr>
        <w:t>Gondwana Research</w:t>
      </w:r>
      <w:r w:rsidRPr="00950125">
        <w:rPr>
          <w:rFonts w:ascii="Times New Roman" w:hAnsi="Times New Roman" w:cs="Times New Roman"/>
        </w:rPr>
        <w:t xml:space="preserve">, </w:t>
      </w:r>
      <w:r w:rsidRPr="00950125">
        <w:rPr>
          <w:rFonts w:ascii="Times New Roman" w:hAnsi="Times New Roman" w:cs="Times New Roman"/>
          <w:i/>
          <w:iCs/>
        </w:rPr>
        <w:t>112</w:t>
      </w:r>
      <w:r w:rsidRPr="00950125">
        <w:rPr>
          <w:rFonts w:ascii="Times New Roman" w:hAnsi="Times New Roman" w:cs="Times New Roman"/>
        </w:rPr>
        <w:t>, 105–115. https://doi.org/10.1016/j.gr.2022.09.014</w:t>
      </w:r>
    </w:p>
    <w:p w14:paraId="15496931"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Amoah, A., Kwablah, E., Korle, K., &amp; Offei, D. (2020). Renewable energy consumption in Africa: The role of economic well-being and economic freedom. </w:t>
      </w:r>
      <w:r w:rsidRPr="00950125">
        <w:rPr>
          <w:rFonts w:ascii="Times New Roman" w:hAnsi="Times New Roman" w:cs="Times New Roman"/>
          <w:i/>
          <w:iCs/>
        </w:rPr>
        <w:t>Energy, Sustainability and Society</w:t>
      </w:r>
      <w:r w:rsidRPr="00950125">
        <w:rPr>
          <w:rFonts w:ascii="Times New Roman" w:hAnsi="Times New Roman" w:cs="Times New Roman"/>
        </w:rPr>
        <w:t xml:space="preserve">, </w:t>
      </w:r>
      <w:r w:rsidRPr="00950125">
        <w:rPr>
          <w:rFonts w:ascii="Times New Roman" w:hAnsi="Times New Roman" w:cs="Times New Roman"/>
          <w:i/>
          <w:iCs/>
        </w:rPr>
        <w:t>10</w:t>
      </w:r>
      <w:r w:rsidRPr="00950125">
        <w:rPr>
          <w:rFonts w:ascii="Times New Roman" w:hAnsi="Times New Roman" w:cs="Times New Roman"/>
        </w:rPr>
        <w:t>, 32. https://doi.org/10.1186/s13705-020-00264-3</w:t>
      </w:r>
    </w:p>
    <w:p w14:paraId="3C55349F"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i/>
          <w:iCs/>
        </w:rPr>
        <w:t>AR6 Synthesis Report: Climate Change 2023</w:t>
      </w:r>
      <w:r w:rsidRPr="00950125">
        <w:rPr>
          <w:rFonts w:ascii="Times New Roman" w:hAnsi="Times New Roman" w:cs="Times New Roman"/>
        </w:rPr>
        <w:t>. (n.d.). Retrieved July 29, 2025, from https://www.ipcc.ch/report/ar6/syr/</w:t>
      </w:r>
    </w:p>
    <w:p w14:paraId="2BD09DF7"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Auty, R. M. (1994). Industrial policy reform in six large newly industrializing countries: The resource curse thesis. </w:t>
      </w:r>
      <w:r w:rsidRPr="00950125">
        <w:rPr>
          <w:rFonts w:ascii="Times New Roman" w:hAnsi="Times New Roman" w:cs="Times New Roman"/>
          <w:i/>
          <w:iCs/>
        </w:rPr>
        <w:t>World Development</w:t>
      </w:r>
      <w:r w:rsidRPr="00950125">
        <w:rPr>
          <w:rFonts w:ascii="Times New Roman" w:hAnsi="Times New Roman" w:cs="Times New Roman"/>
        </w:rPr>
        <w:t xml:space="preserve">, </w:t>
      </w:r>
      <w:r w:rsidRPr="00950125">
        <w:rPr>
          <w:rFonts w:ascii="Times New Roman" w:hAnsi="Times New Roman" w:cs="Times New Roman"/>
          <w:i/>
          <w:iCs/>
        </w:rPr>
        <w:t>22</w:t>
      </w:r>
      <w:r w:rsidRPr="00950125">
        <w:rPr>
          <w:rFonts w:ascii="Times New Roman" w:hAnsi="Times New Roman" w:cs="Times New Roman"/>
        </w:rPr>
        <w:t>(1), 11–26. https://doi.org/10.1016/0305-750x(94)90165-1</w:t>
      </w:r>
    </w:p>
    <w:p w14:paraId="7D48DD46"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Awosusi, A. A., Kutlay, K., Altuntaş, M., Khodjiev, B., Agyekum, E. B., Shouran, M., Elgbaily, M., &amp; Kamel, S. (2022a). A Roadmap toward Achieving Sustainable Environment: Evaluating the Impact of Technological Innovation and Globalization on Load Capacity Factor. </w:t>
      </w:r>
      <w:r w:rsidRPr="00950125">
        <w:rPr>
          <w:rFonts w:ascii="Times New Roman" w:hAnsi="Times New Roman" w:cs="Times New Roman"/>
          <w:i/>
          <w:iCs/>
        </w:rPr>
        <w:t>International Journal of Environmental Research and Public Health</w:t>
      </w:r>
      <w:r w:rsidRPr="00950125">
        <w:rPr>
          <w:rFonts w:ascii="Times New Roman" w:hAnsi="Times New Roman" w:cs="Times New Roman"/>
        </w:rPr>
        <w:t xml:space="preserve">, </w:t>
      </w:r>
      <w:r w:rsidRPr="00950125">
        <w:rPr>
          <w:rFonts w:ascii="Times New Roman" w:hAnsi="Times New Roman" w:cs="Times New Roman"/>
          <w:i/>
          <w:iCs/>
        </w:rPr>
        <w:t>19</w:t>
      </w:r>
      <w:r w:rsidRPr="00950125">
        <w:rPr>
          <w:rFonts w:ascii="Times New Roman" w:hAnsi="Times New Roman" w:cs="Times New Roman"/>
        </w:rPr>
        <w:t>(6), 3288. https://doi.org/10.3390/ijerph19063288</w:t>
      </w:r>
    </w:p>
    <w:p w14:paraId="6F5DD0BF"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Awosusi, A. A., Kutlay, K., Altuntaş, M., Khodjiev, B., Agyekum, E. B., Shouran, M., Elgbaily, M., &amp; Kamel, S. (2022b). A Roadmap toward Achieving Sustainable Environment: Evaluating the Impact of Technological Innovation and Globalization on Load Capacity Factor. </w:t>
      </w:r>
      <w:r w:rsidRPr="00950125">
        <w:rPr>
          <w:rFonts w:ascii="Times New Roman" w:hAnsi="Times New Roman" w:cs="Times New Roman"/>
          <w:i/>
          <w:iCs/>
        </w:rPr>
        <w:t>International Journal of Environmental Research and Public Health</w:t>
      </w:r>
      <w:r w:rsidRPr="00950125">
        <w:rPr>
          <w:rFonts w:ascii="Times New Roman" w:hAnsi="Times New Roman" w:cs="Times New Roman"/>
        </w:rPr>
        <w:t xml:space="preserve">, </w:t>
      </w:r>
      <w:r w:rsidRPr="00950125">
        <w:rPr>
          <w:rFonts w:ascii="Times New Roman" w:hAnsi="Times New Roman" w:cs="Times New Roman"/>
          <w:i/>
          <w:iCs/>
        </w:rPr>
        <w:t>19</w:t>
      </w:r>
      <w:r w:rsidRPr="00950125">
        <w:rPr>
          <w:rFonts w:ascii="Times New Roman" w:hAnsi="Times New Roman" w:cs="Times New Roman"/>
        </w:rPr>
        <w:t>(6), 3288. https://doi.org/10.3390/ijerph19063288</w:t>
      </w:r>
    </w:p>
    <w:p w14:paraId="7D1E1536"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Aydin, M., Erdem, A., Sogut, Y., &amp; Ahmed, Z. (2024). A path towards environmental sustainability: Exploring the effects of technological innovation and investment freedom on load capacity factor. </w:t>
      </w:r>
      <w:r w:rsidRPr="00950125">
        <w:rPr>
          <w:rFonts w:ascii="Times New Roman" w:hAnsi="Times New Roman" w:cs="Times New Roman"/>
          <w:i/>
          <w:iCs/>
        </w:rPr>
        <w:t>International Journal of Sustainable Development &amp; World Ecology</w:t>
      </w:r>
      <w:r w:rsidRPr="00950125">
        <w:rPr>
          <w:rFonts w:ascii="Times New Roman" w:hAnsi="Times New Roman" w:cs="Times New Roman"/>
        </w:rPr>
        <w:t xml:space="preserve">, </w:t>
      </w:r>
      <w:r w:rsidRPr="00950125">
        <w:rPr>
          <w:rFonts w:ascii="Times New Roman" w:hAnsi="Times New Roman" w:cs="Times New Roman"/>
          <w:i/>
          <w:iCs/>
        </w:rPr>
        <w:t>31</w:t>
      </w:r>
      <w:r w:rsidRPr="00950125">
        <w:rPr>
          <w:rFonts w:ascii="Times New Roman" w:hAnsi="Times New Roman" w:cs="Times New Roman"/>
        </w:rPr>
        <w:t>(6), 695–706. https://doi.org/10.1080/13504509.2024.2326855</w:t>
      </w:r>
    </w:p>
    <w:p w14:paraId="0620B321"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Bellora, C., &amp; Fontagné, L. (2023). EU in search of a Carbon Border Adjustment Mechanism. </w:t>
      </w:r>
      <w:r w:rsidRPr="00950125">
        <w:rPr>
          <w:rFonts w:ascii="Times New Roman" w:hAnsi="Times New Roman" w:cs="Times New Roman"/>
          <w:i/>
          <w:iCs/>
        </w:rPr>
        <w:t>Energy Economics</w:t>
      </w:r>
      <w:r w:rsidRPr="00950125">
        <w:rPr>
          <w:rFonts w:ascii="Times New Roman" w:hAnsi="Times New Roman" w:cs="Times New Roman"/>
        </w:rPr>
        <w:t xml:space="preserve">, </w:t>
      </w:r>
      <w:r w:rsidRPr="00950125">
        <w:rPr>
          <w:rFonts w:ascii="Times New Roman" w:hAnsi="Times New Roman" w:cs="Times New Roman"/>
          <w:i/>
          <w:iCs/>
        </w:rPr>
        <w:t>123</w:t>
      </w:r>
      <w:r w:rsidRPr="00950125">
        <w:rPr>
          <w:rFonts w:ascii="Times New Roman" w:hAnsi="Times New Roman" w:cs="Times New Roman"/>
        </w:rPr>
        <w:t>, 106673. https://doi.org/10.1016/j.eneco.2023.106673</w:t>
      </w:r>
    </w:p>
    <w:p w14:paraId="2F84ABDE"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Bexell, M., &amp; Jönsson, K. (2017). Responsibility and the United Nations’ Sustainable Development Goals. </w:t>
      </w:r>
      <w:r w:rsidRPr="00950125">
        <w:rPr>
          <w:rFonts w:ascii="Times New Roman" w:hAnsi="Times New Roman" w:cs="Times New Roman"/>
          <w:i/>
          <w:iCs/>
        </w:rPr>
        <w:t>Forum for Development Studies</w:t>
      </w:r>
      <w:r w:rsidRPr="00950125">
        <w:rPr>
          <w:rFonts w:ascii="Times New Roman" w:hAnsi="Times New Roman" w:cs="Times New Roman"/>
        </w:rPr>
        <w:t xml:space="preserve">, </w:t>
      </w:r>
      <w:r w:rsidRPr="00950125">
        <w:rPr>
          <w:rFonts w:ascii="Times New Roman" w:hAnsi="Times New Roman" w:cs="Times New Roman"/>
          <w:i/>
          <w:iCs/>
        </w:rPr>
        <w:t>44</w:t>
      </w:r>
      <w:r w:rsidRPr="00950125">
        <w:rPr>
          <w:rFonts w:ascii="Times New Roman" w:hAnsi="Times New Roman" w:cs="Times New Roman"/>
        </w:rPr>
        <w:t>(1), 13–29. https://doi.org/10.1080/08039410.2016.1252424</w:t>
      </w:r>
    </w:p>
    <w:p w14:paraId="0FC223F1"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Caglar, A. E., Avci, S. B., Daştan, M., &amp; Destek, M. A. (2024). Investigation of the effect of natural resource dependence on environmental sustainability under the novel load capacity curve </w:t>
      </w:r>
      <w:r w:rsidRPr="00950125">
        <w:rPr>
          <w:rFonts w:ascii="Times New Roman" w:hAnsi="Times New Roman" w:cs="Times New Roman"/>
        </w:rPr>
        <w:lastRenderedPageBreak/>
        <w:t xml:space="preserve">hypothesis. </w:t>
      </w:r>
      <w:r w:rsidRPr="00950125">
        <w:rPr>
          <w:rFonts w:ascii="Times New Roman" w:hAnsi="Times New Roman" w:cs="Times New Roman"/>
          <w:i/>
          <w:iCs/>
        </w:rPr>
        <w:t>International Journal of Sustainable Development &amp; World Ecology</w:t>
      </w:r>
      <w:r w:rsidRPr="00950125">
        <w:rPr>
          <w:rFonts w:ascii="Times New Roman" w:hAnsi="Times New Roman" w:cs="Times New Roman"/>
        </w:rPr>
        <w:t xml:space="preserve">, </w:t>
      </w:r>
      <w:r w:rsidRPr="00950125">
        <w:rPr>
          <w:rFonts w:ascii="Times New Roman" w:hAnsi="Times New Roman" w:cs="Times New Roman"/>
          <w:i/>
          <w:iCs/>
        </w:rPr>
        <w:t>31</w:t>
      </w:r>
      <w:r w:rsidRPr="00950125">
        <w:rPr>
          <w:rFonts w:ascii="Times New Roman" w:hAnsi="Times New Roman" w:cs="Times New Roman"/>
        </w:rPr>
        <w:t>(4), 431–446. https://doi.org/10.1080/13504509.2023.2296495</w:t>
      </w:r>
    </w:p>
    <w:p w14:paraId="25E9822F"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Carlsson, F., &amp; Lundström, S. (n.d.). </w:t>
      </w:r>
      <w:r w:rsidRPr="00950125">
        <w:rPr>
          <w:rFonts w:ascii="Times New Roman" w:hAnsi="Times New Roman" w:cs="Times New Roman"/>
          <w:i/>
          <w:iCs/>
        </w:rPr>
        <w:t>Political and Economic Freedom and the Environment:</w:t>
      </w:r>
    </w:p>
    <w:p w14:paraId="0A34104E"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Carlsson, F., &amp; Lundström, S. (2003). The Effects of Economic and Political Freedom on CO2 Emissions. </w:t>
      </w:r>
      <w:r w:rsidRPr="00950125">
        <w:rPr>
          <w:rFonts w:ascii="Times New Roman" w:hAnsi="Times New Roman" w:cs="Times New Roman"/>
          <w:i/>
          <w:iCs/>
        </w:rPr>
        <w:t>Working Papers in Economics</w:t>
      </w:r>
      <w:r w:rsidRPr="00950125">
        <w:rPr>
          <w:rFonts w:ascii="Times New Roman" w:hAnsi="Times New Roman" w:cs="Times New Roman"/>
        </w:rPr>
        <w:t>, Article 29. https://ideas.repec.org//p/hhs/gunwpe/0029.html</w:t>
      </w:r>
    </w:p>
    <w:p w14:paraId="0A6241E7"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Chang, L., Taghizadeh-Hesary, F., &amp; Saydaliev, H. B. (2022). How do ICT and renewable energy impact sustainable development? </w:t>
      </w:r>
      <w:r w:rsidRPr="00950125">
        <w:rPr>
          <w:rFonts w:ascii="Times New Roman" w:hAnsi="Times New Roman" w:cs="Times New Roman"/>
          <w:i/>
          <w:iCs/>
        </w:rPr>
        <w:t>Renewable Energy</w:t>
      </w:r>
      <w:r w:rsidRPr="00950125">
        <w:rPr>
          <w:rFonts w:ascii="Times New Roman" w:hAnsi="Times New Roman" w:cs="Times New Roman"/>
        </w:rPr>
        <w:t xml:space="preserve">, </w:t>
      </w:r>
      <w:r w:rsidRPr="00950125">
        <w:rPr>
          <w:rFonts w:ascii="Times New Roman" w:hAnsi="Times New Roman" w:cs="Times New Roman"/>
          <w:i/>
          <w:iCs/>
        </w:rPr>
        <w:t>199</w:t>
      </w:r>
      <w:r w:rsidRPr="00950125">
        <w:rPr>
          <w:rFonts w:ascii="Times New Roman" w:hAnsi="Times New Roman" w:cs="Times New Roman"/>
        </w:rPr>
        <w:t>. https://doi.org/10.1016/j.renene.2022.08.082</w:t>
      </w:r>
    </w:p>
    <w:p w14:paraId="7686EBEB"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Davis, F. D., Bagozzi, R. P., &amp; Warshaw, P. R. (1989). User Acceptance of Computer Technology: A Comparison of Two Theoretical Models. </w:t>
      </w:r>
      <w:r w:rsidRPr="00950125">
        <w:rPr>
          <w:rFonts w:ascii="Times New Roman" w:hAnsi="Times New Roman" w:cs="Times New Roman"/>
          <w:i/>
          <w:iCs/>
        </w:rPr>
        <w:t>Management Science</w:t>
      </w:r>
      <w:r w:rsidRPr="00950125">
        <w:rPr>
          <w:rFonts w:ascii="Times New Roman" w:hAnsi="Times New Roman" w:cs="Times New Roman"/>
        </w:rPr>
        <w:t xml:space="preserve">, </w:t>
      </w:r>
      <w:r w:rsidRPr="00950125">
        <w:rPr>
          <w:rFonts w:ascii="Times New Roman" w:hAnsi="Times New Roman" w:cs="Times New Roman"/>
          <w:i/>
          <w:iCs/>
        </w:rPr>
        <w:t>35</w:t>
      </w:r>
      <w:r w:rsidRPr="00950125">
        <w:rPr>
          <w:rFonts w:ascii="Times New Roman" w:hAnsi="Times New Roman" w:cs="Times New Roman"/>
        </w:rPr>
        <w:t>(8), 982–1003. https://doi.org/10.1287/mnsc.35.8.982</w:t>
      </w:r>
    </w:p>
    <w:p w14:paraId="31158EA2"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i/>
          <w:iCs/>
        </w:rPr>
        <w:t>Derisking Renewable Energy Investment Framework</w:t>
      </w:r>
      <w:r w:rsidRPr="00950125">
        <w:rPr>
          <w:rFonts w:ascii="Times New Roman" w:hAnsi="Times New Roman" w:cs="Times New Roman"/>
        </w:rPr>
        <w:t>. (n.d.). UNDP. Retrieved July 29, 2025, from https://www.undp.org/energy/derisking-renewable-energy-investment-framework</w:t>
      </w:r>
    </w:p>
    <w:p w14:paraId="230DA4DC"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Ding, Q., Huang, J., Chen, J., &amp; Tao, D. (2023). Internet development and renewable energy technological innovation: Does institutional quality matter? </w:t>
      </w:r>
      <w:r w:rsidRPr="00950125">
        <w:rPr>
          <w:rFonts w:ascii="Times New Roman" w:hAnsi="Times New Roman" w:cs="Times New Roman"/>
          <w:i/>
          <w:iCs/>
        </w:rPr>
        <w:t>Renewable Energy</w:t>
      </w:r>
      <w:r w:rsidRPr="00950125">
        <w:rPr>
          <w:rFonts w:ascii="Times New Roman" w:hAnsi="Times New Roman" w:cs="Times New Roman"/>
        </w:rPr>
        <w:t xml:space="preserve">, </w:t>
      </w:r>
      <w:r w:rsidRPr="00950125">
        <w:rPr>
          <w:rFonts w:ascii="Times New Roman" w:hAnsi="Times New Roman" w:cs="Times New Roman"/>
          <w:i/>
          <w:iCs/>
        </w:rPr>
        <w:t>218</w:t>
      </w:r>
      <w:r w:rsidRPr="00950125">
        <w:rPr>
          <w:rFonts w:ascii="Times New Roman" w:hAnsi="Times New Roman" w:cs="Times New Roman"/>
        </w:rPr>
        <w:t>, 119344. https://doi.org/10.1016/j.renene.2023.119344</w:t>
      </w:r>
    </w:p>
    <w:p w14:paraId="5D7A54C0"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Dogan, A., &amp; Pata, U. K. (2022). The role of ICT, R&amp;D spending and renewable energy consumption on environmental quality: Testing the LCC hypothesis for G7 countries. </w:t>
      </w:r>
      <w:r w:rsidRPr="00950125">
        <w:rPr>
          <w:rFonts w:ascii="Times New Roman" w:hAnsi="Times New Roman" w:cs="Times New Roman"/>
          <w:i/>
          <w:iCs/>
        </w:rPr>
        <w:t>Journal of Cleaner Production</w:t>
      </w:r>
      <w:r w:rsidRPr="00950125">
        <w:rPr>
          <w:rFonts w:ascii="Times New Roman" w:hAnsi="Times New Roman" w:cs="Times New Roman"/>
        </w:rPr>
        <w:t xml:space="preserve">, </w:t>
      </w:r>
      <w:r w:rsidRPr="00950125">
        <w:rPr>
          <w:rFonts w:ascii="Times New Roman" w:hAnsi="Times New Roman" w:cs="Times New Roman"/>
          <w:i/>
          <w:iCs/>
        </w:rPr>
        <w:t>380</w:t>
      </w:r>
      <w:r w:rsidRPr="00950125">
        <w:rPr>
          <w:rFonts w:ascii="Times New Roman" w:hAnsi="Times New Roman" w:cs="Times New Roman"/>
        </w:rPr>
        <w:t>, 135038. https://doi.org/10.1016/j.jclepro.2022.135038</w:t>
      </w:r>
    </w:p>
    <w:p w14:paraId="391238DF"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Dogan, E., Chishti, M. Z., Karimi Alavijeh, N., &amp; Tzeremes, P. (2022). The roles of technology and Kyoto Protocol in energy transition towards COP26 targets: Evidence from the novel GMM-PVAR approach for G-7 countries. </w:t>
      </w:r>
      <w:r w:rsidRPr="00950125">
        <w:rPr>
          <w:rFonts w:ascii="Times New Roman" w:hAnsi="Times New Roman" w:cs="Times New Roman"/>
          <w:i/>
          <w:iCs/>
        </w:rPr>
        <w:t>Technological Forecasting and Social Change</w:t>
      </w:r>
      <w:r w:rsidRPr="00950125">
        <w:rPr>
          <w:rFonts w:ascii="Times New Roman" w:hAnsi="Times New Roman" w:cs="Times New Roman"/>
        </w:rPr>
        <w:t xml:space="preserve">, </w:t>
      </w:r>
      <w:r w:rsidRPr="00950125">
        <w:rPr>
          <w:rFonts w:ascii="Times New Roman" w:hAnsi="Times New Roman" w:cs="Times New Roman"/>
          <w:i/>
          <w:iCs/>
        </w:rPr>
        <w:t>181</w:t>
      </w:r>
      <w:r w:rsidRPr="00950125">
        <w:rPr>
          <w:rFonts w:ascii="Times New Roman" w:hAnsi="Times New Roman" w:cs="Times New Roman"/>
        </w:rPr>
        <w:t>, 121756. https://doi.org/10.1016/j.techfore.2022.121756</w:t>
      </w:r>
    </w:p>
    <w:p w14:paraId="0B1C84CD"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Evolution of the concept of sustainability. From Brundtland Report to sustainable development goals. (2021). In M. Hajian &amp; S. Jangchi Kashani, </w:t>
      </w:r>
      <w:r w:rsidRPr="00950125">
        <w:rPr>
          <w:rFonts w:ascii="Times New Roman" w:hAnsi="Times New Roman" w:cs="Times New Roman"/>
          <w:i/>
          <w:iCs/>
        </w:rPr>
        <w:t>Sustainable Resource Management</w:t>
      </w:r>
      <w:r w:rsidRPr="00950125">
        <w:rPr>
          <w:rFonts w:ascii="Times New Roman" w:hAnsi="Times New Roman" w:cs="Times New Roman"/>
        </w:rPr>
        <w:t xml:space="preserve"> (pp. 1–24). Elsevier. https://doi.org/10.1016/b978-0-12-824342-8.00018-3</w:t>
      </w:r>
    </w:p>
    <w:p w14:paraId="601F7261"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Gielen, D. (2021). </w:t>
      </w:r>
      <w:r w:rsidRPr="00950125">
        <w:rPr>
          <w:rFonts w:ascii="Times New Roman" w:hAnsi="Times New Roman" w:cs="Times New Roman"/>
          <w:i/>
          <w:iCs/>
        </w:rPr>
        <w:t>Innovations for a Renewable-Powered Future</w:t>
      </w:r>
      <w:r w:rsidRPr="00950125">
        <w:rPr>
          <w:rFonts w:ascii="Times New Roman" w:hAnsi="Times New Roman" w:cs="Times New Roman"/>
        </w:rPr>
        <w:t>.</w:t>
      </w:r>
    </w:p>
    <w:p w14:paraId="3173DF23"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Hussain, S., Gul, R., &amp; Ullah, S. (2023). Role of financial inclusion and ICT for sustainable economic development in developing countries. </w:t>
      </w:r>
      <w:r w:rsidRPr="00950125">
        <w:rPr>
          <w:rFonts w:ascii="Times New Roman" w:hAnsi="Times New Roman" w:cs="Times New Roman"/>
          <w:i/>
          <w:iCs/>
        </w:rPr>
        <w:t>Technological Forecasting and Social Change</w:t>
      </w:r>
      <w:r w:rsidRPr="00950125">
        <w:rPr>
          <w:rFonts w:ascii="Times New Roman" w:hAnsi="Times New Roman" w:cs="Times New Roman"/>
        </w:rPr>
        <w:t xml:space="preserve">, </w:t>
      </w:r>
      <w:r w:rsidRPr="00950125">
        <w:rPr>
          <w:rFonts w:ascii="Times New Roman" w:hAnsi="Times New Roman" w:cs="Times New Roman"/>
          <w:i/>
          <w:iCs/>
        </w:rPr>
        <w:t>194</w:t>
      </w:r>
      <w:r w:rsidRPr="00950125">
        <w:rPr>
          <w:rFonts w:ascii="Times New Roman" w:hAnsi="Times New Roman" w:cs="Times New Roman"/>
        </w:rPr>
        <w:t>, 122725. https://doi.org/10.1016/j.techfore.2023.122725</w:t>
      </w:r>
    </w:p>
    <w:p w14:paraId="45440AC5"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İmamoğlu, İ. K., &amp; Özdemir, D. (2023). Yönetişim, İnovasyon ve Ekonomik Büyüme Arasındaki İlişkiler: Gelişmiş ve Gelişmekte Olan Ülke Örnekleri. </w:t>
      </w:r>
      <w:r w:rsidRPr="00950125">
        <w:rPr>
          <w:rFonts w:ascii="Times New Roman" w:hAnsi="Times New Roman" w:cs="Times New Roman"/>
          <w:i/>
          <w:iCs/>
        </w:rPr>
        <w:t>Külliye</w:t>
      </w:r>
      <w:r w:rsidRPr="00950125">
        <w:rPr>
          <w:rFonts w:ascii="Times New Roman" w:hAnsi="Times New Roman" w:cs="Times New Roman"/>
        </w:rPr>
        <w:t>. https://doi.org/10.48139/aybukulliye.1262308</w:t>
      </w:r>
    </w:p>
    <w:p w14:paraId="5E5E053A"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Lee, C.-C., He, Z.-W., &amp; Xiao, F. (2022). How does information and communication technology affect renewable energy technology innovation? International evidence. </w:t>
      </w:r>
      <w:r w:rsidRPr="00950125">
        <w:rPr>
          <w:rFonts w:ascii="Times New Roman" w:hAnsi="Times New Roman" w:cs="Times New Roman"/>
          <w:i/>
          <w:iCs/>
        </w:rPr>
        <w:t>Renewable Energy</w:t>
      </w:r>
      <w:r w:rsidRPr="00950125">
        <w:rPr>
          <w:rFonts w:ascii="Times New Roman" w:hAnsi="Times New Roman" w:cs="Times New Roman"/>
        </w:rPr>
        <w:t xml:space="preserve">, </w:t>
      </w:r>
      <w:r w:rsidRPr="00950125">
        <w:rPr>
          <w:rFonts w:ascii="Times New Roman" w:hAnsi="Times New Roman" w:cs="Times New Roman"/>
          <w:i/>
          <w:iCs/>
        </w:rPr>
        <w:t>200</w:t>
      </w:r>
      <w:r w:rsidRPr="00950125">
        <w:rPr>
          <w:rFonts w:ascii="Times New Roman" w:hAnsi="Times New Roman" w:cs="Times New Roman"/>
        </w:rPr>
        <w:t>, 546–557. https://doi.org/10.1016/j.renene.2022.10.015</w:t>
      </w:r>
    </w:p>
    <w:p w14:paraId="57FB5DDB"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Li, X., Zhang, C., &amp; Zhu, H. (2023). Effect of information and communication technology on CO2 emissions: An analysis based on country heterogeneity perspective. </w:t>
      </w:r>
      <w:r w:rsidRPr="00950125">
        <w:rPr>
          <w:rFonts w:ascii="Times New Roman" w:hAnsi="Times New Roman" w:cs="Times New Roman"/>
          <w:i/>
          <w:iCs/>
        </w:rPr>
        <w:t>Technological Forecasting and Social Change</w:t>
      </w:r>
      <w:r w:rsidRPr="00950125">
        <w:rPr>
          <w:rFonts w:ascii="Times New Roman" w:hAnsi="Times New Roman" w:cs="Times New Roman"/>
        </w:rPr>
        <w:t xml:space="preserve">, </w:t>
      </w:r>
      <w:r w:rsidRPr="00950125">
        <w:rPr>
          <w:rFonts w:ascii="Times New Roman" w:hAnsi="Times New Roman" w:cs="Times New Roman"/>
          <w:i/>
          <w:iCs/>
        </w:rPr>
        <w:t>192</w:t>
      </w:r>
      <w:r w:rsidRPr="00950125">
        <w:rPr>
          <w:rFonts w:ascii="Times New Roman" w:hAnsi="Times New Roman" w:cs="Times New Roman"/>
        </w:rPr>
        <w:t>(C). https://ideas.repec.org//a/eee/tefoso/v192y2023ics0040162523002846.html</w:t>
      </w:r>
    </w:p>
    <w:p w14:paraId="614C87F4"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Linghu, J., Wojewodzki, M., &amp; Cheong, T. S. (2024). Effects of information and communication technology on total-factor carbon emission efficiency and the health co-benefits. </w:t>
      </w:r>
      <w:r w:rsidRPr="00950125">
        <w:rPr>
          <w:rFonts w:ascii="Times New Roman" w:hAnsi="Times New Roman" w:cs="Times New Roman"/>
          <w:i/>
          <w:iCs/>
        </w:rPr>
        <w:t>Frontiers in Public Health</w:t>
      </w:r>
      <w:r w:rsidRPr="00950125">
        <w:rPr>
          <w:rFonts w:ascii="Times New Roman" w:hAnsi="Times New Roman" w:cs="Times New Roman"/>
        </w:rPr>
        <w:t xml:space="preserve">, </w:t>
      </w:r>
      <w:r w:rsidRPr="00950125">
        <w:rPr>
          <w:rFonts w:ascii="Times New Roman" w:hAnsi="Times New Roman" w:cs="Times New Roman"/>
          <w:i/>
          <w:iCs/>
        </w:rPr>
        <w:t>11</w:t>
      </w:r>
      <w:r w:rsidRPr="00950125">
        <w:rPr>
          <w:rFonts w:ascii="Times New Roman" w:hAnsi="Times New Roman" w:cs="Times New Roman"/>
        </w:rPr>
        <w:t>. https://doi.org/10.3389/fpubh.2023.1301627</w:t>
      </w:r>
    </w:p>
    <w:p w14:paraId="50087CF9"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lastRenderedPageBreak/>
        <w:t xml:space="preserve">Lv, Z., Liu, W., &amp; Xu, T. (2022). Evaluating the impact of information and communication technology on renewable energy consumption: A spatial econometric approach. </w:t>
      </w:r>
      <w:r w:rsidRPr="00950125">
        <w:rPr>
          <w:rFonts w:ascii="Times New Roman" w:hAnsi="Times New Roman" w:cs="Times New Roman"/>
          <w:i/>
          <w:iCs/>
        </w:rPr>
        <w:t>Renewable Energy</w:t>
      </w:r>
      <w:r w:rsidRPr="00950125">
        <w:rPr>
          <w:rFonts w:ascii="Times New Roman" w:hAnsi="Times New Roman" w:cs="Times New Roman"/>
        </w:rPr>
        <w:t xml:space="preserve">, </w:t>
      </w:r>
      <w:r w:rsidRPr="00950125">
        <w:rPr>
          <w:rFonts w:ascii="Times New Roman" w:hAnsi="Times New Roman" w:cs="Times New Roman"/>
          <w:i/>
          <w:iCs/>
        </w:rPr>
        <w:t>189</w:t>
      </w:r>
      <w:r w:rsidRPr="00950125">
        <w:rPr>
          <w:rFonts w:ascii="Times New Roman" w:hAnsi="Times New Roman" w:cs="Times New Roman"/>
        </w:rPr>
        <w:t>. https://doi.org/10.1016/j.renene.2022.03.005</w:t>
      </w:r>
    </w:p>
    <w:p w14:paraId="70AF346C"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i/>
          <w:iCs/>
        </w:rPr>
        <w:t>Mobilising Bond Markets for a Low-Carbon Transition</w:t>
      </w:r>
      <w:r w:rsidRPr="00950125">
        <w:rPr>
          <w:rFonts w:ascii="Times New Roman" w:hAnsi="Times New Roman" w:cs="Times New Roman"/>
        </w:rPr>
        <w:t>. (2017, April 19). OECD. https://www.oecd.org/en/publications/mobilising-bond-markets-for-a-low-carbon-transition_9789264272323-en.html</w:t>
      </w:r>
    </w:p>
    <w:p w14:paraId="0C7AF685"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Murshed, M. (2020). An empirical analysis of the non-linear impacts of ICT-trade openness on renewable energy transition, energy efficiency, clean cooking fuel access and environmental sustainability in South Asia. </w:t>
      </w:r>
      <w:r w:rsidRPr="00950125">
        <w:rPr>
          <w:rFonts w:ascii="Times New Roman" w:hAnsi="Times New Roman" w:cs="Times New Roman"/>
          <w:i/>
          <w:iCs/>
        </w:rPr>
        <w:t>Environmental Science and Pollution Research</w:t>
      </w:r>
      <w:r w:rsidRPr="00950125">
        <w:rPr>
          <w:rFonts w:ascii="Times New Roman" w:hAnsi="Times New Roman" w:cs="Times New Roman"/>
        </w:rPr>
        <w:t xml:space="preserve">, </w:t>
      </w:r>
      <w:r w:rsidRPr="00950125">
        <w:rPr>
          <w:rFonts w:ascii="Times New Roman" w:hAnsi="Times New Roman" w:cs="Times New Roman"/>
          <w:i/>
          <w:iCs/>
        </w:rPr>
        <w:t>27</w:t>
      </w:r>
      <w:r w:rsidRPr="00950125">
        <w:rPr>
          <w:rFonts w:ascii="Times New Roman" w:hAnsi="Times New Roman" w:cs="Times New Roman"/>
        </w:rPr>
        <w:t>(29), 36254–36281. https://doi.org/10.1007/s11356-020-09497-3</w:t>
      </w:r>
    </w:p>
    <w:p w14:paraId="644FF35A"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Olavarrieta, S., &amp; Ellinger, A. E. (1997). Resource‐based theory and strategic logistics research. </w:t>
      </w:r>
      <w:r w:rsidRPr="00950125">
        <w:rPr>
          <w:rFonts w:ascii="Times New Roman" w:hAnsi="Times New Roman" w:cs="Times New Roman"/>
          <w:i/>
          <w:iCs/>
        </w:rPr>
        <w:t>International Journal of Physical Distribution &amp; Logistics Management</w:t>
      </w:r>
      <w:r w:rsidRPr="00950125">
        <w:rPr>
          <w:rFonts w:ascii="Times New Roman" w:hAnsi="Times New Roman" w:cs="Times New Roman"/>
        </w:rPr>
        <w:t xml:space="preserve">, </w:t>
      </w:r>
      <w:r w:rsidRPr="00950125">
        <w:rPr>
          <w:rFonts w:ascii="Times New Roman" w:hAnsi="Times New Roman" w:cs="Times New Roman"/>
          <w:i/>
          <w:iCs/>
        </w:rPr>
        <w:t>27</w:t>
      </w:r>
      <w:r w:rsidRPr="00950125">
        <w:rPr>
          <w:rFonts w:ascii="Times New Roman" w:hAnsi="Times New Roman" w:cs="Times New Roman"/>
        </w:rPr>
        <w:t>(9/10), 559–587. https://doi.org/10.1108/09600039710188594</w:t>
      </w:r>
    </w:p>
    <w:p w14:paraId="6A37B5E2"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i/>
          <w:iCs/>
        </w:rPr>
        <w:t>Open Knowledge Repository</w:t>
      </w:r>
      <w:r w:rsidRPr="00950125">
        <w:rPr>
          <w:rFonts w:ascii="Times New Roman" w:hAnsi="Times New Roman" w:cs="Times New Roman"/>
        </w:rPr>
        <w:t>. (n.d.). Retrieved July 29, 2025, from https://openknowledge.worldbank.org/entities/publication/b0d66765-299c-4fb8-921f-61f6bb979087</w:t>
      </w:r>
    </w:p>
    <w:p w14:paraId="76499868"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Ozkan, O., Destek, M. A., &amp; Aydin, S. (2024). Evaluating the nexus between energy transition and load capacity factor in Germany: Evidence from novel quantile-based approaches. </w:t>
      </w:r>
      <w:r w:rsidRPr="00950125">
        <w:rPr>
          <w:rFonts w:ascii="Times New Roman" w:hAnsi="Times New Roman" w:cs="Times New Roman"/>
          <w:i/>
          <w:iCs/>
        </w:rPr>
        <w:t>International Journal of Sustainable Development &amp; World Ecology</w:t>
      </w:r>
      <w:r w:rsidRPr="00950125">
        <w:rPr>
          <w:rFonts w:ascii="Times New Roman" w:hAnsi="Times New Roman" w:cs="Times New Roman"/>
        </w:rPr>
        <w:t xml:space="preserve">, </w:t>
      </w:r>
      <w:r w:rsidRPr="00950125">
        <w:rPr>
          <w:rFonts w:ascii="Times New Roman" w:hAnsi="Times New Roman" w:cs="Times New Roman"/>
          <w:i/>
          <w:iCs/>
        </w:rPr>
        <w:t>31</w:t>
      </w:r>
      <w:r w:rsidRPr="00950125">
        <w:rPr>
          <w:rFonts w:ascii="Times New Roman" w:hAnsi="Times New Roman" w:cs="Times New Roman"/>
        </w:rPr>
        <w:t>(6), 707–725. https://doi.org/10.1080/13504509.2024.2329224</w:t>
      </w:r>
    </w:p>
    <w:p w14:paraId="0068D0E9"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Pata, U. K., Kartal, M. T., Dam, M. M., &amp; Kaya, F. (2023). Navigating the Impact of Renewable Energy, Trade Openness, Income, and Globalization on Load Capacity Factor: The Case of Latin American and Caribbean (LAC) Countries. </w:t>
      </w:r>
      <w:r w:rsidRPr="00950125">
        <w:rPr>
          <w:rFonts w:ascii="Times New Roman" w:hAnsi="Times New Roman" w:cs="Times New Roman"/>
          <w:i/>
          <w:iCs/>
        </w:rPr>
        <w:t>International Journal of Energy Research</w:t>
      </w:r>
      <w:r w:rsidRPr="00950125">
        <w:rPr>
          <w:rFonts w:ascii="Times New Roman" w:hAnsi="Times New Roman" w:cs="Times New Roman"/>
        </w:rPr>
        <w:t xml:space="preserve">, </w:t>
      </w:r>
      <w:r w:rsidRPr="00950125">
        <w:rPr>
          <w:rFonts w:ascii="Times New Roman" w:hAnsi="Times New Roman" w:cs="Times New Roman"/>
          <w:i/>
          <w:iCs/>
        </w:rPr>
        <w:t>2023</w:t>
      </w:r>
      <w:r w:rsidRPr="00950125">
        <w:rPr>
          <w:rFonts w:ascii="Times New Roman" w:hAnsi="Times New Roman" w:cs="Times New Roman"/>
        </w:rPr>
        <w:t>, 1–14. https://doi.org/10.1155/2023/6828781</w:t>
      </w:r>
    </w:p>
    <w:p w14:paraId="50232953"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Pata, U. K., Kartal, M. T., Erdogan, S., &amp; Sarkodie, S. A. (2023). The role of renewable and nuclear energy R&amp;D expenditures and income on environmental quality in Germany: Scrutinizing the EKC and LCC hypotheses with smooth structural changes. </w:t>
      </w:r>
      <w:r w:rsidRPr="00950125">
        <w:rPr>
          <w:rFonts w:ascii="Times New Roman" w:hAnsi="Times New Roman" w:cs="Times New Roman"/>
          <w:i/>
          <w:iCs/>
        </w:rPr>
        <w:t>Applied Energy</w:t>
      </w:r>
      <w:r w:rsidRPr="00950125">
        <w:rPr>
          <w:rFonts w:ascii="Times New Roman" w:hAnsi="Times New Roman" w:cs="Times New Roman"/>
        </w:rPr>
        <w:t xml:space="preserve">, </w:t>
      </w:r>
      <w:r w:rsidRPr="00950125">
        <w:rPr>
          <w:rFonts w:ascii="Times New Roman" w:hAnsi="Times New Roman" w:cs="Times New Roman"/>
          <w:i/>
          <w:iCs/>
        </w:rPr>
        <w:t>342</w:t>
      </w:r>
      <w:r w:rsidRPr="00950125">
        <w:rPr>
          <w:rFonts w:ascii="Times New Roman" w:hAnsi="Times New Roman" w:cs="Times New Roman"/>
        </w:rPr>
        <w:t>, 121138. https://doi.org/10.1016/j.apenergy.2023.121138</w:t>
      </w:r>
    </w:p>
    <w:p w14:paraId="6FF53536"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i/>
          <w:iCs/>
        </w:rPr>
        <w:t>(PDF) SUMMARY FOR POLICYMAKERS OF THE IPBES ASSESSMENT REPORT ON INVASIVE ALIEN SPECIES AND THEIR CONTROL</w:t>
      </w:r>
      <w:r w:rsidRPr="00950125">
        <w:rPr>
          <w:rFonts w:ascii="Times New Roman" w:hAnsi="Times New Roman" w:cs="Times New Roman"/>
        </w:rPr>
        <w:t>. (n.d.). Retrieved July 29, 2025, from https://www.researchgate.net/publication/375525735_SUMMARY_FOR_POLICYMAKERS_OF_THE_IPBES_ASSESSMENT_REPORT_ON_INVASIVE_ALIEN_SPECIES_AND_THEIR_CONTROL</w:t>
      </w:r>
    </w:p>
    <w:p w14:paraId="2D073B99"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Rahman, M. M., &amp; Sultana, N. (2022). Impacts of institutional quality, economic growth, and exports on renewable energy: Emerging countries perspective. </w:t>
      </w:r>
      <w:r w:rsidRPr="00950125">
        <w:rPr>
          <w:rFonts w:ascii="Times New Roman" w:hAnsi="Times New Roman" w:cs="Times New Roman"/>
          <w:i/>
          <w:iCs/>
        </w:rPr>
        <w:t>Renewable Energy</w:t>
      </w:r>
      <w:r w:rsidRPr="00950125">
        <w:rPr>
          <w:rFonts w:ascii="Times New Roman" w:hAnsi="Times New Roman" w:cs="Times New Roman"/>
        </w:rPr>
        <w:t xml:space="preserve">, </w:t>
      </w:r>
      <w:r w:rsidRPr="00950125">
        <w:rPr>
          <w:rFonts w:ascii="Times New Roman" w:hAnsi="Times New Roman" w:cs="Times New Roman"/>
          <w:i/>
          <w:iCs/>
        </w:rPr>
        <w:t>189</w:t>
      </w:r>
      <w:r w:rsidRPr="00950125">
        <w:rPr>
          <w:rFonts w:ascii="Times New Roman" w:hAnsi="Times New Roman" w:cs="Times New Roman"/>
        </w:rPr>
        <w:t>, 938–951. https://doi.org/10.1016/j.renene.2022.03.034</w:t>
      </w:r>
    </w:p>
    <w:p w14:paraId="0986347A"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Raihan, A., Rashid, M., Voumik, L. C., Akter, S., &amp; Esquivias, M. A. (2023). The Dynamic Impacts of Economic Growth, Financial Globalization, Fossil Fuel, Renewable Energy, and Urbanization on Load Capacity Factor in Mexico. </w:t>
      </w:r>
      <w:r w:rsidRPr="00950125">
        <w:rPr>
          <w:rFonts w:ascii="Times New Roman" w:hAnsi="Times New Roman" w:cs="Times New Roman"/>
          <w:i/>
          <w:iCs/>
        </w:rPr>
        <w:t>Sustainability</w:t>
      </w:r>
      <w:r w:rsidRPr="00950125">
        <w:rPr>
          <w:rFonts w:ascii="Times New Roman" w:hAnsi="Times New Roman" w:cs="Times New Roman"/>
        </w:rPr>
        <w:t xml:space="preserve">, </w:t>
      </w:r>
      <w:r w:rsidRPr="00950125">
        <w:rPr>
          <w:rFonts w:ascii="Times New Roman" w:hAnsi="Times New Roman" w:cs="Times New Roman"/>
          <w:i/>
          <w:iCs/>
        </w:rPr>
        <w:t>15</w:t>
      </w:r>
      <w:r w:rsidRPr="00950125">
        <w:rPr>
          <w:rFonts w:ascii="Times New Roman" w:hAnsi="Times New Roman" w:cs="Times New Roman"/>
        </w:rPr>
        <w:t>(18), 13462. https://doi.org/10.3390/su151813462</w:t>
      </w:r>
    </w:p>
    <w:p w14:paraId="7C97E244"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Rapsikevicius, J., Bruneckiene, J., Lukauskas, M., &amp; Mikalonis, S. (2021). The Impact of Economic Freedom on Economic and Environmental Performance: Evidence from European Countries. </w:t>
      </w:r>
      <w:r w:rsidRPr="00950125">
        <w:rPr>
          <w:rFonts w:ascii="Times New Roman" w:hAnsi="Times New Roman" w:cs="Times New Roman"/>
          <w:i/>
          <w:iCs/>
        </w:rPr>
        <w:t>Sustainability</w:t>
      </w:r>
      <w:r w:rsidRPr="00950125">
        <w:rPr>
          <w:rFonts w:ascii="Times New Roman" w:hAnsi="Times New Roman" w:cs="Times New Roman"/>
        </w:rPr>
        <w:t xml:space="preserve">, </w:t>
      </w:r>
      <w:r w:rsidRPr="00950125">
        <w:rPr>
          <w:rFonts w:ascii="Times New Roman" w:hAnsi="Times New Roman" w:cs="Times New Roman"/>
          <w:i/>
          <w:iCs/>
        </w:rPr>
        <w:t>13</w:t>
      </w:r>
      <w:r w:rsidRPr="00950125">
        <w:rPr>
          <w:rFonts w:ascii="Times New Roman" w:hAnsi="Times New Roman" w:cs="Times New Roman"/>
        </w:rPr>
        <w:t>(4), 2380. https://doi.org/10.3390/su13042380</w:t>
      </w:r>
    </w:p>
    <w:p w14:paraId="69D04283"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lastRenderedPageBreak/>
        <w:t xml:space="preserve">Saba, C. S., &amp; Biyase, M. (2022). Determinants of renewable electricity development in Europe: Do Governance indicators and institutional quality matter? </w:t>
      </w:r>
      <w:r w:rsidRPr="00950125">
        <w:rPr>
          <w:rFonts w:ascii="Times New Roman" w:hAnsi="Times New Roman" w:cs="Times New Roman"/>
          <w:i/>
          <w:iCs/>
        </w:rPr>
        <w:t>Energy Reports</w:t>
      </w:r>
      <w:r w:rsidRPr="00950125">
        <w:rPr>
          <w:rFonts w:ascii="Times New Roman" w:hAnsi="Times New Roman" w:cs="Times New Roman"/>
        </w:rPr>
        <w:t xml:space="preserve">, </w:t>
      </w:r>
      <w:r w:rsidRPr="00950125">
        <w:rPr>
          <w:rFonts w:ascii="Times New Roman" w:hAnsi="Times New Roman" w:cs="Times New Roman"/>
          <w:i/>
          <w:iCs/>
        </w:rPr>
        <w:t>8</w:t>
      </w:r>
      <w:r w:rsidRPr="00950125">
        <w:rPr>
          <w:rFonts w:ascii="Times New Roman" w:hAnsi="Times New Roman" w:cs="Times New Roman"/>
        </w:rPr>
        <w:t>, 13914–13938. https://doi.org/10.1016/j.egyr.2022.09.184</w:t>
      </w:r>
    </w:p>
    <w:p w14:paraId="75948682"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Sart, G., Bayar, Y., &amp; Danilina, M. (2025). The Effect of Economic Freedom, Indicators of Financial Sector Development, Income and Education on Renewable Energy Use: An Empirical Analysis of Post-Transition EU Member States. </w:t>
      </w:r>
      <w:r w:rsidRPr="00950125">
        <w:rPr>
          <w:rFonts w:ascii="Times New Roman" w:hAnsi="Times New Roman" w:cs="Times New Roman"/>
          <w:i/>
          <w:iCs/>
        </w:rPr>
        <w:t>Energies</w:t>
      </w:r>
      <w:r w:rsidRPr="00950125">
        <w:rPr>
          <w:rFonts w:ascii="Times New Roman" w:hAnsi="Times New Roman" w:cs="Times New Roman"/>
        </w:rPr>
        <w:t xml:space="preserve">, </w:t>
      </w:r>
      <w:r w:rsidRPr="00950125">
        <w:rPr>
          <w:rFonts w:ascii="Times New Roman" w:hAnsi="Times New Roman" w:cs="Times New Roman"/>
          <w:i/>
          <w:iCs/>
        </w:rPr>
        <w:t>18</w:t>
      </w:r>
      <w:r w:rsidRPr="00950125">
        <w:rPr>
          <w:rFonts w:ascii="Times New Roman" w:hAnsi="Times New Roman" w:cs="Times New Roman"/>
        </w:rPr>
        <w:t>(5), Article 5. https://doi.org/10.3390/en18051179</w:t>
      </w:r>
    </w:p>
    <w:p w14:paraId="5DF93125"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Sart, G., Bayar, Y., Danilina, M., &amp; Sezgin, F. H. (2022). Economic Freedom, Education and CO2 Emissions: A Causality Analysis for EU Member States. </w:t>
      </w:r>
      <w:r w:rsidRPr="00950125">
        <w:rPr>
          <w:rFonts w:ascii="Times New Roman" w:hAnsi="Times New Roman" w:cs="Times New Roman"/>
          <w:i/>
          <w:iCs/>
        </w:rPr>
        <w:t>International Journal of Environmental Research and Public Health</w:t>
      </w:r>
      <w:r w:rsidRPr="00950125">
        <w:rPr>
          <w:rFonts w:ascii="Times New Roman" w:hAnsi="Times New Roman" w:cs="Times New Roman"/>
        </w:rPr>
        <w:t xml:space="preserve">, </w:t>
      </w:r>
      <w:r w:rsidRPr="00950125">
        <w:rPr>
          <w:rFonts w:ascii="Times New Roman" w:hAnsi="Times New Roman" w:cs="Times New Roman"/>
          <w:i/>
          <w:iCs/>
        </w:rPr>
        <w:t>19</w:t>
      </w:r>
      <w:r w:rsidRPr="00950125">
        <w:rPr>
          <w:rFonts w:ascii="Times New Roman" w:hAnsi="Times New Roman" w:cs="Times New Roman"/>
        </w:rPr>
        <w:t>(13), 8061. https://doi.org/10.3390/ijerph19138061</w:t>
      </w:r>
    </w:p>
    <w:p w14:paraId="3BDF4576"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Satrianto, A., Ikhsan, A., Dirma, E. Y., Candrianto, C., Juniardi, E., &amp; Gusti, M. A. (2024). The Effect of Institutional Quality on Renewable Energy: Evidence from Developing Countries. </w:t>
      </w:r>
      <w:r w:rsidRPr="00950125">
        <w:rPr>
          <w:rFonts w:ascii="Times New Roman" w:hAnsi="Times New Roman" w:cs="Times New Roman"/>
          <w:i/>
          <w:iCs/>
        </w:rPr>
        <w:t>International Journal of Energy Economics and Policy</w:t>
      </w:r>
      <w:r w:rsidRPr="00950125">
        <w:rPr>
          <w:rFonts w:ascii="Times New Roman" w:hAnsi="Times New Roman" w:cs="Times New Roman"/>
        </w:rPr>
        <w:t xml:space="preserve">, </w:t>
      </w:r>
      <w:r w:rsidRPr="00950125">
        <w:rPr>
          <w:rFonts w:ascii="Times New Roman" w:hAnsi="Times New Roman" w:cs="Times New Roman"/>
          <w:i/>
          <w:iCs/>
        </w:rPr>
        <w:t>14</w:t>
      </w:r>
      <w:r w:rsidRPr="00950125">
        <w:rPr>
          <w:rFonts w:ascii="Times New Roman" w:hAnsi="Times New Roman" w:cs="Times New Roman"/>
        </w:rPr>
        <w:t>(5), 678–686. https://doi.org/10.32479/ijeep.16794</w:t>
      </w:r>
    </w:p>
    <w:p w14:paraId="7F78A4B8"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i/>
          <w:iCs/>
        </w:rPr>
        <w:t>—SDG Indicators</w:t>
      </w:r>
      <w:r w:rsidRPr="00950125">
        <w:rPr>
          <w:rFonts w:ascii="Times New Roman" w:hAnsi="Times New Roman" w:cs="Times New Roman"/>
        </w:rPr>
        <w:t>. (n.d.). Retrieved July 29, 2025, from https://unstats.un.org/sdgs/report/2023/goal-07/</w:t>
      </w:r>
    </w:p>
    <w:p w14:paraId="5254136A"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Shang, D. C., Ian W. H. Parry,Nghia-Piotr Le,Baoping. (n.d.). </w:t>
      </w:r>
      <w:r w:rsidRPr="00950125">
        <w:rPr>
          <w:rFonts w:ascii="Times New Roman" w:hAnsi="Times New Roman" w:cs="Times New Roman"/>
          <w:i/>
          <w:iCs/>
        </w:rPr>
        <w:t>Global Fossil Fuel Subsidies Remain Large: An Update Based on Country-Level Estimates</w:t>
      </w:r>
      <w:r w:rsidRPr="00950125">
        <w:rPr>
          <w:rFonts w:ascii="Times New Roman" w:hAnsi="Times New Roman" w:cs="Times New Roman"/>
        </w:rPr>
        <w:t>. IMF. Retrieved July 29, 2025, from https://www.imf.org/en/Publications/WP/Issues/2019/05/02/Global-Fossil-Fuel-Subsidies-Remain-Large-An-Update-Based-on-Country-Level-Estimates-46509</w:t>
      </w:r>
    </w:p>
    <w:p w14:paraId="7E79AAFC"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Sheng, W., Meng, F., &amp; Akbar, M. W. (2023). How institutional quality, and energy production sources, affect the environmental sustainability of bri countries: A comparison of different income groups. </w:t>
      </w:r>
      <w:r w:rsidRPr="00950125">
        <w:rPr>
          <w:rFonts w:ascii="Times New Roman" w:hAnsi="Times New Roman" w:cs="Times New Roman"/>
          <w:i/>
          <w:iCs/>
        </w:rPr>
        <w:t>PLOS ONE</w:t>
      </w:r>
      <w:r w:rsidRPr="00950125">
        <w:rPr>
          <w:rFonts w:ascii="Times New Roman" w:hAnsi="Times New Roman" w:cs="Times New Roman"/>
        </w:rPr>
        <w:t xml:space="preserve">, </w:t>
      </w:r>
      <w:r w:rsidRPr="00950125">
        <w:rPr>
          <w:rFonts w:ascii="Times New Roman" w:hAnsi="Times New Roman" w:cs="Times New Roman"/>
          <w:i/>
          <w:iCs/>
        </w:rPr>
        <w:t>18</w:t>
      </w:r>
      <w:r w:rsidRPr="00950125">
        <w:rPr>
          <w:rFonts w:ascii="Times New Roman" w:hAnsi="Times New Roman" w:cs="Times New Roman"/>
        </w:rPr>
        <w:t>(9), e0291144. https://doi.org/10.1371/journal.pone.0291144</w:t>
      </w:r>
    </w:p>
    <w:p w14:paraId="1CA191D1"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Social Capital, Social Norms and the New Institutional Economics. (2008). In P. Keefer &amp; S. Knack, </w:t>
      </w:r>
      <w:r w:rsidRPr="00950125">
        <w:rPr>
          <w:rFonts w:ascii="Times New Roman" w:hAnsi="Times New Roman" w:cs="Times New Roman"/>
          <w:i/>
          <w:iCs/>
        </w:rPr>
        <w:t>Handbook of New Institutional Economics</w:t>
      </w:r>
      <w:r w:rsidRPr="00950125">
        <w:rPr>
          <w:rFonts w:ascii="Times New Roman" w:hAnsi="Times New Roman" w:cs="Times New Roman"/>
        </w:rPr>
        <w:t xml:space="preserve"> (pp. 701–725). Springer Berlin Heidelberg. https://doi.org/10.1007/978-3-540-69305-5_28</w:t>
      </w:r>
    </w:p>
    <w:p w14:paraId="7D63B399"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Solntsev, A. M., &amp; Akshalova, R. D. (2021). Sustainable Development Goal 7 and Sustainable Development Goal 13: Possible Ways of Interactions. In E. B. Zavyalova &amp; E. G. Popkova (Eds.), </w:t>
      </w:r>
      <w:r w:rsidRPr="00950125">
        <w:rPr>
          <w:rFonts w:ascii="Times New Roman" w:hAnsi="Times New Roman" w:cs="Times New Roman"/>
          <w:i/>
          <w:iCs/>
        </w:rPr>
        <w:t>Industry 4.0: Exploring the Consequences of Climate Change</w:t>
      </w:r>
      <w:r w:rsidRPr="00950125">
        <w:rPr>
          <w:rFonts w:ascii="Times New Roman" w:hAnsi="Times New Roman" w:cs="Times New Roman"/>
        </w:rPr>
        <w:t xml:space="preserve"> (pp. 23–32). Springer International Publishing. https://doi.org/10.1007/978-3-030-75405-1_3</w:t>
      </w:r>
    </w:p>
    <w:p w14:paraId="74EDE905"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Stern, D. I. (2004). The Rise and Fall of the Environmental Kuznets Curve. </w:t>
      </w:r>
      <w:r w:rsidRPr="00950125">
        <w:rPr>
          <w:rFonts w:ascii="Times New Roman" w:hAnsi="Times New Roman" w:cs="Times New Roman"/>
          <w:i/>
          <w:iCs/>
        </w:rPr>
        <w:t>World Development</w:t>
      </w:r>
      <w:r w:rsidRPr="00950125">
        <w:rPr>
          <w:rFonts w:ascii="Times New Roman" w:hAnsi="Times New Roman" w:cs="Times New Roman"/>
        </w:rPr>
        <w:t xml:space="preserve">, </w:t>
      </w:r>
      <w:r w:rsidRPr="00950125">
        <w:rPr>
          <w:rFonts w:ascii="Times New Roman" w:hAnsi="Times New Roman" w:cs="Times New Roman"/>
          <w:i/>
          <w:iCs/>
        </w:rPr>
        <w:t>32</w:t>
      </w:r>
      <w:r w:rsidRPr="00950125">
        <w:rPr>
          <w:rFonts w:ascii="Times New Roman" w:hAnsi="Times New Roman" w:cs="Times New Roman"/>
        </w:rPr>
        <w:t>(8), 1419–1439. https://doi.org/10.1016/j.worlddev.2004.03.004</w:t>
      </w:r>
    </w:p>
    <w:p w14:paraId="66114925"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Strand, H. (n.d.). </w:t>
      </w:r>
      <w:r w:rsidRPr="00950125">
        <w:rPr>
          <w:rFonts w:ascii="Times New Roman" w:hAnsi="Times New Roman" w:cs="Times New Roman"/>
          <w:i/>
          <w:iCs/>
        </w:rPr>
        <w:t>Environmental sustainability and Institutional quality</w:t>
      </w:r>
      <w:r w:rsidRPr="00950125">
        <w:rPr>
          <w:rFonts w:ascii="Times New Roman" w:hAnsi="Times New Roman" w:cs="Times New Roman"/>
        </w:rPr>
        <w:t>.</w:t>
      </w:r>
    </w:p>
    <w:p w14:paraId="402FF2AC"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Tabash, M. I., Farooq, U., &amp; Ahmed, A. (2023). How does institutional quality determine energy consumption? Empirical evidence from the South Asia region. </w:t>
      </w:r>
      <w:r w:rsidRPr="00950125">
        <w:rPr>
          <w:rFonts w:ascii="Times New Roman" w:hAnsi="Times New Roman" w:cs="Times New Roman"/>
          <w:i/>
          <w:iCs/>
        </w:rPr>
        <w:t>Management of Environmental Quality: An International Journal</w:t>
      </w:r>
      <w:r w:rsidRPr="00950125">
        <w:rPr>
          <w:rFonts w:ascii="Times New Roman" w:hAnsi="Times New Roman" w:cs="Times New Roman"/>
        </w:rPr>
        <w:t xml:space="preserve">, </w:t>
      </w:r>
      <w:r w:rsidRPr="00950125">
        <w:rPr>
          <w:rFonts w:ascii="Times New Roman" w:hAnsi="Times New Roman" w:cs="Times New Roman"/>
          <w:i/>
          <w:iCs/>
        </w:rPr>
        <w:t>35</w:t>
      </w:r>
      <w:r w:rsidRPr="00950125">
        <w:rPr>
          <w:rFonts w:ascii="Times New Roman" w:hAnsi="Times New Roman" w:cs="Times New Roman"/>
        </w:rPr>
        <w:t>(3), 712–727. https://doi.org/10.1108/MEQ-05-2023-0149</w:t>
      </w:r>
    </w:p>
    <w:p w14:paraId="0A7D8F59"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Talan, A., Rao, A., Sharma, G. D., Apostu, S.-A., &amp; Abbas, S. (2023). Transition towards clean energy consumption in G7: Can financial sector, ICT and democracy help? </w:t>
      </w:r>
      <w:r w:rsidRPr="00950125">
        <w:rPr>
          <w:rFonts w:ascii="Times New Roman" w:hAnsi="Times New Roman" w:cs="Times New Roman"/>
          <w:i/>
          <w:iCs/>
        </w:rPr>
        <w:t>Resources Policy</w:t>
      </w:r>
      <w:r w:rsidRPr="00950125">
        <w:rPr>
          <w:rFonts w:ascii="Times New Roman" w:hAnsi="Times New Roman" w:cs="Times New Roman"/>
        </w:rPr>
        <w:t xml:space="preserve">, </w:t>
      </w:r>
      <w:r w:rsidRPr="00950125">
        <w:rPr>
          <w:rFonts w:ascii="Times New Roman" w:hAnsi="Times New Roman" w:cs="Times New Roman"/>
          <w:i/>
          <w:iCs/>
        </w:rPr>
        <w:t>82</w:t>
      </w:r>
      <w:r w:rsidRPr="00950125">
        <w:rPr>
          <w:rFonts w:ascii="Times New Roman" w:hAnsi="Times New Roman" w:cs="Times New Roman"/>
        </w:rPr>
        <w:t>, 103447. https://doi.org/10.1016/j.resourpol.2023.103447</w:t>
      </w:r>
    </w:p>
    <w:p w14:paraId="0DF0FB2A"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The Relationship Between Economic Freedom and Environmental Performance. (n.d.). </w:t>
      </w:r>
      <w:r w:rsidRPr="00950125">
        <w:rPr>
          <w:rFonts w:ascii="Times New Roman" w:hAnsi="Times New Roman" w:cs="Times New Roman"/>
          <w:i/>
          <w:iCs/>
        </w:rPr>
        <w:t>C3 Solutions</w:t>
      </w:r>
      <w:r w:rsidRPr="00950125">
        <w:rPr>
          <w:rFonts w:ascii="Times New Roman" w:hAnsi="Times New Roman" w:cs="Times New Roman"/>
        </w:rPr>
        <w:t>. Retrieved July 25, 2025, from https://www.c3solutions.org/policy-paper/free-economies-are-clean-economies-2023/chapter-1/</w:t>
      </w:r>
    </w:p>
    <w:p w14:paraId="70E025B7"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Thomson, G., &amp; Preston, R. R. (1996). Towards harmonized standard fire resistance testing. </w:t>
      </w:r>
      <w:r w:rsidRPr="00950125">
        <w:rPr>
          <w:rFonts w:ascii="Times New Roman" w:hAnsi="Times New Roman" w:cs="Times New Roman"/>
          <w:i/>
          <w:iCs/>
        </w:rPr>
        <w:t>Fire Safety Journal</w:t>
      </w:r>
      <w:r w:rsidRPr="00950125">
        <w:rPr>
          <w:rFonts w:ascii="Times New Roman" w:hAnsi="Times New Roman" w:cs="Times New Roman"/>
        </w:rPr>
        <w:t xml:space="preserve">, </w:t>
      </w:r>
      <w:r w:rsidRPr="00950125">
        <w:rPr>
          <w:rFonts w:ascii="Times New Roman" w:hAnsi="Times New Roman" w:cs="Times New Roman"/>
          <w:i/>
          <w:iCs/>
        </w:rPr>
        <w:t>27</w:t>
      </w:r>
      <w:r w:rsidRPr="00950125">
        <w:rPr>
          <w:rFonts w:ascii="Times New Roman" w:hAnsi="Times New Roman" w:cs="Times New Roman"/>
        </w:rPr>
        <w:t>(2), 91–112. https://doi.org/10.1016/s0379-7112(96)00054-9</w:t>
      </w:r>
    </w:p>
    <w:p w14:paraId="6213C4CE"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i/>
          <w:iCs/>
        </w:rPr>
        <w:t>Transforming our world: The 2030 Agenda for Sustainable Development | Department of Economic and Social Affairs</w:t>
      </w:r>
      <w:r w:rsidRPr="00950125">
        <w:rPr>
          <w:rFonts w:ascii="Times New Roman" w:hAnsi="Times New Roman" w:cs="Times New Roman"/>
        </w:rPr>
        <w:t>. (n.d.). Retrieved July 22, 2025, from https://sdgs.un.org/2030agenda</w:t>
      </w:r>
    </w:p>
    <w:p w14:paraId="2B71FF42"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lastRenderedPageBreak/>
        <w:t xml:space="preserve">Ummalla, M., &amp; Goyari, P. (2024). </w:t>
      </w:r>
      <w:r w:rsidRPr="00950125">
        <w:rPr>
          <w:rFonts w:ascii="Times New Roman" w:hAnsi="Times New Roman" w:cs="Times New Roman"/>
          <w:i/>
          <w:iCs/>
        </w:rPr>
        <w:t>Does institutional quality matter for renewable energy consumption and CO2 emissions? Evidence from a panel of BRICS countries</w:t>
      </w:r>
      <w:r w:rsidRPr="00950125">
        <w:rPr>
          <w:rFonts w:ascii="Times New Roman" w:hAnsi="Times New Roman" w:cs="Times New Roman"/>
        </w:rPr>
        <w:t>. https://doi.org/10.21203/rs.3.rs-4906065/v1</w:t>
      </w:r>
    </w:p>
    <w:p w14:paraId="4F5A5A72"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Uzar, U. (2020). Political economy of renewable energy: Does institutional quality make a difference in renewable energy consumption? </w:t>
      </w:r>
      <w:r w:rsidRPr="00950125">
        <w:rPr>
          <w:rFonts w:ascii="Times New Roman" w:hAnsi="Times New Roman" w:cs="Times New Roman"/>
          <w:i/>
          <w:iCs/>
        </w:rPr>
        <w:t>Renewable Energy</w:t>
      </w:r>
      <w:r w:rsidRPr="00950125">
        <w:rPr>
          <w:rFonts w:ascii="Times New Roman" w:hAnsi="Times New Roman" w:cs="Times New Roman"/>
        </w:rPr>
        <w:t xml:space="preserve">, </w:t>
      </w:r>
      <w:r w:rsidRPr="00950125">
        <w:rPr>
          <w:rFonts w:ascii="Times New Roman" w:hAnsi="Times New Roman" w:cs="Times New Roman"/>
          <w:i/>
          <w:iCs/>
        </w:rPr>
        <w:t>155</w:t>
      </w:r>
      <w:r w:rsidRPr="00950125">
        <w:rPr>
          <w:rFonts w:ascii="Times New Roman" w:hAnsi="Times New Roman" w:cs="Times New Roman"/>
        </w:rPr>
        <w:t>, 591–603. https://doi.org/10.1016/j.renene.2020.03.172</w:t>
      </w:r>
    </w:p>
    <w:p w14:paraId="584CAE97"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Walton, J. L. (2025, June 3). What is ICT’s global carbon footprint? </w:t>
      </w:r>
      <w:r w:rsidRPr="00950125">
        <w:rPr>
          <w:rFonts w:ascii="Times New Roman" w:hAnsi="Times New Roman" w:cs="Times New Roman"/>
          <w:i/>
          <w:iCs/>
        </w:rPr>
        <w:t>Medium</w:t>
      </w:r>
      <w:r w:rsidRPr="00950125">
        <w:rPr>
          <w:rFonts w:ascii="Times New Roman" w:hAnsi="Times New Roman" w:cs="Times New Roman"/>
        </w:rPr>
        <w:t>. https://medium.com/@jolindsaywalton/what-is-icts-global-carbon-footprint-1da8874ddc49</w:t>
      </w:r>
    </w:p>
    <w:p w14:paraId="10D2B545"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Wang, E., Gozgor, G., Mahalik, M. K., Patel, G., &amp; Hu, G. (2022). Effects of institutional quality and political risk on the renewable energy consumption in the OECD countries. </w:t>
      </w:r>
      <w:r w:rsidRPr="00950125">
        <w:rPr>
          <w:rFonts w:ascii="Times New Roman" w:hAnsi="Times New Roman" w:cs="Times New Roman"/>
          <w:i/>
          <w:iCs/>
        </w:rPr>
        <w:t>Resources Policy</w:t>
      </w:r>
      <w:r w:rsidRPr="00950125">
        <w:rPr>
          <w:rFonts w:ascii="Times New Roman" w:hAnsi="Times New Roman" w:cs="Times New Roman"/>
        </w:rPr>
        <w:t xml:space="preserve">, </w:t>
      </w:r>
      <w:r w:rsidRPr="00950125">
        <w:rPr>
          <w:rFonts w:ascii="Times New Roman" w:hAnsi="Times New Roman" w:cs="Times New Roman"/>
          <w:i/>
          <w:iCs/>
        </w:rPr>
        <w:t>79</w:t>
      </w:r>
      <w:r w:rsidRPr="00950125">
        <w:rPr>
          <w:rFonts w:ascii="Times New Roman" w:hAnsi="Times New Roman" w:cs="Times New Roman"/>
        </w:rPr>
        <w:t>, 103041. https://doi.org/10.1016/j.resourpol.2022.103041</w:t>
      </w:r>
    </w:p>
    <w:p w14:paraId="7E80C672"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Wang, Q., Sun, J., Li, R., &amp; Korkut Pata, U. (2024). Linking trade openness to load capacity factor: The threshold effects of natural resource rent and corruption control. </w:t>
      </w:r>
      <w:r w:rsidRPr="00950125">
        <w:rPr>
          <w:rFonts w:ascii="Times New Roman" w:hAnsi="Times New Roman" w:cs="Times New Roman"/>
          <w:i/>
          <w:iCs/>
        </w:rPr>
        <w:t>Gondwana Research</w:t>
      </w:r>
      <w:r w:rsidRPr="00950125">
        <w:rPr>
          <w:rFonts w:ascii="Times New Roman" w:hAnsi="Times New Roman" w:cs="Times New Roman"/>
        </w:rPr>
        <w:t xml:space="preserve">, </w:t>
      </w:r>
      <w:r w:rsidRPr="00950125">
        <w:rPr>
          <w:rFonts w:ascii="Times New Roman" w:hAnsi="Times New Roman" w:cs="Times New Roman"/>
          <w:i/>
          <w:iCs/>
        </w:rPr>
        <w:t>129</w:t>
      </w:r>
      <w:r w:rsidRPr="00950125">
        <w:rPr>
          <w:rFonts w:ascii="Times New Roman" w:hAnsi="Times New Roman" w:cs="Times New Roman"/>
        </w:rPr>
        <w:t>, 371–380. https://doi.org/10.1016/j.gr.2023.05.016</w:t>
      </w:r>
    </w:p>
    <w:p w14:paraId="2D49EDF7"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You, Z., Li, L., &amp; Waqas, M. (2024). How do information and communication technology, human capital and renewable energy affect CO2 emission; New insights from BRI countries. </w:t>
      </w:r>
      <w:r w:rsidRPr="00950125">
        <w:rPr>
          <w:rFonts w:ascii="Times New Roman" w:hAnsi="Times New Roman" w:cs="Times New Roman"/>
          <w:i/>
          <w:iCs/>
        </w:rPr>
        <w:t>Heliyon</w:t>
      </w:r>
      <w:r w:rsidRPr="00950125">
        <w:rPr>
          <w:rFonts w:ascii="Times New Roman" w:hAnsi="Times New Roman" w:cs="Times New Roman"/>
        </w:rPr>
        <w:t xml:space="preserve">, </w:t>
      </w:r>
      <w:r w:rsidRPr="00950125">
        <w:rPr>
          <w:rFonts w:ascii="Times New Roman" w:hAnsi="Times New Roman" w:cs="Times New Roman"/>
          <w:i/>
          <w:iCs/>
        </w:rPr>
        <w:t>10</w:t>
      </w:r>
      <w:r w:rsidRPr="00950125">
        <w:rPr>
          <w:rFonts w:ascii="Times New Roman" w:hAnsi="Times New Roman" w:cs="Times New Roman"/>
        </w:rPr>
        <w:t>(4), e26481. https://doi.org/10.1016/j.heliyon.2024.e26481</w:t>
      </w:r>
    </w:p>
    <w:p w14:paraId="083ADB99"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Yu, M., Jin, H., Zhang, H., &amp; Chong, A. Y. L. (2023). ICT, Financial Development and Renewable Energy Consumption. </w:t>
      </w:r>
      <w:r w:rsidRPr="00950125">
        <w:rPr>
          <w:rFonts w:ascii="Times New Roman" w:hAnsi="Times New Roman" w:cs="Times New Roman"/>
          <w:i/>
          <w:iCs/>
        </w:rPr>
        <w:t>Journal of Computer Information Systems</w:t>
      </w:r>
      <w:r w:rsidRPr="00950125">
        <w:rPr>
          <w:rFonts w:ascii="Times New Roman" w:hAnsi="Times New Roman" w:cs="Times New Roman"/>
        </w:rPr>
        <w:t xml:space="preserve">, </w:t>
      </w:r>
      <w:r w:rsidRPr="00950125">
        <w:rPr>
          <w:rFonts w:ascii="Times New Roman" w:hAnsi="Times New Roman" w:cs="Times New Roman"/>
          <w:i/>
          <w:iCs/>
        </w:rPr>
        <w:t>63</w:t>
      </w:r>
      <w:r w:rsidRPr="00950125">
        <w:rPr>
          <w:rFonts w:ascii="Times New Roman" w:hAnsi="Times New Roman" w:cs="Times New Roman"/>
        </w:rPr>
        <w:t>(1), 190–203. https://doi.org/10.1080/08874417.2022.2049017</w:t>
      </w:r>
    </w:p>
    <w:p w14:paraId="55073F44" w14:textId="77777777" w:rsidR="009570B0" w:rsidRPr="00950125" w:rsidRDefault="009570B0" w:rsidP="00D46E36">
      <w:pPr>
        <w:pStyle w:val="Bibliography"/>
        <w:spacing w:line="276" w:lineRule="auto"/>
        <w:rPr>
          <w:rFonts w:ascii="Times New Roman" w:hAnsi="Times New Roman" w:cs="Times New Roman"/>
        </w:rPr>
      </w:pPr>
      <w:r w:rsidRPr="00950125">
        <w:rPr>
          <w:rFonts w:ascii="Times New Roman" w:hAnsi="Times New Roman" w:cs="Times New Roman"/>
        </w:rPr>
        <w:t xml:space="preserve">Zheng, J., &amp; Wang, X. (2021). Can mobile information communication technologies (ICTs) promote the development of renewables?-evidence from seven countries. </w:t>
      </w:r>
      <w:r w:rsidRPr="00950125">
        <w:rPr>
          <w:rFonts w:ascii="Times New Roman" w:hAnsi="Times New Roman" w:cs="Times New Roman"/>
          <w:i/>
          <w:iCs/>
        </w:rPr>
        <w:t>Energy Policy</w:t>
      </w:r>
      <w:r w:rsidRPr="00950125">
        <w:rPr>
          <w:rFonts w:ascii="Times New Roman" w:hAnsi="Times New Roman" w:cs="Times New Roman"/>
        </w:rPr>
        <w:t xml:space="preserve">, </w:t>
      </w:r>
      <w:r w:rsidRPr="00950125">
        <w:rPr>
          <w:rFonts w:ascii="Times New Roman" w:hAnsi="Times New Roman" w:cs="Times New Roman"/>
          <w:i/>
          <w:iCs/>
        </w:rPr>
        <w:t>149</w:t>
      </w:r>
      <w:r w:rsidRPr="00950125">
        <w:rPr>
          <w:rFonts w:ascii="Times New Roman" w:hAnsi="Times New Roman" w:cs="Times New Roman"/>
        </w:rPr>
        <w:t>, 112041. https://doi.org/10.1016/j.enpol.2020.112041</w:t>
      </w:r>
    </w:p>
    <w:p w14:paraId="4C6557D2" w14:textId="7EFB5374" w:rsidR="00114AB2" w:rsidRPr="00950125" w:rsidRDefault="00423160" w:rsidP="00D46E36">
      <w:pPr>
        <w:pStyle w:val="NormalWeb"/>
        <w:spacing w:before="0" w:beforeAutospacing="0" w:after="0" w:afterAutospacing="0" w:line="276" w:lineRule="auto"/>
        <w:ind w:left="720" w:hanging="720"/>
        <w:jc w:val="both"/>
      </w:pPr>
      <w:r w:rsidRPr="00950125">
        <w:fldChar w:fldCharType="end"/>
      </w:r>
    </w:p>
    <w:p w14:paraId="66E6E1A9" w14:textId="77777777" w:rsidR="00E53824" w:rsidRPr="00950125" w:rsidRDefault="00E53824" w:rsidP="00D46E36">
      <w:pPr>
        <w:pStyle w:val="NormalWeb"/>
        <w:spacing w:before="0" w:beforeAutospacing="0" w:after="0" w:afterAutospacing="0" w:line="276" w:lineRule="auto"/>
        <w:ind w:left="720" w:hanging="720"/>
        <w:jc w:val="both"/>
      </w:pPr>
    </w:p>
    <w:p w14:paraId="426C1072" w14:textId="77777777" w:rsidR="00E53824" w:rsidRPr="00950125" w:rsidRDefault="00E53824" w:rsidP="00D46E36">
      <w:pPr>
        <w:pStyle w:val="NormalWeb"/>
        <w:spacing w:before="0" w:beforeAutospacing="0" w:after="0" w:afterAutospacing="0" w:line="276" w:lineRule="auto"/>
        <w:ind w:left="720" w:hanging="720"/>
        <w:jc w:val="both"/>
      </w:pPr>
    </w:p>
    <w:p w14:paraId="46BFCF83" w14:textId="77777777" w:rsidR="00E53824" w:rsidRPr="00950125" w:rsidRDefault="00E53824" w:rsidP="00D46E36">
      <w:pPr>
        <w:pStyle w:val="NormalWeb"/>
        <w:spacing w:before="0" w:beforeAutospacing="0" w:after="0" w:afterAutospacing="0" w:line="276" w:lineRule="auto"/>
        <w:ind w:left="720" w:hanging="720"/>
        <w:jc w:val="both"/>
      </w:pPr>
    </w:p>
    <w:p w14:paraId="4788B639" w14:textId="77777777" w:rsidR="00E53824" w:rsidRPr="00950125" w:rsidRDefault="00E53824" w:rsidP="00D46E36">
      <w:pPr>
        <w:pStyle w:val="NormalWeb"/>
        <w:spacing w:before="0" w:beforeAutospacing="0" w:after="0" w:afterAutospacing="0" w:line="276" w:lineRule="auto"/>
        <w:ind w:left="720" w:hanging="720"/>
        <w:jc w:val="both"/>
      </w:pPr>
    </w:p>
    <w:p w14:paraId="62C3762E" w14:textId="77777777" w:rsidR="00E53824" w:rsidRPr="00950125" w:rsidRDefault="00E53824" w:rsidP="00D46E36">
      <w:pPr>
        <w:pStyle w:val="NormalWeb"/>
        <w:spacing w:before="0" w:beforeAutospacing="0" w:after="0" w:afterAutospacing="0" w:line="276" w:lineRule="auto"/>
        <w:ind w:left="720" w:hanging="720"/>
        <w:jc w:val="both"/>
      </w:pPr>
    </w:p>
    <w:p w14:paraId="7F99BBDE" w14:textId="77777777" w:rsidR="00E53824" w:rsidRPr="00950125" w:rsidRDefault="00E53824" w:rsidP="00D46E36">
      <w:pPr>
        <w:pStyle w:val="NormalWeb"/>
        <w:spacing w:before="0" w:beforeAutospacing="0" w:after="0" w:afterAutospacing="0" w:line="276" w:lineRule="auto"/>
        <w:ind w:left="720" w:hanging="720"/>
        <w:jc w:val="both"/>
      </w:pPr>
    </w:p>
    <w:p w14:paraId="47C928D6" w14:textId="77777777" w:rsidR="00E53824" w:rsidRPr="00950125" w:rsidRDefault="00E53824" w:rsidP="00D46E36">
      <w:pPr>
        <w:pStyle w:val="NormalWeb"/>
        <w:spacing w:before="0" w:beforeAutospacing="0" w:after="0" w:afterAutospacing="0" w:line="276" w:lineRule="auto"/>
        <w:ind w:left="720" w:hanging="720"/>
        <w:jc w:val="both"/>
      </w:pPr>
    </w:p>
    <w:p w14:paraId="0B3076E2" w14:textId="77777777" w:rsidR="00E53824" w:rsidRPr="00950125" w:rsidRDefault="00E53824" w:rsidP="00D46E36">
      <w:pPr>
        <w:pStyle w:val="NormalWeb"/>
        <w:spacing w:before="0" w:beforeAutospacing="0" w:after="0" w:afterAutospacing="0" w:line="276" w:lineRule="auto"/>
        <w:ind w:left="720" w:hanging="720"/>
        <w:jc w:val="both"/>
      </w:pPr>
    </w:p>
    <w:p w14:paraId="5D4D671C" w14:textId="77777777" w:rsidR="00E53824" w:rsidRPr="00950125" w:rsidRDefault="00E53824" w:rsidP="00D46E36">
      <w:pPr>
        <w:pStyle w:val="NormalWeb"/>
        <w:spacing w:before="0" w:beforeAutospacing="0" w:after="0" w:afterAutospacing="0" w:line="276" w:lineRule="auto"/>
        <w:ind w:left="720" w:hanging="720"/>
        <w:jc w:val="both"/>
      </w:pPr>
    </w:p>
    <w:p w14:paraId="7D79810C" w14:textId="77777777" w:rsidR="00E53824" w:rsidRPr="00950125" w:rsidRDefault="00E53824" w:rsidP="00D46E36">
      <w:pPr>
        <w:pStyle w:val="NormalWeb"/>
        <w:spacing w:before="0" w:beforeAutospacing="0" w:after="0" w:afterAutospacing="0" w:line="276" w:lineRule="auto"/>
        <w:ind w:left="720" w:hanging="720"/>
        <w:jc w:val="both"/>
        <w:rPr>
          <w:rStyle w:val="url"/>
        </w:rPr>
      </w:pPr>
    </w:p>
    <w:p w14:paraId="3958AE6F" w14:textId="77777777" w:rsidR="00DF3D7A" w:rsidRPr="00950125" w:rsidRDefault="00DF3D7A" w:rsidP="00D46E36">
      <w:pPr>
        <w:spacing w:after="0" w:line="276" w:lineRule="auto"/>
        <w:jc w:val="both"/>
        <w:rPr>
          <w:rFonts w:ascii="Times New Roman" w:eastAsia="Times New Roman" w:hAnsi="Times New Roman" w:cs="Times New Roman"/>
          <w:sz w:val="24"/>
          <w:szCs w:val="24"/>
        </w:rPr>
      </w:pPr>
    </w:p>
    <w:p w14:paraId="1A28A295" w14:textId="77777777" w:rsidR="00DF3D7A" w:rsidRPr="00950125" w:rsidRDefault="00DF3D7A" w:rsidP="00D46E36">
      <w:pPr>
        <w:spacing w:after="0" w:line="276" w:lineRule="auto"/>
        <w:jc w:val="both"/>
        <w:rPr>
          <w:rFonts w:ascii="Times New Roman" w:eastAsia="Times New Roman" w:hAnsi="Times New Roman" w:cs="Times New Roman"/>
          <w:sz w:val="24"/>
          <w:szCs w:val="24"/>
        </w:rPr>
      </w:pPr>
    </w:p>
    <w:p w14:paraId="23F1E1D5" w14:textId="77777777" w:rsidR="00DF3D7A" w:rsidRPr="00950125" w:rsidRDefault="00DF3D7A" w:rsidP="00D46E36">
      <w:pPr>
        <w:pStyle w:val="NormalWeb"/>
        <w:spacing w:before="0" w:beforeAutospacing="0" w:after="0" w:afterAutospacing="0" w:line="276" w:lineRule="auto"/>
        <w:ind w:left="720" w:hanging="720"/>
        <w:jc w:val="both"/>
        <w:rPr>
          <w:rStyle w:val="url"/>
        </w:rPr>
      </w:pPr>
    </w:p>
    <w:p w14:paraId="11716898" w14:textId="77777777" w:rsidR="00DF3D7A" w:rsidRPr="00950125" w:rsidRDefault="00DF3D7A" w:rsidP="00D46E36">
      <w:pPr>
        <w:pStyle w:val="NormalWeb"/>
        <w:spacing w:before="0" w:beforeAutospacing="0" w:after="0" w:afterAutospacing="0" w:line="276" w:lineRule="auto"/>
        <w:ind w:left="720" w:hanging="720"/>
        <w:jc w:val="both"/>
      </w:pPr>
    </w:p>
    <w:p w14:paraId="46C65C3F" w14:textId="77777777" w:rsidR="00286585" w:rsidRPr="00950125" w:rsidRDefault="00286585" w:rsidP="00D46E36">
      <w:pPr>
        <w:shd w:val="clear" w:color="auto" w:fill="FFFFFF"/>
        <w:spacing w:beforeAutospacing="1" w:after="0" w:afterAutospacing="1" w:line="276" w:lineRule="auto"/>
        <w:jc w:val="both"/>
        <w:rPr>
          <w:rFonts w:ascii="Times New Roman" w:eastAsia="Times New Roman" w:hAnsi="Times New Roman" w:cs="Times New Roman"/>
          <w:color w:val="525254"/>
          <w:sz w:val="24"/>
          <w:szCs w:val="24"/>
        </w:rPr>
      </w:pPr>
    </w:p>
    <w:sectPr w:rsidR="00286585" w:rsidRPr="00950125" w:rsidSect="00D46E36">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A04BA" w14:textId="77777777" w:rsidR="0029645F" w:rsidRDefault="0029645F" w:rsidP="00D46E36">
      <w:pPr>
        <w:spacing w:after="0" w:line="240" w:lineRule="auto"/>
      </w:pPr>
      <w:r>
        <w:separator/>
      </w:r>
    </w:p>
  </w:endnote>
  <w:endnote w:type="continuationSeparator" w:id="0">
    <w:p w14:paraId="231EC5B6" w14:textId="77777777" w:rsidR="0029645F" w:rsidRDefault="0029645F" w:rsidP="00D46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304351"/>
      <w:docPartObj>
        <w:docPartGallery w:val="Page Numbers (Bottom of Page)"/>
        <w:docPartUnique/>
      </w:docPartObj>
    </w:sdtPr>
    <w:sdtEndPr>
      <w:rPr>
        <w:color w:val="7F7F7F" w:themeColor="background1" w:themeShade="7F"/>
        <w:spacing w:val="60"/>
      </w:rPr>
    </w:sdtEndPr>
    <w:sdtContent>
      <w:p w14:paraId="749DC8F0" w14:textId="4BF03DB7" w:rsidR="005204D5" w:rsidRDefault="005204D5">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9438D" w:rsidRPr="0069438D">
          <w:rPr>
            <w:b/>
            <w:bCs/>
            <w:noProof/>
          </w:rPr>
          <w:t>9</w:t>
        </w:r>
        <w:r>
          <w:rPr>
            <w:b/>
            <w:bCs/>
            <w:noProof/>
          </w:rPr>
          <w:fldChar w:fldCharType="end"/>
        </w:r>
        <w:r>
          <w:rPr>
            <w:b/>
            <w:bCs/>
          </w:rPr>
          <w:t xml:space="preserve"> | </w:t>
        </w:r>
        <w:r>
          <w:rPr>
            <w:color w:val="7F7F7F" w:themeColor="background1" w:themeShade="7F"/>
            <w:spacing w:val="60"/>
          </w:rPr>
          <w:t>Page</w:t>
        </w:r>
      </w:p>
    </w:sdtContent>
  </w:sdt>
  <w:p w14:paraId="7F8353DF" w14:textId="77777777" w:rsidR="005204D5" w:rsidRDefault="005204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469C5" w14:textId="77777777" w:rsidR="0029645F" w:rsidRDefault="0029645F" w:rsidP="00D46E36">
      <w:pPr>
        <w:spacing w:after="0" w:line="240" w:lineRule="auto"/>
      </w:pPr>
      <w:r>
        <w:separator/>
      </w:r>
    </w:p>
  </w:footnote>
  <w:footnote w:type="continuationSeparator" w:id="0">
    <w:p w14:paraId="5DCABADD" w14:textId="77777777" w:rsidR="0029645F" w:rsidRDefault="0029645F" w:rsidP="00D46E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C70"/>
    <w:multiLevelType w:val="multilevel"/>
    <w:tmpl w:val="FC222D52"/>
    <w:lvl w:ilvl="0">
      <w:start w:val="3"/>
      <w:numFmt w:val="decimal"/>
      <w:lvlText w:val="%1.2"/>
      <w:lvlJc w:val="left"/>
      <w:pPr>
        <w:ind w:left="360" w:hanging="360"/>
      </w:pPr>
      <w:rPr>
        <w:rFonts w:hint="default"/>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8F767B"/>
    <w:multiLevelType w:val="multilevel"/>
    <w:tmpl w:val="29783314"/>
    <w:lvl w:ilvl="0">
      <w:start w:val="4"/>
      <w:numFmt w:val="decimal"/>
      <w:lvlText w:val="%1.5"/>
      <w:lvlJc w:val="left"/>
      <w:pPr>
        <w:ind w:left="360" w:hanging="360"/>
      </w:pPr>
      <w:rPr>
        <w:rFonts w:hint="default"/>
        <w:color w:val="5B9BD5" w:themeColor="accen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2D8175B"/>
    <w:multiLevelType w:val="multilevel"/>
    <w:tmpl w:val="9AAE8222"/>
    <w:lvl w:ilvl="0">
      <w:start w:val="3"/>
      <w:numFmt w:val="decimal"/>
      <w:lvlText w:val="%1.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6600FA7"/>
    <w:multiLevelType w:val="multilevel"/>
    <w:tmpl w:val="49F6E06C"/>
    <w:lvl w:ilvl="0">
      <w:start w:val="1"/>
      <w:numFmt w:val="decimal"/>
      <w:lvlText w:val="6.%1"/>
      <w:lvlJc w:val="left"/>
      <w:pPr>
        <w:ind w:left="360" w:hanging="360"/>
      </w:pPr>
      <w:rPr>
        <w:rFonts w:hint="default"/>
        <w:b/>
        <w:color w:val="5B9BD5" w:themeColor="accent1"/>
        <w:sz w:val="28"/>
      </w:rPr>
    </w:lvl>
    <w:lvl w:ilvl="1">
      <w:start w:val="1"/>
      <w:numFmt w:val="lowerLetter"/>
      <w:lvlText w:val="%2."/>
      <w:lvlJc w:val="left"/>
      <w:pPr>
        <w:ind w:left="1530" w:hanging="360"/>
      </w:pPr>
      <w:rPr>
        <w:rFonts w:hint="default"/>
      </w:rPr>
    </w:lvl>
    <w:lvl w:ilvl="2">
      <w:start w:val="1"/>
      <w:numFmt w:val="lowerRoman"/>
      <w:lvlText w:val="%3."/>
      <w:lvlJc w:val="right"/>
      <w:pPr>
        <w:ind w:left="2250" w:hanging="180"/>
      </w:pPr>
      <w:rPr>
        <w:rFonts w:hint="default"/>
      </w:rPr>
    </w:lvl>
    <w:lvl w:ilvl="3">
      <w:start w:val="1"/>
      <w:numFmt w:val="decimal"/>
      <w:lvlText w:val="%4."/>
      <w:lvlJc w:val="left"/>
      <w:pPr>
        <w:ind w:left="2970" w:hanging="360"/>
      </w:pPr>
      <w:rPr>
        <w:rFonts w:hint="default"/>
      </w:rPr>
    </w:lvl>
    <w:lvl w:ilvl="4">
      <w:start w:val="1"/>
      <w:numFmt w:val="lowerLetter"/>
      <w:lvlText w:val="%5."/>
      <w:lvlJc w:val="left"/>
      <w:pPr>
        <w:ind w:left="3690" w:hanging="360"/>
      </w:pPr>
      <w:rPr>
        <w:rFonts w:hint="default"/>
      </w:rPr>
    </w:lvl>
    <w:lvl w:ilvl="5">
      <w:start w:val="1"/>
      <w:numFmt w:val="lowerRoman"/>
      <w:lvlText w:val="%6."/>
      <w:lvlJc w:val="right"/>
      <w:pPr>
        <w:ind w:left="4410" w:hanging="180"/>
      </w:pPr>
      <w:rPr>
        <w:rFonts w:hint="default"/>
      </w:rPr>
    </w:lvl>
    <w:lvl w:ilvl="6">
      <w:start w:val="1"/>
      <w:numFmt w:val="decimal"/>
      <w:lvlText w:val="%7."/>
      <w:lvlJc w:val="left"/>
      <w:pPr>
        <w:ind w:left="5130" w:hanging="360"/>
      </w:pPr>
      <w:rPr>
        <w:rFonts w:hint="default"/>
      </w:rPr>
    </w:lvl>
    <w:lvl w:ilvl="7">
      <w:start w:val="1"/>
      <w:numFmt w:val="lowerLetter"/>
      <w:lvlText w:val="%8."/>
      <w:lvlJc w:val="left"/>
      <w:pPr>
        <w:ind w:left="5850" w:hanging="360"/>
      </w:pPr>
      <w:rPr>
        <w:rFonts w:hint="default"/>
      </w:rPr>
    </w:lvl>
    <w:lvl w:ilvl="8">
      <w:start w:val="1"/>
      <w:numFmt w:val="lowerRoman"/>
      <w:lvlText w:val="%9."/>
      <w:lvlJc w:val="right"/>
      <w:pPr>
        <w:ind w:left="6570" w:hanging="180"/>
      </w:pPr>
      <w:rPr>
        <w:rFonts w:hint="default"/>
      </w:rPr>
    </w:lvl>
  </w:abstractNum>
  <w:abstractNum w:abstractNumId="4" w15:restartNumberingAfterBreak="0">
    <w:nsid w:val="17320B6D"/>
    <w:multiLevelType w:val="multilevel"/>
    <w:tmpl w:val="0CEAB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5D6D9F"/>
    <w:multiLevelType w:val="multilevel"/>
    <w:tmpl w:val="DB9ED10A"/>
    <w:lvl w:ilvl="0">
      <w:start w:val="3"/>
      <w:numFmt w:val="decimal"/>
      <w:lvlText w:val="%1.4"/>
      <w:lvlJc w:val="left"/>
      <w:pPr>
        <w:ind w:left="360" w:hanging="360"/>
      </w:pPr>
      <w:rPr>
        <w:rFonts w:hint="default"/>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0941582"/>
    <w:multiLevelType w:val="multilevel"/>
    <w:tmpl w:val="B9EACD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25F5AFC"/>
    <w:multiLevelType w:val="hybridMultilevel"/>
    <w:tmpl w:val="80549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287C57CC"/>
    <w:multiLevelType w:val="hybridMultilevel"/>
    <w:tmpl w:val="9F505352"/>
    <w:lvl w:ilvl="0" w:tplc="BE764522">
      <w:start w:val="1"/>
      <w:numFmt w:val="decimal"/>
      <w:lvlText w:val="%1.2"/>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81E1561"/>
    <w:multiLevelType w:val="hybridMultilevel"/>
    <w:tmpl w:val="83E6AD92"/>
    <w:lvl w:ilvl="0" w:tplc="1C44E090">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AD37345"/>
    <w:multiLevelType w:val="multilevel"/>
    <w:tmpl w:val="64C8A4A2"/>
    <w:lvl w:ilvl="0">
      <w:start w:val="4"/>
      <w:numFmt w:val="decimal"/>
      <w:lvlText w:val="%1.3"/>
      <w:lvlJc w:val="left"/>
      <w:pPr>
        <w:ind w:left="360" w:hanging="360"/>
      </w:pPr>
      <w:rPr>
        <w:rFonts w:hint="default"/>
        <w:color w:val="5B9BD5" w:themeColor="accent1"/>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81042E8"/>
    <w:multiLevelType w:val="multilevel"/>
    <w:tmpl w:val="3F3AE4BE"/>
    <w:lvl w:ilvl="0">
      <w:start w:val="4"/>
      <w:numFmt w:val="decimal"/>
      <w:lvlText w:val="%1.4"/>
      <w:lvlJc w:val="left"/>
      <w:pPr>
        <w:ind w:left="360" w:hanging="360"/>
      </w:pPr>
      <w:rPr>
        <w:rFonts w:hint="default"/>
        <w:color w:val="5B9BD5" w:themeColor="accen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93C5758"/>
    <w:multiLevelType w:val="hybridMultilevel"/>
    <w:tmpl w:val="2D6A81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3A4157"/>
    <w:multiLevelType w:val="hybridMultilevel"/>
    <w:tmpl w:val="AD7042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5945951"/>
    <w:multiLevelType w:val="multilevel"/>
    <w:tmpl w:val="37F07C16"/>
    <w:lvl w:ilvl="0">
      <w:start w:val="4"/>
      <w:numFmt w:val="decimal"/>
      <w:lvlText w:val="%1.2"/>
      <w:lvlJc w:val="left"/>
      <w:pPr>
        <w:ind w:left="360" w:hanging="360"/>
      </w:pPr>
      <w:rPr>
        <w:rFonts w:hint="default"/>
        <w:color w:val="5B9BD5" w:themeColor="accen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86A2D2C"/>
    <w:multiLevelType w:val="multilevel"/>
    <w:tmpl w:val="8E549938"/>
    <w:lvl w:ilvl="0">
      <w:start w:val="1"/>
      <w:numFmt w:val="none"/>
      <w:lvlText w:val="6.3"/>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5AA360EE"/>
    <w:multiLevelType w:val="hybridMultilevel"/>
    <w:tmpl w:val="72DAB5CA"/>
    <w:lvl w:ilvl="0" w:tplc="39D4DC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6E2AE1"/>
    <w:multiLevelType w:val="hybridMultilevel"/>
    <w:tmpl w:val="F1B405EE"/>
    <w:lvl w:ilvl="0" w:tplc="39D4DC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BB78FB"/>
    <w:multiLevelType w:val="hybridMultilevel"/>
    <w:tmpl w:val="A434D1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CC7DB9"/>
    <w:multiLevelType w:val="multilevel"/>
    <w:tmpl w:val="6FD8262C"/>
    <w:lvl w:ilvl="0">
      <w:start w:val="1"/>
      <w:numFmt w:val="none"/>
      <w:lvlText w:val="1.3"/>
      <w:lvlJc w:val="left"/>
      <w:pPr>
        <w:ind w:left="360" w:hanging="360"/>
      </w:pPr>
      <w:rPr>
        <w:rFonts w:ascii="Times New Roman" w:hAnsi="Times New Roman" w:cs="Times New Roman" w:hint="default"/>
        <w:sz w:val="28"/>
      </w:rPr>
    </w:lvl>
    <w:lvl w:ilvl="1">
      <w:start w:val="1"/>
      <w:numFmt w:val="none"/>
      <w:lvlText w:val="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7556AE3"/>
    <w:multiLevelType w:val="multilevel"/>
    <w:tmpl w:val="9BC436FC"/>
    <w:lvl w:ilvl="0">
      <w:start w:val="4"/>
      <w:numFmt w:val="decimal"/>
      <w:lvlText w:val="%1.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CD5A18"/>
    <w:multiLevelType w:val="hybridMultilevel"/>
    <w:tmpl w:val="4E4AFA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A42B8D"/>
    <w:multiLevelType w:val="hybridMultilevel"/>
    <w:tmpl w:val="EA462B1A"/>
    <w:lvl w:ilvl="0" w:tplc="1300564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147D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C087D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8887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4CE1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DA96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1888F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64C8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C090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FE164C3"/>
    <w:multiLevelType w:val="multilevel"/>
    <w:tmpl w:val="B4B64F20"/>
    <w:lvl w:ilvl="0">
      <w:start w:val="3"/>
      <w:numFmt w:val="decimal"/>
      <w:lvlText w:val="%1.3"/>
      <w:lvlJc w:val="left"/>
      <w:pPr>
        <w:ind w:left="360" w:hanging="360"/>
      </w:pPr>
      <w:rPr>
        <w:rFonts w:hint="default"/>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8325F31"/>
    <w:multiLevelType w:val="multilevel"/>
    <w:tmpl w:val="96641C08"/>
    <w:lvl w:ilvl="0">
      <w:start w:val="1"/>
      <w:numFmt w:val="none"/>
      <w:lvlText w:val="1.4"/>
      <w:lvlJc w:val="left"/>
      <w:pPr>
        <w:ind w:left="360" w:hanging="360"/>
      </w:pPr>
      <w:rPr>
        <w:rFonts w:hint="default"/>
      </w:rPr>
    </w:lvl>
    <w:lvl w:ilvl="1">
      <w:start w:val="1"/>
      <w:numFmt w:val="none"/>
      <w:lvlText w:val="1.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C18657B"/>
    <w:multiLevelType w:val="hybridMultilevel"/>
    <w:tmpl w:val="375423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993B71"/>
    <w:multiLevelType w:val="hybridMultilevel"/>
    <w:tmpl w:val="4EDA7154"/>
    <w:lvl w:ilvl="0" w:tplc="1674D3B0">
      <w:start w:val="1"/>
      <w:numFmt w:val="decimal"/>
      <w:lvlText w:val="%1.2"/>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EEE3429"/>
    <w:multiLevelType w:val="hybridMultilevel"/>
    <w:tmpl w:val="9EAA7BC6"/>
    <w:lvl w:ilvl="0" w:tplc="4ED4A3CA">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F8F5F62"/>
    <w:multiLevelType w:val="multilevel"/>
    <w:tmpl w:val="0AC68C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9"/>
  </w:num>
  <w:num w:numId="3">
    <w:abstractNumId w:val="19"/>
  </w:num>
  <w:num w:numId="4">
    <w:abstractNumId w:val="4"/>
  </w:num>
  <w:num w:numId="5">
    <w:abstractNumId w:val="24"/>
  </w:num>
  <w:num w:numId="6">
    <w:abstractNumId w:val="22"/>
  </w:num>
  <w:num w:numId="7">
    <w:abstractNumId w:val="21"/>
  </w:num>
  <w:num w:numId="8">
    <w:abstractNumId w:val="18"/>
  </w:num>
  <w:num w:numId="9">
    <w:abstractNumId w:val="6"/>
  </w:num>
  <w:num w:numId="10">
    <w:abstractNumId w:val="28"/>
  </w:num>
  <w:num w:numId="11">
    <w:abstractNumId w:val="7"/>
  </w:num>
  <w:num w:numId="12">
    <w:abstractNumId w:val="26"/>
  </w:num>
  <w:num w:numId="13">
    <w:abstractNumId w:val="2"/>
  </w:num>
  <w:num w:numId="14">
    <w:abstractNumId w:val="20"/>
  </w:num>
  <w:num w:numId="15">
    <w:abstractNumId w:val="14"/>
  </w:num>
  <w:num w:numId="16">
    <w:abstractNumId w:val="10"/>
  </w:num>
  <w:num w:numId="17">
    <w:abstractNumId w:val="11"/>
  </w:num>
  <w:num w:numId="18">
    <w:abstractNumId w:val="1"/>
  </w:num>
  <w:num w:numId="19">
    <w:abstractNumId w:val="3"/>
  </w:num>
  <w:num w:numId="20">
    <w:abstractNumId w:val="15"/>
  </w:num>
  <w:num w:numId="21">
    <w:abstractNumId w:val="13"/>
  </w:num>
  <w:num w:numId="22">
    <w:abstractNumId w:val="25"/>
  </w:num>
  <w:num w:numId="23">
    <w:abstractNumId w:val="12"/>
  </w:num>
  <w:num w:numId="24">
    <w:abstractNumId w:val="0"/>
  </w:num>
  <w:num w:numId="25">
    <w:abstractNumId w:val="23"/>
  </w:num>
  <w:num w:numId="26">
    <w:abstractNumId w:val="5"/>
  </w:num>
  <w:num w:numId="27">
    <w:abstractNumId w:val="8"/>
  </w:num>
  <w:num w:numId="28">
    <w:abstractNumId w:val="17"/>
  </w:num>
  <w:num w:numId="29">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LewMLUwMzc1MTY0MzRQ0lEKTi0uzszPAykwrgUABK54zCwAAAA="/>
  </w:docVars>
  <w:rsids>
    <w:rsidRoot w:val="00DF3D7A"/>
    <w:rsid w:val="000063EA"/>
    <w:rsid w:val="0000715C"/>
    <w:rsid w:val="000207CA"/>
    <w:rsid w:val="00045434"/>
    <w:rsid w:val="0004556D"/>
    <w:rsid w:val="00075668"/>
    <w:rsid w:val="00085E00"/>
    <w:rsid w:val="00091E4F"/>
    <w:rsid w:val="000A2F94"/>
    <w:rsid w:val="000A36D7"/>
    <w:rsid w:val="000C7B61"/>
    <w:rsid w:val="000D441A"/>
    <w:rsid w:val="000E2280"/>
    <w:rsid w:val="000E6E7C"/>
    <w:rsid w:val="00106CEF"/>
    <w:rsid w:val="00111BB6"/>
    <w:rsid w:val="00113182"/>
    <w:rsid w:val="001140A6"/>
    <w:rsid w:val="00114AB2"/>
    <w:rsid w:val="00116196"/>
    <w:rsid w:val="00121F44"/>
    <w:rsid w:val="0012678E"/>
    <w:rsid w:val="00127366"/>
    <w:rsid w:val="00133AE8"/>
    <w:rsid w:val="0014422F"/>
    <w:rsid w:val="001472FE"/>
    <w:rsid w:val="001507BF"/>
    <w:rsid w:val="001863FA"/>
    <w:rsid w:val="00193FEC"/>
    <w:rsid w:val="001951F6"/>
    <w:rsid w:val="0019663B"/>
    <w:rsid w:val="001966F1"/>
    <w:rsid w:val="001A0F1D"/>
    <w:rsid w:val="001B789A"/>
    <w:rsid w:val="001C43E2"/>
    <w:rsid w:val="001D567E"/>
    <w:rsid w:val="001E2703"/>
    <w:rsid w:val="001E2BCD"/>
    <w:rsid w:val="001F4A37"/>
    <w:rsid w:val="002013D5"/>
    <w:rsid w:val="002131C7"/>
    <w:rsid w:val="00215A47"/>
    <w:rsid w:val="002232C3"/>
    <w:rsid w:val="00223621"/>
    <w:rsid w:val="002270FA"/>
    <w:rsid w:val="00235FEA"/>
    <w:rsid w:val="002360E4"/>
    <w:rsid w:val="00251064"/>
    <w:rsid w:val="00265416"/>
    <w:rsid w:val="002658C0"/>
    <w:rsid w:val="00282523"/>
    <w:rsid w:val="0028363C"/>
    <w:rsid w:val="002838B1"/>
    <w:rsid w:val="00286585"/>
    <w:rsid w:val="0029645F"/>
    <w:rsid w:val="002B1739"/>
    <w:rsid w:val="002D5026"/>
    <w:rsid w:val="002E336E"/>
    <w:rsid w:val="002E6325"/>
    <w:rsid w:val="002E64BA"/>
    <w:rsid w:val="002F139E"/>
    <w:rsid w:val="002F6AD8"/>
    <w:rsid w:val="00300F0B"/>
    <w:rsid w:val="0030341D"/>
    <w:rsid w:val="00310B7C"/>
    <w:rsid w:val="003148D2"/>
    <w:rsid w:val="00321843"/>
    <w:rsid w:val="003303BE"/>
    <w:rsid w:val="00330EA9"/>
    <w:rsid w:val="00332710"/>
    <w:rsid w:val="00333D4E"/>
    <w:rsid w:val="00336DF6"/>
    <w:rsid w:val="003455A7"/>
    <w:rsid w:val="00347FFD"/>
    <w:rsid w:val="00356F0B"/>
    <w:rsid w:val="003977AF"/>
    <w:rsid w:val="003A61D7"/>
    <w:rsid w:val="003A6E21"/>
    <w:rsid w:val="003A77FA"/>
    <w:rsid w:val="003B6600"/>
    <w:rsid w:val="003C6779"/>
    <w:rsid w:val="003F2868"/>
    <w:rsid w:val="004048BE"/>
    <w:rsid w:val="00405032"/>
    <w:rsid w:val="00417359"/>
    <w:rsid w:val="00420801"/>
    <w:rsid w:val="00422AF0"/>
    <w:rsid w:val="00423160"/>
    <w:rsid w:val="004236A6"/>
    <w:rsid w:val="004330E1"/>
    <w:rsid w:val="00434769"/>
    <w:rsid w:val="00440EDA"/>
    <w:rsid w:val="00447C69"/>
    <w:rsid w:val="004574D5"/>
    <w:rsid w:val="0046089C"/>
    <w:rsid w:val="00462807"/>
    <w:rsid w:val="00464523"/>
    <w:rsid w:val="004825A0"/>
    <w:rsid w:val="00485D1B"/>
    <w:rsid w:val="00486EEE"/>
    <w:rsid w:val="00487DB6"/>
    <w:rsid w:val="00490BA8"/>
    <w:rsid w:val="004971D4"/>
    <w:rsid w:val="004A0688"/>
    <w:rsid w:val="004A4D66"/>
    <w:rsid w:val="004A7EEE"/>
    <w:rsid w:val="004B4DB3"/>
    <w:rsid w:val="004D1065"/>
    <w:rsid w:val="004D3972"/>
    <w:rsid w:val="004E33E0"/>
    <w:rsid w:val="00503EA7"/>
    <w:rsid w:val="005204D5"/>
    <w:rsid w:val="00543C13"/>
    <w:rsid w:val="00554ABA"/>
    <w:rsid w:val="00560FD0"/>
    <w:rsid w:val="00564B50"/>
    <w:rsid w:val="0056768B"/>
    <w:rsid w:val="00570C83"/>
    <w:rsid w:val="00570D0F"/>
    <w:rsid w:val="00570FCE"/>
    <w:rsid w:val="00580BBC"/>
    <w:rsid w:val="00590073"/>
    <w:rsid w:val="00597D1A"/>
    <w:rsid w:val="005A0621"/>
    <w:rsid w:val="005B3360"/>
    <w:rsid w:val="005B4189"/>
    <w:rsid w:val="005D16D1"/>
    <w:rsid w:val="005F4502"/>
    <w:rsid w:val="005F674A"/>
    <w:rsid w:val="006005C5"/>
    <w:rsid w:val="00615F0C"/>
    <w:rsid w:val="00623431"/>
    <w:rsid w:val="0063158A"/>
    <w:rsid w:val="00643A27"/>
    <w:rsid w:val="00644967"/>
    <w:rsid w:val="0065475C"/>
    <w:rsid w:val="00656083"/>
    <w:rsid w:val="00675490"/>
    <w:rsid w:val="00687A63"/>
    <w:rsid w:val="00687D72"/>
    <w:rsid w:val="0069158F"/>
    <w:rsid w:val="00691BE9"/>
    <w:rsid w:val="006925E3"/>
    <w:rsid w:val="0069438D"/>
    <w:rsid w:val="00694607"/>
    <w:rsid w:val="0069736D"/>
    <w:rsid w:val="006A30D2"/>
    <w:rsid w:val="006A5AA6"/>
    <w:rsid w:val="006B1E7E"/>
    <w:rsid w:val="006B25B8"/>
    <w:rsid w:val="006B5C4A"/>
    <w:rsid w:val="006B7CC2"/>
    <w:rsid w:val="006C3FF2"/>
    <w:rsid w:val="006C5571"/>
    <w:rsid w:val="006C653D"/>
    <w:rsid w:val="006D3F47"/>
    <w:rsid w:val="006D4212"/>
    <w:rsid w:val="006E250D"/>
    <w:rsid w:val="006E2D20"/>
    <w:rsid w:val="006E2F00"/>
    <w:rsid w:val="006E46E9"/>
    <w:rsid w:val="006F6095"/>
    <w:rsid w:val="00702C12"/>
    <w:rsid w:val="00713014"/>
    <w:rsid w:val="007223A8"/>
    <w:rsid w:val="00722CC8"/>
    <w:rsid w:val="007336DC"/>
    <w:rsid w:val="0073376E"/>
    <w:rsid w:val="0073504E"/>
    <w:rsid w:val="007359F5"/>
    <w:rsid w:val="00736BCD"/>
    <w:rsid w:val="007666A5"/>
    <w:rsid w:val="00770207"/>
    <w:rsid w:val="007973CD"/>
    <w:rsid w:val="007A3AE5"/>
    <w:rsid w:val="007B0471"/>
    <w:rsid w:val="007B30DA"/>
    <w:rsid w:val="007C217B"/>
    <w:rsid w:val="007C2A66"/>
    <w:rsid w:val="007D3DBA"/>
    <w:rsid w:val="007E265B"/>
    <w:rsid w:val="007F2137"/>
    <w:rsid w:val="008016DF"/>
    <w:rsid w:val="00801775"/>
    <w:rsid w:val="0080249B"/>
    <w:rsid w:val="00805FE5"/>
    <w:rsid w:val="00807619"/>
    <w:rsid w:val="00807D45"/>
    <w:rsid w:val="00811F16"/>
    <w:rsid w:val="00817911"/>
    <w:rsid w:val="00817C17"/>
    <w:rsid w:val="008260A0"/>
    <w:rsid w:val="0083287D"/>
    <w:rsid w:val="00836842"/>
    <w:rsid w:val="008429F7"/>
    <w:rsid w:val="008757DA"/>
    <w:rsid w:val="00876980"/>
    <w:rsid w:val="008772F4"/>
    <w:rsid w:val="00882333"/>
    <w:rsid w:val="008A4ED5"/>
    <w:rsid w:val="008B11CD"/>
    <w:rsid w:val="008B74EE"/>
    <w:rsid w:val="008C071B"/>
    <w:rsid w:val="008C22B4"/>
    <w:rsid w:val="008C6B3C"/>
    <w:rsid w:val="008D6A68"/>
    <w:rsid w:val="008F0139"/>
    <w:rsid w:val="008F388F"/>
    <w:rsid w:val="008F4AF7"/>
    <w:rsid w:val="009055F4"/>
    <w:rsid w:val="0091131E"/>
    <w:rsid w:val="00914C59"/>
    <w:rsid w:val="0093174E"/>
    <w:rsid w:val="0093193A"/>
    <w:rsid w:val="00950125"/>
    <w:rsid w:val="0095264E"/>
    <w:rsid w:val="00955EC8"/>
    <w:rsid w:val="009570B0"/>
    <w:rsid w:val="00982CF0"/>
    <w:rsid w:val="00985C36"/>
    <w:rsid w:val="00987411"/>
    <w:rsid w:val="00993C1D"/>
    <w:rsid w:val="0099578C"/>
    <w:rsid w:val="00995862"/>
    <w:rsid w:val="00996935"/>
    <w:rsid w:val="009A7E1B"/>
    <w:rsid w:val="009C0B6D"/>
    <w:rsid w:val="009C224B"/>
    <w:rsid w:val="009C5CCE"/>
    <w:rsid w:val="009C6D13"/>
    <w:rsid w:val="009E5271"/>
    <w:rsid w:val="009F7307"/>
    <w:rsid w:val="00A07DA2"/>
    <w:rsid w:val="00A14D1D"/>
    <w:rsid w:val="00A23ECB"/>
    <w:rsid w:val="00A24500"/>
    <w:rsid w:val="00A267CE"/>
    <w:rsid w:val="00A4108A"/>
    <w:rsid w:val="00A4588F"/>
    <w:rsid w:val="00A46CA9"/>
    <w:rsid w:val="00A61773"/>
    <w:rsid w:val="00A70F64"/>
    <w:rsid w:val="00A74EEE"/>
    <w:rsid w:val="00A76D5C"/>
    <w:rsid w:val="00A927CA"/>
    <w:rsid w:val="00AA10B0"/>
    <w:rsid w:val="00AB01B3"/>
    <w:rsid w:val="00AD013F"/>
    <w:rsid w:val="00AD046C"/>
    <w:rsid w:val="00AD08C1"/>
    <w:rsid w:val="00AD4ED7"/>
    <w:rsid w:val="00AD70DF"/>
    <w:rsid w:val="00AF3996"/>
    <w:rsid w:val="00AF74D0"/>
    <w:rsid w:val="00B02AC9"/>
    <w:rsid w:val="00B16906"/>
    <w:rsid w:val="00B1757F"/>
    <w:rsid w:val="00B35A42"/>
    <w:rsid w:val="00B41A20"/>
    <w:rsid w:val="00B42291"/>
    <w:rsid w:val="00B44C3A"/>
    <w:rsid w:val="00B622DE"/>
    <w:rsid w:val="00B91E20"/>
    <w:rsid w:val="00BA0AAA"/>
    <w:rsid w:val="00BA157C"/>
    <w:rsid w:val="00BB19B7"/>
    <w:rsid w:val="00BB33EB"/>
    <w:rsid w:val="00BB4930"/>
    <w:rsid w:val="00BB7052"/>
    <w:rsid w:val="00BC2A16"/>
    <w:rsid w:val="00BC3E28"/>
    <w:rsid w:val="00BD730F"/>
    <w:rsid w:val="00BE019D"/>
    <w:rsid w:val="00BF4867"/>
    <w:rsid w:val="00BF77BD"/>
    <w:rsid w:val="00C0730C"/>
    <w:rsid w:val="00C267AF"/>
    <w:rsid w:val="00C30989"/>
    <w:rsid w:val="00C32F1B"/>
    <w:rsid w:val="00C343A7"/>
    <w:rsid w:val="00C3775C"/>
    <w:rsid w:val="00C40FF2"/>
    <w:rsid w:val="00C44205"/>
    <w:rsid w:val="00C5098E"/>
    <w:rsid w:val="00C535B8"/>
    <w:rsid w:val="00C55B71"/>
    <w:rsid w:val="00C62AA0"/>
    <w:rsid w:val="00C7424A"/>
    <w:rsid w:val="00C757DB"/>
    <w:rsid w:val="00C823CC"/>
    <w:rsid w:val="00C911D0"/>
    <w:rsid w:val="00C9227F"/>
    <w:rsid w:val="00C952D9"/>
    <w:rsid w:val="00C95E76"/>
    <w:rsid w:val="00CD4777"/>
    <w:rsid w:val="00CD680E"/>
    <w:rsid w:val="00CE569A"/>
    <w:rsid w:val="00D061F7"/>
    <w:rsid w:val="00D10D44"/>
    <w:rsid w:val="00D1203F"/>
    <w:rsid w:val="00D136FF"/>
    <w:rsid w:val="00D245BB"/>
    <w:rsid w:val="00D32216"/>
    <w:rsid w:val="00D36694"/>
    <w:rsid w:val="00D409D8"/>
    <w:rsid w:val="00D4208F"/>
    <w:rsid w:val="00D43CFA"/>
    <w:rsid w:val="00D46E36"/>
    <w:rsid w:val="00D529CF"/>
    <w:rsid w:val="00D627AB"/>
    <w:rsid w:val="00D8674F"/>
    <w:rsid w:val="00D97BAA"/>
    <w:rsid w:val="00DB5667"/>
    <w:rsid w:val="00DC5A82"/>
    <w:rsid w:val="00DC5DEF"/>
    <w:rsid w:val="00DE79D2"/>
    <w:rsid w:val="00DF3D7A"/>
    <w:rsid w:val="00DF3E67"/>
    <w:rsid w:val="00E20282"/>
    <w:rsid w:val="00E31AFC"/>
    <w:rsid w:val="00E44A63"/>
    <w:rsid w:val="00E53824"/>
    <w:rsid w:val="00E61344"/>
    <w:rsid w:val="00E723AF"/>
    <w:rsid w:val="00E738B8"/>
    <w:rsid w:val="00E87B56"/>
    <w:rsid w:val="00EA332B"/>
    <w:rsid w:val="00EA3AF2"/>
    <w:rsid w:val="00EA550D"/>
    <w:rsid w:val="00EC2453"/>
    <w:rsid w:val="00EC3297"/>
    <w:rsid w:val="00ED33D8"/>
    <w:rsid w:val="00EE7580"/>
    <w:rsid w:val="00EF0244"/>
    <w:rsid w:val="00EF25B7"/>
    <w:rsid w:val="00EF2D36"/>
    <w:rsid w:val="00F0422B"/>
    <w:rsid w:val="00F14DCE"/>
    <w:rsid w:val="00F30895"/>
    <w:rsid w:val="00F353EC"/>
    <w:rsid w:val="00F43909"/>
    <w:rsid w:val="00F4455B"/>
    <w:rsid w:val="00F6677E"/>
    <w:rsid w:val="00F72281"/>
    <w:rsid w:val="00F7482A"/>
    <w:rsid w:val="00F82F3D"/>
    <w:rsid w:val="00F873A1"/>
    <w:rsid w:val="00F957C2"/>
    <w:rsid w:val="00F965BC"/>
    <w:rsid w:val="00FA3E44"/>
    <w:rsid w:val="00FA745F"/>
    <w:rsid w:val="00FB11FD"/>
    <w:rsid w:val="00FB319C"/>
    <w:rsid w:val="00FD1E28"/>
    <w:rsid w:val="00FD2068"/>
    <w:rsid w:val="00FD6F23"/>
    <w:rsid w:val="00FE3C33"/>
    <w:rsid w:val="00FE3D65"/>
    <w:rsid w:val="00FE45A8"/>
    <w:rsid w:val="00FE46A5"/>
    <w:rsid w:val="00FF3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2381A"/>
  <w15:chartTrackingRefBased/>
  <w15:docId w15:val="{FFFEE4AD-A787-4929-989E-A95B34C89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757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27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B11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00F0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330E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D7A"/>
    <w:rPr>
      <w:color w:val="0000FF"/>
      <w:u w:val="single"/>
    </w:rPr>
  </w:style>
  <w:style w:type="paragraph" w:styleId="NormalWeb">
    <w:name w:val="Normal (Web)"/>
    <w:basedOn w:val="Normal"/>
    <w:uiPriority w:val="99"/>
    <w:unhideWhenUsed/>
    <w:rsid w:val="00DF3D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rl">
    <w:name w:val="url"/>
    <w:basedOn w:val="DefaultParagraphFont"/>
    <w:rsid w:val="00DF3D7A"/>
  </w:style>
  <w:style w:type="character" w:customStyle="1" w:styleId="Heading1Char">
    <w:name w:val="Heading 1 Char"/>
    <w:basedOn w:val="DefaultParagraphFont"/>
    <w:link w:val="Heading1"/>
    <w:uiPriority w:val="9"/>
    <w:rsid w:val="00C757D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FB11FD"/>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570D0F"/>
    <w:rPr>
      <w:b/>
      <w:bCs/>
    </w:rPr>
  </w:style>
  <w:style w:type="table" w:styleId="TableGrid">
    <w:name w:val="Table Grid"/>
    <w:basedOn w:val="TableNormal"/>
    <w:uiPriority w:val="99"/>
    <w:unhideWhenUsed/>
    <w:rsid w:val="00E44A6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434769"/>
    <w:rPr>
      <w:rFonts w:ascii="Calibri" w:hAnsi="Calibri" w:cs="Calibri" w:hint="default"/>
    </w:rPr>
  </w:style>
  <w:style w:type="character" w:customStyle="1" w:styleId="16">
    <w:name w:val="16"/>
    <w:basedOn w:val="DefaultParagraphFont"/>
    <w:rsid w:val="00434769"/>
    <w:rPr>
      <w:rFonts w:ascii="Calibri" w:hAnsi="Calibri" w:cs="Calibri" w:hint="default"/>
    </w:rPr>
  </w:style>
  <w:style w:type="character" w:customStyle="1" w:styleId="17">
    <w:name w:val="17"/>
    <w:basedOn w:val="DefaultParagraphFont"/>
    <w:rsid w:val="00434769"/>
    <w:rPr>
      <w:rFonts w:ascii="Calibri" w:hAnsi="Calibri" w:cs="Calibri" w:hint="default"/>
    </w:rPr>
  </w:style>
  <w:style w:type="character" w:customStyle="1" w:styleId="Heading2Char">
    <w:name w:val="Heading 2 Char"/>
    <w:basedOn w:val="DefaultParagraphFont"/>
    <w:link w:val="Heading2"/>
    <w:uiPriority w:val="9"/>
    <w:rsid w:val="001E2703"/>
    <w:rPr>
      <w:rFonts w:asciiTheme="majorHAnsi" w:eastAsiaTheme="majorEastAsia" w:hAnsiTheme="majorHAnsi" w:cstheme="majorBidi"/>
      <w:color w:val="2E74B5" w:themeColor="accent1" w:themeShade="BF"/>
      <w:sz w:val="26"/>
      <w:szCs w:val="26"/>
    </w:rPr>
  </w:style>
  <w:style w:type="character" w:customStyle="1" w:styleId="oxzekf">
    <w:name w:val="oxzekf"/>
    <w:basedOn w:val="DefaultParagraphFont"/>
    <w:rsid w:val="0000715C"/>
  </w:style>
  <w:style w:type="paragraph" w:customStyle="1" w:styleId="paragraph">
    <w:name w:val="paragraph"/>
    <w:basedOn w:val="Normal"/>
    <w:rsid w:val="004645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4330E1"/>
    <w:rPr>
      <w:rFonts w:asciiTheme="majorHAnsi" w:eastAsiaTheme="majorEastAsia" w:hAnsiTheme="majorHAnsi" w:cstheme="majorBidi"/>
      <w:color w:val="2E74B5" w:themeColor="accent1" w:themeShade="BF"/>
    </w:rPr>
  </w:style>
  <w:style w:type="character" w:customStyle="1" w:styleId="overflow-hidden">
    <w:name w:val="overflow-hidden"/>
    <w:basedOn w:val="DefaultParagraphFont"/>
    <w:rsid w:val="004330E1"/>
  </w:style>
  <w:style w:type="character" w:customStyle="1" w:styleId="Heading4Char">
    <w:name w:val="Heading 4 Char"/>
    <w:basedOn w:val="DefaultParagraphFont"/>
    <w:link w:val="Heading4"/>
    <w:uiPriority w:val="9"/>
    <w:rsid w:val="00300F0B"/>
    <w:rPr>
      <w:rFonts w:asciiTheme="majorHAnsi" w:eastAsiaTheme="majorEastAsia" w:hAnsiTheme="majorHAnsi" w:cstheme="majorBidi"/>
      <w:i/>
      <w:iCs/>
      <w:color w:val="2E74B5" w:themeColor="accent1" w:themeShade="BF"/>
    </w:rPr>
  </w:style>
  <w:style w:type="paragraph" w:customStyle="1" w:styleId="ds-markdown-paragraph">
    <w:name w:val="ds-markdown-paragraph"/>
    <w:basedOn w:val="Normal"/>
    <w:rsid w:val="00300F0B"/>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423160"/>
    <w:pPr>
      <w:spacing w:after="0" w:line="480" w:lineRule="auto"/>
      <w:ind w:left="720" w:hanging="720"/>
    </w:pPr>
  </w:style>
  <w:style w:type="character" w:customStyle="1" w:styleId="cite-bracket">
    <w:name w:val="cite-bracket"/>
    <w:basedOn w:val="DefaultParagraphFont"/>
    <w:rsid w:val="00310B7C"/>
  </w:style>
  <w:style w:type="character" w:customStyle="1" w:styleId="relative">
    <w:name w:val="relative"/>
    <w:basedOn w:val="DefaultParagraphFont"/>
    <w:rsid w:val="009C0B6D"/>
  </w:style>
  <w:style w:type="paragraph" w:styleId="ListParagraph">
    <w:name w:val="List Paragraph"/>
    <w:basedOn w:val="Normal"/>
    <w:uiPriority w:val="34"/>
    <w:qFormat/>
    <w:rsid w:val="00807619"/>
    <w:pPr>
      <w:ind w:left="720"/>
      <w:contextualSpacing/>
    </w:pPr>
  </w:style>
  <w:style w:type="paragraph" w:customStyle="1" w:styleId="tw-antialiased">
    <w:name w:val="tw-antialiased"/>
    <w:basedOn w:val="Normal"/>
    <w:rsid w:val="002F139E"/>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32216"/>
    <w:pPr>
      <w:spacing w:after="0" w:line="240" w:lineRule="auto"/>
    </w:pPr>
  </w:style>
  <w:style w:type="character" w:styleId="HTMLCode">
    <w:name w:val="HTML Code"/>
    <w:basedOn w:val="DefaultParagraphFont"/>
    <w:uiPriority w:val="99"/>
    <w:semiHidden/>
    <w:unhideWhenUsed/>
    <w:rsid w:val="00C3775C"/>
    <w:rPr>
      <w:rFonts w:ascii="Courier New" w:eastAsia="Times New Roman" w:hAnsi="Courier New" w:cs="Courier New"/>
      <w:sz w:val="20"/>
      <w:szCs w:val="20"/>
    </w:rPr>
  </w:style>
  <w:style w:type="character" w:customStyle="1" w:styleId="sr-only">
    <w:name w:val="sr-only"/>
    <w:basedOn w:val="DefaultParagraphFont"/>
    <w:rsid w:val="0073504E"/>
  </w:style>
  <w:style w:type="paragraph" w:styleId="z-TopofForm">
    <w:name w:val="HTML Top of Form"/>
    <w:basedOn w:val="Normal"/>
    <w:next w:val="Normal"/>
    <w:link w:val="z-TopofFormChar"/>
    <w:hidden/>
    <w:uiPriority w:val="99"/>
    <w:semiHidden/>
    <w:unhideWhenUsed/>
    <w:rsid w:val="0073504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3504E"/>
    <w:rPr>
      <w:rFonts w:ascii="Arial" w:eastAsia="Times New Roman" w:hAnsi="Arial" w:cs="Arial"/>
      <w:vanish/>
      <w:sz w:val="16"/>
      <w:szCs w:val="16"/>
    </w:rPr>
  </w:style>
  <w:style w:type="paragraph" w:customStyle="1" w:styleId="placeholder">
    <w:name w:val="placeholder"/>
    <w:basedOn w:val="Normal"/>
    <w:rsid w:val="007350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15">
    <w:name w:val="ms-1.5"/>
    <w:basedOn w:val="DefaultParagraphFont"/>
    <w:rsid w:val="0073504E"/>
  </w:style>
  <w:style w:type="paragraph" w:styleId="z-BottomofForm">
    <w:name w:val="HTML Bottom of Form"/>
    <w:basedOn w:val="Normal"/>
    <w:next w:val="Normal"/>
    <w:link w:val="z-BottomofFormChar"/>
    <w:hidden/>
    <w:uiPriority w:val="99"/>
    <w:semiHidden/>
    <w:unhideWhenUsed/>
    <w:rsid w:val="0073504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3504E"/>
    <w:rPr>
      <w:rFonts w:ascii="Arial" w:eastAsia="Times New Roman" w:hAnsi="Arial" w:cs="Arial"/>
      <w:vanish/>
      <w:sz w:val="16"/>
      <w:szCs w:val="16"/>
    </w:rPr>
  </w:style>
  <w:style w:type="character" w:styleId="PlaceholderText">
    <w:name w:val="Placeholder Text"/>
    <w:basedOn w:val="DefaultParagraphFont"/>
    <w:uiPriority w:val="99"/>
    <w:semiHidden/>
    <w:rsid w:val="00B02AC9"/>
    <w:rPr>
      <w:color w:val="808080"/>
    </w:rPr>
  </w:style>
  <w:style w:type="character" w:customStyle="1" w:styleId="mord">
    <w:name w:val="mord"/>
    <w:basedOn w:val="DefaultParagraphFont"/>
    <w:rsid w:val="00C95E76"/>
  </w:style>
  <w:style w:type="character" w:customStyle="1" w:styleId="vlist-s">
    <w:name w:val="vlist-s"/>
    <w:basedOn w:val="DefaultParagraphFont"/>
    <w:rsid w:val="00C95E76"/>
  </w:style>
  <w:style w:type="character" w:customStyle="1" w:styleId="mrel">
    <w:name w:val="mrel"/>
    <w:basedOn w:val="DefaultParagraphFont"/>
    <w:rsid w:val="00C95E76"/>
  </w:style>
  <w:style w:type="character" w:customStyle="1" w:styleId="mbin">
    <w:name w:val="mbin"/>
    <w:basedOn w:val="DefaultParagraphFont"/>
    <w:rsid w:val="00C95E76"/>
  </w:style>
  <w:style w:type="character" w:customStyle="1" w:styleId="mop">
    <w:name w:val="mop"/>
    <w:basedOn w:val="DefaultParagraphFont"/>
    <w:rsid w:val="00C95E76"/>
  </w:style>
  <w:style w:type="character" w:customStyle="1" w:styleId="delimsizing">
    <w:name w:val="delimsizing"/>
    <w:basedOn w:val="DefaultParagraphFont"/>
    <w:rsid w:val="00C95E76"/>
  </w:style>
  <w:style w:type="table" w:styleId="PlainTable4">
    <w:name w:val="Plain Table 4"/>
    <w:basedOn w:val="TableNormal"/>
    <w:uiPriority w:val="44"/>
    <w:rsid w:val="00560FD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560F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60FD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560FD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560FD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1F4A37"/>
    <w:rPr>
      <w:sz w:val="16"/>
      <w:szCs w:val="16"/>
    </w:rPr>
  </w:style>
  <w:style w:type="paragraph" w:styleId="CommentText">
    <w:name w:val="annotation text"/>
    <w:basedOn w:val="Normal"/>
    <w:link w:val="CommentTextChar"/>
    <w:uiPriority w:val="99"/>
    <w:semiHidden/>
    <w:unhideWhenUsed/>
    <w:rsid w:val="001F4A37"/>
    <w:pPr>
      <w:spacing w:line="240" w:lineRule="auto"/>
    </w:pPr>
    <w:rPr>
      <w:sz w:val="20"/>
      <w:szCs w:val="20"/>
    </w:rPr>
  </w:style>
  <w:style w:type="character" w:customStyle="1" w:styleId="CommentTextChar">
    <w:name w:val="Comment Text Char"/>
    <w:basedOn w:val="DefaultParagraphFont"/>
    <w:link w:val="CommentText"/>
    <w:uiPriority w:val="99"/>
    <w:semiHidden/>
    <w:rsid w:val="001F4A37"/>
    <w:rPr>
      <w:sz w:val="20"/>
      <w:szCs w:val="20"/>
    </w:rPr>
  </w:style>
  <w:style w:type="paragraph" w:styleId="CommentSubject">
    <w:name w:val="annotation subject"/>
    <w:basedOn w:val="CommentText"/>
    <w:next w:val="CommentText"/>
    <w:link w:val="CommentSubjectChar"/>
    <w:uiPriority w:val="99"/>
    <w:semiHidden/>
    <w:unhideWhenUsed/>
    <w:rsid w:val="001F4A37"/>
    <w:rPr>
      <w:b/>
      <w:bCs/>
    </w:rPr>
  </w:style>
  <w:style w:type="character" w:customStyle="1" w:styleId="CommentSubjectChar">
    <w:name w:val="Comment Subject Char"/>
    <w:basedOn w:val="CommentTextChar"/>
    <w:link w:val="CommentSubject"/>
    <w:uiPriority w:val="99"/>
    <w:semiHidden/>
    <w:rsid w:val="001F4A37"/>
    <w:rPr>
      <w:b/>
      <w:bCs/>
      <w:sz w:val="20"/>
      <w:szCs w:val="20"/>
    </w:rPr>
  </w:style>
  <w:style w:type="paragraph" w:styleId="BalloonText">
    <w:name w:val="Balloon Text"/>
    <w:basedOn w:val="Normal"/>
    <w:link w:val="BalloonTextChar"/>
    <w:uiPriority w:val="99"/>
    <w:semiHidden/>
    <w:unhideWhenUsed/>
    <w:rsid w:val="001F4A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A37"/>
    <w:rPr>
      <w:rFonts w:ascii="Segoe UI" w:hAnsi="Segoe UI" w:cs="Segoe UI"/>
      <w:sz w:val="18"/>
      <w:szCs w:val="18"/>
    </w:rPr>
  </w:style>
  <w:style w:type="paragraph" w:customStyle="1" w:styleId="ng-star-inserted">
    <w:name w:val="ng-star-inserted"/>
    <w:basedOn w:val="Normal"/>
    <w:rsid w:val="00BB70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1">
    <w:name w:val="ng-star-inserted1"/>
    <w:basedOn w:val="DefaultParagraphFont"/>
    <w:rsid w:val="00BB7052"/>
  </w:style>
  <w:style w:type="paragraph" w:styleId="HTMLPreformatted">
    <w:name w:val="HTML Preformatted"/>
    <w:basedOn w:val="Normal"/>
    <w:link w:val="HTMLPreformattedChar"/>
    <w:uiPriority w:val="99"/>
    <w:semiHidden/>
    <w:unhideWhenUsed/>
    <w:rsid w:val="00BB7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B7052"/>
    <w:rPr>
      <w:rFonts w:ascii="Courier New" w:eastAsia="Times New Roman" w:hAnsi="Courier New" w:cs="Courier New"/>
      <w:sz w:val="20"/>
      <w:szCs w:val="20"/>
    </w:rPr>
  </w:style>
  <w:style w:type="character" w:customStyle="1" w:styleId="katex-mathml">
    <w:name w:val="katex-mathml"/>
    <w:basedOn w:val="DefaultParagraphFont"/>
    <w:rsid w:val="00BB7052"/>
  </w:style>
  <w:style w:type="table" w:styleId="GridTable4-Accent5">
    <w:name w:val="Grid Table 4 Accent 5"/>
    <w:basedOn w:val="TableNormal"/>
    <w:uiPriority w:val="49"/>
    <w:rsid w:val="002E632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1Light-Accent2">
    <w:name w:val="Grid Table 1 Light Accent 2"/>
    <w:basedOn w:val="TableNormal"/>
    <w:uiPriority w:val="46"/>
    <w:rsid w:val="002E632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C535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1">
    <w:name w:val="Grid Table 4 Accent 1"/>
    <w:basedOn w:val="TableNormal"/>
    <w:uiPriority w:val="49"/>
    <w:rsid w:val="00C535B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inline-code">
    <w:name w:val="inline-code"/>
    <w:basedOn w:val="DefaultParagraphFont"/>
    <w:rsid w:val="003148D2"/>
  </w:style>
  <w:style w:type="table" w:styleId="GridTable4">
    <w:name w:val="Grid Table 4"/>
    <w:basedOn w:val="TableNormal"/>
    <w:uiPriority w:val="49"/>
    <w:rsid w:val="0095012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95012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501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F4455B"/>
    <w:pPr>
      <w:spacing w:after="200" w:line="240" w:lineRule="auto"/>
    </w:pPr>
    <w:rPr>
      <w:i/>
      <w:iCs/>
      <w:color w:val="44546A" w:themeColor="text2"/>
      <w:sz w:val="18"/>
      <w:szCs w:val="18"/>
    </w:rPr>
  </w:style>
  <w:style w:type="paragraph" w:styleId="Header">
    <w:name w:val="header"/>
    <w:basedOn w:val="Normal"/>
    <w:link w:val="HeaderChar"/>
    <w:uiPriority w:val="99"/>
    <w:unhideWhenUsed/>
    <w:rsid w:val="00D46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36"/>
  </w:style>
  <w:style w:type="paragraph" w:styleId="Footer">
    <w:name w:val="footer"/>
    <w:basedOn w:val="Normal"/>
    <w:link w:val="FooterChar"/>
    <w:uiPriority w:val="99"/>
    <w:unhideWhenUsed/>
    <w:rsid w:val="00D46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36"/>
  </w:style>
  <w:style w:type="paragraph" w:styleId="TOCHeading">
    <w:name w:val="TOC Heading"/>
    <w:basedOn w:val="Heading1"/>
    <w:next w:val="Normal"/>
    <w:uiPriority w:val="39"/>
    <w:unhideWhenUsed/>
    <w:qFormat/>
    <w:rsid w:val="00D46E36"/>
    <w:pPr>
      <w:outlineLvl w:val="9"/>
    </w:pPr>
  </w:style>
  <w:style w:type="paragraph" w:styleId="TOC1">
    <w:name w:val="toc 1"/>
    <w:basedOn w:val="Normal"/>
    <w:next w:val="Normal"/>
    <w:autoRedefine/>
    <w:uiPriority w:val="39"/>
    <w:unhideWhenUsed/>
    <w:rsid w:val="00D46E36"/>
    <w:pPr>
      <w:spacing w:after="100"/>
    </w:pPr>
  </w:style>
  <w:style w:type="paragraph" w:styleId="TOC2">
    <w:name w:val="toc 2"/>
    <w:basedOn w:val="Normal"/>
    <w:next w:val="Normal"/>
    <w:autoRedefine/>
    <w:uiPriority w:val="39"/>
    <w:unhideWhenUsed/>
    <w:rsid w:val="00D46E36"/>
    <w:pPr>
      <w:spacing w:after="100"/>
      <w:ind w:left="220"/>
    </w:pPr>
  </w:style>
  <w:style w:type="paragraph" w:styleId="TOC3">
    <w:name w:val="toc 3"/>
    <w:basedOn w:val="Normal"/>
    <w:next w:val="Normal"/>
    <w:autoRedefine/>
    <w:uiPriority w:val="39"/>
    <w:unhideWhenUsed/>
    <w:rsid w:val="00D46E36"/>
    <w:pPr>
      <w:spacing w:after="100"/>
      <w:ind w:left="440"/>
    </w:pPr>
  </w:style>
  <w:style w:type="paragraph" w:styleId="TableofFigures">
    <w:name w:val="table of figures"/>
    <w:basedOn w:val="Normal"/>
    <w:next w:val="Normal"/>
    <w:uiPriority w:val="99"/>
    <w:unhideWhenUsed/>
    <w:rsid w:val="006D4212"/>
    <w:pPr>
      <w:spacing w:after="120" w:line="276"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2172">
      <w:bodyDiv w:val="1"/>
      <w:marLeft w:val="0"/>
      <w:marRight w:val="0"/>
      <w:marTop w:val="0"/>
      <w:marBottom w:val="0"/>
      <w:divBdr>
        <w:top w:val="none" w:sz="0" w:space="0" w:color="auto"/>
        <w:left w:val="none" w:sz="0" w:space="0" w:color="auto"/>
        <w:bottom w:val="none" w:sz="0" w:space="0" w:color="auto"/>
        <w:right w:val="none" w:sz="0" w:space="0" w:color="auto"/>
      </w:divBdr>
    </w:div>
    <w:div w:id="4792223">
      <w:bodyDiv w:val="1"/>
      <w:marLeft w:val="0"/>
      <w:marRight w:val="0"/>
      <w:marTop w:val="0"/>
      <w:marBottom w:val="0"/>
      <w:divBdr>
        <w:top w:val="none" w:sz="0" w:space="0" w:color="auto"/>
        <w:left w:val="none" w:sz="0" w:space="0" w:color="auto"/>
        <w:bottom w:val="none" w:sz="0" w:space="0" w:color="auto"/>
        <w:right w:val="none" w:sz="0" w:space="0" w:color="auto"/>
      </w:divBdr>
      <w:divsChild>
        <w:div w:id="563106361">
          <w:marLeft w:val="0"/>
          <w:marRight w:val="0"/>
          <w:marTop w:val="0"/>
          <w:marBottom w:val="0"/>
          <w:divBdr>
            <w:top w:val="none" w:sz="0" w:space="0" w:color="auto"/>
            <w:left w:val="none" w:sz="0" w:space="0" w:color="auto"/>
            <w:bottom w:val="none" w:sz="0" w:space="0" w:color="auto"/>
            <w:right w:val="none" w:sz="0" w:space="0" w:color="auto"/>
          </w:divBdr>
          <w:divsChild>
            <w:div w:id="59406579">
              <w:marLeft w:val="0"/>
              <w:marRight w:val="0"/>
              <w:marTop w:val="0"/>
              <w:marBottom w:val="0"/>
              <w:divBdr>
                <w:top w:val="none" w:sz="0" w:space="0" w:color="auto"/>
                <w:left w:val="none" w:sz="0" w:space="0" w:color="auto"/>
                <w:bottom w:val="none" w:sz="0" w:space="0" w:color="auto"/>
                <w:right w:val="none" w:sz="0" w:space="0" w:color="auto"/>
              </w:divBdr>
            </w:div>
          </w:divsChild>
        </w:div>
        <w:div w:id="1925331522">
          <w:marLeft w:val="0"/>
          <w:marRight w:val="0"/>
          <w:marTop w:val="0"/>
          <w:marBottom w:val="0"/>
          <w:divBdr>
            <w:top w:val="none" w:sz="0" w:space="0" w:color="auto"/>
            <w:left w:val="none" w:sz="0" w:space="0" w:color="auto"/>
            <w:bottom w:val="none" w:sz="0" w:space="0" w:color="auto"/>
            <w:right w:val="none" w:sz="0" w:space="0" w:color="auto"/>
          </w:divBdr>
          <w:divsChild>
            <w:div w:id="17076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9117">
      <w:bodyDiv w:val="1"/>
      <w:marLeft w:val="0"/>
      <w:marRight w:val="0"/>
      <w:marTop w:val="0"/>
      <w:marBottom w:val="0"/>
      <w:divBdr>
        <w:top w:val="none" w:sz="0" w:space="0" w:color="auto"/>
        <w:left w:val="none" w:sz="0" w:space="0" w:color="auto"/>
        <w:bottom w:val="none" w:sz="0" w:space="0" w:color="auto"/>
        <w:right w:val="none" w:sz="0" w:space="0" w:color="auto"/>
      </w:divBdr>
    </w:div>
    <w:div w:id="66265503">
      <w:bodyDiv w:val="1"/>
      <w:marLeft w:val="0"/>
      <w:marRight w:val="0"/>
      <w:marTop w:val="0"/>
      <w:marBottom w:val="0"/>
      <w:divBdr>
        <w:top w:val="none" w:sz="0" w:space="0" w:color="auto"/>
        <w:left w:val="none" w:sz="0" w:space="0" w:color="auto"/>
        <w:bottom w:val="none" w:sz="0" w:space="0" w:color="auto"/>
        <w:right w:val="none" w:sz="0" w:space="0" w:color="auto"/>
      </w:divBdr>
    </w:div>
    <w:div w:id="87510306">
      <w:bodyDiv w:val="1"/>
      <w:marLeft w:val="0"/>
      <w:marRight w:val="0"/>
      <w:marTop w:val="0"/>
      <w:marBottom w:val="0"/>
      <w:divBdr>
        <w:top w:val="none" w:sz="0" w:space="0" w:color="auto"/>
        <w:left w:val="none" w:sz="0" w:space="0" w:color="auto"/>
        <w:bottom w:val="none" w:sz="0" w:space="0" w:color="auto"/>
        <w:right w:val="none" w:sz="0" w:space="0" w:color="auto"/>
      </w:divBdr>
      <w:divsChild>
        <w:div w:id="697396262">
          <w:marLeft w:val="0"/>
          <w:marRight w:val="0"/>
          <w:marTop w:val="0"/>
          <w:marBottom w:val="0"/>
          <w:divBdr>
            <w:top w:val="none" w:sz="0" w:space="0" w:color="auto"/>
            <w:left w:val="none" w:sz="0" w:space="0" w:color="auto"/>
            <w:bottom w:val="none" w:sz="0" w:space="0" w:color="auto"/>
            <w:right w:val="none" w:sz="0" w:space="0" w:color="auto"/>
          </w:divBdr>
          <w:divsChild>
            <w:div w:id="792789093">
              <w:marLeft w:val="0"/>
              <w:marRight w:val="0"/>
              <w:marTop w:val="0"/>
              <w:marBottom w:val="0"/>
              <w:divBdr>
                <w:top w:val="none" w:sz="0" w:space="0" w:color="auto"/>
                <w:left w:val="none" w:sz="0" w:space="0" w:color="auto"/>
                <w:bottom w:val="none" w:sz="0" w:space="0" w:color="auto"/>
                <w:right w:val="none" w:sz="0" w:space="0" w:color="auto"/>
              </w:divBdr>
            </w:div>
          </w:divsChild>
        </w:div>
        <w:div w:id="1818571507">
          <w:marLeft w:val="0"/>
          <w:marRight w:val="0"/>
          <w:marTop w:val="0"/>
          <w:marBottom w:val="0"/>
          <w:divBdr>
            <w:top w:val="none" w:sz="0" w:space="0" w:color="auto"/>
            <w:left w:val="none" w:sz="0" w:space="0" w:color="auto"/>
            <w:bottom w:val="none" w:sz="0" w:space="0" w:color="auto"/>
            <w:right w:val="none" w:sz="0" w:space="0" w:color="auto"/>
          </w:divBdr>
          <w:divsChild>
            <w:div w:id="15113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4316">
      <w:bodyDiv w:val="1"/>
      <w:marLeft w:val="0"/>
      <w:marRight w:val="0"/>
      <w:marTop w:val="0"/>
      <w:marBottom w:val="0"/>
      <w:divBdr>
        <w:top w:val="none" w:sz="0" w:space="0" w:color="auto"/>
        <w:left w:val="none" w:sz="0" w:space="0" w:color="auto"/>
        <w:bottom w:val="none" w:sz="0" w:space="0" w:color="auto"/>
        <w:right w:val="none" w:sz="0" w:space="0" w:color="auto"/>
      </w:divBdr>
      <w:divsChild>
        <w:div w:id="732200185">
          <w:marLeft w:val="-720"/>
          <w:marRight w:val="0"/>
          <w:marTop w:val="0"/>
          <w:marBottom w:val="0"/>
          <w:divBdr>
            <w:top w:val="none" w:sz="0" w:space="0" w:color="auto"/>
            <w:left w:val="none" w:sz="0" w:space="0" w:color="auto"/>
            <w:bottom w:val="none" w:sz="0" w:space="0" w:color="auto"/>
            <w:right w:val="none" w:sz="0" w:space="0" w:color="auto"/>
          </w:divBdr>
        </w:div>
      </w:divsChild>
    </w:div>
    <w:div w:id="109672304">
      <w:bodyDiv w:val="1"/>
      <w:marLeft w:val="0"/>
      <w:marRight w:val="0"/>
      <w:marTop w:val="0"/>
      <w:marBottom w:val="0"/>
      <w:divBdr>
        <w:top w:val="none" w:sz="0" w:space="0" w:color="auto"/>
        <w:left w:val="none" w:sz="0" w:space="0" w:color="auto"/>
        <w:bottom w:val="none" w:sz="0" w:space="0" w:color="auto"/>
        <w:right w:val="none" w:sz="0" w:space="0" w:color="auto"/>
      </w:divBdr>
    </w:div>
    <w:div w:id="114375039">
      <w:bodyDiv w:val="1"/>
      <w:marLeft w:val="0"/>
      <w:marRight w:val="0"/>
      <w:marTop w:val="0"/>
      <w:marBottom w:val="0"/>
      <w:divBdr>
        <w:top w:val="none" w:sz="0" w:space="0" w:color="auto"/>
        <w:left w:val="none" w:sz="0" w:space="0" w:color="auto"/>
        <w:bottom w:val="none" w:sz="0" w:space="0" w:color="auto"/>
        <w:right w:val="none" w:sz="0" w:space="0" w:color="auto"/>
      </w:divBdr>
    </w:div>
    <w:div w:id="114912081">
      <w:bodyDiv w:val="1"/>
      <w:marLeft w:val="0"/>
      <w:marRight w:val="0"/>
      <w:marTop w:val="0"/>
      <w:marBottom w:val="0"/>
      <w:divBdr>
        <w:top w:val="none" w:sz="0" w:space="0" w:color="auto"/>
        <w:left w:val="none" w:sz="0" w:space="0" w:color="auto"/>
        <w:bottom w:val="none" w:sz="0" w:space="0" w:color="auto"/>
        <w:right w:val="none" w:sz="0" w:space="0" w:color="auto"/>
      </w:divBdr>
    </w:div>
    <w:div w:id="150562296">
      <w:bodyDiv w:val="1"/>
      <w:marLeft w:val="0"/>
      <w:marRight w:val="0"/>
      <w:marTop w:val="0"/>
      <w:marBottom w:val="0"/>
      <w:divBdr>
        <w:top w:val="none" w:sz="0" w:space="0" w:color="auto"/>
        <w:left w:val="none" w:sz="0" w:space="0" w:color="auto"/>
        <w:bottom w:val="none" w:sz="0" w:space="0" w:color="auto"/>
        <w:right w:val="none" w:sz="0" w:space="0" w:color="auto"/>
      </w:divBdr>
    </w:div>
    <w:div w:id="155195632">
      <w:bodyDiv w:val="1"/>
      <w:marLeft w:val="0"/>
      <w:marRight w:val="0"/>
      <w:marTop w:val="0"/>
      <w:marBottom w:val="0"/>
      <w:divBdr>
        <w:top w:val="none" w:sz="0" w:space="0" w:color="auto"/>
        <w:left w:val="none" w:sz="0" w:space="0" w:color="auto"/>
        <w:bottom w:val="none" w:sz="0" w:space="0" w:color="auto"/>
        <w:right w:val="none" w:sz="0" w:space="0" w:color="auto"/>
      </w:divBdr>
      <w:divsChild>
        <w:div w:id="1011686213">
          <w:marLeft w:val="0"/>
          <w:marRight w:val="0"/>
          <w:marTop w:val="0"/>
          <w:marBottom w:val="0"/>
          <w:divBdr>
            <w:top w:val="none" w:sz="0" w:space="0" w:color="auto"/>
            <w:left w:val="none" w:sz="0" w:space="0" w:color="auto"/>
            <w:bottom w:val="none" w:sz="0" w:space="0" w:color="auto"/>
            <w:right w:val="none" w:sz="0" w:space="0" w:color="auto"/>
          </w:divBdr>
          <w:divsChild>
            <w:div w:id="1080516710">
              <w:marLeft w:val="0"/>
              <w:marRight w:val="0"/>
              <w:marTop w:val="0"/>
              <w:marBottom w:val="450"/>
              <w:divBdr>
                <w:top w:val="none" w:sz="0" w:space="0" w:color="auto"/>
                <w:left w:val="none" w:sz="0" w:space="0" w:color="auto"/>
                <w:bottom w:val="none" w:sz="0" w:space="0" w:color="auto"/>
                <w:right w:val="none" w:sz="0" w:space="0" w:color="auto"/>
              </w:divBdr>
              <w:divsChild>
                <w:div w:id="638536761">
                  <w:marLeft w:val="0"/>
                  <w:marRight w:val="0"/>
                  <w:marTop w:val="0"/>
                  <w:marBottom w:val="0"/>
                  <w:divBdr>
                    <w:top w:val="none" w:sz="0" w:space="0" w:color="auto"/>
                    <w:left w:val="none" w:sz="0" w:space="0" w:color="auto"/>
                    <w:bottom w:val="none" w:sz="0" w:space="0" w:color="auto"/>
                    <w:right w:val="none" w:sz="0" w:space="0" w:color="auto"/>
                  </w:divBdr>
                  <w:divsChild>
                    <w:div w:id="2085831986">
                      <w:marLeft w:val="0"/>
                      <w:marRight w:val="0"/>
                      <w:marTop w:val="0"/>
                      <w:marBottom w:val="0"/>
                      <w:divBdr>
                        <w:top w:val="none" w:sz="0" w:space="0" w:color="auto"/>
                        <w:left w:val="none" w:sz="0" w:space="0" w:color="auto"/>
                        <w:bottom w:val="none" w:sz="0" w:space="0" w:color="auto"/>
                        <w:right w:val="none" w:sz="0" w:space="0" w:color="auto"/>
                      </w:divBdr>
                      <w:divsChild>
                        <w:div w:id="17950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98380">
      <w:bodyDiv w:val="1"/>
      <w:marLeft w:val="0"/>
      <w:marRight w:val="0"/>
      <w:marTop w:val="0"/>
      <w:marBottom w:val="0"/>
      <w:divBdr>
        <w:top w:val="none" w:sz="0" w:space="0" w:color="auto"/>
        <w:left w:val="none" w:sz="0" w:space="0" w:color="auto"/>
        <w:bottom w:val="none" w:sz="0" w:space="0" w:color="auto"/>
        <w:right w:val="none" w:sz="0" w:space="0" w:color="auto"/>
      </w:divBdr>
    </w:div>
    <w:div w:id="167184472">
      <w:bodyDiv w:val="1"/>
      <w:marLeft w:val="0"/>
      <w:marRight w:val="0"/>
      <w:marTop w:val="0"/>
      <w:marBottom w:val="0"/>
      <w:divBdr>
        <w:top w:val="none" w:sz="0" w:space="0" w:color="auto"/>
        <w:left w:val="none" w:sz="0" w:space="0" w:color="auto"/>
        <w:bottom w:val="none" w:sz="0" w:space="0" w:color="auto"/>
        <w:right w:val="none" w:sz="0" w:space="0" w:color="auto"/>
      </w:divBdr>
    </w:div>
    <w:div w:id="172452656">
      <w:bodyDiv w:val="1"/>
      <w:marLeft w:val="0"/>
      <w:marRight w:val="0"/>
      <w:marTop w:val="0"/>
      <w:marBottom w:val="0"/>
      <w:divBdr>
        <w:top w:val="none" w:sz="0" w:space="0" w:color="auto"/>
        <w:left w:val="none" w:sz="0" w:space="0" w:color="auto"/>
        <w:bottom w:val="none" w:sz="0" w:space="0" w:color="auto"/>
        <w:right w:val="none" w:sz="0" w:space="0" w:color="auto"/>
      </w:divBdr>
    </w:div>
    <w:div w:id="257952563">
      <w:bodyDiv w:val="1"/>
      <w:marLeft w:val="0"/>
      <w:marRight w:val="0"/>
      <w:marTop w:val="0"/>
      <w:marBottom w:val="0"/>
      <w:divBdr>
        <w:top w:val="none" w:sz="0" w:space="0" w:color="auto"/>
        <w:left w:val="none" w:sz="0" w:space="0" w:color="auto"/>
        <w:bottom w:val="none" w:sz="0" w:space="0" w:color="auto"/>
        <w:right w:val="none" w:sz="0" w:space="0" w:color="auto"/>
      </w:divBdr>
    </w:div>
    <w:div w:id="261230096">
      <w:bodyDiv w:val="1"/>
      <w:marLeft w:val="0"/>
      <w:marRight w:val="0"/>
      <w:marTop w:val="0"/>
      <w:marBottom w:val="0"/>
      <w:divBdr>
        <w:top w:val="none" w:sz="0" w:space="0" w:color="auto"/>
        <w:left w:val="none" w:sz="0" w:space="0" w:color="auto"/>
        <w:bottom w:val="none" w:sz="0" w:space="0" w:color="auto"/>
        <w:right w:val="none" w:sz="0" w:space="0" w:color="auto"/>
      </w:divBdr>
      <w:divsChild>
        <w:div w:id="2093769631">
          <w:marLeft w:val="0"/>
          <w:marRight w:val="0"/>
          <w:marTop w:val="0"/>
          <w:marBottom w:val="0"/>
          <w:divBdr>
            <w:top w:val="none" w:sz="0" w:space="0" w:color="auto"/>
            <w:left w:val="none" w:sz="0" w:space="0" w:color="auto"/>
            <w:bottom w:val="none" w:sz="0" w:space="0" w:color="auto"/>
            <w:right w:val="none" w:sz="0" w:space="0" w:color="auto"/>
          </w:divBdr>
        </w:div>
        <w:div w:id="1921063938">
          <w:marLeft w:val="0"/>
          <w:marRight w:val="0"/>
          <w:marTop w:val="0"/>
          <w:marBottom w:val="0"/>
          <w:divBdr>
            <w:top w:val="none" w:sz="0" w:space="0" w:color="auto"/>
            <w:left w:val="none" w:sz="0" w:space="0" w:color="auto"/>
            <w:bottom w:val="none" w:sz="0" w:space="0" w:color="auto"/>
            <w:right w:val="none" w:sz="0" w:space="0" w:color="auto"/>
          </w:divBdr>
        </w:div>
        <w:div w:id="93986331">
          <w:marLeft w:val="0"/>
          <w:marRight w:val="0"/>
          <w:marTop w:val="0"/>
          <w:marBottom w:val="0"/>
          <w:divBdr>
            <w:top w:val="none" w:sz="0" w:space="0" w:color="auto"/>
            <w:left w:val="none" w:sz="0" w:space="0" w:color="auto"/>
            <w:bottom w:val="none" w:sz="0" w:space="0" w:color="auto"/>
            <w:right w:val="none" w:sz="0" w:space="0" w:color="auto"/>
          </w:divBdr>
        </w:div>
        <w:div w:id="1973948034">
          <w:marLeft w:val="0"/>
          <w:marRight w:val="0"/>
          <w:marTop w:val="0"/>
          <w:marBottom w:val="0"/>
          <w:divBdr>
            <w:top w:val="none" w:sz="0" w:space="0" w:color="auto"/>
            <w:left w:val="none" w:sz="0" w:space="0" w:color="auto"/>
            <w:bottom w:val="none" w:sz="0" w:space="0" w:color="auto"/>
            <w:right w:val="none" w:sz="0" w:space="0" w:color="auto"/>
          </w:divBdr>
        </w:div>
        <w:div w:id="196821019">
          <w:marLeft w:val="0"/>
          <w:marRight w:val="0"/>
          <w:marTop w:val="0"/>
          <w:marBottom w:val="0"/>
          <w:divBdr>
            <w:top w:val="none" w:sz="0" w:space="0" w:color="auto"/>
            <w:left w:val="none" w:sz="0" w:space="0" w:color="auto"/>
            <w:bottom w:val="none" w:sz="0" w:space="0" w:color="auto"/>
            <w:right w:val="none" w:sz="0" w:space="0" w:color="auto"/>
          </w:divBdr>
        </w:div>
        <w:div w:id="1829051932">
          <w:marLeft w:val="0"/>
          <w:marRight w:val="0"/>
          <w:marTop w:val="0"/>
          <w:marBottom w:val="0"/>
          <w:divBdr>
            <w:top w:val="none" w:sz="0" w:space="0" w:color="auto"/>
            <w:left w:val="none" w:sz="0" w:space="0" w:color="auto"/>
            <w:bottom w:val="none" w:sz="0" w:space="0" w:color="auto"/>
            <w:right w:val="none" w:sz="0" w:space="0" w:color="auto"/>
          </w:divBdr>
        </w:div>
        <w:div w:id="581183515">
          <w:marLeft w:val="0"/>
          <w:marRight w:val="0"/>
          <w:marTop w:val="0"/>
          <w:marBottom w:val="0"/>
          <w:divBdr>
            <w:top w:val="none" w:sz="0" w:space="0" w:color="auto"/>
            <w:left w:val="none" w:sz="0" w:space="0" w:color="auto"/>
            <w:bottom w:val="none" w:sz="0" w:space="0" w:color="auto"/>
            <w:right w:val="none" w:sz="0" w:space="0" w:color="auto"/>
          </w:divBdr>
        </w:div>
        <w:div w:id="494566814">
          <w:marLeft w:val="0"/>
          <w:marRight w:val="0"/>
          <w:marTop w:val="0"/>
          <w:marBottom w:val="0"/>
          <w:divBdr>
            <w:top w:val="none" w:sz="0" w:space="0" w:color="auto"/>
            <w:left w:val="none" w:sz="0" w:space="0" w:color="auto"/>
            <w:bottom w:val="none" w:sz="0" w:space="0" w:color="auto"/>
            <w:right w:val="none" w:sz="0" w:space="0" w:color="auto"/>
          </w:divBdr>
        </w:div>
        <w:div w:id="1322614482">
          <w:marLeft w:val="0"/>
          <w:marRight w:val="0"/>
          <w:marTop w:val="0"/>
          <w:marBottom w:val="0"/>
          <w:divBdr>
            <w:top w:val="none" w:sz="0" w:space="0" w:color="auto"/>
            <w:left w:val="none" w:sz="0" w:space="0" w:color="auto"/>
            <w:bottom w:val="none" w:sz="0" w:space="0" w:color="auto"/>
            <w:right w:val="none" w:sz="0" w:space="0" w:color="auto"/>
          </w:divBdr>
        </w:div>
        <w:div w:id="1581909764">
          <w:marLeft w:val="0"/>
          <w:marRight w:val="0"/>
          <w:marTop w:val="0"/>
          <w:marBottom w:val="0"/>
          <w:divBdr>
            <w:top w:val="none" w:sz="0" w:space="0" w:color="auto"/>
            <w:left w:val="none" w:sz="0" w:space="0" w:color="auto"/>
            <w:bottom w:val="none" w:sz="0" w:space="0" w:color="auto"/>
            <w:right w:val="none" w:sz="0" w:space="0" w:color="auto"/>
          </w:divBdr>
        </w:div>
        <w:div w:id="926496355">
          <w:marLeft w:val="0"/>
          <w:marRight w:val="0"/>
          <w:marTop w:val="0"/>
          <w:marBottom w:val="0"/>
          <w:divBdr>
            <w:top w:val="none" w:sz="0" w:space="0" w:color="auto"/>
            <w:left w:val="none" w:sz="0" w:space="0" w:color="auto"/>
            <w:bottom w:val="none" w:sz="0" w:space="0" w:color="auto"/>
            <w:right w:val="none" w:sz="0" w:space="0" w:color="auto"/>
          </w:divBdr>
        </w:div>
        <w:div w:id="493109795">
          <w:marLeft w:val="0"/>
          <w:marRight w:val="0"/>
          <w:marTop w:val="0"/>
          <w:marBottom w:val="0"/>
          <w:divBdr>
            <w:top w:val="none" w:sz="0" w:space="0" w:color="auto"/>
            <w:left w:val="none" w:sz="0" w:space="0" w:color="auto"/>
            <w:bottom w:val="none" w:sz="0" w:space="0" w:color="auto"/>
            <w:right w:val="none" w:sz="0" w:space="0" w:color="auto"/>
          </w:divBdr>
        </w:div>
        <w:div w:id="1280649592">
          <w:marLeft w:val="0"/>
          <w:marRight w:val="0"/>
          <w:marTop w:val="0"/>
          <w:marBottom w:val="0"/>
          <w:divBdr>
            <w:top w:val="none" w:sz="0" w:space="0" w:color="auto"/>
            <w:left w:val="none" w:sz="0" w:space="0" w:color="auto"/>
            <w:bottom w:val="none" w:sz="0" w:space="0" w:color="auto"/>
            <w:right w:val="none" w:sz="0" w:space="0" w:color="auto"/>
          </w:divBdr>
        </w:div>
        <w:div w:id="2008825264">
          <w:marLeft w:val="0"/>
          <w:marRight w:val="0"/>
          <w:marTop w:val="0"/>
          <w:marBottom w:val="0"/>
          <w:divBdr>
            <w:top w:val="none" w:sz="0" w:space="0" w:color="auto"/>
            <w:left w:val="none" w:sz="0" w:space="0" w:color="auto"/>
            <w:bottom w:val="none" w:sz="0" w:space="0" w:color="auto"/>
            <w:right w:val="none" w:sz="0" w:space="0" w:color="auto"/>
          </w:divBdr>
        </w:div>
        <w:div w:id="307367433">
          <w:marLeft w:val="0"/>
          <w:marRight w:val="0"/>
          <w:marTop w:val="0"/>
          <w:marBottom w:val="0"/>
          <w:divBdr>
            <w:top w:val="none" w:sz="0" w:space="0" w:color="auto"/>
            <w:left w:val="none" w:sz="0" w:space="0" w:color="auto"/>
            <w:bottom w:val="none" w:sz="0" w:space="0" w:color="auto"/>
            <w:right w:val="none" w:sz="0" w:space="0" w:color="auto"/>
          </w:divBdr>
        </w:div>
        <w:div w:id="1925601097">
          <w:marLeft w:val="0"/>
          <w:marRight w:val="0"/>
          <w:marTop w:val="0"/>
          <w:marBottom w:val="0"/>
          <w:divBdr>
            <w:top w:val="none" w:sz="0" w:space="0" w:color="auto"/>
            <w:left w:val="none" w:sz="0" w:space="0" w:color="auto"/>
            <w:bottom w:val="none" w:sz="0" w:space="0" w:color="auto"/>
            <w:right w:val="none" w:sz="0" w:space="0" w:color="auto"/>
          </w:divBdr>
        </w:div>
        <w:div w:id="929773234">
          <w:marLeft w:val="0"/>
          <w:marRight w:val="0"/>
          <w:marTop w:val="0"/>
          <w:marBottom w:val="0"/>
          <w:divBdr>
            <w:top w:val="none" w:sz="0" w:space="0" w:color="auto"/>
            <w:left w:val="none" w:sz="0" w:space="0" w:color="auto"/>
            <w:bottom w:val="none" w:sz="0" w:space="0" w:color="auto"/>
            <w:right w:val="none" w:sz="0" w:space="0" w:color="auto"/>
          </w:divBdr>
        </w:div>
        <w:div w:id="1915892707">
          <w:marLeft w:val="0"/>
          <w:marRight w:val="0"/>
          <w:marTop w:val="0"/>
          <w:marBottom w:val="0"/>
          <w:divBdr>
            <w:top w:val="none" w:sz="0" w:space="0" w:color="auto"/>
            <w:left w:val="none" w:sz="0" w:space="0" w:color="auto"/>
            <w:bottom w:val="none" w:sz="0" w:space="0" w:color="auto"/>
            <w:right w:val="none" w:sz="0" w:space="0" w:color="auto"/>
          </w:divBdr>
        </w:div>
        <w:div w:id="400371950">
          <w:marLeft w:val="0"/>
          <w:marRight w:val="0"/>
          <w:marTop w:val="0"/>
          <w:marBottom w:val="0"/>
          <w:divBdr>
            <w:top w:val="none" w:sz="0" w:space="0" w:color="auto"/>
            <w:left w:val="none" w:sz="0" w:space="0" w:color="auto"/>
            <w:bottom w:val="none" w:sz="0" w:space="0" w:color="auto"/>
            <w:right w:val="none" w:sz="0" w:space="0" w:color="auto"/>
          </w:divBdr>
        </w:div>
        <w:div w:id="920145132">
          <w:marLeft w:val="0"/>
          <w:marRight w:val="0"/>
          <w:marTop w:val="0"/>
          <w:marBottom w:val="0"/>
          <w:divBdr>
            <w:top w:val="none" w:sz="0" w:space="0" w:color="auto"/>
            <w:left w:val="none" w:sz="0" w:space="0" w:color="auto"/>
            <w:bottom w:val="none" w:sz="0" w:space="0" w:color="auto"/>
            <w:right w:val="none" w:sz="0" w:space="0" w:color="auto"/>
          </w:divBdr>
        </w:div>
        <w:div w:id="281691878">
          <w:marLeft w:val="0"/>
          <w:marRight w:val="0"/>
          <w:marTop w:val="0"/>
          <w:marBottom w:val="0"/>
          <w:divBdr>
            <w:top w:val="none" w:sz="0" w:space="0" w:color="auto"/>
            <w:left w:val="none" w:sz="0" w:space="0" w:color="auto"/>
            <w:bottom w:val="none" w:sz="0" w:space="0" w:color="auto"/>
            <w:right w:val="none" w:sz="0" w:space="0" w:color="auto"/>
          </w:divBdr>
        </w:div>
        <w:div w:id="200245036">
          <w:marLeft w:val="0"/>
          <w:marRight w:val="0"/>
          <w:marTop w:val="0"/>
          <w:marBottom w:val="0"/>
          <w:divBdr>
            <w:top w:val="none" w:sz="0" w:space="0" w:color="auto"/>
            <w:left w:val="none" w:sz="0" w:space="0" w:color="auto"/>
            <w:bottom w:val="none" w:sz="0" w:space="0" w:color="auto"/>
            <w:right w:val="none" w:sz="0" w:space="0" w:color="auto"/>
          </w:divBdr>
        </w:div>
        <w:div w:id="1484085556">
          <w:marLeft w:val="0"/>
          <w:marRight w:val="0"/>
          <w:marTop w:val="0"/>
          <w:marBottom w:val="0"/>
          <w:divBdr>
            <w:top w:val="none" w:sz="0" w:space="0" w:color="auto"/>
            <w:left w:val="none" w:sz="0" w:space="0" w:color="auto"/>
            <w:bottom w:val="none" w:sz="0" w:space="0" w:color="auto"/>
            <w:right w:val="none" w:sz="0" w:space="0" w:color="auto"/>
          </w:divBdr>
        </w:div>
        <w:div w:id="1132014057">
          <w:marLeft w:val="0"/>
          <w:marRight w:val="0"/>
          <w:marTop w:val="0"/>
          <w:marBottom w:val="0"/>
          <w:divBdr>
            <w:top w:val="none" w:sz="0" w:space="0" w:color="auto"/>
            <w:left w:val="none" w:sz="0" w:space="0" w:color="auto"/>
            <w:bottom w:val="none" w:sz="0" w:space="0" w:color="auto"/>
            <w:right w:val="none" w:sz="0" w:space="0" w:color="auto"/>
          </w:divBdr>
        </w:div>
        <w:div w:id="1583220633">
          <w:marLeft w:val="0"/>
          <w:marRight w:val="0"/>
          <w:marTop w:val="0"/>
          <w:marBottom w:val="0"/>
          <w:divBdr>
            <w:top w:val="none" w:sz="0" w:space="0" w:color="auto"/>
            <w:left w:val="none" w:sz="0" w:space="0" w:color="auto"/>
            <w:bottom w:val="none" w:sz="0" w:space="0" w:color="auto"/>
            <w:right w:val="none" w:sz="0" w:space="0" w:color="auto"/>
          </w:divBdr>
        </w:div>
        <w:div w:id="362561755">
          <w:marLeft w:val="0"/>
          <w:marRight w:val="0"/>
          <w:marTop w:val="0"/>
          <w:marBottom w:val="0"/>
          <w:divBdr>
            <w:top w:val="none" w:sz="0" w:space="0" w:color="auto"/>
            <w:left w:val="none" w:sz="0" w:space="0" w:color="auto"/>
            <w:bottom w:val="none" w:sz="0" w:space="0" w:color="auto"/>
            <w:right w:val="none" w:sz="0" w:space="0" w:color="auto"/>
          </w:divBdr>
        </w:div>
        <w:div w:id="593053682">
          <w:marLeft w:val="0"/>
          <w:marRight w:val="0"/>
          <w:marTop w:val="0"/>
          <w:marBottom w:val="0"/>
          <w:divBdr>
            <w:top w:val="none" w:sz="0" w:space="0" w:color="auto"/>
            <w:left w:val="none" w:sz="0" w:space="0" w:color="auto"/>
            <w:bottom w:val="none" w:sz="0" w:space="0" w:color="auto"/>
            <w:right w:val="none" w:sz="0" w:space="0" w:color="auto"/>
          </w:divBdr>
        </w:div>
        <w:div w:id="963194314">
          <w:marLeft w:val="0"/>
          <w:marRight w:val="0"/>
          <w:marTop w:val="0"/>
          <w:marBottom w:val="0"/>
          <w:divBdr>
            <w:top w:val="none" w:sz="0" w:space="0" w:color="auto"/>
            <w:left w:val="none" w:sz="0" w:space="0" w:color="auto"/>
            <w:bottom w:val="none" w:sz="0" w:space="0" w:color="auto"/>
            <w:right w:val="none" w:sz="0" w:space="0" w:color="auto"/>
          </w:divBdr>
        </w:div>
        <w:div w:id="1054305954">
          <w:marLeft w:val="0"/>
          <w:marRight w:val="0"/>
          <w:marTop w:val="0"/>
          <w:marBottom w:val="0"/>
          <w:divBdr>
            <w:top w:val="none" w:sz="0" w:space="0" w:color="auto"/>
            <w:left w:val="none" w:sz="0" w:space="0" w:color="auto"/>
            <w:bottom w:val="none" w:sz="0" w:space="0" w:color="auto"/>
            <w:right w:val="none" w:sz="0" w:space="0" w:color="auto"/>
          </w:divBdr>
        </w:div>
        <w:div w:id="1631784769">
          <w:marLeft w:val="0"/>
          <w:marRight w:val="0"/>
          <w:marTop w:val="0"/>
          <w:marBottom w:val="0"/>
          <w:divBdr>
            <w:top w:val="none" w:sz="0" w:space="0" w:color="auto"/>
            <w:left w:val="none" w:sz="0" w:space="0" w:color="auto"/>
            <w:bottom w:val="none" w:sz="0" w:space="0" w:color="auto"/>
            <w:right w:val="none" w:sz="0" w:space="0" w:color="auto"/>
          </w:divBdr>
        </w:div>
      </w:divsChild>
    </w:div>
    <w:div w:id="263733347">
      <w:bodyDiv w:val="1"/>
      <w:marLeft w:val="0"/>
      <w:marRight w:val="0"/>
      <w:marTop w:val="0"/>
      <w:marBottom w:val="0"/>
      <w:divBdr>
        <w:top w:val="none" w:sz="0" w:space="0" w:color="auto"/>
        <w:left w:val="none" w:sz="0" w:space="0" w:color="auto"/>
        <w:bottom w:val="none" w:sz="0" w:space="0" w:color="auto"/>
        <w:right w:val="none" w:sz="0" w:space="0" w:color="auto"/>
      </w:divBdr>
    </w:div>
    <w:div w:id="268123389">
      <w:bodyDiv w:val="1"/>
      <w:marLeft w:val="0"/>
      <w:marRight w:val="0"/>
      <w:marTop w:val="0"/>
      <w:marBottom w:val="0"/>
      <w:divBdr>
        <w:top w:val="none" w:sz="0" w:space="0" w:color="auto"/>
        <w:left w:val="none" w:sz="0" w:space="0" w:color="auto"/>
        <w:bottom w:val="none" w:sz="0" w:space="0" w:color="auto"/>
        <w:right w:val="none" w:sz="0" w:space="0" w:color="auto"/>
      </w:divBdr>
      <w:divsChild>
        <w:div w:id="2143568993">
          <w:marLeft w:val="0"/>
          <w:marRight w:val="0"/>
          <w:marTop w:val="0"/>
          <w:marBottom w:val="0"/>
          <w:divBdr>
            <w:top w:val="none" w:sz="0" w:space="0" w:color="auto"/>
            <w:left w:val="none" w:sz="0" w:space="0" w:color="auto"/>
            <w:bottom w:val="none" w:sz="0" w:space="0" w:color="auto"/>
            <w:right w:val="none" w:sz="0" w:space="0" w:color="auto"/>
          </w:divBdr>
        </w:div>
        <w:div w:id="1725443695">
          <w:marLeft w:val="0"/>
          <w:marRight w:val="0"/>
          <w:marTop w:val="0"/>
          <w:marBottom w:val="0"/>
          <w:divBdr>
            <w:top w:val="none" w:sz="0" w:space="0" w:color="auto"/>
            <w:left w:val="none" w:sz="0" w:space="0" w:color="auto"/>
            <w:bottom w:val="none" w:sz="0" w:space="0" w:color="auto"/>
            <w:right w:val="none" w:sz="0" w:space="0" w:color="auto"/>
          </w:divBdr>
        </w:div>
        <w:div w:id="2130933775">
          <w:marLeft w:val="0"/>
          <w:marRight w:val="0"/>
          <w:marTop w:val="0"/>
          <w:marBottom w:val="0"/>
          <w:divBdr>
            <w:top w:val="none" w:sz="0" w:space="0" w:color="auto"/>
            <w:left w:val="none" w:sz="0" w:space="0" w:color="auto"/>
            <w:bottom w:val="none" w:sz="0" w:space="0" w:color="auto"/>
            <w:right w:val="none" w:sz="0" w:space="0" w:color="auto"/>
          </w:divBdr>
        </w:div>
        <w:div w:id="373385043">
          <w:marLeft w:val="0"/>
          <w:marRight w:val="0"/>
          <w:marTop w:val="0"/>
          <w:marBottom w:val="0"/>
          <w:divBdr>
            <w:top w:val="none" w:sz="0" w:space="0" w:color="auto"/>
            <w:left w:val="none" w:sz="0" w:space="0" w:color="auto"/>
            <w:bottom w:val="none" w:sz="0" w:space="0" w:color="auto"/>
            <w:right w:val="none" w:sz="0" w:space="0" w:color="auto"/>
          </w:divBdr>
        </w:div>
        <w:div w:id="1872718250">
          <w:marLeft w:val="0"/>
          <w:marRight w:val="0"/>
          <w:marTop w:val="0"/>
          <w:marBottom w:val="0"/>
          <w:divBdr>
            <w:top w:val="none" w:sz="0" w:space="0" w:color="auto"/>
            <w:left w:val="none" w:sz="0" w:space="0" w:color="auto"/>
            <w:bottom w:val="none" w:sz="0" w:space="0" w:color="auto"/>
            <w:right w:val="none" w:sz="0" w:space="0" w:color="auto"/>
          </w:divBdr>
        </w:div>
        <w:div w:id="1128815654">
          <w:marLeft w:val="0"/>
          <w:marRight w:val="0"/>
          <w:marTop w:val="0"/>
          <w:marBottom w:val="0"/>
          <w:divBdr>
            <w:top w:val="none" w:sz="0" w:space="0" w:color="auto"/>
            <w:left w:val="none" w:sz="0" w:space="0" w:color="auto"/>
            <w:bottom w:val="none" w:sz="0" w:space="0" w:color="auto"/>
            <w:right w:val="none" w:sz="0" w:space="0" w:color="auto"/>
          </w:divBdr>
        </w:div>
        <w:div w:id="1202978889">
          <w:marLeft w:val="0"/>
          <w:marRight w:val="0"/>
          <w:marTop w:val="0"/>
          <w:marBottom w:val="0"/>
          <w:divBdr>
            <w:top w:val="none" w:sz="0" w:space="0" w:color="auto"/>
            <w:left w:val="none" w:sz="0" w:space="0" w:color="auto"/>
            <w:bottom w:val="none" w:sz="0" w:space="0" w:color="auto"/>
            <w:right w:val="none" w:sz="0" w:space="0" w:color="auto"/>
          </w:divBdr>
        </w:div>
        <w:div w:id="1779788787">
          <w:marLeft w:val="0"/>
          <w:marRight w:val="0"/>
          <w:marTop w:val="0"/>
          <w:marBottom w:val="0"/>
          <w:divBdr>
            <w:top w:val="none" w:sz="0" w:space="0" w:color="auto"/>
            <w:left w:val="none" w:sz="0" w:space="0" w:color="auto"/>
            <w:bottom w:val="none" w:sz="0" w:space="0" w:color="auto"/>
            <w:right w:val="none" w:sz="0" w:space="0" w:color="auto"/>
          </w:divBdr>
        </w:div>
        <w:div w:id="1659964117">
          <w:marLeft w:val="0"/>
          <w:marRight w:val="0"/>
          <w:marTop w:val="0"/>
          <w:marBottom w:val="0"/>
          <w:divBdr>
            <w:top w:val="none" w:sz="0" w:space="0" w:color="auto"/>
            <w:left w:val="none" w:sz="0" w:space="0" w:color="auto"/>
            <w:bottom w:val="none" w:sz="0" w:space="0" w:color="auto"/>
            <w:right w:val="none" w:sz="0" w:space="0" w:color="auto"/>
          </w:divBdr>
        </w:div>
        <w:div w:id="557088550">
          <w:marLeft w:val="0"/>
          <w:marRight w:val="0"/>
          <w:marTop w:val="0"/>
          <w:marBottom w:val="0"/>
          <w:divBdr>
            <w:top w:val="none" w:sz="0" w:space="0" w:color="auto"/>
            <w:left w:val="none" w:sz="0" w:space="0" w:color="auto"/>
            <w:bottom w:val="none" w:sz="0" w:space="0" w:color="auto"/>
            <w:right w:val="none" w:sz="0" w:space="0" w:color="auto"/>
          </w:divBdr>
        </w:div>
        <w:div w:id="89589818">
          <w:marLeft w:val="0"/>
          <w:marRight w:val="0"/>
          <w:marTop w:val="0"/>
          <w:marBottom w:val="0"/>
          <w:divBdr>
            <w:top w:val="none" w:sz="0" w:space="0" w:color="auto"/>
            <w:left w:val="none" w:sz="0" w:space="0" w:color="auto"/>
            <w:bottom w:val="none" w:sz="0" w:space="0" w:color="auto"/>
            <w:right w:val="none" w:sz="0" w:space="0" w:color="auto"/>
          </w:divBdr>
        </w:div>
        <w:div w:id="667291688">
          <w:marLeft w:val="0"/>
          <w:marRight w:val="0"/>
          <w:marTop w:val="0"/>
          <w:marBottom w:val="0"/>
          <w:divBdr>
            <w:top w:val="none" w:sz="0" w:space="0" w:color="auto"/>
            <w:left w:val="none" w:sz="0" w:space="0" w:color="auto"/>
            <w:bottom w:val="none" w:sz="0" w:space="0" w:color="auto"/>
            <w:right w:val="none" w:sz="0" w:space="0" w:color="auto"/>
          </w:divBdr>
        </w:div>
        <w:div w:id="1611356607">
          <w:marLeft w:val="0"/>
          <w:marRight w:val="0"/>
          <w:marTop w:val="0"/>
          <w:marBottom w:val="0"/>
          <w:divBdr>
            <w:top w:val="none" w:sz="0" w:space="0" w:color="auto"/>
            <w:left w:val="none" w:sz="0" w:space="0" w:color="auto"/>
            <w:bottom w:val="none" w:sz="0" w:space="0" w:color="auto"/>
            <w:right w:val="none" w:sz="0" w:space="0" w:color="auto"/>
          </w:divBdr>
        </w:div>
        <w:div w:id="463277463">
          <w:marLeft w:val="0"/>
          <w:marRight w:val="0"/>
          <w:marTop w:val="0"/>
          <w:marBottom w:val="0"/>
          <w:divBdr>
            <w:top w:val="none" w:sz="0" w:space="0" w:color="auto"/>
            <w:left w:val="none" w:sz="0" w:space="0" w:color="auto"/>
            <w:bottom w:val="none" w:sz="0" w:space="0" w:color="auto"/>
            <w:right w:val="none" w:sz="0" w:space="0" w:color="auto"/>
          </w:divBdr>
        </w:div>
        <w:div w:id="1657608018">
          <w:marLeft w:val="0"/>
          <w:marRight w:val="0"/>
          <w:marTop w:val="0"/>
          <w:marBottom w:val="0"/>
          <w:divBdr>
            <w:top w:val="none" w:sz="0" w:space="0" w:color="auto"/>
            <w:left w:val="none" w:sz="0" w:space="0" w:color="auto"/>
            <w:bottom w:val="none" w:sz="0" w:space="0" w:color="auto"/>
            <w:right w:val="none" w:sz="0" w:space="0" w:color="auto"/>
          </w:divBdr>
        </w:div>
      </w:divsChild>
    </w:div>
    <w:div w:id="274873771">
      <w:bodyDiv w:val="1"/>
      <w:marLeft w:val="0"/>
      <w:marRight w:val="0"/>
      <w:marTop w:val="0"/>
      <w:marBottom w:val="0"/>
      <w:divBdr>
        <w:top w:val="none" w:sz="0" w:space="0" w:color="auto"/>
        <w:left w:val="none" w:sz="0" w:space="0" w:color="auto"/>
        <w:bottom w:val="none" w:sz="0" w:space="0" w:color="auto"/>
        <w:right w:val="none" w:sz="0" w:space="0" w:color="auto"/>
      </w:divBdr>
    </w:div>
    <w:div w:id="294140617">
      <w:bodyDiv w:val="1"/>
      <w:marLeft w:val="0"/>
      <w:marRight w:val="0"/>
      <w:marTop w:val="0"/>
      <w:marBottom w:val="0"/>
      <w:divBdr>
        <w:top w:val="none" w:sz="0" w:space="0" w:color="auto"/>
        <w:left w:val="none" w:sz="0" w:space="0" w:color="auto"/>
        <w:bottom w:val="none" w:sz="0" w:space="0" w:color="auto"/>
        <w:right w:val="none" w:sz="0" w:space="0" w:color="auto"/>
      </w:divBdr>
    </w:div>
    <w:div w:id="304361524">
      <w:bodyDiv w:val="1"/>
      <w:marLeft w:val="0"/>
      <w:marRight w:val="0"/>
      <w:marTop w:val="0"/>
      <w:marBottom w:val="0"/>
      <w:divBdr>
        <w:top w:val="none" w:sz="0" w:space="0" w:color="auto"/>
        <w:left w:val="none" w:sz="0" w:space="0" w:color="auto"/>
        <w:bottom w:val="none" w:sz="0" w:space="0" w:color="auto"/>
        <w:right w:val="none" w:sz="0" w:space="0" w:color="auto"/>
      </w:divBdr>
      <w:divsChild>
        <w:div w:id="12879281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5932435">
      <w:bodyDiv w:val="1"/>
      <w:marLeft w:val="0"/>
      <w:marRight w:val="0"/>
      <w:marTop w:val="0"/>
      <w:marBottom w:val="0"/>
      <w:divBdr>
        <w:top w:val="none" w:sz="0" w:space="0" w:color="auto"/>
        <w:left w:val="none" w:sz="0" w:space="0" w:color="auto"/>
        <w:bottom w:val="none" w:sz="0" w:space="0" w:color="auto"/>
        <w:right w:val="none" w:sz="0" w:space="0" w:color="auto"/>
      </w:divBdr>
    </w:div>
    <w:div w:id="309140612">
      <w:bodyDiv w:val="1"/>
      <w:marLeft w:val="0"/>
      <w:marRight w:val="0"/>
      <w:marTop w:val="0"/>
      <w:marBottom w:val="0"/>
      <w:divBdr>
        <w:top w:val="none" w:sz="0" w:space="0" w:color="auto"/>
        <w:left w:val="none" w:sz="0" w:space="0" w:color="auto"/>
        <w:bottom w:val="none" w:sz="0" w:space="0" w:color="auto"/>
        <w:right w:val="none" w:sz="0" w:space="0" w:color="auto"/>
      </w:divBdr>
    </w:div>
    <w:div w:id="324432223">
      <w:bodyDiv w:val="1"/>
      <w:marLeft w:val="0"/>
      <w:marRight w:val="0"/>
      <w:marTop w:val="0"/>
      <w:marBottom w:val="0"/>
      <w:divBdr>
        <w:top w:val="none" w:sz="0" w:space="0" w:color="auto"/>
        <w:left w:val="none" w:sz="0" w:space="0" w:color="auto"/>
        <w:bottom w:val="none" w:sz="0" w:space="0" w:color="auto"/>
        <w:right w:val="none" w:sz="0" w:space="0" w:color="auto"/>
      </w:divBdr>
    </w:div>
    <w:div w:id="327827842">
      <w:bodyDiv w:val="1"/>
      <w:marLeft w:val="0"/>
      <w:marRight w:val="0"/>
      <w:marTop w:val="0"/>
      <w:marBottom w:val="0"/>
      <w:divBdr>
        <w:top w:val="none" w:sz="0" w:space="0" w:color="auto"/>
        <w:left w:val="none" w:sz="0" w:space="0" w:color="auto"/>
        <w:bottom w:val="none" w:sz="0" w:space="0" w:color="auto"/>
        <w:right w:val="none" w:sz="0" w:space="0" w:color="auto"/>
      </w:divBdr>
    </w:div>
    <w:div w:id="331219454">
      <w:bodyDiv w:val="1"/>
      <w:marLeft w:val="0"/>
      <w:marRight w:val="0"/>
      <w:marTop w:val="0"/>
      <w:marBottom w:val="0"/>
      <w:divBdr>
        <w:top w:val="none" w:sz="0" w:space="0" w:color="auto"/>
        <w:left w:val="none" w:sz="0" w:space="0" w:color="auto"/>
        <w:bottom w:val="none" w:sz="0" w:space="0" w:color="auto"/>
        <w:right w:val="none" w:sz="0" w:space="0" w:color="auto"/>
      </w:divBdr>
    </w:div>
    <w:div w:id="358508684">
      <w:bodyDiv w:val="1"/>
      <w:marLeft w:val="0"/>
      <w:marRight w:val="0"/>
      <w:marTop w:val="0"/>
      <w:marBottom w:val="0"/>
      <w:divBdr>
        <w:top w:val="none" w:sz="0" w:space="0" w:color="auto"/>
        <w:left w:val="none" w:sz="0" w:space="0" w:color="auto"/>
        <w:bottom w:val="none" w:sz="0" w:space="0" w:color="auto"/>
        <w:right w:val="none" w:sz="0" w:space="0" w:color="auto"/>
      </w:divBdr>
      <w:divsChild>
        <w:div w:id="2087025066">
          <w:marLeft w:val="-720"/>
          <w:marRight w:val="0"/>
          <w:marTop w:val="0"/>
          <w:marBottom w:val="0"/>
          <w:divBdr>
            <w:top w:val="none" w:sz="0" w:space="0" w:color="auto"/>
            <w:left w:val="none" w:sz="0" w:space="0" w:color="auto"/>
            <w:bottom w:val="none" w:sz="0" w:space="0" w:color="auto"/>
            <w:right w:val="none" w:sz="0" w:space="0" w:color="auto"/>
          </w:divBdr>
        </w:div>
      </w:divsChild>
    </w:div>
    <w:div w:id="359933404">
      <w:bodyDiv w:val="1"/>
      <w:marLeft w:val="0"/>
      <w:marRight w:val="0"/>
      <w:marTop w:val="0"/>
      <w:marBottom w:val="0"/>
      <w:divBdr>
        <w:top w:val="none" w:sz="0" w:space="0" w:color="auto"/>
        <w:left w:val="none" w:sz="0" w:space="0" w:color="auto"/>
        <w:bottom w:val="none" w:sz="0" w:space="0" w:color="auto"/>
        <w:right w:val="none" w:sz="0" w:space="0" w:color="auto"/>
      </w:divBdr>
    </w:div>
    <w:div w:id="367147958">
      <w:bodyDiv w:val="1"/>
      <w:marLeft w:val="0"/>
      <w:marRight w:val="0"/>
      <w:marTop w:val="0"/>
      <w:marBottom w:val="0"/>
      <w:divBdr>
        <w:top w:val="none" w:sz="0" w:space="0" w:color="auto"/>
        <w:left w:val="none" w:sz="0" w:space="0" w:color="auto"/>
        <w:bottom w:val="none" w:sz="0" w:space="0" w:color="auto"/>
        <w:right w:val="none" w:sz="0" w:space="0" w:color="auto"/>
      </w:divBdr>
      <w:divsChild>
        <w:div w:id="8913414">
          <w:marLeft w:val="-720"/>
          <w:marRight w:val="0"/>
          <w:marTop w:val="0"/>
          <w:marBottom w:val="0"/>
          <w:divBdr>
            <w:top w:val="none" w:sz="0" w:space="0" w:color="auto"/>
            <w:left w:val="none" w:sz="0" w:space="0" w:color="auto"/>
            <w:bottom w:val="none" w:sz="0" w:space="0" w:color="auto"/>
            <w:right w:val="none" w:sz="0" w:space="0" w:color="auto"/>
          </w:divBdr>
        </w:div>
      </w:divsChild>
    </w:div>
    <w:div w:id="387069213">
      <w:bodyDiv w:val="1"/>
      <w:marLeft w:val="0"/>
      <w:marRight w:val="0"/>
      <w:marTop w:val="0"/>
      <w:marBottom w:val="0"/>
      <w:divBdr>
        <w:top w:val="none" w:sz="0" w:space="0" w:color="auto"/>
        <w:left w:val="none" w:sz="0" w:space="0" w:color="auto"/>
        <w:bottom w:val="none" w:sz="0" w:space="0" w:color="auto"/>
        <w:right w:val="none" w:sz="0" w:space="0" w:color="auto"/>
      </w:divBdr>
    </w:div>
    <w:div w:id="389108972">
      <w:bodyDiv w:val="1"/>
      <w:marLeft w:val="0"/>
      <w:marRight w:val="0"/>
      <w:marTop w:val="0"/>
      <w:marBottom w:val="0"/>
      <w:divBdr>
        <w:top w:val="none" w:sz="0" w:space="0" w:color="auto"/>
        <w:left w:val="none" w:sz="0" w:space="0" w:color="auto"/>
        <w:bottom w:val="none" w:sz="0" w:space="0" w:color="auto"/>
        <w:right w:val="none" w:sz="0" w:space="0" w:color="auto"/>
      </w:divBdr>
    </w:div>
    <w:div w:id="424040632">
      <w:bodyDiv w:val="1"/>
      <w:marLeft w:val="0"/>
      <w:marRight w:val="0"/>
      <w:marTop w:val="0"/>
      <w:marBottom w:val="0"/>
      <w:divBdr>
        <w:top w:val="none" w:sz="0" w:space="0" w:color="auto"/>
        <w:left w:val="none" w:sz="0" w:space="0" w:color="auto"/>
        <w:bottom w:val="none" w:sz="0" w:space="0" w:color="auto"/>
        <w:right w:val="none" w:sz="0" w:space="0" w:color="auto"/>
      </w:divBdr>
    </w:div>
    <w:div w:id="443690916">
      <w:bodyDiv w:val="1"/>
      <w:marLeft w:val="0"/>
      <w:marRight w:val="0"/>
      <w:marTop w:val="0"/>
      <w:marBottom w:val="0"/>
      <w:divBdr>
        <w:top w:val="none" w:sz="0" w:space="0" w:color="auto"/>
        <w:left w:val="none" w:sz="0" w:space="0" w:color="auto"/>
        <w:bottom w:val="none" w:sz="0" w:space="0" w:color="auto"/>
        <w:right w:val="none" w:sz="0" w:space="0" w:color="auto"/>
      </w:divBdr>
      <w:divsChild>
        <w:div w:id="762191694">
          <w:marLeft w:val="0"/>
          <w:marRight w:val="0"/>
          <w:marTop w:val="0"/>
          <w:marBottom w:val="0"/>
          <w:divBdr>
            <w:top w:val="none" w:sz="0" w:space="0" w:color="auto"/>
            <w:left w:val="none" w:sz="0" w:space="0" w:color="auto"/>
            <w:bottom w:val="none" w:sz="0" w:space="0" w:color="auto"/>
            <w:right w:val="none" w:sz="0" w:space="0" w:color="auto"/>
          </w:divBdr>
          <w:divsChild>
            <w:div w:id="454371042">
              <w:marLeft w:val="0"/>
              <w:marRight w:val="0"/>
              <w:marTop w:val="0"/>
              <w:marBottom w:val="0"/>
              <w:divBdr>
                <w:top w:val="none" w:sz="0" w:space="0" w:color="auto"/>
                <w:left w:val="none" w:sz="0" w:space="0" w:color="auto"/>
                <w:bottom w:val="none" w:sz="0" w:space="0" w:color="auto"/>
                <w:right w:val="none" w:sz="0" w:space="0" w:color="auto"/>
              </w:divBdr>
              <w:divsChild>
                <w:div w:id="769088509">
                  <w:marLeft w:val="0"/>
                  <w:marRight w:val="0"/>
                  <w:marTop w:val="0"/>
                  <w:marBottom w:val="0"/>
                  <w:divBdr>
                    <w:top w:val="none" w:sz="0" w:space="0" w:color="auto"/>
                    <w:left w:val="none" w:sz="0" w:space="0" w:color="auto"/>
                    <w:bottom w:val="none" w:sz="0" w:space="0" w:color="auto"/>
                    <w:right w:val="none" w:sz="0" w:space="0" w:color="auto"/>
                  </w:divBdr>
                  <w:divsChild>
                    <w:div w:id="222109165">
                      <w:marLeft w:val="0"/>
                      <w:marRight w:val="0"/>
                      <w:marTop w:val="0"/>
                      <w:marBottom w:val="0"/>
                      <w:divBdr>
                        <w:top w:val="none" w:sz="0" w:space="0" w:color="auto"/>
                        <w:left w:val="none" w:sz="0" w:space="0" w:color="auto"/>
                        <w:bottom w:val="none" w:sz="0" w:space="0" w:color="auto"/>
                        <w:right w:val="none" w:sz="0" w:space="0" w:color="auto"/>
                      </w:divBdr>
                      <w:divsChild>
                        <w:div w:id="904291288">
                          <w:marLeft w:val="0"/>
                          <w:marRight w:val="0"/>
                          <w:marTop w:val="0"/>
                          <w:marBottom w:val="0"/>
                          <w:divBdr>
                            <w:top w:val="none" w:sz="0" w:space="0" w:color="auto"/>
                            <w:left w:val="none" w:sz="0" w:space="0" w:color="auto"/>
                            <w:bottom w:val="none" w:sz="0" w:space="0" w:color="auto"/>
                            <w:right w:val="none" w:sz="0" w:space="0" w:color="auto"/>
                          </w:divBdr>
                          <w:divsChild>
                            <w:div w:id="302467108">
                              <w:marLeft w:val="0"/>
                              <w:marRight w:val="0"/>
                              <w:marTop w:val="0"/>
                              <w:marBottom w:val="0"/>
                              <w:divBdr>
                                <w:top w:val="none" w:sz="0" w:space="0" w:color="auto"/>
                                <w:left w:val="none" w:sz="0" w:space="0" w:color="auto"/>
                                <w:bottom w:val="none" w:sz="0" w:space="0" w:color="auto"/>
                                <w:right w:val="none" w:sz="0" w:space="0" w:color="auto"/>
                              </w:divBdr>
                              <w:divsChild>
                                <w:div w:id="901601355">
                                  <w:marLeft w:val="0"/>
                                  <w:marRight w:val="0"/>
                                  <w:marTop w:val="0"/>
                                  <w:marBottom w:val="0"/>
                                  <w:divBdr>
                                    <w:top w:val="none" w:sz="0" w:space="0" w:color="auto"/>
                                    <w:left w:val="none" w:sz="0" w:space="0" w:color="auto"/>
                                    <w:bottom w:val="none" w:sz="0" w:space="0" w:color="auto"/>
                                    <w:right w:val="none" w:sz="0" w:space="0" w:color="auto"/>
                                  </w:divBdr>
                                  <w:divsChild>
                                    <w:div w:id="1284773984">
                                      <w:marLeft w:val="0"/>
                                      <w:marRight w:val="0"/>
                                      <w:marTop w:val="0"/>
                                      <w:marBottom w:val="0"/>
                                      <w:divBdr>
                                        <w:top w:val="none" w:sz="0" w:space="0" w:color="auto"/>
                                        <w:left w:val="none" w:sz="0" w:space="0" w:color="auto"/>
                                        <w:bottom w:val="none" w:sz="0" w:space="0" w:color="auto"/>
                                        <w:right w:val="none" w:sz="0" w:space="0" w:color="auto"/>
                                      </w:divBdr>
                                      <w:divsChild>
                                        <w:div w:id="1148018483">
                                          <w:marLeft w:val="0"/>
                                          <w:marRight w:val="0"/>
                                          <w:marTop w:val="0"/>
                                          <w:marBottom w:val="0"/>
                                          <w:divBdr>
                                            <w:top w:val="none" w:sz="0" w:space="0" w:color="auto"/>
                                            <w:left w:val="none" w:sz="0" w:space="0" w:color="auto"/>
                                            <w:bottom w:val="none" w:sz="0" w:space="0" w:color="auto"/>
                                            <w:right w:val="none" w:sz="0" w:space="0" w:color="auto"/>
                                          </w:divBdr>
                                          <w:divsChild>
                                            <w:div w:id="19970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83181">
                                  <w:marLeft w:val="0"/>
                                  <w:marRight w:val="0"/>
                                  <w:marTop w:val="0"/>
                                  <w:marBottom w:val="0"/>
                                  <w:divBdr>
                                    <w:top w:val="none" w:sz="0" w:space="0" w:color="auto"/>
                                    <w:left w:val="none" w:sz="0" w:space="0" w:color="auto"/>
                                    <w:bottom w:val="none" w:sz="0" w:space="0" w:color="auto"/>
                                    <w:right w:val="none" w:sz="0" w:space="0" w:color="auto"/>
                                  </w:divBdr>
                                  <w:divsChild>
                                    <w:div w:id="172667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272093">
          <w:marLeft w:val="0"/>
          <w:marRight w:val="0"/>
          <w:marTop w:val="0"/>
          <w:marBottom w:val="0"/>
          <w:divBdr>
            <w:top w:val="none" w:sz="0" w:space="0" w:color="auto"/>
            <w:left w:val="none" w:sz="0" w:space="0" w:color="auto"/>
            <w:bottom w:val="none" w:sz="0" w:space="0" w:color="auto"/>
            <w:right w:val="none" w:sz="0" w:space="0" w:color="auto"/>
          </w:divBdr>
          <w:divsChild>
            <w:div w:id="1372730963">
              <w:marLeft w:val="0"/>
              <w:marRight w:val="0"/>
              <w:marTop w:val="0"/>
              <w:marBottom w:val="0"/>
              <w:divBdr>
                <w:top w:val="none" w:sz="0" w:space="0" w:color="auto"/>
                <w:left w:val="none" w:sz="0" w:space="0" w:color="auto"/>
                <w:bottom w:val="none" w:sz="0" w:space="0" w:color="auto"/>
                <w:right w:val="none" w:sz="0" w:space="0" w:color="auto"/>
              </w:divBdr>
              <w:divsChild>
                <w:div w:id="220291154">
                  <w:marLeft w:val="0"/>
                  <w:marRight w:val="0"/>
                  <w:marTop w:val="0"/>
                  <w:marBottom w:val="0"/>
                  <w:divBdr>
                    <w:top w:val="none" w:sz="0" w:space="0" w:color="auto"/>
                    <w:left w:val="none" w:sz="0" w:space="0" w:color="auto"/>
                    <w:bottom w:val="none" w:sz="0" w:space="0" w:color="auto"/>
                    <w:right w:val="none" w:sz="0" w:space="0" w:color="auto"/>
                  </w:divBdr>
                  <w:divsChild>
                    <w:div w:id="417799580">
                      <w:marLeft w:val="0"/>
                      <w:marRight w:val="0"/>
                      <w:marTop w:val="0"/>
                      <w:marBottom w:val="0"/>
                      <w:divBdr>
                        <w:top w:val="none" w:sz="0" w:space="0" w:color="auto"/>
                        <w:left w:val="none" w:sz="0" w:space="0" w:color="auto"/>
                        <w:bottom w:val="none" w:sz="0" w:space="0" w:color="auto"/>
                        <w:right w:val="none" w:sz="0" w:space="0" w:color="auto"/>
                      </w:divBdr>
                      <w:divsChild>
                        <w:div w:id="1524245200">
                          <w:marLeft w:val="0"/>
                          <w:marRight w:val="0"/>
                          <w:marTop w:val="0"/>
                          <w:marBottom w:val="0"/>
                          <w:divBdr>
                            <w:top w:val="none" w:sz="0" w:space="0" w:color="auto"/>
                            <w:left w:val="none" w:sz="0" w:space="0" w:color="auto"/>
                            <w:bottom w:val="none" w:sz="0" w:space="0" w:color="auto"/>
                            <w:right w:val="none" w:sz="0" w:space="0" w:color="auto"/>
                          </w:divBdr>
                          <w:divsChild>
                            <w:div w:id="1235823284">
                              <w:marLeft w:val="0"/>
                              <w:marRight w:val="0"/>
                              <w:marTop w:val="0"/>
                              <w:marBottom w:val="0"/>
                              <w:divBdr>
                                <w:top w:val="none" w:sz="0" w:space="0" w:color="auto"/>
                                <w:left w:val="none" w:sz="0" w:space="0" w:color="auto"/>
                                <w:bottom w:val="none" w:sz="0" w:space="0" w:color="auto"/>
                                <w:right w:val="none" w:sz="0" w:space="0" w:color="auto"/>
                              </w:divBdr>
                              <w:divsChild>
                                <w:div w:id="1957980706">
                                  <w:marLeft w:val="0"/>
                                  <w:marRight w:val="0"/>
                                  <w:marTop w:val="0"/>
                                  <w:marBottom w:val="0"/>
                                  <w:divBdr>
                                    <w:top w:val="none" w:sz="0" w:space="0" w:color="auto"/>
                                    <w:left w:val="none" w:sz="0" w:space="0" w:color="auto"/>
                                    <w:bottom w:val="none" w:sz="0" w:space="0" w:color="auto"/>
                                    <w:right w:val="none" w:sz="0" w:space="0" w:color="auto"/>
                                  </w:divBdr>
                                  <w:divsChild>
                                    <w:div w:id="789276626">
                                      <w:marLeft w:val="0"/>
                                      <w:marRight w:val="0"/>
                                      <w:marTop w:val="0"/>
                                      <w:marBottom w:val="0"/>
                                      <w:divBdr>
                                        <w:top w:val="none" w:sz="0" w:space="0" w:color="auto"/>
                                        <w:left w:val="none" w:sz="0" w:space="0" w:color="auto"/>
                                        <w:bottom w:val="none" w:sz="0" w:space="0" w:color="auto"/>
                                        <w:right w:val="none" w:sz="0" w:space="0" w:color="auto"/>
                                      </w:divBdr>
                                      <w:divsChild>
                                        <w:div w:id="138037354">
                                          <w:marLeft w:val="0"/>
                                          <w:marRight w:val="0"/>
                                          <w:marTop w:val="0"/>
                                          <w:marBottom w:val="0"/>
                                          <w:divBdr>
                                            <w:top w:val="none" w:sz="0" w:space="0" w:color="auto"/>
                                            <w:left w:val="none" w:sz="0" w:space="0" w:color="auto"/>
                                            <w:bottom w:val="none" w:sz="0" w:space="0" w:color="auto"/>
                                            <w:right w:val="none" w:sz="0" w:space="0" w:color="auto"/>
                                          </w:divBdr>
                                          <w:divsChild>
                                            <w:div w:id="1477182698">
                                              <w:marLeft w:val="0"/>
                                              <w:marRight w:val="0"/>
                                              <w:marTop w:val="0"/>
                                              <w:marBottom w:val="0"/>
                                              <w:divBdr>
                                                <w:top w:val="none" w:sz="0" w:space="0" w:color="auto"/>
                                                <w:left w:val="none" w:sz="0" w:space="0" w:color="auto"/>
                                                <w:bottom w:val="none" w:sz="0" w:space="0" w:color="auto"/>
                                                <w:right w:val="none" w:sz="0" w:space="0" w:color="auto"/>
                                              </w:divBdr>
                                              <w:divsChild>
                                                <w:div w:id="34709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83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9298218">
      <w:bodyDiv w:val="1"/>
      <w:marLeft w:val="0"/>
      <w:marRight w:val="0"/>
      <w:marTop w:val="0"/>
      <w:marBottom w:val="0"/>
      <w:divBdr>
        <w:top w:val="none" w:sz="0" w:space="0" w:color="auto"/>
        <w:left w:val="none" w:sz="0" w:space="0" w:color="auto"/>
        <w:bottom w:val="none" w:sz="0" w:space="0" w:color="auto"/>
        <w:right w:val="none" w:sz="0" w:space="0" w:color="auto"/>
      </w:divBdr>
    </w:div>
    <w:div w:id="461268779">
      <w:bodyDiv w:val="1"/>
      <w:marLeft w:val="0"/>
      <w:marRight w:val="0"/>
      <w:marTop w:val="0"/>
      <w:marBottom w:val="0"/>
      <w:divBdr>
        <w:top w:val="none" w:sz="0" w:space="0" w:color="auto"/>
        <w:left w:val="none" w:sz="0" w:space="0" w:color="auto"/>
        <w:bottom w:val="none" w:sz="0" w:space="0" w:color="auto"/>
        <w:right w:val="none" w:sz="0" w:space="0" w:color="auto"/>
      </w:divBdr>
      <w:divsChild>
        <w:div w:id="951745942">
          <w:marLeft w:val="0"/>
          <w:marRight w:val="0"/>
          <w:marTop w:val="0"/>
          <w:marBottom w:val="0"/>
          <w:divBdr>
            <w:top w:val="none" w:sz="0" w:space="0" w:color="auto"/>
            <w:left w:val="none" w:sz="0" w:space="0" w:color="auto"/>
            <w:bottom w:val="none" w:sz="0" w:space="0" w:color="auto"/>
            <w:right w:val="none" w:sz="0" w:space="0" w:color="auto"/>
          </w:divBdr>
          <w:divsChild>
            <w:div w:id="1329359234">
              <w:marLeft w:val="0"/>
              <w:marRight w:val="0"/>
              <w:marTop w:val="0"/>
              <w:marBottom w:val="0"/>
              <w:divBdr>
                <w:top w:val="none" w:sz="0" w:space="0" w:color="auto"/>
                <w:left w:val="none" w:sz="0" w:space="0" w:color="auto"/>
                <w:bottom w:val="none" w:sz="0" w:space="0" w:color="auto"/>
                <w:right w:val="none" w:sz="0" w:space="0" w:color="auto"/>
              </w:divBdr>
              <w:divsChild>
                <w:div w:id="813302499">
                  <w:marLeft w:val="0"/>
                  <w:marRight w:val="0"/>
                  <w:marTop w:val="0"/>
                  <w:marBottom w:val="0"/>
                  <w:divBdr>
                    <w:top w:val="none" w:sz="0" w:space="0" w:color="auto"/>
                    <w:left w:val="none" w:sz="0" w:space="0" w:color="auto"/>
                    <w:bottom w:val="none" w:sz="0" w:space="0" w:color="auto"/>
                    <w:right w:val="none" w:sz="0" w:space="0" w:color="auto"/>
                  </w:divBdr>
                  <w:divsChild>
                    <w:div w:id="1345092848">
                      <w:marLeft w:val="0"/>
                      <w:marRight w:val="0"/>
                      <w:marTop w:val="0"/>
                      <w:marBottom w:val="0"/>
                      <w:divBdr>
                        <w:top w:val="none" w:sz="0" w:space="0" w:color="auto"/>
                        <w:left w:val="none" w:sz="0" w:space="0" w:color="auto"/>
                        <w:bottom w:val="none" w:sz="0" w:space="0" w:color="auto"/>
                        <w:right w:val="none" w:sz="0" w:space="0" w:color="auto"/>
                      </w:divBdr>
                      <w:divsChild>
                        <w:div w:id="1643997026">
                          <w:marLeft w:val="0"/>
                          <w:marRight w:val="0"/>
                          <w:marTop w:val="0"/>
                          <w:marBottom w:val="0"/>
                          <w:divBdr>
                            <w:top w:val="none" w:sz="0" w:space="0" w:color="auto"/>
                            <w:left w:val="none" w:sz="0" w:space="0" w:color="auto"/>
                            <w:bottom w:val="none" w:sz="0" w:space="0" w:color="auto"/>
                            <w:right w:val="none" w:sz="0" w:space="0" w:color="auto"/>
                          </w:divBdr>
                          <w:divsChild>
                            <w:div w:id="214453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329608">
                  <w:marLeft w:val="0"/>
                  <w:marRight w:val="0"/>
                  <w:marTop w:val="0"/>
                  <w:marBottom w:val="0"/>
                  <w:divBdr>
                    <w:top w:val="none" w:sz="0" w:space="0" w:color="auto"/>
                    <w:left w:val="none" w:sz="0" w:space="0" w:color="auto"/>
                    <w:bottom w:val="none" w:sz="0" w:space="0" w:color="auto"/>
                    <w:right w:val="none" w:sz="0" w:space="0" w:color="auto"/>
                  </w:divBdr>
                  <w:divsChild>
                    <w:div w:id="137515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26303">
      <w:bodyDiv w:val="1"/>
      <w:marLeft w:val="0"/>
      <w:marRight w:val="0"/>
      <w:marTop w:val="0"/>
      <w:marBottom w:val="0"/>
      <w:divBdr>
        <w:top w:val="none" w:sz="0" w:space="0" w:color="auto"/>
        <w:left w:val="none" w:sz="0" w:space="0" w:color="auto"/>
        <w:bottom w:val="none" w:sz="0" w:space="0" w:color="auto"/>
        <w:right w:val="none" w:sz="0" w:space="0" w:color="auto"/>
      </w:divBdr>
      <w:divsChild>
        <w:div w:id="1049646116">
          <w:marLeft w:val="-720"/>
          <w:marRight w:val="0"/>
          <w:marTop w:val="0"/>
          <w:marBottom w:val="0"/>
          <w:divBdr>
            <w:top w:val="none" w:sz="0" w:space="0" w:color="auto"/>
            <w:left w:val="none" w:sz="0" w:space="0" w:color="auto"/>
            <w:bottom w:val="none" w:sz="0" w:space="0" w:color="auto"/>
            <w:right w:val="none" w:sz="0" w:space="0" w:color="auto"/>
          </w:divBdr>
        </w:div>
      </w:divsChild>
    </w:div>
    <w:div w:id="467010689">
      <w:bodyDiv w:val="1"/>
      <w:marLeft w:val="0"/>
      <w:marRight w:val="0"/>
      <w:marTop w:val="0"/>
      <w:marBottom w:val="0"/>
      <w:divBdr>
        <w:top w:val="none" w:sz="0" w:space="0" w:color="auto"/>
        <w:left w:val="none" w:sz="0" w:space="0" w:color="auto"/>
        <w:bottom w:val="none" w:sz="0" w:space="0" w:color="auto"/>
        <w:right w:val="none" w:sz="0" w:space="0" w:color="auto"/>
      </w:divBdr>
    </w:div>
    <w:div w:id="474177312">
      <w:bodyDiv w:val="1"/>
      <w:marLeft w:val="0"/>
      <w:marRight w:val="0"/>
      <w:marTop w:val="0"/>
      <w:marBottom w:val="0"/>
      <w:divBdr>
        <w:top w:val="none" w:sz="0" w:space="0" w:color="auto"/>
        <w:left w:val="none" w:sz="0" w:space="0" w:color="auto"/>
        <w:bottom w:val="none" w:sz="0" w:space="0" w:color="auto"/>
        <w:right w:val="none" w:sz="0" w:space="0" w:color="auto"/>
      </w:divBdr>
    </w:div>
    <w:div w:id="477768875">
      <w:bodyDiv w:val="1"/>
      <w:marLeft w:val="0"/>
      <w:marRight w:val="0"/>
      <w:marTop w:val="0"/>
      <w:marBottom w:val="0"/>
      <w:divBdr>
        <w:top w:val="none" w:sz="0" w:space="0" w:color="auto"/>
        <w:left w:val="none" w:sz="0" w:space="0" w:color="auto"/>
        <w:bottom w:val="none" w:sz="0" w:space="0" w:color="auto"/>
        <w:right w:val="none" w:sz="0" w:space="0" w:color="auto"/>
      </w:divBdr>
    </w:div>
    <w:div w:id="480272379">
      <w:bodyDiv w:val="1"/>
      <w:marLeft w:val="0"/>
      <w:marRight w:val="0"/>
      <w:marTop w:val="0"/>
      <w:marBottom w:val="0"/>
      <w:divBdr>
        <w:top w:val="none" w:sz="0" w:space="0" w:color="auto"/>
        <w:left w:val="none" w:sz="0" w:space="0" w:color="auto"/>
        <w:bottom w:val="none" w:sz="0" w:space="0" w:color="auto"/>
        <w:right w:val="none" w:sz="0" w:space="0" w:color="auto"/>
      </w:divBdr>
    </w:div>
    <w:div w:id="490175347">
      <w:bodyDiv w:val="1"/>
      <w:marLeft w:val="0"/>
      <w:marRight w:val="0"/>
      <w:marTop w:val="0"/>
      <w:marBottom w:val="0"/>
      <w:divBdr>
        <w:top w:val="none" w:sz="0" w:space="0" w:color="auto"/>
        <w:left w:val="none" w:sz="0" w:space="0" w:color="auto"/>
        <w:bottom w:val="none" w:sz="0" w:space="0" w:color="auto"/>
        <w:right w:val="none" w:sz="0" w:space="0" w:color="auto"/>
      </w:divBdr>
    </w:div>
    <w:div w:id="499347510">
      <w:bodyDiv w:val="1"/>
      <w:marLeft w:val="0"/>
      <w:marRight w:val="0"/>
      <w:marTop w:val="0"/>
      <w:marBottom w:val="0"/>
      <w:divBdr>
        <w:top w:val="none" w:sz="0" w:space="0" w:color="auto"/>
        <w:left w:val="none" w:sz="0" w:space="0" w:color="auto"/>
        <w:bottom w:val="none" w:sz="0" w:space="0" w:color="auto"/>
        <w:right w:val="none" w:sz="0" w:space="0" w:color="auto"/>
      </w:divBdr>
      <w:divsChild>
        <w:div w:id="796025693">
          <w:marLeft w:val="-720"/>
          <w:marRight w:val="0"/>
          <w:marTop w:val="0"/>
          <w:marBottom w:val="0"/>
          <w:divBdr>
            <w:top w:val="none" w:sz="0" w:space="0" w:color="auto"/>
            <w:left w:val="none" w:sz="0" w:space="0" w:color="auto"/>
            <w:bottom w:val="none" w:sz="0" w:space="0" w:color="auto"/>
            <w:right w:val="none" w:sz="0" w:space="0" w:color="auto"/>
          </w:divBdr>
        </w:div>
      </w:divsChild>
    </w:div>
    <w:div w:id="504438055">
      <w:bodyDiv w:val="1"/>
      <w:marLeft w:val="0"/>
      <w:marRight w:val="0"/>
      <w:marTop w:val="0"/>
      <w:marBottom w:val="0"/>
      <w:divBdr>
        <w:top w:val="none" w:sz="0" w:space="0" w:color="auto"/>
        <w:left w:val="none" w:sz="0" w:space="0" w:color="auto"/>
        <w:bottom w:val="none" w:sz="0" w:space="0" w:color="auto"/>
        <w:right w:val="none" w:sz="0" w:space="0" w:color="auto"/>
      </w:divBdr>
    </w:div>
    <w:div w:id="512691613">
      <w:bodyDiv w:val="1"/>
      <w:marLeft w:val="0"/>
      <w:marRight w:val="0"/>
      <w:marTop w:val="0"/>
      <w:marBottom w:val="0"/>
      <w:divBdr>
        <w:top w:val="none" w:sz="0" w:space="0" w:color="auto"/>
        <w:left w:val="none" w:sz="0" w:space="0" w:color="auto"/>
        <w:bottom w:val="none" w:sz="0" w:space="0" w:color="auto"/>
        <w:right w:val="none" w:sz="0" w:space="0" w:color="auto"/>
      </w:divBdr>
    </w:div>
    <w:div w:id="521549179">
      <w:bodyDiv w:val="1"/>
      <w:marLeft w:val="0"/>
      <w:marRight w:val="0"/>
      <w:marTop w:val="0"/>
      <w:marBottom w:val="0"/>
      <w:divBdr>
        <w:top w:val="none" w:sz="0" w:space="0" w:color="auto"/>
        <w:left w:val="none" w:sz="0" w:space="0" w:color="auto"/>
        <w:bottom w:val="none" w:sz="0" w:space="0" w:color="auto"/>
        <w:right w:val="none" w:sz="0" w:space="0" w:color="auto"/>
      </w:divBdr>
    </w:div>
    <w:div w:id="575477914">
      <w:bodyDiv w:val="1"/>
      <w:marLeft w:val="0"/>
      <w:marRight w:val="0"/>
      <w:marTop w:val="0"/>
      <w:marBottom w:val="0"/>
      <w:divBdr>
        <w:top w:val="none" w:sz="0" w:space="0" w:color="auto"/>
        <w:left w:val="none" w:sz="0" w:space="0" w:color="auto"/>
        <w:bottom w:val="none" w:sz="0" w:space="0" w:color="auto"/>
        <w:right w:val="none" w:sz="0" w:space="0" w:color="auto"/>
      </w:divBdr>
      <w:divsChild>
        <w:div w:id="2098211647">
          <w:marLeft w:val="-720"/>
          <w:marRight w:val="0"/>
          <w:marTop w:val="0"/>
          <w:marBottom w:val="0"/>
          <w:divBdr>
            <w:top w:val="none" w:sz="0" w:space="0" w:color="auto"/>
            <w:left w:val="none" w:sz="0" w:space="0" w:color="auto"/>
            <w:bottom w:val="none" w:sz="0" w:space="0" w:color="auto"/>
            <w:right w:val="none" w:sz="0" w:space="0" w:color="auto"/>
          </w:divBdr>
        </w:div>
      </w:divsChild>
    </w:div>
    <w:div w:id="580144486">
      <w:bodyDiv w:val="1"/>
      <w:marLeft w:val="0"/>
      <w:marRight w:val="0"/>
      <w:marTop w:val="0"/>
      <w:marBottom w:val="0"/>
      <w:divBdr>
        <w:top w:val="none" w:sz="0" w:space="0" w:color="auto"/>
        <w:left w:val="none" w:sz="0" w:space="0" w:color="auto"/>
        <w:bottom w:val="none" w:sz="0" w:space="0" w:color="auto"/>
        <w:right w:val="none" w:sz="0" w:space="0" w:color="auto"/>
      </w:divBdr>
    </w:div>
    <w:div w:id="588851508">
      <w:bodyDiv w:val="1"/>
      <w:marLeft w:val="0"/>
      <w:marRight w:val="0"/>
      <w:marTop w:val="0"/>
      <w:marBottom w:val="0"/>
      <w:divBdr>
        <w:top w:val="none" w:sz="0" w:space="0" w:color="auto"/>
        <w:left w:val="none" w:sz="0" w:space="0" w:color="auto"/>
        <w:bottom w:val="none" w:sz="0" w:space="0" w:color="auto"/>
        <w:right w:val="none" w:sz="0" w:space="0" w:color="auto"/>
      </w:divBdr>
    </w:div>
    <w:div w:id="609092397">
      <w:bodyDiv w:val="1"/>
      <w:marLeft w:val="0"/>
      <w:marRight w:val="0"/>
      <w:marTop w:val="0"/>
      <w:marBottom w:val="0"/>
      <w:divBdr>
        <w:top w:val="none" w:sz="0" w:space="0" w:color="auto"/>
        <w:left w:val="none" w:sz="0" w:space="0" w:color="auto"/>
        <w:bottom w:val="none" w:sz="0" w:space="0" w:color="auto"/>
        <w:right w:val="none" w:sz="0" w:space="0" w:color="auto"/>
      </w:divBdr>
    </w:div>
    <w:div w:id="620115496">
      <w:bodyDiv w:val="1"/>
      <w:marLeft w:val="0"/>
      <w:marRight w:val="0"/>
      <w:marTop w:val="0"/>
      <w:marBottom w:val="0"/>
      <w:divBdr>
        <w:top w:val="none" w:sz="0" w:space="0" w:color="auto"/>
        <w:left w:val="none" w:sz="0" w:space="0" w:color="auto"/>
        <w:bottom w:val="none" w:sz="0" w:space="0" w:color="auto"/>
        <w:right w:val="none" w:sz="0" w:space="0" w:color="auto"/>
      </w:divBdr>
    </w:div>
    <w:div w:id="622925585">
      <w:bodyDiv w:val="1"/>
      <w:marLeft w:val="0"/>
      <w:marRight w:val="0"/>
      <w:marTop w:val="0"/>
      <w:marBottom w:val="0"/>
      <w:divBdr>
        <w:top w:val="none" w:sz="0" w:space="0" w:color="auto"/>
        <w:left w:val="none" w:sz="0" w:space="0" w:color="auto"/>
        <w:bottom w:val="none" w:sz="0" w:space="0" w:color="auto"/>
        <w:right w:val="none" w:sz="0" w:space="0" w:color="auto"/>
      </w:divBdr>
    </w:div>
    <w:div w:id="672343602">
      <w:bodyDiv w:val="1"/>
      <w:marLeft w:val="0"/>
      <w:marRight w:val="0"/>
      <w:marTop w:val="0"/>
      <w:marBottom w:val="0"/>
      <w:divBdr>
        <w:top w:val="none" w:sz="0" w:space="0" w:color="auto"/>
        <w:left w:val="none" w:sz="0" w:space="0" w:color="auto"/>
        <w:bottom w:val="none" w:sz="0" w:space="0" w:color="auto"/>
        <w:right w:val="none" w:sz="0" w:space="0" w:color="auto"/>
      </w:divBdr>
      <w:divsChild>
        <w:div w:id="156072462">
          <w:marLeft w:val="-720"/>
          <w:marRight w:val="0"/>
          <w:marTop w:val="0"/>
          <w:marBottom w:val="0"/>
          <w:divBdr>
            <w:top w:val="none" w:sz="0" w:space="0" w:color="auto"/>
            <w:left w:val="none" w:sz="0" w:space="0" w:color="auto"/>
            <w:bottom w:val="none" w:sz="0" w:space="0" w:color="auto"/>
            <w:right w:val="none" w:sz="0" w:space="0" w:color="auto"/>
          </w:divBdr>
        </w:div>
      </w:divsChild>
    </w:div>
    <w:div w:id="710962093">
      <w:bodyDiv w:val="1"/>
      <w:marLeft w:val="0"/>
      <w:marRight w:val="0"/>
      <w:marTop w:val="0"/>
      <w:marBottom w:val="0"/>
      <w:divBdr>
        <w:top w:val="none" w:sz="0" w:space="0" w:color="auto"/>
        <w:left w:val="none" w:sz="0" w:space="0" w:color="auto"/>
        <w:bottom w:val="none" w:sz="0" w:space="0" w:color="auto"/>
        <w:right w:val="none" w:sz="0" w:space="0" w:color="auto"/>
      </w:divBdr>
    </w:div>
    <w:div w:id="755398208">
      <w:bodyDiv w:val="1"/>
      <w:marLeft w:val="0"/>
      <w:marRight w:val="0"/>
      <w:marTop w:val="0"/>
      <w:marBottom w:val="0"/>
      <w:divBdr>
        <w:top w:val="none" w:sz="0" w:space="0" w:color="auto"/>
        <w:left w:val="none" w:sz="0" w:space="0" w:color="auto"/>
        <w:bottom w:val="none" w:sz="0" w:space="0" w:color="auto"/>
        <w:right w:val="none" w:sz="0" w:space="0" w:color="auto"/>
      </w:divBdr>
    </w:div>
    <w:div w:id="762576963">
      <w:bodyDiv w:val="1"/>
      <w:marLeft w:val="0"/>
      <w:marRight w:val="0"/>
      <w:marTop w:val="0"/>
      <w:marBottom w:val="0"/>
      <w:divBdr>
        <w:top w:val="none" w:sz="0" w:space="0" w:color="auto"/>
        <w:left w:val="none" w:sz="0" w:space="0" w:color="auto"/>
        <w:bottom w:val="none" w:sz="0" w:space="0" w:color="auto"/>
        <w:right w:val="none" w:sz="0" w:space="0" w:color="auto"/>
      </w:divBdr>
    </w:div>
    <w:div w:id="764421228">
      <w:bodyDiv w:val="1"/>
      <w:marLeft w:val="0"/>
      <w:marRight w:val="0"/>
      <w:marTop w:val="0"/>
      <w:marBottom w:val="0"/>
      <w:divBdr>
        <w:top w:val="none" w:sz="0" w:space="0" w:color="auto"/>
        <w:left w:val="none" w:sz="0" w:space="0" w:color="auto"/>
        <w:bottom w:val="none" w:sz="0" w:space="0" w:color="auto"/>
        <w:right w:val="none" w:sz="0" w:space="0" w:color="auto"/>
      </w:divBdr>
    </w:div>
    <w:div w:id="765030351">
      <w:bodyDiv w:val="1"/>
      <w:marLeft w:val="0"/>
      <w:marRight w:val="0"/>
      <w:marTop w:val="0"/>
      <w:marBottom w:val="0"/>
      <w:divBdr>
        <w:top w:val="none" w:sz="0" w:space="0" w:color="auto"/>
        <w:left w:val="none" w:sz="0" w:space="0" w:color="auto"/>
        <w:bottom w:val="none" w:sz="0" w:space="0" w:color="auto"/>
        <w:right w:val="none" w:sz="0" w:space="0" w:color="auto"/>
      </w:divBdr>
    </w:div>
    <w:div w:id="765350135">
      <w:bodyDiv w:val="1"/>
      <w:marLeft w:val="0"/>
      <w:marRight w:val="0"/>
      <w:marTop w:val="0"/>
      <w:marBottom w:val="0"/>
      <w:divBdr>
        <w:top w:val="none" w:sz="0" w:space="0" w:color="auto"/>
        <w:left w:val="none" w:sz="0" w:space="0" w:color="auto"/>
        <w:bottom w:val="none" w:sz="0" w:space="0" w:color="auto"/>
        <w:right w:val="none" w:sz="0" w:space="0" w:color="auto"/>
      </w:divBdr>
    </w:div>
    <w:div w:id="775448673">
      <w:bodyDiv w:val="1"/>
      <w:marLeft w:val="0"/>
      <w:marRight w:val="0"/>
      <w:marTop w:val="0"/>
      <w:marBottom w:val="0"/>
      <w:divBdr>
        <w:top w:val="none" w:sz="0" w:space="0" w:color="auto"/>
        <w:left w:val="none" w:sz="0" w:space="0" w:color="auto"/>
        <w:bottom w:val="none" w:sz="0" w:space="0" w:color="auto"/>
        <w:right w:val="none" w:sz="0" w:space="0" w:color="auto"/>
      </w:divBdr>
    </w:div>
    <w:div w:id="780343257">
      <w:bodyDiv w:val="1"/>
      <w:marLeft w:val="0"/>
      <w:marRight w:val="0"/>
      <w:marTop w:val="0"/>
      <w:marBottom w:val="0"/>
      <w:divBdr>
        <w:top w:val="none" w:sz="0" w:space="0" w:color="auto"/>
        <w:left w:val="none" w:sz="0" w:space="0" w:color="auto"/>
        <w:bottom w:val="none" w:sz="0" w:space="0" w:color="auto"/>
        <w:right w:val="none" w:sz="0" w:space="0" w:color="auto"/>
      </w:divBdr>
      <w:divsChild>
        <w:div w:id="1297948258">
          <w:marLeft w:val="-720"/>
          <w:marRight w:val="0"/>
          <w:marTop w:val="0"/>
          <w:marBottom w:val="0"/>
          <w:divBdr>
            <w:top w:val="none" w:sz="0" w:space="0" w:color="auto"/>
            <w:left w:val="none" w:sz="0" w:space="0" w:color="auto"/>
            <w:bottom w:val="none" w:sz="0" w:space="0" w:color="auto"/>
            <w:right w:val="none" w:sz="0" w:space="0" w:color="auto"/>
          </w:divBdr>
        </w:div>
      </w:divsChild>
    </w:div>
    <w:div w:id="784038246">
      <w:bodyDiv w:val="1"/>
      <w:marLeft w:val="0"/>
      <w:marRight w:val="0"/>
      <w:marTop w:val="0"/>
      <w:marBottom w:val="0"/>
      <w:divBdr>
        <w:top w:val="none" w:sz="0" w:space="0" w:color="auto"/>
        <w:left w:val="none" w:sz="0" w:space="0" w:color="auto"/>
        <w:bottom w:val="none" w:sz="0" w:space="0" w:color="auto"/>
        <w:right w:val="none" w:sz="0" w:space="0" w:color="auto"/>
      </w:divBdr>
    </w:div>
    <w:div w:id="791484948">
      <w:bodyDiv w:val="1"/>
      <w:marLeft w:val="0"/>
      <w:marRight w:val="0"/>
      <w:marTop w:val="0"/>
      <w:marBottom w:val="0"/>
      <w:divBdr>
        <w:top w:val="none" w:sz="0" w:space="0" w:color="auto"/>
        <w:left w:val="none" w:sz="0" w:space="0" w:color="auto"/>
        <w:bottom w:val="none" w:sz="0" w:space="0" w:color="auto"/>
        <w:right w:val="none" w:sz="0" w:space="0" w:color="auto"/>
      </w:divBdr>
    </w:div>
    <w:div w:id="791555929">
      <w:bodyDiv w:val="1"/>
      <w:marLeft w:val="0"/>
      <w:marRight w:val="0"/>
      <w:marTop w:val="0"/>
      <w:marBottom w:val="0"/>
      <w:divBdr>
        <w:top w:val="none" w:sz="0" w:space="0" w:color="auto"/>
        <w:left w:val="none" w:sz="0" w:space="0" w:color="auto"/>
        <w:bottom w:val="none" w:sz="0" w:space="0" w:color="auto"/>
        <w:right w:val="none" w:sz="0" w:space="0" w:color="auto"/>
      </w:divBdr>
      <w:divsChild>
        <w:div w:id="813765007">
          <w:marLeft w:val="0"/>
          <w:marRight w:val="0"/>
          <w:marTop w:val="0"/>
          <w:marBottom w:val="0"/>
          <w:divBdr>
            <w:top w:val="none" w:sz="0" w:space="0" w:color="auto"/>
            <w:left w:val="none" w:sz="0" w:space="0" w:color="auto"/>
            <w:bottom w:val="none" w:sz="0" w:space="0" w:color="auto"/>
            <w:right w:val="none" w:sz="0" w:space="0" w:color="auto"/>
          </w:divBdr>
        </w:div>
      </w:divsChild>
    </w:div>
    <w:div w:id="800731381">
      <w:bodyDiv w:val="1"/>
      <w:marLeft w:val="0"/>
      <w:marRight w:val="0"/>
      <w:marTop w:val="0"/>
      <w:marBottom w:val="0"/>
      <w:divBdr>
        <w:top w:val="none" w:sz="0" w:space="0" w:color="auto"/>
        <w:left w:val="none" w:sz="0" w:space="0" w:color="auto"/>
        <w:bottom w:val="none" w:sz="0" w:space="0" w:color="auto"/>
        <w:right w:val="none" w:sz="0" w:space="0" w:color="auto"/>
      </w:divBdr>
    </w:div>
    <w:div w:id="816847358">
      <w:bodyDiv w:val="1"/>
      <w:marLeft w:val="0"/>
      <w:marRight w:val="0"/>
      <w:marTop w:val="0"/>
      <w:marBottom w:val="0"/>
      <w:divBdr>
        <w:top w:val="none" w:sz="0" w:space="0" w:color="auto"/>
        <w:left w:val="none" w:sz="0" w:space="0" w:color="auto"/>
        <w:bottom w:val="none" w:sz="0" w:space="0" w:color="auto"/>
        <w:right w:val="none" w:sz="0" w:space="0" w:color="auto"/>
      </w:divBdr>
    </w:div>
    <w:div w:id="817110595">
      <w:bodyDiv w:val="1"/>
      <w:marLeft w:val="0"/>
      <w:marRight w:val="0"/>
      <w:marTop w:val="0"/>
      <w:marBottom w:val="0"/>
      <w:divBdr>
        <w:top w:val="none" w:sz="0" w:space="0" w:color="auto"/>
        <w:left w:val="none" w:sz="0" w:space="0" w:color="auto"/>
        <w:bottom w:val="none" w:sz="0" w:space="0" w:color="auto"/>
        <w:right w:val="none" w:sz="0" w:space="0" w:color="auto"/>
      </w:divBdr>
      <w:divsChild>
        <w:div w:id="1183980791">
          <w:marLeft w:val="-720"/>
          <w:marRight w:val="0"/>
          <w:marTop w:val="0"/>
          <w:marBottom w:val="0"/>
          <w:divBdr>
            <w:top w:val="none" w:sz="0" w:space="0" w:color="auto"/>
            <w:left w:val="none" w:sz="0" w:space="0" w:color="auto"/>
            <w:bottom w:val="none" w:sz="0" w:space="0" w:color="auto"/>
            <w:right w:val="none" w:sz="0" w:space="0" w:color="auto"/>
          </w:divBdr>
        </w:div>
      </w:divsChild>
    </w:div>
    <w:div w:id="838037919">
      <w:bodyDiv w:val="1"/>
      <w:marLeft w:val="0"/>
      <w:marRight w:val="0"/>
      <w:marTop w:val="0"/>
      <w:marBottom w:val="0"/>
      <w:divBdr>
        <w:top w:val="none" w:sz="0" w:space="0" w:color="auto"/>
        <w:left w:val="none" w:sz="0" w:space="0" w:color="auto"/>
        <w:bottom w:val="none" w:sz="0" w:space="0" w:color="auto"/>
        <w:right w:val="none" w:sz="0" w:space="0" w:color="auto"/>
      </w:divBdr>
    </w:div>
    <w:div w:id="854152181">
      <w:bodyDiv w:val="1"/>
      <w:marLeft w:val="0"/>
      <w:marRight w:val="0"/>
      <w:marTop w:val="0"/>
      <w:marBottom w:val="0"/>
      <w:divBdr>
        <w:top w:val="none" w:sz="0" w:space="0" w:color="auto"/>
        <w:left w:val="none" w:sz="0" w:space="0" w:color="auto"/>
        <w:bottom w:val="none" w:sz="0" w:space="0" w:color="auto"/>
        <w:right w:val="none" w:sz="0" w:space="0" w:color="auto"/>
      </w:divBdr>
    </w:div>
    <w:div w:id="863179364">
      <w:bodyDiv w:val="1"/>
      <w:marLeft w:val="0"/>
      <w:marRight w:val="0"/>
      <w:marTop w:val="0"/>
      <w:marBottom w:val="0"/>
      <w:divBdr>
        <w:top w:val="none" w:sz="0" w:space="0" w:color="auto"/>
        <w:left w:val="none" w:sz="0" w:space="0" w:color="auto"/>
        <w:bottom w:val="none" w:sz="0" w:space="0" w:color="auto"/>
        <w:right w:val="none" w:sz="0" w:space="0" w:color="auto"/>
      </w:divBdr>
    </w:div>
    <w:div w:id="864250071">
      <w:bodyDiv w:val="1"/>
      <w:marLeft w:val="0"/>
      <w:marRight w:val="0"/>
      <w:marTop w:val="0"/>
      <w:marBottom w:val="0"/>
      <w:divBdr>
        <w:top w:val="none" w:sz="0" w:space="0" w:color="auto"/>
        <w:left w:val="none" w:sz="0" w:space="0" w:color="auto"/>
        <w:bottom w:val="none" w:sz="0" w:space="0" w:color="auto"/>
        <w:right w:val="none" w:sz="0" w:space="0" w:color="auto"/>
      </w:divBdr>
    </w:div>
    <w:div w:id="866911112">
      <w:bodyDiv w:val="1"/>
      <w:marLeft w:val="0"/>
      <w:marRight w:val="0"/>
      <w:marTop w:val="0"/>
      <w:marBottom w:val="0"/>
      <w:divBdr>
        <w:top w:val="none" w:sz="0" w:space="0" w:color="auto"/>
        <w:left w:val="none" w:sz="0" w:space="0" w:color="auto"/>
        <w:bottom w:val="none" w:sz="0" w:space="0" w:color="auto"/>
        <w:right w:val="none" w:sz="0" w:space="0" w:color="auto"/>
      </w:divBdr>
    </w:div>
    <w:div w:id="878858080">
      <w:bodyDiv w:val="1"/>
      <w:marLeft w:val="0"/>
      <w:marRight w:val="0"/>
      <w:marTop w:val="0"/>
      <w:marBottom w:val="0"/>
      <w:divBdr>
        <w:top w:val="none" w:sz="0" w:space="0" w:color="auto"/>
        <w:left w:val="none" w:sz="0" w:space="0" w:color="auto"/>
        <w:bottom w:val="none" w:sz="0" w:space="0" w:color="auto"/>
        <w:right w:val="none" w:sz="0" w:space="0" w:color="auto"/>
      </w:divBdr>
    </w:div>
    <w:div w:id="879972649">
      <w:bodyDiv w:val="1"/>
      <w:marLeft w:val="0"/>
      <w:marRight w:val="0"/>
      <w:marTop w:val="0"/>
      <w:marBottom w:val="0"/>
      <w:divBdr>
        <w:top w:val="none" w:sz="0" w:space="0" w:color="auto"/>
        <w:left w:val="none" w:sz="0" w:space="0" w:color="auto"/>
        <w:bottom w:val="none" w:sz="0" w:space="0" w:color="auto"/>
        <w:right w:val="none" w:sz="0" w:space="0" w:color="auto"/>
      </w:divBdr>
    </w:div>
    <w:div w:id="888347176">
      <w:bodyDiv w:val="1"/>
      <w:marLeft w:val="0"/>
      <w:marRight w:val="0"/>
      <w:marTop w:val="0"/>
      <w:marBottom w:val="0"/>
      <w:divBdr>
        <w:top w:val="none" w:sz="0" w:space="0" w:color="auto"/>
        <w:left w:val="none" w:sz="0" w:space="0" w:color="auto"/>
        <w:bottom w:val="none" w:sz="0" w:space="0" w:color="auto"/>
        <w:right w:val="none" w:sz="0" w:space="0" w:color="auto"/>
      </w:divBdr>
    </w:div>
    <w:div w:id="900408387">
      <w:bodyDiv w:val="1"/>
      <w:marLeft w:val="0"/>
      <w:marRight w:val="0"/>
      <w:marTop w:val="0"/>
      <w:marBottom w:val="0"/>
      <w:divBdr>
        <w:top w:val="none" w:sz="0" w:space="0" w:color="auto"/>
        <w:left w:val="none" w:sz="0" w:space="0" w:color="auto"/>
        <w:bottom w:val="none" w:sz="0" w:space="0" w:color="auto"/>
        <w:right w:val="none" w:sz="0" w:space="0" w:color="auto"/>
      </w:divBdr>
      <w:divsChild>
        <w:div w:id="1194538990">
          <w:marLeft w:val="-720"/>
          <w:marRight w:val="0"/>
          <w:marTop w:val="0"/>
          <w:marBottom w:val="0"/>
          <w:divBdr>
            <w:top w:val="none" w:sz="0" w:space="0" w:color="auto"/>
            <w:left w:val="none" w:sz="0" w:space="0" w:color="auto"/>
            <w:bottom w:val="none" w:sz="0" w:space="0" w:color="auto"/>
            <w:right w:val="none" w:sz="0" w:space="0" w:color="auto"/>
          </w:divBdr>
        </w:div>
      </w:divsChild>
    </w:div>
    <w:div w:id="903489359">
      <w:bodyDiv w:val="1"/>
      <w:marLeft w:val="0"/>
      <w:marRight w:val="0"/>
      <w:marTop w:val="0"/>
      <w:marBottom w:val="0"/>
      <w:divBdr>
        <w:top w:val="none" w:sz="0" w:space="0" w:color="auto"/>
        <w:left w:val="none" w:sz="0" w:space="0" w:color="auto"/>
        <w:bottom w:val="none" w:sz="0" w:space="0" w:color="auto"/>
        <w:right w:val="none" w:sz="0" w:space="0" w:color="auto"/>
      </w:divBdr>
    </w:div>
    <w:div w:id="904487207">
      <w:bodyDiv w:val="1"/>
      <w:marLeft w:val="0"/>
      <w:marRight w:val="0"/>
      <w:marTop w:val="0"/>
      <w:marBottom w:val="0"/>
      <w:divBdr>
        <w:top w:val="none" w:sz="0" w:space="0" w:color="auto"/>
        <w:left w:val="none" w:sz="0" w:space="0" w:color="auto"/>
        <w:bottom w:val="none" w:sz="0" w:space="0" w:color="auto"/>
        <w:right w:val="none" w:sz="0" w:space="0" w:color="auto"/>
      </w:divBdr>
    </w:div>
    <w:div w:id="919406134">
      <w:bodyDiv w:val="1"/>
      <w:marLeft w:val="0"/>
      <w:marRight w:val="0"/>
      <w:marTop w:val="0"/>
      <w:marBottom w:val="0"/>
      <w:divBdr>
        <w:top w:val="none" w:sz="0" w:space="0" w:color="auto"/>
        <w:left w:val="none" w:sz="0" w:space="0" w:color="auto"/>
        <w:bottom w:val="none" w:sz="0" w:space="0" w:color="auto"/>
        <w:right w:val="none" w:sz="0" w:space="0" w:color="auto"/>
      </w:divBdr>
    </w:div>
    <w:div w:id="921913925">
      <w:bodyDiv w:val="1"/>
      <w:marLeft w:val="0"/>
      <w:marRight w:val="0"/>
      <w:marTop w:val="0"/>
      <w:marBottom w:val="0"/>
      <w:divBdr>
        <w:top w:val="none" w:sz="0" w:space="0" w:color="auto"/>
        <w:left w:val="none" w:sz="0" w:space="0" w:color="auto"/>
        <w:bottom w:val="none" w:sz="0" w:space="0" w:color="auto"/>
        <w:right w:val="none" w:sz="0" w:space="0" w:color="auto"/>
      </w:divBdr>
    </w:div>
    <w:div w:id="927271725">
      <w:bodyDiv w:val="1"/>
      <w:marLeft w:val="0"/>
      <w:marRight w:val="0"/>
      <w:marTop w:val="0"/>
      <w:marBottom w:val="0"/>
      <w:divBdr>
        <w:top w:val="none" w:sz="0" w:space="0" w:color="auto"/>
        <w:left w:val="none" w:sz="0" w:space="0" w:color="auto"/>
        <w:bottom w:val="none" w:sz="0" w:space="0" w:color="auto"/>
        <w:right w:val="none" w:sz="0" w:space="0" w:color="auto"/>
      </w:divBdr>
      <w:divsChild>
        <w:div w:id="1832718522">
          <w:marLeft w:val="-720"/>
          <w:marRight w:val="0"/>
          <w:marTop w:val="0"/>
          <w:marBottom w:val="0"/>
          <w:divBdr>
            <w:top w:val="none" w:sz="0" w:space="0" w:color="auto"/>
            <w:left w:val="none" w:sz="0" w:space="0" w:color="auto"/>
            <w:bottom w:val="none" w:sz="0" w:space="0" w:color="auto"/>
            <w:right w:val="none" w:sz="0" w:space="0" w:color="auto"/>
          </w:divBdr>
        </w:div>
      </w:divsChild>
    </w:div>
    <w:div w:id="949625663">
      <w:bodyDiv w:val="1"/>
      <w:marLeft w:val="0"/>
      <w:marRight w:val="0"/>
      <w:marTop w:val="0"/>
      <w:marBottom w:val="0"/>
      <w:divBdr>
        <w:top w:val="none" w:sz="0" w:space="0" w:color="auto"/>
        <w:left w:val="none" w:sz="0" w:space="0" w:color="auto"/>
        <w:bottom w:val="none" w:sz="0" w:space="0" w:color="auto"/>
        <w:right w:val="none" w:sz="0" w:space="0" w:color="auto"/>
      </w:divBdr>
    </w:div>
    <w:div w:id="965239692">
      <w:bodyDiv w:val="1"/>
      <w:marLeft w:val="0"/>
      <w:marRight w:val="0"/>
      <w:marTop w:val="0"/>
      <w:marBottom w:val="0"/>
      <w:divBdr>
        <w:top w:val="none" w:sz="0" w:space="0" w:color="auto"/>
        <w:left w:val="none" w:sz="0" w:space="0" w:color="auto"/>
        <w:bottom w:val="none" w:sz="0" w:space="0" w:color="auto"/>
        <w:right w:val="none" w:sz="0" w:space="0" w:color="auto"/>
      </w:divBdr>
    </w:div>
    <w:div w:id="1004675138">
      <w:bodyDiv w:val="1"/>
      <w:marLeft w:val="0"/>
      <w:marRight w:val="0"/>
      <w:marTop w:val="0"/>
      <w:marBottom w:val="0"/>
      <w:divBdr>
        <w:top w:val="none" w:sz="0" w:space="0" w:color="auto"/>
        <w:left w:val="none" w:sz="0" w:space="0" w:color="auto"/>
        <w:bottom w:val="none" w:sz="0" w:space="0" w:color="auto"/>
        <w:right w:val="none" w:sz="0" w:space="0" w:color="auto"/>
      </w:divBdr>
    </w:div>
    <w:div w:id="1045637190">
      <w:bodyDiv w:val="1"/>
      <w:marLeft w:val="0"/>
      <w:marRight w:val="0"/>
      <w:marTop w:val="0"/>
      <w:marBottom w:val="0"/>
      <w:divBdr>
        <w:top w:val="none" w:sz="0" w:space="0" w:color="auto"/>
        <w:left w:val="none" w:sz="0" w:space="0" w:color="auto"/>
        <w:bottom w:val="none" w:sz="0" w:space="0" w:color="auto"/>
        <w:right w:val="none" w:sz="0" w:space="0" w:color="auto"/>
      </w:divBdr>
      <w:divsChild>
        <w:div w:id="1772123659">
          <w:marLeft w:val="-720"/>
          <w:marRight w:val="0"/>
          <w:marTop w:val="0"/>
          <w:marBottom w:val="0"/>
          <w:divBdr>
            <w:top w:val="none" w:sz="0" w:space="0" w:color="auto"/>
            <w:left w:val="none" w:sz="0" w:space="0" w:color="auto"/>
            <w:bottom w:val="none" w:sz="0" w:space="0" w:color="auto"/>
            <w:right w:val="none" w:sz="0" w:space="0" w:color="auto"/>
          </w:divBdr>
        </w:div>
      </w:divsChild>
    </w:div>
    <w:div w:id="1045909514">
      <w:bodyDiv w:val="1"/>
      <w:marLeft w:val="0"/>
      <w:marRight w:val="0"/>
      <w:marTop w:val="0"/>
      <w:marBottom w:val="0"/>
      <w:divBdr>
        <w:top w:val="none" w:sz="0" w:space="0" w:color="auto"/>
        <w:left w:val="none" w:sz="0" w:space="0" w:color="auto"/>
        <w:bottom w:val="none" w:sz="0" w:space="0" w:color="auto"/>
        <w:right w:val="none" w:sz="0" w:space="0" w:color="auto"/>
      </w:divBdr>
    </w:div>
    <w:div w:id="1049956335">
      <w:bodyDiv w:val="1"/>
      <w:marLeft w:val="0"/>
      <w:marRight w:val="0"/>
      <w:marTop w:val="0"/>
      <w:marBottom w:val="0"/>
      <w:divBdr>
        <w:top w:val="none" w:sz="0" w:space="0" w:color="auto"/>
        <w:left w:val="none" w:sz="0" w:space="0" w:color="auto"/>
        <w:bottom w:val="none" w:sz="0" w:space="0" w:color="auto"/>
        <w:right w:val="none" w:sz="0" w:space="0" w:color="auto"/>
      </w:divBdr>
    </w:div>
    <w:div w:id="1062409214">
      <w:bodyDiv w:val="1"/>
      <w:marLeft w:val="0"/>
      <w:marRight w:val="0"/>
      <w:marTop w:val="0"/>
      <w:marBottom w:val="0"/>
      <w:divBdr>
        <w:top w:val="none" w:sz="0" w:space="0" w:color="auto"/>
        <w:left w:val="none" w:sz="0" w:space="0" w:color="auto"/>
        <w:bottom w:val="none" w:sz="0" w:space="0" w:color="auto"/>
        <w:right w:val="none" w:sz="0" w:space="0" w:color="auto"/>
      </w:divBdr>
    </w:div>
    <w:div w:id="1076827834">
      <w:bodyDiv w:val="1"/>
      <w:marLeft w:val="0"/>
      <w:marRight w:val="0"/>
      <w:marTop w:val="0"/>
      <w:marBottom w:val="0"/>
      <w:divBdr>
        <w:top w:val="none" w:sz="0" w:space="0" w:color="auto"/>
        <w:left w:val="none" w:sz="0" w:space="0" w:color="auto"/>
        <w:bottom w:val="none" w:sz="0" w:space="0" w:color="auto"/>
        <w:right w:val="none" w:sz="0" w:space="0" w:color="auto"/>
      </w:divBdr>
    </w:div>
    <w:div w:id="1079910498">
      <w:bodyDiv w:val="1"/>
      <w:marLeft w:val="0"/>
      <w:marRight w:val="0"/>
      <w:marTop w:val="0"/>
      <w:marBottom w:val="0"/>
      <w:divBdr>
        <w:top w:val="none" w:sz="0" w:space="0" w:color="auto"/>
        <w:left w:val="none" w:sz="0" w:space="0" w:color="auto"/>
        <w:bottom w:val="none" w:sz="0" w:space="0" w:color="auto"/>
        <w:right w:val="none" w:sz="0" w:space="0" w:color="auto"/>
      </w:divBdr>
      <w:divsChild>
        <w:div w:id="781344823">
          <w:marLeft w:val="-720"/>
          <w:marRight w:val="0"/>
          <w:marTop w:val="0"/>
          <w:marBottom w:val="0"/>
          <w:divBdr>
            <w:top w:val="none" w:sz="0" w:space="0" w:color="auto"/>
            <w:left w:val="none" w:sz="0" w:space="0" w:color="auto"/>
            <w:bottom w:val="none" w:sz="0" w:space="0" w:color="auto"/>
            <w:right w:val="none" w:sz="0" w:space="0" w:color="auto"/>
          </w:divBdr>
        </w:div>
      </w:divsChild>
    </w:div>
    <w:div w:id="1084885400">
      <w:bodyDiv w:val="1"/>
      <w:marLeft w:val="0"/>
      <w:marRight w:val="0"/>
      <w:marTop w:val="0"/>
      <w:marBottom w:val="0"/>
      <w:divBdr>
        <w:top w:val="none" w:sz="0" w:space="0" w:color="auto"/>
        <w:left w:val="none" w:sz="0" w:space="0" w:color="auto"/>
        <w:bottom w:val="none" w:sz="0" w:space="0" w:color="auto"/>
        <w:right w:val="none" w:sz="0" w:space="0" w:color="auto"/>
      </w:divBdr>
    </w:div>
    <w:div w:id="1085959904">
      <w:bodyDiv w:val="1"/>
      <w:marLeft w:val="0"/>
      <w:marRight w:val="0"/>
      <w:marTop w:val="0"/>
      <w:marBottom w:val="0"/>
      <w:divBdr>
        <w:top w:val="none" w:sz="0" w:space="0" w:color="auto"/>
        <w:left w:val="none" w:sz="0" w:space="0" w:color="auto"/>
        <w:bottom w:val="none" w:sz="0" w:space="0" w:color="auto"/>
        <w:right w:val="none" w:sz="0" w:space="0" w:color="auto"/>
      </w:divBdr>
    </w:div>
    <w:div w:id="1100223884">
      <w:bodyDiv w:val="1"/>
      <w:marLeft w:val="0"/>
      <w:marRight w:val="0"/>
      <w:marTop w:val="0"/>
      <w:marBottom w:val="0"/>
      <w:divBdr>
        <w:top w:val="none" w:sz="0" w:space="0" w:color="auto"/>
        <w:left w:val="none" w:sz="0" w:space="0" w:color="auto"/>
        <w:bottom w:val="none" w:sz="0" w:space="0" w:color="auto"/>
        <w:right w:val="none" w:sz="0" w:space="0" w:color="auto"/>
      </w:divBdr>
      <w:divsChild>
        <w:div w:id="626854384">
          <w:marLeft w:val="0"/>
          <w:marRight w:val="0"/>
          <w:marTop w:val="0"/>
          <w:marBottom w:val="0"/>
          <w:divBdr>
            <w:top w:val="none" w:sz="0" w:space="0" w:color="auto"/>
            <w:left w:val="none" w:sz="0" w:space="0" w:color="auto"/>
            <w:bottom w:val="none" w:sz="0" w:space="0" w:color="auto"/>
            <w:right w:val="none" w:sz="0" w:space="0" w:color="auto"/>
          </w:divBdr>
          <w:divsChild>
            <w:div w:id="258368623">
              <w:marLeft w:val="0"/>
              <w:marRight w:val="0"/>
              <w:marTop w:val="0"/>
              <w:marBottom w:val="0"/>
              <w:divBdr>
                <w:top w:val="none" w:sz="0" w:space="0" w:color="auto"/>
                <w:left w:val="none" w:sz="0" w:space="0" w:color="auto"/>
                <w:bottom w:val="none" w:sz="0" w:space="0" w:color="auto"/>
                <w:right w:val="none" w:sz="0" w:space="0" w:color="auto"/>
              </w:divBdr>
              <w:divsChild>
                <w:div w:id="227620628">
                  <w:marLeft w:val="0"/>
                  <w:marRight w:val="0"/>
                  <w:marTop w:val="0"/>
                  <w:marBottom w:val="0"/>
                  <w:divBdr>
                    <w:top w:val="none" w:sz="0" w:space="0" w:color="auto"/>
                    <w:left w:val="none" w:sz="0" w:space="0" w:color="auto"/>
                    <w:bottom w:val="none" w:sz="0" w:space="0" w:color="auto"/>
                    <w:right w:val="none" w:sz="0" w:space="0" w:color="auto"/>
                  </w:divBdr>
                  <w:divsChild>
                    <w:div w:id="47997979">
                      <w:marLeft w:val="0"/>
                      <w:marRight w:val="0"/>
                      <w:marTop w:val="0"/>
                      <w:marBottom w:val="0"/>
                      <w:divBdr>
                        <w:top w:val="none" w:sz="0" w:space="0" w:color="auto"/>
                        <w:left w:val="none" w:sz="0" w:space="0" w:color="auto"/>
                        <w:bottom w:val="none" w:sz="0" w:space="0" w:color="auto"/>
                        <w:right w:val="none" w:sz="0" w:space="0" w:color="auto"/>
                      </w:divBdr>
                      <w:divsChild>
                        <w:div w:id="908006191">
                          <w:marLeft w:val="0"/>
                          <w:marRight w:val="0"/>
                          <w:marTop w:val="0"/>
                          <w:marBottom w:val="0"/>
                          <w:divBdr>
                            <w:top w:val="none" w:sz="0" w:space="0" w:color="auto"/>
                            <w:left w:val="none" w:sz="0" w:space="0" w:color="auto"/>
                            <w:bottom w:val="none" w:sz="0" w:space="0" w:color="auto"/>
                            <w:right w:val="none" w:sz="0" w:space="0" w:color="auto"/>
                          </w:divBdr>
                          <w:divsChild>
                            <w:div w:id="753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999911">
      <w:bodyDiv w:val="1"/>
      <w:marLeft w:val="0"/>
      <w:marRight w:val="0"/>
      <w:marTop w:val="0"/>
      <w:marBottom w:val="0"/>
      <w:divBdr>
        <w:top w:val="none" w:sz="0" w:space="0" w:color="auto"/>
        <w:left w:val="none" w:sz="0" w:space="0" w:color="auto"/>
        <w:bottom w:val="none" w:sz="0" w:space="0" w:color="auto"/>
        <w:right w:val="none" w:sz="0" w:space="0" w:color="auto"/>
      </w:divBdr>
    </w:div>
    <w:div w:id="1109084627">
      <w:bodyDiv w:val="1"/>
      <w:marLeft w:val="0"/>
      <w:marRight w:val="0"/>
      <w:marTop w:val="0"/>
      <w:marBottom w:val="0"/>
      <w:divBdr>
        <w:top w:val="none" w:sz="0" w:space="0" w:color="auto"/>
        <w:left w:val="none" w:sz="0" w:space="0" w:color="auto"/>
        <w:bottom w:val="none" w:sz="0" w:space="0" w:color="auto"/>
        <w:right w:val="none" w:sz="0" w:space="0" w:color="auto"/>
      </w:divBdr>
      <w:divsChild>
        <w:div w:id="633871334">
          <w:marLeft w:val="0"/>
          <w:marRight w:val="0"/>
          <w:marTop w:val="0"/>
          <w:marBottom w:val="0"/>
          <w:divBdr>
            <w:top w:val="none" w:sz="0" w:space="0" w:color="auto"/>
            <w:left w:val="none" w:sz="0" w:space="0" w:color="auto"/>
            <w:bottom w:val="none" w:sz="0" w:space="0" w:color="auto"/>
            <w:right w:val="none" w:sz="0" w:space="0" w:color="auto"/>
          </w:divBdr>
        </w:div>
        <w:div w:id="1560481576">
          <w:marLeft w:val="0"/>
          <w:marRight w:val="0"/>
          <w:marTop w:val="0"/>
          <w:marBottom w:val="0"/>
          <w:divBdr>
            <w:top w:val="none" w:sz="0" w:space="0" w:color="auto"/>
            <w:left w:val="none" w:sz="0" w:space="0" w:color="auto"/>
            <w:bottom w:val="none" w:sz="0" w:space="0" w:color="auto"/>
            <w:right w:val="none" w:sz="0" w:space="0" w:color="auto"/>
          </w:divBdr>
        </w:div>
        <w:div w:id="123043283">
          <w:marLeft w:val="0"/>
          <w:marRight w:val="0"/>
          <w:marTop w:val="0"/>
          <w:marBottom w:val="0"/>
          <w:divBdr>
            <w:top w:val="none" w:sz="0" w:space="0" w:color="auto"/>
            <w:left w:val="none" w:sz="0" w:space="0" w:color="auto"/>
            <w:bottom w:val="none" w:sz="0" w:space="0" w:color="auto"/>
            <w:right w:val="none" w:sz="0" w:space="0" w:color="auto"/>
          </w:divBdr>
        </w:div>
        <w:div w:id="1155296335">
          <w:marLeft w:val="0"/>
          <w:marRight w:val="0"/>
          <w:marTop w:val="0"/>
          <w:marBottom w:val="0"/>
          <w:divBdr>
            <w:top w:val="none" w:sz="0" w:space="0" w:color="auto"/>
            <w:left w:val="none" w:sz="0" w:space="0" w:color="auto"/>
            <w:bottom w:val="none" w:sz="0" w:space="0" w:color="auto"/>
            <w:right w:val="none" w:sz="0" w:space="0" w:color="auto"/>
          </w:divBdr>
        </w:div>
        <w:div w:id="980114304">
          <w:marLeft w:val="0"/>
          <w:marRight w:val="0"/>
          <w:marTop w:val="0"/>
          <w:marBottom w:val="0"/>
          <w:divBdr>
            <w:top w:val="none" w:sz="0" w:space="0" w:color="auto"/>
            <w:left w:val="none" w:sz="0" w:space="0" w:color="auto"/>
            <w:bottom w:val="none" w:sz="0" w:space="0" w:color="auto"/>
            <w:right w:val="none" w:sz="0" w:space="0" w:color="auto"/>
          </w:divBdr>
        </w:div>
      </w:divsChild>
    </w:div>
    <w:div w:id="1110927627">
      <w:bodyDiv w:val="1"/>
      <w:marLeft w:val="0"/>
      <w:marRight w:val="0"/>
      <w:marTop w:val="0"/>
      <w:marBottom w:val="0"/>
      <w:divBdr>
        <w:top w:val="none" w:sz="0" w:space="0" w:color="auto"/>
        <w:left w:val="none" w:sz="0" w:space="0" w:color="auto"/>
        <w:bottom w:val="none" w:sz="0" w:space="0" w:color="auto"/>
        <w:right w:val="none" w:sz="0" w:space="0" w:color="auto"/>
      </w:divBdr>
    </w:div>
    <w:div w:id="1116414524">
      <w:bodyDiv w:val="1"/>
      <w:marLeft w:val="0"/>
      <w:marRight w:val="0"/>
      <w:marTop w:val="0"/>
      <w:marBottom w:val="0"/>
      <w:divBdr>
        <w:top w:val="none" w:sz="0" w:space="0" w:color="auto"/>
        <w:left w:val="none" w:sz="0" w:space="0" w:color="auto"/>
        <w:bottom w:val="none" w:sz="0" w:space="0" w:color="auto"/>
        <w:right w:val="none" w:sz="0" w:space="0" w:color="auto"/>
      </w:divBdr>
      <w:divsChild>
        <w:div w:id="960693587">
          <w:marLeft w:val="-720"/>
          <w:marRight w:val="0"/>
          <w:marTop w:val="0"/>
          <w:marBottom w:val="0"/>
          <w:divBdr>
            <w:top w:val="none" w:sz="0" w:space="0" w:color="auto"/>
            <w:left w:val="none" w:sz="0" w:space="0" w:color="auto"/>
            <w:bottom w:val="none" w:sz="0" w:space="0" w:color="auto"/>
            <w:right w:val="none" w:sz="0" w:space="0" w:color="auto"/>
          </w:divBdr>
        </w:div>
      </w:divsChild>
    </w:div>
    <w:div w:id="1135637966">
      <w:bodyDiv w:val="1"/>
      <w:marLeft w:val="0"/>
      <w:marRight w:val="0"/>
      <w:marTop w:val="0"/>
      <w:marBottom w:val="0"/>
      <w:divBdr>
        <w:top w:val="none" w:sz="0" w:space="0" w:color="auto"/>
        <w:left w:val="none" w:sz="0" w:space="0" w:color="auto"/>
        <w:bottom w:val="none" w:sz="0" w:space="0" w:color="auto"/>
        <w:right w:val="none" w:sz="0" w:space="0" w:color="auto"/>
      </w:divBdr>
    </w:div>
    <w:div w:id="1147748597">
      <w:bodyDiv w:val="1"/>
      <w:marLeft w:val="0"/>
      <w:marRight w:val="0"/>
      <w:marTop w:val="0"/>
      <w:marBottom w:val="0"/>
      <w:divBdr>
        <w:top w:val="none" w:sz="0" w:space="0" w:color="auto"/>
        <w:left w:val="none" w:sz="0" w:space="0" w:color="auto"/>
        <w:bottom w:val="none" w:sz="0" w:space="0" w:color="auto"/>
        <w:right w:val="none" w:sz="0" w:space="0" w:color="auto"/>
      </w:divBdr>
    </w:div>
    <w:div w:id="1164853942">
      <w:bodyDiv w:val="1"/>
      <w:marLeft w:val="0"/>
      <w:marRight w:val="0"/>
      <w:marTop w:val="0"/>
      <w:marBottom w:val="0"/>
      <w:divBdr>
        <w:top w:val="none" w:sz="0" w:space="0" w:color="auto"/>
        <w:left w:val="none" w:sz="0" w:space="0" w:color="auto"/>
        <w:bottom w:val="none" w:sz="0" w:space="0" w:color="auto"/>
        <w:right w:val="none" w:sz="0" w:space="0" w:color="auto"/>
      </w:divBdr>
    </w:div>
    <w:div w:id="1192957714">
      <w:bodyDiv w:val="1"/>
      <w:marLeft w:val="0"/>
      <w:marRight w:val="0"/>
      <w:marTop w:val="0"/>
      <w:marBottom w:val="0"/>
      <w:divBdr>
        <w:top w:val="none" w:sz="0" w:space="0" w:color="auto"/>
        <w:left w:val="none" w:sz="0" w:space="0" w:color="auto"/>
        <w:bottom w:val="none" w:sz="0" w:space="0" w:color="auto"/>
        <w:right w:val="none" w:sz="0" w:space="0" w:color="auto"/>
      </w:divBdr>
      <w:divsChild>
        <w:div w:id="220094719">
          <w:marLeft w:val="-720"/>
          <w:marRight w:val="0"/>
          <w:marTop w:val="0"/>
          <w:marBottom w:val="0"/>
          <w:divBdr>
            <w:top w:val="none" w:sz="0" w:space="0" w:color="auto"/>
            <w:left w:val="none" w:sz="0" w:space="0" w:color="auto"/>
            <w:bottom w:val="none" w:sz="0" w:space="0" w:color="auto"/>
            <w:right w:val="none" w:sz="0" w:space="0" w:color="auto"/>
          </w:divBdr>
        </w:div>
      </w:divsChild>
    </w:div>
    <w:div w:id="1208025277">
      <w:bodyDiv w:val="1"/>
      <w:marLeft w:val="0"/>
      <w:marRight w:val="0"/>
      <w:marTop w:val="0"/>
      <w:marBottom w:val="0"/>
      <w:divBdr>
        <w:top w:val="none" w:sz="0" w:space="0" w:color="auto"/>
        <w:left w:val="none" w:sz="0" w:space="0" w:color="auto"/>
        <w:bottom w:val="none" w:sz="0" w:space="0" w:color="auto"/>
        <w:right w:val="none" w:sz="0" w:space="0" w:color="auto"/>
      </w:divBdr>
      <w:divsChild>
        <w:div w:id="356927822">
          <w:marLeft w:val="0"/>
          <w:marRight w:val="0"/>
          <w:marTop w:val="0"/>
          <w:marBottom w:val="0"/>
          <w:divBdr>
            <w:top w:val="none" w:sz="0" w:space="0" w:color="auto"/>
            <w:left w:val="none" w:sz="0" w:space="0" w:color="auto"/>
            <w:bottom w:val="none" w:sz="0" w:space="0" w:color="auto"/>
            <w:right w:val="none" w:sz="0" w:space="0" w:color="auto"/>
          </w:divBdr>
          <w:divsChild>
            <w:div w:id="2003584025">
              <w:marLeft w:val="0"/>
              <w:marRight w:val="0"/>
              <w:marTop w:val="0"/>
              <w:marBottom w:val="0"/>
              <w:divBdr>
                <w:top w:val="none" w:sz="0" w:space="0" w:color="auto"/>
                <w:left w:val="none" w:sz="0" w:space="0" w:color="auto"/>
                <w:bottom w:val="none" w:sz="0" w:space="0" w:color="auto"/>
                <w:right w:val="none" w:sz="0" w:space="0" w:color="auto"/>
              </w:divBdr>
              <w:divsChild>
                <w:div w:id="496463611">
                  <w:marLeft w:val="0"/>
                  <w:marRight w:val="0"/>
                  <w:marTop w:val="0"/>
                  <w:marBottom w:val="0"/>
                  <w:divBdr>
                    <w:top w:val="none" w:sz="0" w:space="0" w:color="auto"/>
                    <w:left w:val="none" w:sz="0" w:space="0" w:color="auto"/>
                    <w:bottom w:val="none" w:sz="0" w:space="0" w:color="auto"/>
                    <w:right w:val="none" w:sz="0" w:space="0" w:color="auto"/>
                  </w:divBdr>
                  <w:divsChild>
                    <w:div w:id="1912157415">
                      <w:marLeft w:val="0"/>
                      <w:marRight w:val="0"/>
                      <w:marTop w:val="0"/>
                      <w:marBottom w:val="0"/>
                      <w:divBdr>
                        <w:top w:val="none" w:sz="0" w:space="0" w:color="auto"/>
                        <w:left w:val="none" w:sz="0" w:space="0" w:color="auto"/>
                        <w:bottom w:val="none" w:sz="0" w:space="0" w:color="auto"/>
                        <w:right w:val="none" w:sz="0" w:space="0" w:color="auto"/>
                      </w:divBdr>
                      <w:divsChild>
                        <w:div w:id="2096169820">
                          <w:marLeft w:val="0"/>
                          <w:marRight w:val="0"/>
                          <w:marTop w:val="0"/>
                          <w:marBottom w:val="0"/>
                          <w:divBdr>
                            <w:top w:val="none" w:sz="0" w:space="0" w:color="auto"/>
                            <w:left w:val="none" w:sz="0" w:space="0" w:color="auto"/>
                            <w:bottom w:val="none" w:sz="0" w:space="0" w:color="auto"/>
                            <w:right w:val="none" w:sz="0" w:space="0" w:color="auto"/>
                          </w:divBdr>
                          <w:divsChild>
                            <w:div w:id="8029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05077">
                  <w:marLeft w:val="0"/>
                  <w:marRight w:val="0"/>
                  <w:marTop w:val="0"/>
                  <w:marBottom w:val="0"/>
                  <w:divBdr>
                    <w:top w:val="none" w:sz="0" w:space="0" w:color="auto"/>
                    <w:left w:val="none" w:sz="0" w:space="0" w:color="auto"/>
                    <w:bottom w:val="none" w:sz="0" w:space="0" w:color="auto"/>
                    <w:right w:val="none" w:sz="0" w:space="0" w:color="auto"/>
                  </w:divBdr>
                  <w:divsChild>
                    <w:div w:id="96011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220200">
      <w:bodyDiv w:val="1"/>
      <w:marLeft w:val="0"/>
      <w:marRight w:val="0"/>
      <w:marTop w:val="0"/>
      <w:marBottom w:val="0"/>
      <w:divBdr>
        <w:top w:val="none" w:sz="0" w:space="0" w:color="auto"/>
        <w:left w:val="none" w:sz="0" w:space="0" w:color="auto"/>
        <w:bottom w:val="none" w:sz="0" w:space="0" w:color="auto"/>
        <w:right w:val="none" w:sz="0" w:space="0" w:color="auto"/>
      </w:divBdr>
      <w:divsChild>
        <w:div w:id="1274941312">
          <w:marLeft w:val="0"/>
          <w:marRight w:val="0"/>
          <w:marTop w:val="0"/>
          <w:marBottom w:val="0"/>
          <w:divBdr>
            <w:top w:val="none" w:sz="0" w:space="0" w:color="auto"/>
            <w:left w:val="none" w:sz="0" w:space="0" w:color="auto"/>
            <w:bottom w:val="none" w:sz="0" w:space="0" w:color="auto"/>
            <w:right w:val="none" w:sz="0" w:space="0" w:color="auto"/>
          </w:divBdr>
        </w:div>
        <w:div w:id="796921231">
          <w:marLeft w:val="0"/>
          <w:marRight w:val="0"/>
          <w:marTop w:val="0"/>
          <w:marBottom w:val="0"/>
          <w:divBdr>
            <w:top w:val="none" w:sz="0" w:space="0" w:color="auto"/>
            <w:left w:val="none" w:sz="0" w:space="0" w:color="auto"/>
            <w:bottom w:val="none" w:sz="0" w:space="0" w:color="auto"/>
            <w:right w:val="none" w:sz="0" w:space="0" w:color="auto"/>
          </w:divBdr>
        </w:div>
        <w:div w:id="758647712">
          <w:marLeft w:val="0"/>
          <w:marRight w:val="0"/>
          <w:marTop w:val="0"/>
          <w:marBottom w:val="0"/>
          <w:divBdr>
            <w:top w:val="none" w:sz="0" w:space="0" w:color="auto"/>
            <w:left w:val="none" w:sz="0" w:space="0" w:color="auto"/>
            <w:bottom w:val="none" w:sz="0" w:space="0" w:color="auto"/>
            <w:right w:val="none" w:sz="0" w:space="0" w:color="auto"/>
          </w:divBdr>
        </w:div>
        <w:div w:id="243952431">
          <w:marLeft w:val="0"/>
          <w:marRight w:val="0"/>
          <w:marTop w:val="0"/>
          <w:marBottom w:val="0"/>
          <w:divBdr>
            <w:top w:val="none" w:sz="0" w:space="0" w:color="auto"/>
            <w:left w:val="none" w:sz="0" w:space="0" w:color="auto"/>
            <w:bottom w:val="none" w:sz="0" w:space="0" w:color="auto"/>
            <w:right w:val="none" w:sz="0" w:space="0" w:color="auto"/>
          </w:divBdr>
        </w:div>
        <w:div w:id="526258911">
          <w:marLeft w:val="0"/>
          <w:marRight w:val="0"/>
          <w:marTop w:val="0"/>
          <w:marBottom w:val="0"/>
          <w:divBdr>
            <w:top w:val="none" w:sz="0" w:space="0" w:color="auto"/>
            <w:left w:val="none" w:sz="0" w:space="0" w:color="auto"/>
            <w:bottom w:val="none" w:sz="0" w:space="0" w:color="auto"/>
            <w:right w:val="none" w:sz="0" w:space="0" w:color="auto"/>
          </w:divBdr>
        </w:div>
        <w:div w:id="106436385">
          <w:marLeft w:val="0"/>
          <w:marRight w:val="0"/>
          <w:marTop w:val="0"/>
          <w:marBottom w:val="0"/>
          <w:divBdr>
            <w:top w:val="none" w:sz="0" w:space="0" w:color="auto"/>
            <w:left w:val="none" w:sz="0" w:space="0" w:color="auto"/>
            <w:bottom w:val="none" w:sz="0" w:space="0" w:color="auto"/>
            <w:right w:val="none" w:sz="0" w:space="0" w:color="auto"/>
          </w:divBdr>
        </w:div>
        <w:div w:id="1365515698">
          <w:marLeft w:val="0"/>
          <w:marRight w:val="0"/>
          <w:marTop w:val="0"/>
          <w:marBottom w:val="0"/>
          <w:divBdr>
            <w:top w:val="none" w:sz="0" w:space="0" w:color="auto"/>
            <w:left w:val="none" w:sz="0" w:space="0" w:color="auto"/>
            <w:bottom w:val="none" w:sz="0" w:space="0" w:color="auto"/>
            <w:right w:val="none" w:sz="0" w:space="0" w:color="auto"/>
          </w:divBdr>
        </w:div>
        <w:div w:id="980696266">
          <w:marLeft w:val="0"/>
          <w:marRight w:val="0"/>
          <w:marTop w:val="0"/>
          <w:marBottom w:val="0"/>
          <w:divBdr>
            <w:top w:val="none" w:sz="0" w:space="0" w:color="auto"/>
            <w:left w:val="none" w:sz="0" w:space="0" w:color="auto"/>
            <w:bottom w:val="none" w:sz="0" w:space="0" w:color="auto"/>
            <w:right w:val="none" w:sz="0" w:space="0" w:color="auto"/>
          </w:divBdr>
        </w:div>
      </w:divsChild>
    </w:div>
    <w:div w:id="1233468926">
      <w:bodyDiv w:val="1"/>
      <w:marLeft w:val="0"/>
      <w:marRight w:val="0"/>
      <w:marTop w:val="0"/>
      <w:marBottom w:val="0"/>
      <w:divBdr>
        <w:top w:val="none" w:sz="0" w:space="0" w:color="auto"/>
        <w:left w:val="none" w:sz="0" w:space="0" w:color="auto"/>
        <w:bottom w:val="none" w:sz="0" w:space="0" w:color="auto"/>
        <w:right w:val="none" w:sz="0" w:space="0" w:color="auto"/>
      </w:divBdr>
    </w:div>
    <w:div w:id="1235702014">
      <w:bodyDiv w:val="1"/>
      <w:marLeft w:val="0"/>
      <w:marRight w:val="0"/>
      <w:marTop w:val="0"/>
      <w:marBottom w:val="0"/>
      <w:divBdr>
        <w:top w:val="none" w:sz="0" w:space="0" w:color="auto"/>
        <w:left w:val="none" w:sz="0" w:space="0" w:color="auto"/>
        <w:bottom w:val="none" w:sz="0" w:space="0" w:color="auto"/>
        <w:right w:val="none" w:sz="0" w:space="0" w:color="auto"/>
      </w:divBdr>
    </w:div>
    <w:div w:id="1247223339">
      <w:bodyDiv w:val="1"/>
      <w:marLeft w:val="0"/>
      <w:marRight w:val="0"/>
      <w:marTop w:val="0"/>
      <w:marBottom w:val="0"/>
      <w:divBdr>
        <w:top w:val="none" w:sz="0" w:space="0" w:color="auto"/>
        <w:left w:val="none" w:sz="0" w:space="0" w:color="auto"/>
        <w:bottom w:val="none" w:sz="0" w:space="0" w:color="auto"/>
        <w:right w:val="none" w:sz="0" w:space="0" w:color="auto"/>
      </w:divBdr>
    </w:div>
    <w:div w:id="1260483949">
      <w:bodyDiv w:val="1"/>
      <w:marLeft w:val="0"/>
      <w:marRight w:val="0"/>
      <w:marTop w:val="0"/>
      <w:marBottom w:val="0"/>
      <w:divBdr>
        <w:top w:val="none" w:sz="0" w:space="0" w:color="auto"/>
        <w:left w:val="none" w:sz="0" w:space="0" w:color="auto"/>
        <w:bottom w:val="none" w:sz="0" w:space="0" w:color="auto"/>
        <w:right w:val="none" w:sz="0" w:space="0" w:color="auto"/>
      </w:divBdr>
    </w:div>
    <w:div w:id="1267888130">
      <w:bodyDiv w:val="1"/>
      <w:marLeft w:val="0"/>
      <w:marRight w:val="0"/>
      <w:marTop w:val="0"/>
      <w:marBottom w:val="0"/>
      <w:divBdr>
        <w:top w:val="none" w:sz="0" w:space="0" w:color="auto"/>
        <w:left w:val="none" w:sz="0" w:space="0" w:color="auto"/>
        <w:bottom w:val="none" w:sz="0" w:space="0" w:color="auto"/>
        <w:right w:val="none" w:sz="0" w:space="0" w:color="auto"/>
      </w:divBdr>
      <w:divsChild>
        <w:div w:id="1716737752">
          <w:marLeft w:val="-720"/>
          <w:marRight w:val="0"/>
          <w:marTop w:val="0"/>
          <w:marBottom w:val="0"/>
          <w:divBdr>
            <w:top w:val="none" w:sz="0" w:space="0" w:color="auto"/>
            <w:left w:val="none" w:sz="0" w:space="0" w:color="auto"/>
            <w:bottom w:val="none" w:sz="0" w:space="0" w:color="auto"/>
            <w:right w:val="none" w:sz="0" w:space="0" w:color="auto"/>
          </w:divBdr>
        </w:div>
      </w:divsChild>
    </w:div>
    <w:div w:id="1289702779">
      <w:bodyDiv w:val="1"/>
      <w:marLeft w:val="0"/>
      <w:marRight w:val="0"/>
      <w:marTop w:val="0"/>
      <w:marBottom w:val="0"/>
      <w:divBdr>
        <w:top w:val="none" w:sz="0" w:space="0" w:color="auto"/>
        <w:left w:val="none" w:sz="0" w:space="0" w:color="auto"/>
        <w:bottom w:val="none" w:sz="0" w:space="0" w:color="auto"/>
        <w:right w:val="none" w:sz="0" w:space="0" w:color="auto"/>
      </w:divBdr>
      <w:divsChild>
        <w:div w:id="1009021668">
          <w:marLeft w:val="-720"/>
          <w:marRight w:val="0"/>
          <w:marTop w:val="0"/>
          <w:marBottom w:val="0"/>
          <w:divBdr>
            <w:top w:val="none" w:sz="0" w:space="0" w:color="auto"/>
            <w:left w:val="none" w:sz="0" w:space="0" w:color="auto"/>
            <w:bottom w:val="none" w:sz="0" w:space="0" w:color="auto"/>
            <w:right w:val="none" w:sz="0" w:space="0" w:color="auto"/>
          </w:divBdr>
        </w:div>
      </w:divsChild>
    </w:div>
    <w:div w:id="1293900986">
      <w:bodyDiv w:val="1"/>
      <w:marLeft w:val="0"/>
      <w:marRight w:val="0"/>
      <w:marTop w:val="0"/>
      <w:marBottom w:val="0"/>
      <w:divBdr>
        <w:top w:val="none" w:sz="0" w:space="0" w:color="auto"/>
        <w:left w:val="none" w:sz="0" w:space="0" w:color="auto"/>
        <w:bottom w:val="none" w:sz="0" w:space="0" w:color="auto"/>
        <w:right w:val="none" w:sz="0" w:space="0" w:color="auto"/>
      </w:divBdr>
    </w:div>
    <w:div w:id="1307975883">
      <w:bodyDiv w:val="1"/>
      <w:marLeft w:val="0"/>
      <w:marRight w:val="0"/>
      <w:marTop w:val="0"/>
      <w:marBottom w:val="0"/>
      <w:divBdr>
        <w:top w:val="none" w:sz="0" w:space="0" w:color="auto"/>
        <w:left w:val="none" w:sz="0" w:space="0" w:color="auto"/>
        <w:bottom w:val="none" w:sz="0" w:space="0" w:color="auto"/>
        <w:right w:val="none" w:sz="0" w:space="0" w:color="auto"/>
      </w:divBdr>
      <w:divsChild>
        <w:div w:id="1767191694">
          <w:marLeft w:val="-720"/>
          <w:marRight w:val="0"/>
          <w:marTop w:val="0"/>
          <w:marBottom w:val="0"/>
          <w:divBdr>
            <w:top w:val="none" w:sz="0" w:space="0" w:color="auto"/>
            <w:left w:val="none" w:sz="0" w:space="0" w:color="auto"/>
            <w:bottom w:val="none" w:sz="0" w:space="0" w:color="auto"/>
            <w:right w:val="none" w:sz="0" w:space="0" w:color="auto"/>
          </w:divBdr>
        </w:div>
      </w:divsChild>
    </w:div>
    <w:div w:id="1342662783">
      <w:bodyDiv w:val="1"/>
      <w:marLeft w:val="0"/>
      <w:marRight w:val="0"/>
      <w:marTop w:val="0"/>
      <w:marBottom w:val="0"/>
      <w:divBdr>
        <w:top w:val="none" w:sz="0" w:space="0" w:color="auto"/>
        <w:left w:val="none" w:sz="0" w:space="0" w:color="auto"/>
        <w:bottom w:val="none" w:sz="0" w:space="0" w:color="auto"/>
        <w:right w:val="none" w:sz="0" w:space="0" w:color="auto"/>
      </w:divBdr>
    </w:div>
    <w:div w:id="1361054050">
      <w:bodyDiv w:val="1"/>
      <w:marLeft w:val="0"/>
      <w:marRight w:val="0"/>
      <w:marTop w:val="0"/>
      <w:marBottom w:val="0"/>
      <w:divBdr>
        <w:top w:val="none" w:sz="0" w:space="0" w:color="auto"/>
        <w:left w:val="none" w:sz="0" w:space="0" w:color="auto"/>
        <w:bottom w:val="none" w:sz="0" w:space="0" w:color="auto"/>
        <w:right w:val="none" w:sz="0" w:space="0" w:color="auto"/>
      </w:divBdr>
    </w:div>
    <w:div w:id="1375614497">
      <w:bodyDiv w:val="1"/>
      <w:marLeft w:val="0"/>
      <w:marRight w:val="0"/>
      <w:marTop w:val="0"/>
      <w:marBottom w:val="0"/>
      <w:divBdr>
        <w:top w:val="none" w:sz="0" w:space="0" w:color="auto"/>
        <w:left w:val="none" w:sz="0" w:space="0" w:color="auto"/>
        <w:bottom w:val="none" w:sz="0" w:space="0" w:color="auto"/>
        <w:right w:val="none" w:sz="0" w:space="0" w:color="auto"/>
      </w:divBdr>
      <w:divsChild>
        <w:div w:id="1105345295">
          <w:marLeft w:val="0"/>
          <w:marRight w:val="0"/>
          <w:marTop w:val="0"/>
          <w:marBottom w:val="0"/>
          <w:divBdr>
            <w:top w:val="none" w:sz="0" w:space="0" w:color="auto"/>
            <w:left w:val="none" w:sz="0" w:space="0" w:color="auto"/>
            <w:bottom w:val="none" w:sz="0" w:space="0" w:color="auto"/>
            <w:right w:val="none" w:sz="0" w:space="0" w:color="auto"/>
          </w:divBdr>
          <w:divsChild>
            <w:div w:id="951280188">
              <w:marLeft w:val="0"/>
              <w:marRight w:val="0"/>
              <w:marTop w:val="0"/>
              <w:marBottom w:val="0"/>
              <w:divBdr>
                <w:top w:val="none" w:sz="0" w:space="0" w:color="auto"/>
                <w:left w:val="none" w:sz="0" w:space="0" w:color="auto"/>
                <w:bottom w:val="none" w:sz="0" w:space="0" w:color="auto"/>
                <w:right w:val="none" w:sz="0" w:space="0" w:color="auto"/>
              </w:divBdr>
              <w:divsChild>
                <w:div w:id="1784767883">
                  <w:marLeft w:val="0"/>
                  <w:marRight w:val="0"/>
                  <w:marTop w:val="0"/>
                  <w:marBottom w:val="0"/>
                  <w:divBdr>
                    <w:top w:val="none" w:sz="0" w:space="0" w:color="auto"/>
                    <w:left w:val="none" w:sz="0" w:space="0" w:color="auto"/>
                    <w:bottom w:val="none" w:sz="0" w:space="0" w:color="auto"/>
                    <w:right w:val="none" w:sz="0" w:space="0" w:color="auto"/>
                  </w:divBdr>
                  <w:divsChild>
                    <w:div w:id="809131161">
                      <w:marLeft w:val="0"/>
                      <w:marRight w:val="0"/>
                      <w:marTop w:val="0"/>
                      <w:marBottom w:val="0"/>
                      <w:divBdr>
                        <w:top w:val="none" w:sz="0" w:space="0" w:color="auto"/>
                        <w:left w:val="none" w:sz="0" w:space="0" w:color="auto"/>
                        <w:bottom w:val="none" w:sz="0" w:space="0" w:color="auto"/>
                        <w:right w:val="none" w:sz="0" w:space="0" w:color="auto"/>
                      </w:divBdr>
                      <w:divsChild>
                        <w:div w:id="1647006955">
                          <w:marLeft w:val="0"/>
                          <w:marRight w:val="0"/>
                          <w:marTop w:val="0"/>
                          <w:marBottom w:val="0"/>
                          <w:divBdr>
                            <w:top w:val="none" w:sz="0" w:space="0" w:color="auto"/>
                            <w:left w:val="none" w:sz="0" w:space="0" w:color="auto"/>
                            <w:bottom w:val="none" w:sz="0" w:space="0" w:color="auto"/>
                            <w:right w:val="none" w:sz="0" w:space="0" w:color="auto"/>
                          </w:divBdr>
                          <w:divsChild>
                            <w:div w:id="1094742086">
                              <w:marLeft w:val="0"/>
                              <w:marRight w:val="0"/>
                              <w:marTop w:val="0"/>
                              <w:marBottom w:val="0"/>
                              <w:divBdr>
                                <w:top w:val="none" w:sz="0" w:space="0" w:color="auto"/>
                                <w:left w:val="none" w:sz="0" w:space="0" w:color="auto"/>
                                <w:bottom w:val="none" w:sz="0" w:space="0" w:color="auto"/>
                                <w:right w:val="none" w:sz="0" w:space="0" w:color="auto"/>
                              </w:divBdr>
                              <w:divsChild>
                                <w:div w:id="1022974036">
                                  <w:marLeft w:val="0"/>
                                  <w:marRight w:val="0"/>
                                  <w:marTop w:val="0"/>
                                  <w:marBottom w:val="0"/>
                                  <w:divBdr>
                                    <w:top w:val="none" w:sz="0" w:space="0" w:color="auto"/>
                                    <w:left w:val="none" w:sz="0" w:space="0" w:color="auto"/>
                                    <w:bottom w:val="none" w:sz="0" w:space="0" w:color="auto"/>
                                    <w:right w:val="none" w:sz="0" w:space="0" w:color="auto"/>
                                  </w:divBdr>
                                  <w:divsChild>
                                    <w:div w:id="169569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938658">
                          <w:marLeft w:val="0"/>
                          <w:marRight w:val="0"/>
                          <w:marTop w:val="0"/>
                          <w:marBottom w:val="0"/>
                          <w:divBdr>
                            <w:top w:val="none" w:sz="0" w:space="0" w:color="auto"/>
                            <w:left w:val="none" w:sz="0" w:space="0" w:color="auto"/>
                            <w:bottom w:val="none" w:sz="0" w:space="0" w:color="auto"/>
                            <w:right w:val="none" w:sz="0" w:space="0" w:color="auto"/>
                          </w:divBdr>
                          <w:divsChild>
                            <w:div w:id="1168252658">
                              <w:marLeft w:val="0"/>
                              <w:marRight w:val="0"/>
                              <w:marTop w:val="0"/>
                              <w:marBottom w:val="0"/>
                              <w:divBdr>
                                <w:top w:val="none" w:sz="0" w:space="0" w:color="auto"/>
                                <w:left w:val="none" w:sz="0" w:space="0" w:color="auto"/>
                                <w:bottom w:val="none" w:sz="0" w:space="0" w:color="auto"/>
                                <w:right w:val="none" w:sz="0" w:space="0" w:color="auto"/>
                              </w:divBdr>
                              <w:divsChild>
                                <w:div w:id="169911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080924">
      <w:bodyDiv w:val="1"/>
      <w:marLeft w:val="0"/>
      <w:marRight w:val="0"/>
      <w:marTop w:val="0"/>
      <w:marBottom w:val="0"/>
      <w:divBdr>
        <w:top w:val="none" w:sz="0" w:space="0" w:color="auto"/>
        <w:left w:val="none" w:sz="0" w:space="0" w:color="auto"/>
        <w:bottom w:val="none" w:sz="0" w:space="0" w:color="auto"/>
        <w:right w:val="none" w:sz="0" w:space="0" w:color="auto"/>
      </w:divBdr>
    </w:div>
    <w:div w:id="1423798045">
      <w:bodyDiv w:val="1"/>
      <w:marLeft w:val="0"/>
      <w:marRight w:val="0"/>
      <w:marTop w:val="0"/>
      <w:marBottom w:val="0"/>
      <w:divBdr>
        <w:top w:val="none" w:sz="0" w:space="0" w:color="auto"/>
        <w:left w:val="none" w:sz="0" w:space="0" w:color="auto"/>
        <w:bottom w:val="none" w:sz="0" w:space="0" w:color="auto"/>
        <w:right w:val="none" w:sz="0" w:space="0" w:color="auto"/>
      </w:divBdr>
      <w:divsChild>
        <w:div w:id="2092268601">
          <w:marLeft w:val="-720"/>
          <w:marRight w:val="0"/>
          <w:marTop w:val="0"/>
          <w:marBottom w:val="0"/>
          <w:divBdr>
            <w:top w:val="none" w:sz="0" w:space="0" w:color="auto"/>
            <w:left w:val="none" w:sz="0" w:space="0" w:color="auto"/>
            <w:bottom w:val="none" w:sz="0" w:space="0" w:color="auto"/>
            <w:right w:val="none" w:sz="0" w:space="0" w:color="auto"/>
          </w:divBdr>
        </w:div>
      </w:divsChild>
    </w:div>
    <w:div w:id="1432702819">
      <w:bodyDiv w:val="1"/>
      <w:marLeft w:val="0"/>
      <w:marRight w:val="0"/>
      <w:marTop w:val="0"/>
      <w:marBottom w:val="0"/>
      <w:divBdr>
        <w:top w:val="none" w:sz="0" w:space="0" w:color="auto"/>
        <w:left w:val="none" w:sz="0" w:space="0" w:color="auto"/>
        <w:bottom w:val="none" w:sz="0" w:space="0" w:color="auto"/>
        <w:right w:val="none" w:sz="0" w:space="0" w:color="auto"/>
      </w:divBdr>
    </w:div>
    <w:div w:id="1442995847">
      <w:bodyDiv w:val="1"/>
      <w:marLeft w:val="0"/>
      <w:marRight w:val="0"/>
      <w:marTop w:val="0"/>
      <w:marBottom w:val="0"/>
      <w:divBdr>
        <w:top w:val="none" w:sz="0" w:space="0" w:color="auto"/>
        <w:left w:val="none" w:sz="0" w:space="0" w:color="auto"/>
        <w:bottom w:val="none" w:sz="0" w:space="0" w:color="auto"/>
        <w:right w:val="none" w:sz="0" w:space="0" w:color="auto"/>
      </w:divBdr>
    </w:div>
    <w:div w:id="1449473058">
      <w:bodyDiv w:val="1"/>
      <w:marLeft w:val="0"/>
      <w:marRight w:val="0"/>
      <w:marTop w:val="0"/>
      <w:marBottom w:val="0"/>
      <w:divBdr>
        <w:top w:val="none" w:sz="0" w:space="0" w:color="auto"/>
        <w:left w:val="none" w:sz="0" w:space="0" w:color="auto"/>
        <w:bottom w:val="none" w:sz="0" w:space="0" w:color="auto"/>
        <w:right w:val="none" w:sz="0" w:space="0" w:color="auto"/>
      </w:divBdr>
    </w:div>
    <w:div w:id="1453358700">
      <w:bodyDiv w:val="1"/>
      <w:marLeft w:val="0"/>
      <w:marRight w:val="0"/>
      <w:marTop w:val="0"/>
      <w:marBottom w:val="0"/>
      <w:divBdr>
        <w:top w:val="none" w:sz="0" w:space="0" w:color="auto"/>
        <w:left w:val="none" w:sz="0" w:space="0" w:color="auto"/>
        <w:bottom w:val="none" w:sz="0" w:space="0" w:color="auto"/>
        <w:right w:val="none" w:sz="0" w:space="0" w:color="auto"/>
      </w:divBdr>
    </w:div>
    <w:div w:id="1453816423">
      <w:bodyDiv w:val="1"/>
      <w:marLeft w:val="0"/>
      <w:marRight w:val="0"/>
      <w:marTop w:val="0"/>
      <w:marBottom w:val="0"/>
      <w:divBdr>
        <w:top w:val="none" w:sz="0" w:space="0" w:color="auto"/>
        <w:left w:val="none" w:sz="0" w:space="0" w:color="auto"/>
        <w:bottom w:val="none" w:sz="0" w:space="0" w:color="auto"/>
        <w:right w:val="none" w:sz="0" w:space="0" w:color="auto"/>
      </w:divBdr>
      <w:divsChild>
        <w:div w:id="194734119">
          <w:marLeft w:val="0"/>
          <w:marRight w:val="0"/>
          <w:marTop w:val="0"/>
          <w:marBottom w:val="0"/>
          <w:divBdr>
            <w:top w:val="none" w:sz="0" w:space="0" w:color="auto"/>
            <w:left w:val="none" w:sz="0" w:space="0" w:color="auto"/>
            <w:bottom w:val="none" w:sz="0" w:space="0" w:color="auto"/>
            <w:right w:val="none" w:sz="0" w:space="0" w:color="auto"/>
          </w:divBdr>
          <w:divsChild>
            <w:div w:id="5343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51925">
      <w:bodyDiv w:val="1"/>
      <w:marLeft w:val="0"/>
      <w:marRight w:val="0"/>
      <w:marTop w:val="0"/>
      <w:marBottom w:val="0"/>
      <w:divBdr>
        <w:top w:val="none" w:sz="0" w:space="0" w:color="auto"/>
        <w:left w:val="none" w:sz="0" w:space="0" w:color="auto"/>
        <w:bottom w:val="none" w:sz="0" w:space="0" w:color="auto"/>
        <w:right w:val="none" w:sz="0" w:space="0" w:color="auto"/>
      </w:divBdr>
    </w:div>
    <w:div w:id="1477258677">
      <w:bodyDiv w:val="1"/>
      <w:marLeft w:val="0"/>
      <w:marRight w:val="0"/>
      <w:marTop w:val="0"/>
      <w:marBottom w:val="0"/>
      <w:divBdr>
        <w:top w:val="none" w:sz="0" w:space="0" w:color="auto"/>
        <w:left w:val="none" w:sz="0" w:space="0" w:color="auto"/>
        <w:bottom w:val="none" w:sz="0" w:space="0" w:color="auto"/>
        <w:right w:val="none" w:sz="0" w:space="0" w:color="auto"/>
      </w:divBdr>
    </w:div>
    <w:div w:id="1489589738">
      <w:bodyDiv w:val="1"/>
      <w:marLeft w:val="0"/>
      <w:marRight w:val="0"/>
      <w:marTop w:val="0"/>
      <w:marBottom w:val="0"/>
      <w:divBdr>
        <w:top w:val="none" w:sz="0" w:space="0" w:color="auto"/>
        <w:left w:val="none" w:sz="0" w:space="0" w:color="auto"/>
        <w:bottom w:val="none" w:sz="0" w:space="0" w:color="auto"/>
        <w:right w:val="none" w:sz="0" w:space="0" w:color="auto"/>
      </w:divBdr>
    </w:div>
    <w:div w:id="1490631215">
      <w:bodyDiv w:val="1"/>
      <w:marLeft w:val="0"/>
      <w:marRight w:val="0"/>
      <w:marTop w:val="0"/>
      <w:marBottom w:val="0"/>
      <w:divBdr>
        <w:top w:val="none" w:sz="0" w:space="0" w:color="auto"/>
        <w:left w:val="none" w:sz="0" w:space="0" w:color="auto"/>
        <w:bottom w:val="none" w:sz="0" w:space="0" w:color="auto"/>
        <w:right w:val="none" w:sz="0" w:space="0" w:color="auto"/>
      </w:divBdr>
    </w:div>
    <w:div w:id="1499350393">
      <w:bodyDiv w:val="1"/>
      <w:marLeft w:val="0"/>
      <w:marRight w:val="0"/>
      <w:marTop w:val="0"/>
      <w:marBottom w:val="0"/>
      <w:divBdr>
        <w:top w:val="none" w:sz="0" w:space="0" w:color="auto"/>
        <w:left w:val="none" w:sz="0" w:space="0" w:color="auto"/>
        <w:bottom w:val="none" w:sz="0" w:space="0" w:color="auto"/>
        <w:right w:val="none" w:sz="0" w:space="0" w:color="auto"/>
      </w:divBdr>
    </w:div>
    <w:div w:id="1502234791">
      <w:bodyDiv w:val="1"/>
      <w:marLeft w:val="0"/>
      <w:marRight w:val="0"/>
      <w:marTop w:val="0"/>
      <w:marBottom w:val="0"/>
      <w:divBdr>
        <w:top w:val="none" w:sz="0" w:space="0" w:color="auto"/>
        <w:left w:val="none" w:sz="0" w:space="0" w:color="auto"/>
        <w:bottom w:val="none" w:sz="0" w:space="0" w:color="auto"/>
        <w:right w:val="none" w:sz="0" w:space="0" w:color="auto"/>
      </w:divBdr>
    </w:div>
    <w:div w:id="1506819516">
      <w:bodyDiv w:val="1"/>
      <w:marLeft w:val="0"/>
      <w:marRight w:val="0"/>
      <w:marTop w:val="0"/>
      <w:marBottom w:val="0"/>
      <w:divBdr>
        <w:top w:val="none" w:sz="0" w:space="0" w:color="auto"/>
        <w:left w:val="none" w:sz="0" w:space="0" w:color="auto"/>
        <w:bottom w:val="none" w:sz="0" w:space="0" w:color="auto"/>
        <w:right w:val="none" w:sz="0" w:space="0" w:color="auto"/>
      </w:divBdr>
    </w:div>
    <w:div w:id="1506824423">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541897125">
      <w:bodyDiv w:val="1"/>
      <w:marLeft w:val="0"/>
      <w:marRight w:val="0"/>
      <w:marTop w:val="0"/>
      <w:marBottom w:val="0"/>
      <w:divBdr>
        <w:top w:val="none" w:sz="0" w:space="0" w:color="auto"/>
        <w:left w:val="none" w:sz="0" w:space="0" w:color="auto"/>
        <w:bottom w:val="none" w:sz="0" w:space="0" w:color="auto"/>
        <w:right w:val="none" w:sz="0" w:space="0" w:color="auto"/>
      </w:divBdr>
    </w:div>
    <w:div w:id="1572619732">
      <w:bodyDiv w:val="1"/>
      <w:marLeft w:val="0"/>
      <w:marRight w:val="0"/>
      <w:marTop w:val="0"/>
      <w:marBottom w:val="0"/>
      <w:divBdr>
        <w:top w:val="none" w:sz="0" w:space="0" w:color="auto"/>
        <w:left w:val="none" w:sz="0" w:space="0" w:color="auto"/>
        <w:bottom w:val="none" w:sz="0" w:space="0" w:color="auto"/>
        <w:right w:val="none" w:sz="0" w:space="0" w:color="auto"/>
      </w:divBdr>
    </w:div>
    <w:div w:id="1576359613">
      <w:bodyDiv w:val="1"/>
      <w:marLeft w:val="0"/>
      <w:marRight w:val="0"/>
      <w:marTop w:val="0"/>
      <w:marBottom w:val="0"/>
      <w:divBdr>
        <w:top w:val="none" w:sz="0" w:space="0" w:color="auto"/>
        <w:left w:val="none" w:sz="0" w:space="0" w:color="auto"/>
        <w:bottom w:val="none" w:sz="0" w:space="0" w:color="auto"/>
        <w:right w:val="none" w:sz="0" w:space="0" w:color="auto"/>
      </w:divBdr>
      <w:divsChild>
        <w:div w:id="179661118">
          <w:marLeft w:val="0"/>
          <w:marRight w:val="0"/>
          <w:marTop w:val="0"/>
          <w:marBottom w:val="0"/>
          <w:divBdr>
            <w:top w:val="none" w:sz="0" w:space="0" w:color="auto"/>
            <w:left w:val="none" w:sz="0" w:space="0" w:color="auto"/>
            <w:bottom w:val="none" w:sz="0" w:space="0" w:color="auto"/>
            <w:right w:val="none" w:sz="0" w:space="0" w:color="auto"/>
          </w:divBdr>
        </w:div>
        <w:div w:id="383330087">
          <w:marLeft w:val="0"/>
          <w:marRight w:val="0"/>
          <w:marTop w:val="0"/>
          <w:marBottom w:val="0"/>
          <w:divBdr>
            <w:top w:val="none" w:sz="0" w:space="0" w:color="auto"/>
            <w:left w:val="none" w:sz="0" w:space="0" w:color="auto"/>
            <w:bottom w:val="none" w:sz="0" w:space="0" w:color="auto"/>
            <w:right w:val="none" w:sz="0" w:space="0" w:color="auto"/>
          </w:divBdr>
        </w:div>
        <w:div w:id="181088376">
          <w:marLeft w:val="0"/>
          <w:marRight w:val="0"/>
          <w:marTop w:val="0"/>
          <w:marBottom w:val="0"/>
          <w:divBdr>
            <w:top w:val="none" w:sz="0" w:space="0" w:color="auto"/>
            <w:left w:val="none" w:sz="0" w:space="0" w:color="auto"/>
            <w:bottom w:val="none" w:sz="0" w:space="0" w:color="auto"/>
            <w:right w:val="none" w:sz="0" w:space="0" w:color="auto"/>
          </w:divBdr>
        </w:div>
        <w:div w:id="2109230327">
          <w:marLeft w:val="0"/>
          <w:marRight w:val="0"/>
          <w:marTop w:val="0"/>
          <w:marBottom w:val="0"/>
          <w:divBdr>
            <w:top w:val="none" w:sz="0" w:space="0" w:color="auto"/>
            <w:left w:val="none" w:sz="0" w:space="0" w:color="auto"/>
            <w:bottom w:val="none" w:sz="0" w:space="0" w:color="auto"/>
            <w:right w:val="none" w:sz="0" w:space="0" w:color="auto"/>
          </w:divBdr>
        </w:div>
        <w:div w:id="956906276">
          <w:marLeft w:val="0"/>
          <w:marRight w:val="0"/>
          <w:marTop w:val="0"/>
          <w:marBottom w:val="0"/>
          <w:divBdr>
            <w:top w:val="none" w:sz="0" w:space="0" w:color="auto"/>
            <w:left w:val="none" w:sz="0" w:space="0" w:color="auto"/>
            <w:bottom w:val="none" w:sz="0" w:space="0" w:color="auto"/>
            <w:right w:val="none" w:sz="0" w:space="0" w:color="auto"/>
          </w:divBdr>
        </w:div>
        <w:div w:id="1755661528">
          <w:marLeft w:val="0"/>
          <w:marRight w:val="0"/>
          <w:marTop w:val="0"/>
          <w:marBottom w:val="0"/>
          <w:divBdr>
            <w:top w:val="none" w:sz="0" w:space="0" w:color="auto"/>
            <w:left w:val="none" w:sz="0" w:space="0" w:color="auto"/>
            <w:bottom w:val="none" w:sz="0" w:space="0" w:color="auto"/>
            <w:right w:val="none" w:sz="0" w:space="0" w:color="auto"/>
          </w:divBdr>
        </w:div>
        <w:div w:id="906644448">
          <w:marLeft w:val="0"/>
          <w:marRight w:val="0"/>
          <w:marTop w:val="0"/>
          <w:marBottom w:val="0"/>
          <w:divBdr>
            <w:top w:val="none" w:sz="0" w:space="0" w:color="auto"/>
            <w:left w:val="none" w:sz="0" w:space="0" w:color="auto"/>
            <w:bottom w:val="none" w:sz="0" w:space="0" w:color="auto"/>
            <w:right w:val="none" w:sz="0" w:space="0" w:color="auto"/>
          </w:divBdr>
        </w:div>
        <w:div w:id="2029796386">
          <w:marLeft w:val="0"/>
          <w:marRight w:val="0"/>
          <w:marTop w:val="0"/>
          <w:marBottom w:val="0"/>
          <w:divBdr>
            <w:top w:val="none" w:sz="0" w:space="0" w:color="auto"/>
            <w:left w:val="none" w:sz="0" w:space="0" w:color="auto"/>
            <w:bottom w:val="none" w:sz="0" w:space="0" w:color="auto"/>
            <w:right w:val="none" w:sz="0" w:space="0" w:color="auto"/>
          </w:divBdr>
        </w:div>
        <w:div w:id="185994535">
          <w:marLeft w:val="0"/>
          <w:marRight w:val="0"/>
          <w:marTop w:val="0"/>
          <w:marBottom w:val="0"/>
          <w:divBdr>
            <w:top w:val="none" w:sz="0" w:space="0" w:color="auto"/>
            <w:left w:val="none" w:sz="0" w:space="0" w:color="auto"/>
            <w:bottom w:val="none" w:sz="0" w:space="0" w:color="auto"/>
            <w:right w:val="none" w:sz="0" w:space="0" w:color="auto"/>
          </w:divBdr>
        </w:div>
        <w:div w:id="678317747">
          <w:marLeft w:val="0"/>
          <w:marRight w:val="0"/>
          <w:marTop w:val="0"/>
          <w:marBottom w:val="0"/>
          <w:divBdr>
            <w:top w:val="none" w:sz="0" w:space="0" w:color="auto"/>
            <w:left w:val="none" w:sz="0" w:space="0" w:color="auto"/>
            <w:bottom w:val="none" w:sz="0" w:space="0" w:color="auto"/>
            <w:right w:val="none" w:sz="0" w:space="0" w:color="auto"/>
          </w:divBdr>
        </w:div>
        <w:div w:id="1098940313">
          <w:marLeft w:val="0"/>
          <w:marRight w:val="0"/>
          <w:marTop w:val="0"/>
          <w:marBottom w:val="0"/>
          <w:divBdr>
            <w:top w:val="none" w:sz="0" w:space="0" w:color="auto"/>
            <w:left w:val="none" w:sz="0" w:space="0" w:color="auto"/>
            <w:bottom w:val="none" w:sz="0" w:space="0" w:color="auto"/>
            <w:right w:val="none" w:sz="0" w:space="0" w:color="auto"/>
          </w:divBdr>
        </w:div>
        <w:div w:id="1145703956">
          <w:marLeft w:val="0"/>
          <w:marRight w:val="0"/>
          <w:marTop w:val="0"/>
          <w:marBottom w:val="0"/>
          <w:divBdr>
            <w:top w:val="none" w:sz="0" w:space="0" w:color="auto"/>
            <w:left w:val="none" w:sz="0" w:space="0" w:color="auto"/>
            <w:bottom w:val="none" w:sz="0" w:space="0" w:color="auto"/>
            <w:right w:val="none" w:sz="0" w:space="0" w:color="auto"/>
          </w:divBdr>
        </w:div>
        <w:div w:id="858618494">
          <w:marLeft w:val="0"/>
          <w:marRight w:val="0"/>
          <w:marTop w:val="0"/>
          <w:marBottom w:val="0"/>
          <w:divBdr>
            <w:top w:val="none" w:sz="0" w:space="0" w:color="auto"/>
            <w:left w:val="none" w:sz="0" w:space="0" w:color="auto"/>
            <w:bottom w:val="none" w:sz="0" w:space="0" w:color="auto"/>
            <w:right w:val="none" w:sz="0" w:space="0" w:color="auto"/>
          </w:divBdr>
        </w:div>
        <w:div w:id="1892111474">
          <w:marLeft w:val="0"/>
          <w:marRight w:val="0"/>
          <w:marTop w:val="0"/>
          <w:marBottom w:val="0"/>
          <w:divBdr>
            <w:top w:val="none" w:sz="0" w:space="0" w:color="auto"/>
            <w:left w:val="none" w:sz="0" w:space="0" w:color="auto"/>
            <w:bottom w:val="none" w:sz="0" w:space="0" w:color="auto"/>
            <w:right w:val="none" w:sz="0" w:space="0" w:color="auto"/>
          </w:divBdr>
        </w:div>
        <w:div w:id="1142776283">
          <w:marLeft w:val="0"/>
          <w:marRight w:val="0"/>
          <w:marTop w:val="0"/>
          <w:marBottom w:val="0"/>
          <w:divBdr>
            <w:top w:val="none" w:sz="0" w:space="0" w:color="auto"/>
            <w:left w:val="none" w:sz="0" w:space="0" w:color="auto"/>
            <w:bottom w:val="none" w:sz="0" w:space="0" w:color="auto"/>
            <w:right w:val="none" w:sz="0" w:space="0" w:color="auto"/>
          </w:divBdr>
        </w:div>
      </w:divsChild>
    </w:div>
    <w:div w:id="1581404001">
      <w:bodyDiv w:val="1"/>
      <w:marLeft w:val="0"/>
      <w:marRight w:val="0"/>
      <w:marTop w:val="0"/>
      <w:marBottom w:val="0"/>
      <w:divBdr>
        <w:top w:val="none" w:sz="0" w:space="0" w:color="auto"/>
        <w:left w:val="none" w:sz="0" w:space="0" w:color="auto"/>
        <w:bottom w:val="none" w:sz="0" w:space="0" w:color="auto"/>
        <w:right w:val="none" w:sz="0" w:space="0" w:color="auto"/>
      </w:divBdr>
    </w:div>
    <w:div w:id="1623922456">
      <w:bodyDiv w:val="1"/>
      <w:marLeft w:val="0"/>
      <w:marRight w:val="0"/>
      <w:marTop w:val="0"/>
      <w:marBottom w:val="0"/>
      <w:divBdr>
        <w:top w:val="none" w:sz="0" w:space="0" w:color="auto"/>
        <w:left w:val="none" w:sz="0" w:space="0" w:color="auto"/>
        <w:bottom w:val="none" w:sz="0" w:space="0" w:color="auto"/>
        <w:right w:val="none" w:sz="0" w:space="0" w:color="auto"/>
      </w:divBdr>
      <w:divsChild>
        <w:div w:id="2101288192">
          <w:marLeft w:val="0"/>
          <w:marRight w:val="0"/>
          <w:marTop w:val="0"/>
          <w:marBottom w:val="0"/>
          <w:divBdr>
            <w:top w:val="none" w:sz="0" w:space="0" w:color="auto"/>
            <w:left w:val="none" w:sz="0" w:space="0" w:color="auto"/>
            <w:bottom w:val="none" w:sz="0" w:space="0" w:color="auto"/>
            <w:right w:val="none" w:sz="0" w:space="0" w:color="auto"/>
          </w:divBdr>
        </w:div>
      </w:divsChild>
    </w:div>
    <w:div w:id="1650086862">
      <w:bodyDiv w:val="1"/>
      <w:marLeft w:val="0"/>
      <w:marRight w:val="0"/>
      <w:marTop w:val="0"/>
      <w:marBottom w:val="0"/>
      <w:divBdr>
        <w:top w:val="none" w:sz="0" w:space="0" w:color="auto"/>
        <w:left w:val="none" w:sz="0" w:space="0" w:color="auto"/>
        <w:bottom w:val="none" w:sz="0" w:space="0" w:color="auto"/>
        <w:right w:val="none" w:sz="0" w:space="0" w:color="auto"/>
      </w:divBdr>
    </w:div>
    <w:div w:id="1666012802">
      <w:bodyDiv w:val="1"/>
      <w:marLeft w:val="0"/>
      <w:marRight w:val="0"/>
      <w:marTop w:val="0"/>
      <w:marBottom w:val="0"/>
      <w:divBdr>
        <w:top w:val="none" w:sz="0" w:space="0" w:color="auto"/>
        <w:left w:val="none" w:sz="0" w:space="0" w:color="auto"/>
        <w:bottom w:val="none" w:sz="0" w:space="0" w:color="auto"/>
        <w:right w:val="none" w:sz="0" w:space="0" w:color="auto"/>
      </w:divBdr>
      <w:divsChild>
        <w:div w:id="916551437">
          <w:marLeft w:val="-720"/>
          <w:marRight w:val="0"/>
          <w:marTop w:val="0"/>
          <w:marBottom w:val="0"/>
          <w:divBdr>
            <w:top w:val="none" w:sz="0" w:space="0" w:color="auto"/>
            <w:left w:val="none" w:sz="0" w:space="0" w:color="auto"/>
            <w:bottom w:val="none" w:sz="0" w:space="0" w:color="auto"/>
            <w:right w:val="none" w:sz="0" w:space="0" w:color="auto"/>
          </w:divBdr>
        </w:div>
      </w:divsChild>
    </w:div>
    <w:div w:id="1678771864">
      <w:bodyDiv w:val="1"/>
      <w:marLeft w:val="0"/>
      <w:marRight w:val="0"/>
      <w:marTop w:val="0"/>
      <w:marBottom w:val="0"/>
      <w:divBdr>
        <w:top w:val="none" w:sz="0" w:space="0" w:color="auto"/>
        <w:left w:val="none" w:sz="0" w:space="0" w:color="auto"/>
        <w:bottom w:val="none" w:sz="0" w:space="0" w:color="auto"/>
        <w:right w:val="none" w:sz="0" w:space="0" w:color="auto"/>
      </w:divBdr>
    </w:div>
    <w:div w:id="1680039819">
      <w:bodyDiv w:val="1"/>
      <w:marLeft w:val="0"/>
      <w:marRight w:val="0"/>
      <w:marTop w:val="0"/>
      <w:marBottom w:val="0"/>
      <w:divBdr>
        <w:top w:val="none" w:sz="0" w:space="0" w:color="auto"/>
        <w:left w:val="none" w:sz="0" w:space="0" w:color="auto"/>
        <w:bottom w:val="none" w:sz="0" w:space="0" w:color="auto"/>
        <w:right w:val="none" w:sz="0" w:space="0" w:color="auto"/>
      </w:divBdr>
    </w:div>
    <w:div w:id="1682009643">
      <w:bodyDiv w:val="1"/>
      <w:marLeft w:val="0"/>
      <w:marRight w:val="0"/>
      <w:marTop w:val="0"/>
      <w:marBottom w:val="0"/>
      <w:divBdr>
        <w:top w:val="none" w:sz="0" w:space="0" w:color="auto"/>
        <w:left w:val="none" w:sz="0" w:space="0" w:color="auto"/>
        <w:bottom w:val="none" w:sz="0" w:space="0" w:color="auto"/>
        <w:right w:val="none" w:sz="0" w:space="0" w:color="auto"/>
      </w:divBdr>
    </w:div>
    <w:div w:id="1682857769">
      <w:bodyDiv w:val="1"/>
      <w:marLeft w:val="0"/>
      <w:marRight w:val="0"/>
      <w:marTop w:val="0"/>
      <w:marBottom w:val="0"/>
      <w:divBdr>
        <w:top w:val="none" w:sz="0" w:space="0" w:color="auto"/>
        <w:left w:val="none" w:sz="0" w:space="0" w:color="auto"/>
        <w:bottom w:val="none" w:sz="0" w:space="0" w:color="auto"/>
        <w:right w:val="none" w:sz="0" w:space="0" w:color="auto"/>
      </w:divBdr>
      <w:divsChild>
        <w:div w:id="114176862">
          <w:marLeft w:val="0"/>
          <w:marRight w:val="0"/>
          <w:marTop w:val="0"/>
          <w:marBottom w:val="0"/>
          <w:divBdr>
            <w:top w:val="none" w:sz="0" w:space="0" w:color="auto"/>
            <w:left w:val="none" w:sz="0" w:space="0" w:color="auto"/>
            <w:bottom w:val="none" w:sz="0" w:space="0" w:color="auto"/>
            <w:right w:val="none" w:sz="0" w:space="0" w:color="auto"/>
          </w:divBdr>
          <w:divsChild>
            <w:div w:id="1054964458">
              <w:marLeft w:val="0"/>
              <w:marRight w:val="0"/>
              <w:marTop w:val="0"/>
              <w:marBottom w:val="0"/>
              <w:divBdr>
                <w:top w:val="none" w:sz="0" w:space="0" w:color="auto"/>
                <w:left w:val="none" w:sz="0" w:space="0" w:color="auto"/>
                <w:bottom w:val="none" w:sz="0" w:space="0" w:color="auto"/>
                <w:right w:val="none" w:sz="0" w:space="0" w:color="auto"/>
              </w:divBdr>
              <w:divsChild>
                <w:div w:id="729889684">
                  <w:marLeft w:val="0"/>
                  <w:marRight w:val="0"/>
                  <w:marTop w:val="0"/>
                  <w:marBottom w:val="0"/>
                  <w:divBdr>
                    <w:top w:val="none" w:sz="0" w:space="0" w:color="auto"/>
                    <w:left w:val="none" w:sz="0" w:space="0" w:color="auto"/>
                    <w:bottom w:val="none" w:sz="0" w:space="0" w:color="auto"/>
                    <w:right w:val="none" w:sz="0" w:space="0" w:color="auto"/>
                  </w:divBdr>
                  <w:divsChild>
                    <w:div w:id="854999322">
                      <w:marLeft w:val="0"/>
                      <w:marRight w:val="0"/>
                      <w:marTop w:val="0"/>
                      <w:marBottom w:val="0"/>
                      <w:divBdr>
                        <w:top w:val="none" w:sz="0" w:space="0" w:color="auto"/>
                        <w:left w:val="none" w:sz="0" w:space="0" w:color="auto"/>
                        <w:bottom w:val="none" w:sz="0" w:space="0" w:color="auto"/>
                        <w:right w:val="none" w:sz="0" w:space="0" w:color="auto"/>
                      </w:divBdr>
                      <w:divsChild>
                        <w:div w:id="1500852552">
                          <w:marLeft w:val="0"/>
                          <w:marRight w:val="0"/>
                          <w:marTop w:val="0"/>
                          <w:marBottom w:val="0"/>
                          <w:divBdr>
                            <w:top w:val="none" w:sz="0" w:space="0" w:color="auto"/>
                            <w:left w:val="none" w:sz="0" w:space="0" w:color="auto"/>
                            <w:bottom w:val="none" w:sz="0" w:space="0" w:color="auto"/>
                            <w:right w:val="none" w:sz="0" w:space="0" w:color="auto"/>
                          </w:divBdr>
                          <w:divsChild>
                            <w:div w:id="140549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215104">
      <w:bodyDiv w:val="1"/>
      <w:marLeft w:val="0"/>
      <w:marRight w:val="0"/>
      <w:marTop w:val="0"/>
      <w:marBottom w:val="0"/>
      <w:divBdr>
        <w:top w:val="none" w:sz="0" w:space="0" w:color="auto"/>
        <w:left w:val="none" w:sz="0" w:space="0" w:color="auto"/>
        <w:bottom w:val="none" w:sz="0" w:space="0" w:color="auto"/>
        <w:right w:val="none" w:sz="0" w:space="0" w:color="auto"/>
      </w:divBdr>
      <w:divsChild>
        <w:div w:id="257950022">
          <w:marLeft w:val="0"/>
          <w:marRight w:val="0"/>
          <w:marTop w:val="0"/>
          <w:marBottom w:val="0"/>
          <w:divBdr>
            <w:top w:val="none" w:sz="0" w:space="0" w:color="auto"/>
            <w:left w:val="none" w:sz="0" w:space="0" w:color="auto"/>
            <w:bottom w:val="none" w:sz="0" w:space="0" w:color="auto"/>
            <w:right w:val="none" w:sz="0" w:space="0" w:color="auto"/>
          </w:divBdr>
          <w:divsChild>
            <w:div w:id="1149446764">
              <w:marLeft w:val="0"/>
              <w:marRight w:val="0"/>
              <w:marTop w:val="0"/>
              <w:marBottom w:val="0"/>
              <w:divBdr>
                <w:top w:val="none" w:sz="0" w:space="0" w:color="auto"/>
                <w:left w:val="none" w:sz="0" w:space="0" w:color="auto"/>
                <w:bottom w:val="none" w:sz="0" w:space="0" w:color="auto"/>
                <w:right w:val="none" w:sz="0" w:space="0" w:color="auto"/>
              </w:divBdr>
              <w:divsChild>
                <w:div w:id="580138063">
                  <w:marLeft w:val="0"/>
                  <w:marRight w:val="0"/>
                  <w:marTop w:val="0"/>
                  <w:marBottom w:val="0"/>
                  <w:divBdr>
                    <w:top w:val="none" w:sz="0" w:space="0" w:color="auto"/>
                    <w:left w:val="none" w:sz="0" w:space="0" w:color="auto"/>
                    <w:bottom w:val="none" w:sz="0" w:space="0" w:color="auto"/>
                    <w:right w:val="none" w:sz="0" w:space="0" w:color="auto"/>
                  </w:divBdr>
                  <w:divsChild>
                    <w:div w:id="1033311761">
                      <w:marLeft w:val="0"/>
                      <w:marRight w:val="0"/>
                      <w:marTop w:val="0"/>
                      <w:marBottom w:val="0"/>
                      <w:divBdr>
                        <w:top w:val="none" w:sz="0" w:space="0" w:color="auto"/>
                        <w:left w:val="none" w:sz="0" w:space="0" w:color="auto"/>
                        <w:bottom w:val="none" w:sz="0" w:space="0" w:color="auto"/>
                        <w:right w:val="none" w:sz="0" w:space="0" w:color="auto"/>
                      </w:divBdr>
                      <w:divsChild>
                        <w:div w:id="155848103">
                          <w:marLeft w:val="0"/>
                          <w:marRight w:val="0"/>
                          <w:marTop w:val="0"/>
                          <w:marBottom w:val="0"/>
                          <w:divBdr>
                            <w:top w:val="none" w:sz="0" w:space="0" w:color="auto"/>
                            <w:left w:val="none" w:sz="0" w:space="0" w:color="auto"/>
                            <w:bottom w:val="none" w:sz="0" w:space="0" w:color="auto"/>
                            <w:right w:val="none" w:sz="0" w:space="0" w:color="auto"/>
                          </w:divBdr>
                          <w:divsChild>
                            <w:div w:id="535122663">
                              <w:marLeft w:val="0"/>
                              <w:marRight w:val="0"/>
                              <w:marTop w:val="0"/>
                              <w:marBottom w:val="0"/>
                              <w:divBdr>
                                <w:top w:val="none" w:sz="0" w:space="0" w:color="auto"/>
                                <w:left w:val="none" w:sz="0" w:space="0" w:color="auto"/>
                                <w:bottom w:val="none" w:sz="0" w:space="0" w:color="auto"/>
                                <w:right w:val="none" w:sz="0" w:space="0" w:color="auto"/>
                              </w:divBdr>
                              <w:divsChild>
                                <w:div w:id="759445245">
                                  <w:marLeft w:val="0"/>
                                  <w:marRight w:val="0"/>
                                  <w:marTop w:val="0"/>
                                  <w:marBottom w:val="0"/>
                                  <w:divBdr>
                                    <w:top w:val="none" w:sz="0" w:space="0" w:color="auto"/>
                                    <w:left w:val="none" w:sz="0" w:space="0" w:color="auto"/>
                                    <w:bottom w:val="none" w:sz="0" w:space="0" w:color="auto"/>
                                    <w:right w:val="none" w:sz="0" w:space="0" w:color="auto"/>
                                  </w:divBdr>
                                  <w:divsChild>
                                    <w:div w:id="180558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704589">
                          <w:marLeft w:val="0"/>
                          <w:marRight w:val="0"/>
                          <w:marTop w:val="0"/>
                          <w:marBottom w:val="0"/>
                          <w:divBdr>
                            <w:top w:val="none" w:sz="0" w:space="0" w:color="auto"/>
                            <w:left w:val="none" w:sz="0" w:space="0" w:color="auto"/>
                            <w:bottom w:val="none" w:sz="0" w:space="0" w:color="auto"/>
                            <w:right w:val="none" w:sz="0" w:space="0" w:color="auto"/>
                          </w:divBdr>
                          <w:divsChild>
                            <w:div w:id="489253407">
                              <w:marLeft w:val="0"/>
                              <w:marRight w:val="0"/>
                              <w:marTop w:val="0"/>
                              <w:marBottom w:val="0"/>
                              <w:divBdr>
                                <w:top w:val="none" w:sz="0" w:space="0" w:color="auto"/>
                                <w:left w:val="none" w:sz="0" w:space="0" w:color="auto"/>
                                <w:bottom w:val="none" w:sz="0" w:space="0" w:color="auto"/>
                                <w:right w:val="none" w:sz="0" w:space="0" w:color="auto"/>
                              </w:divBdr>
                              <w:divsChild>
                                <w:div w:id="1052189035">
                                  <w:marLeft w:val="0"/>
                                  <w:marRight w:val="0"/>
                                  <w:marTop w:val="0"/>
                                  <w:marBottom w:val="0"/>
                                  <w:divBdr>
                                    <w:top w:val="none" w:sz="0" w:space="0" w:color="auto"/>
                                    <w:left w:val="none" w:sz="0" w:space="0" w:color="auto"/>
                                    <w:bottom w:val="none" w:sz="0" w:space="0" w:color="auto"/>
                                    <w:right w:val="none" w:sz="0" w:space="0" w:color="auto"/>
                                  </w:divBdr>
                                  <w:divsChild>
                                    <w:div w:id="14771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027364">
      <w:bodyDiv w:val="1"/>
      <w:marLeft w:val="0"/>
      <w:marRight w:val="0"/>
      <w:marTop w:val="0"/>
      <w:marBottom w:val="0"/>
      <w:divBdr>
        <w:top w:val="none" w:sz="0" w:space="0" w:color="auto"/>
        <w:left w:val="none" w:sz="0" w:space="0" w:color="auto"/>
        <w:bottom w:val="none" w:sz="0" w:space="0" w:color="auto"/>
        <w:right w:val="none" w:sz="0" w:space="0" w:color="auto"/>
      </w:divBdr>
    </w:div>
    <w:div w:id="1785881329">
      <w:bodyDiv w:val="1"/>
      <w:marLeft w:val="0"/>
      <w:marRight w:val="0"/>
      <w:marTop w:val="0"/>
      <w:marBottom w:val="0"/>
      <w:divBdr>
        <w:top w:val="none" w:sz="0" w:space="0" w:color="auto"/>
        <w:left w:val="none" w:sz="0" w:space="0" w:color="auto"/>
        <w:bottom w:val="none" w:sz="0" w:space="0" w:color="auto"/>
        <w:right w:val="none" w:sz="0" w:space="0" w:color="auto"/>
      </w:divBdr>
    </w:div>
    <w:div w:id="1797144145">
      <w:bodyDiv w:val="1"/>
      <w:marLeft w:val="0"/>
      <w:marRight w:val="0"/>
      <w:marTop w:val="0"/>
      <w:marBottom w:val="0"/>
      <w:divBdr>
        <w:top w:val="none" w:sz="0" w:space="0" w:color="auto"/>
        <w:left w:val="none" w:sz="0" w:space="0" w:color="auto"/>
        <w:bottom w:val="none" w:sz="0" w:space="0" w:color="auto"/>
        <w:right w:val="none" w:sz="0" w:space="0" w:color="auto"/>
      </w:divBdr>
    </w:div>
    <w:div w:id="1803384624">
      <w:bodyDiv w:val="1"/>
      <w:marLeft w:val="0"/>
      <w:marRight w:val="0"/>
      <w:marTop w:val="0"/>
      <w:marBottom w:val="0"/>
      <w:divBdr>
        <w:top w:val="none" w:sz="0" w:space="0" w:color="auto"/>
        <w:left w:val="none" w:sz="0" w:space="0" w:color="auto"/>
        <w:bottom w:val="none" w:sz="0" w:space="0" w:color="auto"/>
        <w:right w:val="none" w:sz="0" w:space="0" w:color="auto"/>
      </w:divBdr>
    </w:div>
    <w:div w:id="1804272306">
      <w:bodyDiv w:val="1"/>
      <w:marLeft w:val="0"/>
      <w:marRight w:val="0"/>
      <w:marTop w:val="0"/>
      <w:marBottom w:val="0"/>
      <w:divBdr>
        <w:top w:val="none" w:sz="0" w:space="0" w:color="auto"/>
        <w:left w:val="none" w:sz="0" w:space="0" w:color="auto"/>
        <w:bottom w:val="none" w:sz="0" w:space="0" w:color="auto"/>
        <w:right w:val="none" w:sz="0" w:space="0" w:color="auto"/>
      </w:divBdr>
    </w:div>
    <w:div w:id="1816986108">
      <w:bodyDiv w:val="1"/>
      <w:marLeft w:val="0"/>
      <w:marRight w:val="0"/>
      <w:marTop w:val="0"/>
      <w:marBottom w:val="0"/>
      <w:divBdr>
        <w:top w:val="none" w:sz="0" w:space="0" w:color="auto"/>
        <w:left w:val="none" w:sz="0" w:space="0" w:color="auto"/>
        <w:bottom w:val="none" w:sz="0" w:space="0" w:color="auto"/>
        <w:right w:val="none" w:sz="0" w:space="0" w:color="auto"/>
      </w:divBdr>
    </w:div>
    <w:div w:id="1842818320">
      <w:bodyDiv w:val="1"/>
      <w:marLeft w:val="0"/>
      <w:marRight w:val="0"/>
      <w:marTop w:val="0"/>
      <w:marBottom w:val="0"/>
      <w:divBdr>
        <w:top w:val="none" w:sz="0" w:space="0" w:color="auto"/>
        <w:left w:val="none" w:sz="0" w:space="0" w:color="auto"/>
        <w:bottom w:val="none" w:sz="0" w:space="0" w:color="auto"/>
        <w:right w:val="none" w:sz="0" w:space="0" w:color="auto"/>
      </w:divBdr>
    </w:div>
    <w:div w:id="1847748396">
      <w:bodyDiv w:val="1"/>
      <w:marLeft w:val="0"/>
      <w:marRight w:val="0"/>
      <w:marTop w:val="0"/>
      <w:marBottom w:val="0"/>
      <w:divBdr>
        <w:top w:val="none" w:sz="0" w:space="0" w:color="auto"/>
        <w:left w:val="none" w:sz="0" w:space="0" w:color="auto"/>
        <w:bottom w:val="none" w:sz="0" w:space="0" w:color="auto"/>
        <w:right w:val="none" w:sz="0" w:space="0" w:color="auto"/>
      </w:divBdr>
      <w:divsChild>
        <w:div w:id="170877892">
          <w:marLeft w:val="-720"/>
          <w:marRight w:val="0"/>
          <w:marTop w:val="0"/>
          <w:marBottom w:val="0"/>
          <w:divBdr>
            <w:top w:val="none" w:sz="0" w:space="0" w:color="auto"/>
            <w:left w:val="none" w:sz="0" w:space="0" w:color="auto"/>
            <w:bottom w:val="none" w:sz="0" w:space="0" w:color="auto"/>
            <w:right w:val="none" w:sz="0" w:space="0" w:color="auto"/>
          </w:divBdr>
        </w:div>
      </w:divsChild>
    </w:div>
    <w:div w:id="1853689629">
      <w:bodyDiv w:val="1"/>
      <w:marLeft w:val="0"/>
      <w:marRight w:val="0"/>
      <w:marTop w:val="0"/>
      <w:marBottom w:val="0"/>
      <w:divBdr>
        <w:top w:val="none" w:sz="0" w:space="0" w:color="auto"/>
        <w:left w:val="none" w:sz="0" w:space="0" w:color="auto"/>
        <w:bottom w:val="none" w:sz="0" w:space="0" w:color="auto"/>
        <w:right w:val="none" w:sz="0" w:space="0" w:color="auto"/>
      </w:divBdr>
      <w:divsChild>
        <w:div w:id="1393577618">
          <w:marLeft w:val="0"/>
          <w:marRight w:val="0"/>
          <w:marTop w:val="0"/>
          <w:marBottom w:val="0"/>
          <w:divBdr>
            <w:top w:val="none" w:sz="0" w:space="0" w:color="auto"/>
            <w:left w:val="none" w:sz="0" w:space="0" w:color="auto"/>
            <w:bottom w:val="none" w:sz="0" w:space="0" w:color="auto"/>
            <w:right w:val="none" w:sz="0" w:space="0" w:color="auto"/>
          </w:divBdr>
        </w:div>
      </w:divsChild>
    </w:div>
    <w:div w:id="1861045503">
      <w:bodyDiv w:val="1"/>
      <w:marLeft w:val="0"/>
      <w:marRight w:val="0"/>
      <w:marTop w:val="0"/>
      <w:marBottom w:val="0"/>
      <w:divBdr>
        <w:top w:val="none" w:sz="0" w:space="0" w:color="auto"/>
        <w:left w:val="none" w:sz="0" w:space="0" w:color="auto"/>
        <w:bottom w:val="none" w:sz="0" w:space="0" w:color="auto"/>
        <w:right w:val="none" w:sz="0" w:space="0" w:color="auto"/>
      </w:divBdr>
    </w:div>
    <w:div w:id="1873961383">
      <w:bodyDiv w:val="1"/>
      <w:marLeft w:val="0"/>
      <w:marRight w:val="0"/>
      <w:marTop w:val="0"/>
      <w:marBottom w:val="0"/>
      <w:divBdr>
        <w:top w:val="none" w:sz="0" w:space="0" w:color="auto"/>
        <w:left w:val="none" w:sz="0" w:space="0" w:color="auto"/>
        <w:bottom w:val="none" w:sz="0" w:space="0" w:color="auto"/>
        <w:right w:val="none" w:sz="0" w:space="0" w:color="auto"/>
      </w:divBdr>
      <w:divsChild>
        <w:div w:id="698896292">
          <w:marLeft w:val="-720"/>
          <w:marRight w:val="0"/>
          <w:marTop w:val="0"/>
          <w:marBottom w:val="0"/>
          <w:divBdr>
            <w:top w:val="none" w:sz="0" w:space="0" w:color="auto"/>
            <w:left w:val="none" w:sz="0" w:space="0" w:color="auto"/>
            <w:bottom w:val="none" w:sz="0" w:space="0" w:color="auto"/>
            <w:right w:val="none" w:sz="0" w:space="0" w:color="auto"/>
          </w:divBdr>
        </w:div>
      </w:divsChild>
    </w:div>
    <w:div w:id="1917862709">
      <w:bodyDiv w:val="1"/>
      <w:marLeft w:val="0"/>
      <w:marRight w:val="0"/>
      <w:marTop w:val="0"/>
      <w:marBottom w:val="0"/>
      <w:divBdr>
        <w:top w:val="none" w:sz="0" w:space="0" w:color="auto"/>
        <w:left w:val="none" w:sz="0" w:space="0" w:color="auto"/>
        <w:bottom w:val="none" w:sz="0" w:space="0" w:color="auto"/>
        <w:right w:val="none" w:sz="0" w:space="0" w:color="auto"/>
      </w:divBdr>
      <w:divsChild>
        <w:div w:id="1309820696">
          <w:marLeft w:val="0"/>
          <w:marRight w:val="0"/>
          <w:marTop w:val="0"/>
          <w:marBottom w:val="0"/>
          <w:divBdr>
            <w:top w:val="none" w:sz="0" w:space="0" w:color="auto"/>
            <w:left w:val="none" w:sz="0" w:space="0" w:color="auto"/>
            <w:bottom w:val="none" w:sz="0" w:space="0" w:color="auto"/>
            <w:right w:val="none" w:sz="0" w:space="0" w:color="auto"/>
          </w:divBdr>
          <w:divsChild>
            <w:div w:id="24414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17858">
      <w:bodyDiv w:val="1"/>
      <w:marLeft w:val="0"/>
      <w:marRight w:val="0"/>
      <w:marTop w:val="0"/>
      <w:marBottom w:val="0"/>
      <w:divBdr>
        <w:top w:val="none" w:sz="0" w:space="0" w:color="auto"/>
        <w:left w:val="none" w:sz="0" w:space="0" w:color="auto"/>
        <w:bottom w:val="none" w:sz="0" w:space="0" w:color="auto"/>
        <w:right w:val="none" w:sz="0" w:space="0" w:color="auto"/>
      </w:divBdr>
    </w:div>
    <w:div w:id="1925454981">
      <w:bodyDiv w:val="1"/>
      <w:marLeft w:val="0"/>
      <w:marRight w:val="0"/>
      <w:marTop w:val="0"/>
      <w:marBottom w:val="0"/>
      <w:divBdr>
        <w:top w:val="none" w:sz="0" w:space="0" w:color="auto"/>
        <w:left w:val="none" w:sz="0" w:space="0" w:color="auto"/>
        <w:bottom w:val="none" w:sz="0" w:space="0" w:color="auto"/>
        <w:right w:val="none" w:sz="0" w:space="0" w:color="auto"/>
      </w:divBdr>
    </w:div>
    <w:div w:id="1944721488">
      <w:bodyDiv w:val="1"/>
      <w:marLeft w:val="0"/>
      <w:marRight w:val="0"/>
      <w:marTop w:val="0"/>
      <w:marBottom w:val="0"/>
      <w:divBdr>
        <w:top w:val="none" w:sz="0" w:space="0" w:color="auto"/>
        <w:left w:val="none" w:sz="0" w:space="0" w:color="auto"/>
        <w:bottom w:val="none" w:sz="0" w:space="0" w:color="auto"/>
        <w:right w:val="none" w:sz="0" w:space="0" w:color="auto"/>
      </w:divBdr>
    </w:div>
    <w:div w:id="1964654574">
      <w:bodyDiv w:val="1"/>
      <w:marLeft w:val="0"/>
      <w:marRight w:val="0"/>
      <w:marTop w:val="0"/>
      <w:marBottom w:val="0"/>
      <w:divBdr>
        <w:top w:val="none" w:sz="0" w:space="0" w:color="auto"/>
        <w:left w:val="none" w:sz="0" w:space="0" w:color="auto"/>
        <w:bottom w:val="none" w:sz="0" w:space="0" w:color="auto"/>
        <w:right w:val="none" w:sz="0" w:space="0" w:color="auto"/>
      </w:divBdr>
    </w:div>
    <w:div w:id="1973289664">
      <w:bodyDiv w:val="1"/>
      <w:marLeft w:val="0"/>
      <w:marRight w:val="0"/>
      <w:marTop w:val="0"/>
      <w:marBottom w:val="0"/>
      <w:divBdr>
        <w:top w:val="none" w:sz="0" w:space="0" w:color="auto"/>
        <w:left w:val="none" w:sz="0" w:space="0" w:color="auto"/>
        <w:bottom w:val="none" w:sz="0" w:space="0" w:color="auto"/>
        <w:right w:val="none" w:sz="0" w:space="0" w:color="auto"/>
      </w:divBdr>
      <w:divsChild>
        <w:div w:id="255098411">
          <w:marLeft w:val="0"/>
          <w:marRight w:val="0"/>
          <w:marTop w:val="0"/>
          <w:marBottom w:val="0"/>
          <w:divBdr>
            <w:top w:val="none" w:sz="0" w:space="0" w:color="auto"/>
            <w:left w:val="none" w:sz="0" w:space="0" w:color="auto"/>
            <w:bottom w:val="none" w:sz="0" w:space="0" w:color="auto"/>
            <w:right w:val="none" w:sz="0" w:space="0" w:color="auto"/>
          </w:divBdr>
          <w:divsChild>
            <w:div w:id="1217858775">
              <w:marLeft w:val="0"/>
              <w:marRight w:val="0"/>
              <w:marTop w:val="0"/>
              <w:marBottom w:val="0"/>
              <w:divBdr>
                <w:top w:val="none" w:sz="0" w:space="0" w:color="auto"/>
                <w:left w:val="none" w:sz="0" w:space="0" w:color="auto"/>
                <w:bottom w:val="none" w:sz="0" w:space="0" w:color="auto"/>
                <w:right w:val="none" w:sz="0" w:space="0" w:color="auto"/>
              </w:divBdr>
              <w:divsChild>
                <w:div w:id="36980439">
                  <w:marLeft w:val="0"/>
                  <w:marRight w:val="0"/>
                  <w:marTop w:val="0"/>
                  <w:marBottom w:val="0"/>
                  <w:divBdr>
                    <w:top w:val="none" w:sz="0" w:space="0" w:color="auto"/>
                    <w:left w:val="none" w:sz="0" w:space="0" w:color="auto"/>
                    <w:bottom w:val="none" w:sz="0" w:space="0" w:color="auto"/>
                    <w:right w:val="none" w:sz="0" w:space="0" w:color="auto"/>
                  </w:divBdr>
                  <w:divsChild>
                    <w:div w:id="1482307598">
                      <w:marLeft w:val="0"/>
                      <w:marRight w:val="0"/>
                      <w:marTop w:val="0"/>
                      <w:marBottom w:val="0"/>
                      <w:divBdr>
                        <w:top w:val="none" w:sz="0" w:space="0" w:color="auto"/>
                        <w:left w:val="none" w:sz="0" w:space="0" w:color="auto"/>
                        <w:bottom w:val="none" w:sz="0" w:space="0" w:color="auto"/>
                        <w:right w:val="none" w:sz="0" w:space="0" w:color="auto"/>
                      </w:divBdr>
                      <w:divsChild>
                        <w:div w:id="880245921">
                          <w:marLeft w:val="0"/>
                          <w:marRight w:val="0"/>
                          <w:marTop w:val="0"/>
                          <w:marBottom w:val="0"/>
                          <w:divBdr>
                            <w:top w:val="none" w:sz="0" w:space="0" w:color="auto"/>
                            <w:left w:val="none" w:sz="0" w:space="0" w:color="auto"/>
                            <w:bottom w:val="none" w:sz="0" w:space="0" w:color="auto"/>
                            <w:right w:val="none" w:sz="0" w:space="0" w:color="auto"/>
                          </w:divBdr>
                          <w:divsChild>
                            <w:div w:id="262349688">
                              <w:marLeft w:val="0"/>
                              <w:marRight w:val="0"/>
                              <w:marTop w:val="0"/>
                              <w:marBottom w:val="0"/>
                              <w:divBdr>
                                <w:top w:val="none" w:sz="0" w:space="0" w:color="auto"/>
                                <w:left w:val="none" w:sz="0" w:space="0" w:color="auto"/>
                                <w:bottom w:val="none" w:sz="0" w:space="0" w:color="auto"/>
                                <w:right w:val="none" w:sz="0" w:space="0" w:color="auto"/>
                              </w:divBdr>
                              <w:divsChild>
                                <w:div w:id="754210398">
                                  <w:marLeft w:val="0"/>
                                  <w:marRight w:val="0"/>
                                  <w:marTop w:val="0"/>
                                  <w:marBottom w:val="0"/>
                                  <w:divBdr>
                                    <w:top w:val="none" w:sz="0" w:space="0" w:color="auto"/>
                                    <w:left w:val="none" w:sz="0" w:space="0" w:color="auto"/>
                                    <w:bottom w:val="none" w:sz="0" w:space="0" w:color="auto"/>
                                    <w:right w:val="none" w:sz="0" w:space="0" w:color="auto"/>
                                  </w:divBdr>
                                  <w:divsChild>
                                    <w:div w:id="930626622">
                                      <w:marLeft w:val="0"/>
                                      <w:marRight w:val="0"/>
                                      <w:marTop w:val="0"/>
                                      <w:marBottom w:val="0"/>
                                      <w:divBdr>
                                        <w:top w:val="none" w:sz="0" w:space="0" w:color="auto"/>
                                        <w:left w:val="none" w:sz="0" w:space="0" w:color="auto"/>
                                        <w:bottom w:val="none" w:sz="0" w:space="0" w:color="auto"/>
                                        <w:right w:val="none" w:sz="0" w:space="0" w:color="auto"/>
                                      </w:divBdr>
                                      <w:divsChild>
                                        <w:div w:id="1752655617">
                                          <w:marLeft w:val="0"/>
                                          <w:marRight w:val="0"/>
                                          <w:marTop w:val="0"/>
                                          <w:marBottom w:val="0"/>
                                          <w:divBdr>
                                            <w:top w:val="none" w:sz="0" w:space="0" w:color="auto"/>
                                            <w:left w:val="none" w:sz="0" w:space="0" w:color="auto"/>
                                            <w:bottom w:val="none" w:sz="0" w:space="0" w:color="auto"/>
                                            <w:right w:val="none" w:sz="0" w:space="0" w:color="auto"/>
                                          </w:divBdr>
                                          <w:divsChild>
                                            <w:div w:id="90422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07196">
                                  <w:marLeft w:val="0"/>
                                  <w:marRight w:val="0"/>
                                  <w:marTop w:val="0"/>
                                  <w:marBottom w:val="0"/>
                                  <w:divBdr>
                                    <w:top w:val="none" w:sz="0" w:space="0" w:color="auto"/>
                                    <w:left w:val="none" w:sz="0" w:space="0" w:color="auto"/>
                                    <w:bottom w:val="none" w:sz="0" w:space="0" w:color="auto"/>
                                    <w:right w:val="none" w:sz="0" w:space="0" w:color="auto"/>
                                  </w:divBdr>
                                  <w:divsChild>
                                    <w:div w:id="17789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881048">
          <w:marLeft w:val="0"/>
          <w:marRight w:val="0"/>
          <w:marTop w:val="0"/>
          <w:marBottom w:val="0"/>
          <w:divBdr>
            <w:top w:val="none" w:sz="0" w:space="0" w:color="auto"/>
            <w:left w:val="none" w:sz="0" w:space="0" w:color="auto"/>
            <w:bottom w:val="none" w:sz="0" w:space="0" w:color="auto"/>
            <w:right w:val="none" w:sz="0" w:space="0" w:color="auto"/>
          </w:divBdr>
          <w:divsChild>
            <w:div w:id="1282806679">
              <w:marLeft w:val="0"/>
              <w:marRight w:val="0"/>
              <w:marTop w:val="0"/>
              <w:marBottom w:val="0"/>
              <w:divBdr>
                <w:top w:val="none" w:sz="0" w:space="0" w:color="auto"/>
                <w:left w:val="none" w:sz="0" w:space="0" w:color="auto"/>
                <w:bottom w:val="none" w:sz="0" w:space="0" w:color="auto"/>
                <w:right w:val="none" w:sz="0" w:space="0" w:color="auto"/>
              </w:divBdr>
              <w:divsChild>
                <w:div w:id="1595359866">
                  <w:marLeft w:val="0"/>
                  <w:marRight w:val="0"/>
                  <w:marTop w:val="0"/>
                  <w:marBottom w:val="0"/>
                  <w:divBdr>
                    <w:top w:val="none" w:sz="0" w:space="0" w:color="auto"/>
                    <w:left w:val="none" w:sz="0" w:space="0" w:color="auto"/>
                    <w:bottom w:val="none" w:sz="0" w:space="0" w:color="auto"/>
                    <w:right w:val="none" w:sz="0" w:space="0" w:color="auto"/>
                  </w:divBdr>
                  <w:divsChild>
                    <w:div w:id="1376083617">
                      <w:marLeft w:val="0"/>
                      <w:marRight w:val="0"/>
                      <w:marTop w:val="0"/>
                      <w:marBottom w:val="0"/>
                      <w:divBdr>
                        <w:top w:val="none" w:sz="0" w:space="0" w:color="auto"/>
                        <w:left w:val="none" w:sz="0" w:space="0" w:color="auto"/>
                        <w:bottom w:val="none" w:sz="0" w:space="0" w:color="auto"/>
                        <w:right w:val="none" w:sz="0" w:space="0" w:color="auto"/>
                      </w:divBdr>
                      <w:divsChild>
                        <w:div w:id="1780294707">
                          <w:marLeft w:val="0"/>
                          <w:marRight w:val="0"/>
                          <w:marTop w:val="0"/>
                          <w:marBottom w:val="0"/>
                          <w:divBdr>
                            <w:top w:val="none" w:sz="0" w:space="0" w:color="auto"/>
                            <w:left w:val="none" w:sz="0" w:space="0" w:color="auto"/>
                            <w:bottom w:val="none" w:sz="0" w:space="0" w:color="auto"/>
                            <w:right w:val="none" w:sz="0" w:space="0" w:color="auto"/>
                          </w:divBdr>
                          <w:divsChild>
                            <w:div w:id="515115562">
                              <w:marLeft w:val="0"/>
                              <w:marRight w:val="0"/>
                              <w:marTop w:val="0"/>
                              <w:marBottom w:val="0"/>
                              <w:divBdr>
                                <w:top w:val="none" w:sz="0" w:space="0" w:color="auto"/>
                                <w:left w:val="none" w:sz="0" w:space="0" w:color="auto"/>
                                <w:bottom w:val="none" w:sz="0" w:space="0" w:color="auto"/>
                                <w:right w:val="none" w:sz="0" w:space="0" w:color="auto"/>
                              </w:divBdr>
                              <w:divsChild>
                                <w:div w:id="650913442">
                                  <w:marLeft w:val="0"/>
                                  <w:marRight w:val="0"/>
                                  <w:marTop w:val="0"/>
                                  <w:marBottom w:val="0"/>
                                  <w:divBdr>
                                    <w:top w:val="none" w:sz="0" w:space="0" w:color="auto"/>
                                    <w:left w:val="none" w:sz="0" w:space="0" w:color="auto"/>
                                    <w:bottom w:val="none" w:sz="0" w:space="0" w:color="auto"/>
                                    <w:right w:val="none" w:sz="0" w:space="0" w:color="auto"/>
                                  </w:divBdr>
                                  <w:divsChild>
                                    <w:div w:id="1651128562">
                                      <w:marLeft w:val="0"/>
                                      <w:marRight w:val="0"/>
                                      <w:marTop w:val="0"/>
                                      <w:marBottom w:val="0"/>
                                      <w:divBdr>
                                        <w:top w:val="none" w:sz="0" w:space="0" w:color="auto"/>
                                        <w:left w:val="none" w:sz="0" w:space="0" w:color="auto"/>
                                        <w:bottom w:val="none" w:sz="0" w:space="0" w:color="auto"/>
                                        <w:right w:val="none" w:sz="0" w:space="0" w:color="auto"/>
                                      </w:divBdr>
                                      <w:divsChild>
                                        <w:div w:id="2025396832">
                                          <w:marLeft w:val="0"/>
                                          <w:marRight w:val="0"/>
                                          <w:marTop w:val="0"/>
                                          <w:marBottom w:val="0"/>
                                          <w:divBdr>
                                            <w:top w:val="none" w:sz="0" w:space="0" w:color="auto"/>
                                            <w:left w:val="none" w:sz="0" w:space="0" w:color="auto"/>
                                            <w:bottom w:val="none" w:sz="0" w:space="0" w:color="auto"/>
                                            <w:right w:val="none" w:sz="0" w:space="0" w:color="auto"/>
                                          </w:divBdr>
                                          <w:divsChild>
                                            <w:div w:id="159910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0134879">
      <w:bodyDiv w:val="1"/>
      <w:marLeft w:val="0"/>
      <w:marRight w:val="0"/>
      <w:marTop w:val="0"/>
      <w:marBottom w:val="0"/>
      <w:divBdr>
        <w:top w:val="none" w:sz="0" w:space="0" w:color="auto"/>
        <w:left w:val="none" w:sz="0" w:space="0" w:color="auto"/>
        <w:bottom w:val="none" w:sz="0" w:space="0" w:color="auto"/>
        <w:right w:val="none" w:sz="0" w:space="0" w:color="auto"/>
      </w:divBdr>
    </w:div>
    <w:div w:id="2010134910">
      <w:bodyDiv w:val="1"/>
      <w:marLeft w:val="0"/>
      <w:marRight w:val="0"/>
      <w:marTop w:val="0"/>
      <w:marBottom w:val="0"/>
      <w:divBdr>
        <w:top w:val="none" w:sz="0" w:space="0" w:color="auto"/>
        <w:left w:val="none" w:sz="0" w:space="0" w:color="auto"/>
        <w:bottom w:val="none" w:sz="0" w:space="0" w:color="auto"/>
        <w:right w:val="none" w:sz="0" w:space="0" w:color="auto"/>
      </w:divBdr>
    </w:div>
    <w:div w:id="2025934654">
      <w:bodyDiv w:val="1"/>
      <w:marLeft w:val="0"/>
      <w:marRight w:val="0"/>
      <w:marTop w:val="0"/>
      <w:marBottom w:val="0"/>
      <w:divBdr>
        <w:top w:val="none" w:sz="0" w:space="0" w:color="auto"/>
        <w:left w:val="none" w:sz="0" w:space="0" w:color="auto"/>
        <w:bottom w:val="none" w:sz="0" w:space="0" w:color="auto"/>
        <w:right w:val="none" w:sz="0" w:space="0" w:color="auto"/>
      </w:divBdr>
    </w:div>
    <w:div w:id="2028020897">
      <w:bodyDiv w:val="1"/>
      <w:marLeft w:val="0"/>
      <w:marRight w:val="0"/>
      <w:marTop w:val="0"/>
      <w:marBottom w:val="0"/>
      <w:divBdr>
        <w:top w:val="none" w:sz="0" w:space="0" w:color="auto"/>
        <w:left w:val="none" w:sz="0" w:space="0" w:color="auto"/>
        <w:bottom w:val="none" w:sz="0" w:space="0" w:color="auto"/>
        <w:right w:val="none" w:sz="0" w:space="0" w:color="auto"/>
      </w:divBdr>
      <w:divsChild>
        <w:div w:id="46879274">
          <w:marLeft w:val="0"/>
          <w:marRight w:val="0"/>
          <w:marTop w:val="0"/>
          <w:marBottom w:val="0"/>
          <w:divBdr>
            <w:top w:val="none" w:sz="0" w:space="0" w:color="auto"/>
            <w:left w:val="none" w:sz="0" w:space="0" w:color="auto"/>
            <w:bottom w:val="none" w:sz="0" w:space="0" w:color="auto"/>
            <w:right w:val="none" w:sz="0" w:space="0" w:color="auto"/>
          </w:divBdr>
        </w:div>
        <w:div w:id="894707406">
          <w:marLeft w:val="0"/>
          <w:marRight w:val="0"/>
          <w:marTop w:val="0"/>
          <w:marBottom w:val="0"/>
          <w:divBdr>
            <w:top w:val="none" w:sz="0" w:space="0" w:color="auto"/>
            <w:left w:val="none" w:sz="0" w:space="0" w:color="auto"/>
            <w:bottom w:val="none" w:sz="0" w:space="0" w:color="auto"/>
            <w:right w:val="none" w:sz="0" w:space="0" w:color="auto"/>
          </w:divBdr>
        </w:div>
        <w:div w:id="1092436666">
          <w:marLeft w:val="0"/>
          <w:marRight w:val="0"/>
          <w:marTop w:val="0"/>
          <w:marBottom w:val="0"/>
          <w:divBdr>
            <w:top w:val="none" w:sz="0" w:space="0" w:color="auto"/>
            <w:left w:val="none" w:sz="0" w:space="0" w:color="auto"/>
            <w:bottom w:val="none" w:sz="0" w:space="0" w:color="auto"/>
            <w:right w:val="none" w:sz="0" w:space="0" w:color="auto"/>
          </w:divBdr>
        </w:div>
        <w:div w:id="119810305">
          <w:marLeft w:val="0"/>
          <w:marRight w:val="0"/>
          <w:marTop w:val="0"/>
          <w:marBottom w:val="0"/>
          <w:divBdr>
            <w:top w:val="none" w:sz="0" w:space="0" w:color="auto"/>
            <w:left w:val="none" w:sz="0" w:space="0" w:color="auto"/>
            <w:bottom w:val="none" w:sz="0" w:space="0" w:color="auto"/>
            <w:right w:val="none" w:sz="0" w:space="0" w:color="auto"/>
          </w:divBdr>
        </w:div>
        <w:div w:id="210045791">
          <w:marLeft w:val="0"/>
          <w:marRight w:val="0"/>
          <w:marTop w:val="0"/>
          <w:marBottom w:val="0"/>
          <w:divBdr>
            <w:top w:val="none" w:sz="0" w:space="0" w:color="auto"/>
            <w:left w:val="none" w:sz="0" w:space="0" w:color="auto"/>
            <w:bottom w:val="none" w:sz="0" w:space="0" w:color="auto"/>
            <w:right w:val="none" w:sz="0" w:space="0" w:color="auto"/>
          </w:divBdr>
        </w:div>
        <w:div w:id="986323431">
          <w:marLeft w:val="0"/>
          <w:marRight w:val="0"/>
          <w:marTop w:val="0"/>
          <w:marBottom w:val="0"/>
          <w:divBdr>
            <w:top w:val="none" w:sz="0" w:space="0" w:color="auto"/>
            <w:left w:val="none" w:sz="0" w:space="0" w:color="auto"/>
            <w:bottom w:val="none" w:sz="0" w:space="0" w:color="auto"/>
            <w:right w:val="none" w:sz="0" w:space="0" w:color="auto"/>
          </w:divBdr>
        </w:div>
        <w:div w:id="1413504155">
          <w:marLeft w:val="0"/>
          <w:marRight w:val="0"/>
          <w:marTop w:val="0"/>
          <w:marBottom w:val="0"/>
          <w:divBdr>
            <w:top w:val="none" w:sz="0" w:space="0" w:color="auto"/>
            <w:left w:val="none" w:sz="0" w:space="0" w:color="auto"/>
            <w:bottom w:val="none" w:sz="0" w:space="0" w:color="auto"/>
            <w:right w:val="none" w:sz="0" w:space="0" w:color="auto"/>
          </w:divBdr>
        </w:div>
        <w:div w:id="928582695">
          <w:marLeft w:val="0"/>
          <w:marRight w:val="0"/>
          <w:marTop w:val="0"/>
          <w:marBottom w:val="0"/>
          <w:divBdr>
            <w:top w:val="none" w:sz="0" w:space="0" w:color="auto"/>
            <w:left w:val="none" w:sz="0" w:space="0" w:color="auto"/>
            <w:bottom w:val="none" w:sz="0" w:space="0" w:color="auto"/>
            <w:right w:val="none" w:sz="0" w:space="0" w:color="auto"/>
          </w:divBdr>
        </w:div>
        <w:div w:id="1270815481">
          <w:marLeft w:val="0"/>
          <w:marRight w:val="0"/>
          <w:marTop w:val="0"/>
          <w:marBottom w:val="0"/>
          <w:divBdr>
            <w:top w:val="none" w:sz="0" w:space="0" w:color="auto"/>
            <w:left w:val="none" w:sz="0" w:space="0" w:color="auto"/>
            <w:bottom w:val="none" w:sz="0" w:space="0" w:color="auto"/>
            <w:right w:val="none" w:sz="0" w:space="0" w:color="auto"/>
          </w:divBdr>
        </w:div>
        <w:div w:id="1095126028">
          <w:marLeft w:val="0"/>
          <w:marRight w:val="0"/>
          <w:marTop w:val="0"/>
          <w:marBottom w:val="0"/>
          <w:divBdr>
            <w:top w:val="none" w:sz="0" w:space="0" w:color="auto"/>
            <w:left w:val="none" w:sz="0" w:space="0" w:color="auto"/>
            <w:bottom w:val="none" w:sz="0" w:space="0" w:color="auto"/>
            <w:right w:val="none" w:sz="0" w:space="0" w:color="auto"/>
          </w:divBdr>
        </w:div>
        <w:div w:id="437989755">
          <w:marLeft w:val="0"/>
          <w:marRight w:val="0"/>
          <w:marTop w:val="0"/>
          <w:marBottom w:val="0"/>
          <w:divBdr>
            <w:top w:val="none" w:sz="0" w:space="0" w:color="auto"/>
            <w:left w:val="none" w:sz="0" w:space="0" w:color="auto"/>
            <w:bottom w:val="none" w:sz="0" w:space="0" w:color="auto"/>
            <w:right w:val="none" w:sz="0" w:space="0" w:color="auto"/>
          </w:divBdr>
        </w:div>
        <w:div w:id="1276445633">
          <w:marLeft w:val="0"/>
          <w:marRight w:val="0"/>
          <w:marTop w:val="0"/>
          <w:marBottom w:val="0"/>
          <w:divBdr>
            <w:top w:val="none" w:sz="0" w:space="0" w:color="auto"/>
            <w:left w:val="none" w:sz="0" w:space="0" w:color="auto"/>
            <w:bottom w:val="none" w:sz="0" w:space="0" w:color="auto"/>
            <w:right w:val="none" w:sz="0" w:space="0" w:color="auto"/>
          </w:divBdr>
        </w:div>
        <w:div w:id="277030988">
          <w:marLeft w:val="0"/>
          <w:marRight w:val="0"/>
          <w:marTop w:val="0"/>
          <w:marBottom w:val="0"/>
          <w:divBdr>
            <w:top w:val="none" w:sz="0" w:space="0" w:color="auto"/>
            <w:left w:val="none" w:sz="0" w:space="0" w:color="auto"/>
            <w:bottom w:val="none" w:sz="0" w:space="0" w:color="auto"/>
            <w:right w:val="none" w:sz="0" w:space="0" w:color="auto"/>
          </w:divBdr>
        </w:div>
        <w:div w:id="1919486013">
          <w:marLeft w:val="0"/>
          <w:marRight w:val="0"/>
          <w:marTop w:val="0"/>
          <w:marBottom w:val="0"/>
          <w:divBdr>
            <w:top w:val="none" w:sz="0" w:space="0" w:color="auto"/>
            <w:left w:val="none" w:sz="0" w:space="0" w:color="auto"/>
            <w:bottom w:val="none" w:sz="0" w:space="0" w:color="auto"/>
            <w:right w:val="none" w:sz="0" w:space="0" w:color="auto"/>
          </w:divBdr>
        </w:div>
        <w:div w:id="320818265">
          <w:marLeft w:val="0"/>
          <w:marRight w:val="0"/>
          <w:marTop w:val="0"/>
          <w:marBottom w:val="0"/>
          <w:divBdr>
            <w:top w:val="none" w:sz="0" w:space="0" w:color="auto"/>
            <w:left w:val="none" w:sz="0" w:space="0" w:color="auto"/>
            <w:bottom w:val="none" w:sz="0" w:space="0" w:color="auto"/>
            <w:right w:val="none" w:sz="0" w:space="0" w:color="auto"/>
          </w:divBdr>
        </w:div>
      </w:divsChild>
    </w:div>
    <w:div w:id="2044818312">
      <w:bodyDiv w:val="1"/>
      <w:marLeft w:val="0"/>
      <w:marRight w:val="0"/>
      <w:marTop w:val="0"/>
      <w:marBottom w:val="0"/>
      <w:divBdr>
        <w:top w:val="none" w:sz="0" w:space="0" w:color="auto"/>
        <w:left w:val="none" w:sz="0" w:space="0" w:color="auto"/>
        <w:bottom w:val="none" w:sz="0" w:space="0" w:color="auto"/>
        <w:right w:val="none" w:sz="0" w:space="0" w:color="auto"/>
      </w:divBdr>
    </w:div>
    <w:div w:id="2045859592">
      <w:bodyDiv w:val="1"/>
      <w:marLeft w:val="0"/>
      <w:marRight w:val="0"/>
      <w:marTop w:val="0"/>
      <w:marBottom w:val="0"/>
      <w:divBdr>
        <w:top w:val="none" w:sz="0" w:space="0" w:color="auto"/>
        <w:left w:val="none" w:sz="0" w:space="0" w:color="auto"/>
        <w:bottom w:val="none" w:sz="0" w:space="0" w:color="auto"/>
        <w:right w:val="none" w:sz="0" w:space="0" w:color="auto"/>
      </w:divBdr>
    </w:div>
    <w:div w:id="2091853151">
      <w:bodyDiv w:val="1"/>
      <w:marLeft w:val="0"/>
      <w:marRight w:val="0"/>
      <w:marTop w:val="0"/>
      <w:marBottom w:val="0"/>
      <w:divBdr>
        <w:top w:val="none" w:sz="0" w:space="0" w:color="auto"/>
        <w:left w:val="none" w:sz="0" w:space="0" w:color="auto"/>
        <w:bottom w:val="none" w:sz="0" w:space="0" w:color="auto"/>
        <w:right w:val="none" w:sz="0" w:space="0" w:color="auto"/>
      </w:divBdr>
      <w:divsChild>
        <w:div w:id="1986659959">
          <w:marLeft w:val="-720"/>
          <w:marRight w:val="0"/>
          <w:marTop w:val="0"/>
          <w:marBottom w:val="0"/>
          <w:divBdr>
            <w:top w:val="none" w:sz="0" w:space="0" w:color="auto"/>
            <w:left w:val="none" w:sz="0" w:space="0" w:color="auto"/>
            <w:bottom w:val="none" w:sz="0" w:space="0" w:color="auto"/>
            <w:right w:val="none" w:sz="0" w:space="0" w:color="auto"/>
          </w:divBdr>
        </w:div>
      </w:divsChild>
    </w:div>
    <w:div w:id="2104649006">
      <w:bodyDiv w:val="1"/>
      <w:marLeft w:val="0"/>
      <w:marRight w:val="0"/>
      <w:marTop w:val="0"/>
      <w:marBottom w:val="0"/>
      <w:divBdr>
        <w:top w:val="none" w:sz="0" w:space="0" w:color="auto"/>
        <w:left w:val="none" w:sz="0" w:space="0" w:color="auto"/>
        <w:bottom w:val="none" w:sz="0" w:space="0" w:color="auto"/>
        <w:right w:val="none" w:sz="0" w:space="0" w:color="auto"/>
      </w:divBdr>
      <w:divsChild>
        <w:div w:id="1050497106">
          <w:marLeft w:val="-720"/>
          <w:marRight w:val="0"/>
          <w:marTop w:val="0"/>
          <w:marBottom w:val="0"/>
          <w:divBdr>
            <w:top w:val="none" w:sz="0" w:space="0" w:color="auto"/>
            <w:left w:val="none" w:sz="0" w:space="0" w:color="auto"/>
            <w:bottom w:val="none" w:sz="0" w:space="0" w:color="auto"/>
            <w:right w:val="none" w:sz="0" w:space="0" w:color="auto"/>
          </w:divBdr>
        </w:div>
      </w:divsChild>
    </w:div>
    <w:div w:id="2114550632">
      <w:bodyDiv w:val="1"/>
      <w:marLeft w:val="0"/>
      <w:marRight w:val="0"/>
      <w:marTop w:val="0"/>
      <w:marBottom w:val="0"/>
      <w:divBdr>
        <w:top w:val="none" w:sz="0" w:space="0" w:color="auto"/>
        <w:left w:val="none" w:sz="0" w:space="0" w:color="auto"/>
        <w:bottom w:val="none" w:sz="0" w:space="0" w:color="auto"/>
        <w:right w:val="none" w:sz="0" w:space="0" w:color="auto"/>
      </w:divBdr>
    </w:div>
    <w:div w:id="2142765847">
      <w:bodyDiv w:val="1"/>
      <w:marLeft w:val="0"/>
      <w:marRight w:val="0"/>
      <w:marTop w:val="0"/>
      <w:marBottom w:val="0"/>
      <w:divBdr>
        <w:top w:val="none" w:sz="0" w:space="0" w:color="auto"/>
        <w:left w:val="none" w:sz="0" w:space="0" w:color="auto"/>
        <w:bottom w:val="none" w:sz="0" w:space="0" w:color="auto"/>
        <w:right w:val="none" w:sz="0" w:space="0" w:color="auto"/>
      </w:divBdr>
    </w:div>
    <w:div w:id="214364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yperlink" Target="file:///J:\Research%20Work\OUTPUT%20formate\panel%20coefficient%20calculation_old.xlsx"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en.wikipedia.org/wiki/Sustainable_energy" TargetMode="External"/><Relationship Id="rId17" Type="http://schemas.openxmlformats.org/officeDocument/2006/relationships/image" Target="media/image6.png"/><Relationship Id="rId25" Type="http://schemas.openxmlformats.org/officeDocument/2006/relationships/hyperlink" Target="file:///J:\Research%20Work\OUTPUT%20formate\panel%20coefficient%20calculation_old.xlsx"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file:///J:\Research%20Work\OUTPUT%20formate\panel%20coefficient%20calculation_old.xls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Sustainable_Development_Goal_7"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yperlink" Target="https://en.wikipedia.org/wiki/Effects_of_climate_change"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en.wikipedia.org/wiki/Climate_action" TargetMode="External"/><Relationship Id="rId14" Type="http://schemas.openxmlformats.org/officeDocument/2006/relationships/image" Target="media/image3.png"/><Relationship Id="rId22" Type="http://schemas.openxmlformats.org/officeDocument/2006/relationships/hyperlink" Target="file:///J:\Research%20Work\OUTPUT%20formate\panel%20coefficient%20calculation_old.xlsx"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3BAAA-89BE-45B4-9248-D31A5BADA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2804</TotalTime>
  <Pages>75</Pages>
  <Words>52638</Words>
  <Characters>300043</Characters>
  <Application>Microsoft Office Word</Application>
  <DocSecurity>0</DocSecurity>
  <Lines>2500</Lines>
  <Paragraphs>703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FAMAIYA SULTANA</dc:creator>
  <cp:keywords/>
  <dc:description/>
  <cp:lastModifiedBy>Microsoft account</cp:lastModifiedBy>
  <cp:revision>44</cp:revision>
  <cp:lastPrinted>2025-07-29T17:26:00Z</cp:lastPrinted>
  <dcterms:created xsi:type="dcterms:W3CDTF">2025-07-21T07:27:00Z</dcterms:created>
  <dcterms:modified xsi:type="dcterms:W3CDTF">2025-08-12T03:01:00Z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zotero-version="7.0.21"&gt;&lt;session id="X5uBvDXN"/&gt;&lt;style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