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b/>
          <w:color w:val="833C0B" w:themeColor="accent2" w:themeShade="80"/>
          <w:sz w:val="48"/>
          <w:szCs w:val="48"/>
        </w:rPr>
        <w:id w:val="-923955123"/>
        <w:docPartObj>
          <w:docPartGallery w:val="Cover Pages"/>
          <w:docPartUnique/>
        </w:docPartObj>
      </w:sdtPr>
      <w:sdtEndPr/>
      <w:sdtContent>
        <w:p w:rsidR="00DF71C2" w:rsidRDefault="005556DA">
          <w:pPr>
            <w:rPr>
              <w:rFonts w:ascii="Times New Roman" w:hAnsi="Times New Roman" w:cs="Times New Roman"/>
              <w:b/>
              <w:color w:val="833C0B" w:themeColor="accent2" w:themeShade="80"/>
              <w:sz w:val="48"/>
              <w:szCs w:val="48"/>
            </w:rPr>
          </w:pPr>
          <w:r w:rsidRPr="00DF71C2">
            <w:rPr>
              <w:rFonts w:ascii="Times New Roman" w:hAnsi="Times New Roman" w:cs="Times New Roman"/>
              <w:b/>
              <w:noProof/>
              <w:color w:val="833C0B" w:themeColor="accent2" w:themeShade="80"/>
              <w:sz w:val="48"/>
              <w:szCs w:val="48"/>
              <w:lang w:val="en-MY" w:eastAsia="en-MY"/>
            </w:rPr>
            <mc:AlternateContent>
              <mc:Choice Requires="wpg">
                <w:drawing>
                  <wp:anchor distT="0" distB="0" distL="114300" distR="114300" simplePos="0" relativeHeight="251661824" behindDoc="0" locked="0" layoutInCell="0" allowOverlap="1" wp14:anchorId="347243B0" wp14:editId="1E9B98F2">
                    <wp:simplePos x="0" y="0"/>
                    <wp:positionH relativeFrom="page">
                      <wp:align>center</wp:align>
                    </wp:positionH>
                    <wp:positionV relativeFrom="margin">
                      <wp:align>center</wp:align>
                    </wp:positionV>
                    <wp:extent cx="7771765" cy="7686675"/>
                    <wp:effectExtent l="38100" t="0" r="57150" b="47625"/>
                    <wp:wrapNone/>
                    <wp:docPr id="40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7686675"/>
                              <a:chOff x="0" y="2294"/>
                              <a:chExt cx="12240" cy="12105"/>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9" name="Rectangle 15"/>
                            <wps:cNvSpPr>
                              <a:spLocks noChangeArrowheads="1"/>
                            </wps:cNvSpPr>
                            <wps:spPr bwMode="auto">
                              <a:xfrm>
                                <a:off x="1007" y="6795"/>
                                <a:ext cx="9972" cy="104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rFonts w:ascii="Times New Roman" w:hAnsi="Times New Roman" w:cs="Times New Roman"/>
                                      <w:b/>
                                      <w:bCs/>
                                      <w:color w:val="7030A0"/>
                                      <w:sz w:val="32"/>
                                      <w:szCs w:val="32"/>
                                    </w:rPr>
                                    <w:alias w:val="Company"/>
                                    <w:id w:val="1224413103"/>
                                    <w:dataBinding w:prefixMappings="xmlns:ns0='http://schemas.openxmlformats.org/officeDocument/2006/extended-properties'" w:xpath="/ns0:Properties[1]/ns0:Company[1]" w:storeItemID="{6668398D-A668-4E3E-A5EB-62B293D839F1}"/>
                                    <w:text/>
                                  </w:sdtPr>
                                  <w:sdtEndPr/>
                                  <w:sdtContent>
                                    <w:p w:rsidR="00DF71C2" w:rsidRDefault="005556DA">
                                      <w:pPr>
                                        <w:spacing w:after="0"/>
                                        <w:rPr>
                                          <w:b/>
                                          <w:bCs/>
                                          <w:color w:val="000000" w:themeColor="text1"/>
                                          <w:sz w:val="32"/>
                                          <w:szCs w:val="32"/>
                                        </w:rPr>
                                      </w:pPr>
                                      <w:r>
                                        <w:rPr>
                                          <w:rFonts w:ascii="Times New Roman" w:hAnsi="Times New Roman" w:cs="Times New Roman"/>
                                          <w:b/>
                                          <w:bCs/>
                                          <w:color w:val="7030A0"/>
                                          <w:sz w:val="32"/>
                                          <w:szCs w:val="32"/>
                                          <w:lang w:val="en-MY"/>
                                        </w:rPr>
                                        <w:t xml:space="preserve"> Impact of COVID-19 on the Financial Innovation in Bangladesh</w:t>
                                      </w:r>
                                    </w:p>
                                  </w:sdtContent>
                                </w:sdt>
                                <w:p w:rsidR="00DF71C2" w:rsidRDefault="00DF71C2">
                                  <w:pPr>
                                    <w:spacing w:after="0"/>
                                    <w:rPr>
                                      <w:b/>
                                      <w:bCs/>
                                      <w:color w:val="000000" w:themeColor="text1"/>
                                      <w:sz w:val="32"/>
                                      <w:szCs w:val="32"/>
                                    </w:rPr>
                                  </w:pPr>
                                </w:p>
                              </w:txbxContent>
                            </wps:txbx>
                            <wps:bodyPr rot="0" vert="horz" wrap="square" lIns="91440" tIns="45720" rIns="91440" bIns="45720" anchor="t" anchorCtr="0" upright="1">
                              <a:spAutoFit/>
                            </wps:bodyPr>
                          </wps:wsp>
                          <wps:wsp>
                            <wps:cNvPr id="420" name="Rectangle 16"/>
                            <wps:cNvSpPr>
                              <a:spLocks noChangeArrowheads="1"/>
                            </wps:cNvSpPr>
                            <wps:spPr bwMode="auto">
                              <a:xfrm>
                                <a:off x="6494" y="11160"/>
                                <a:ext cx="4998" cy="169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sz w:val="96"/>
                                      <w:szCs w:val="96"/>
                                      <w14:numForm w14:val="oldStyle"/>
                                    </w:rPr>
                                    <w:alias w:val="Year"/>
                                    <w:id w:val="-1707251655"/>
                                    <w:showingPlcHdr/>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EndPr/>
                                  <w:sdtContent>
                                    <w:p w:rsidR="00DF71C2" w:rsidRDefault="00DF71C2">
                                      <w:pPr>
                                        <w:jc w:val="right"/>
                                        <w:rPr>
                                          <w:sz w:val="96"/>
                                          <w:szCs w:val="96"/>
                                          <w14:numForm w14:val="oldStyle"/>
                                        </w:rPr>
                                      </w:pPr>
                                      <w:r>
                                        <w:rPr>
                                          <w:sz w:val="96"/>
                                          <w:szCs w:val="96"/>
                                          <w14:numForm w14:val="oldStyle"/>
                                        </w:rPr>
                                        <w:t xml:space="preserve">     </w:t>
                                      </w:r>
                                    </w:p>
                                  </w:sdtContent>
                                </w:sdt>
                              </w:txbxContent>
                            </wps:txbx>
                            <wps:bodyPr rot="0" vert="horz" wrap="square" lIns="91440" tIns="45720" rIns="91440" bIns="45720" anchor="t" anchorCtr="0" upright="1">
                              <a:spAutoFit/>
                            </wps:bodyPr>
                          </wps:wsp>
                          <wps:wsp>
                            <wps:cNvPr id="421" name="Rectangle 17"/>
                            <wps:cNvSpPr>
                              <a:spLocks noChangeArrowheads="1"/>
                            </wps:cNvSpPr>
                            <wps:spPr bwMode="auto">
                              <a:xfrm>
                                <a:off x="1800" y="2294"/>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color w:val="44546A" w:themeColor="text2"/>
                                      <w:sz w:val="72"/>
                                      <w:szCs w:val="72"/>
                                    </w:rPr>
                                    <w:alias w:val="Title"/>
                                    <w:id w:val="678473940"/>
                                    <w:showingPlcHdr/>
                                    <w:dataBinding w:prefixMappings="xmlns:ns0='http://schemas.openxmlformats.org/package/2006/metadata/core-properties' xmlns:ns1='http://purl.org/dc/elements/1.1/'" w:xpath="/ns0:coreProperties[1]/ns1:title[1]" w:storeItemID="{6C3C8BC8-F283-45AE-878A-BAB7291924A1}"/>
                                    <w:text/>
                                  </w:sdtPr>
                                  <w:sdtEndPr/>
                                  <w:sdtContent>
                                    <w:p w:rsidR="00DF71C2" w:rsidRDefault="00E4392A">
                                      <w:pPr>
                                        <w:spacing w:after="0"/>
                                        <w:rPr>
                                          <w:b/>
                                          <w:bCs/>
                                          <w:color w:val="44546A" w:themeColor="text2"/>
                                          <w:sz w:val="72"/>
                                          <w:szCs w:val="72"/>
                                        </w:rPr>
                                      </w:pPr>
                                      <w:r w:rsidRPr="00C35F36">
                                        <w:rPr>
                                          <w:rFonts w:ascii="Times New Roman" w:hAnsi="Times New Roman" w:cs="Times New Roman"/>
                                          <w:b/>
                                          <w:bCs/>
                                          <w:color w:val="44546A" w:themeColor="text2"/>
                                          <w:sz w:val="72"/>
                                          <w:szCs w:val="72"/>
                                        </w:rPr>
                                        <w:t xml:space="preserve">     </w:t>
                                      </w:r>
                                    </w:p>
                                  </w:sdtContent>
                                </w:sdt>
                                <w:sdt>
                                  <w:sdtPr>
                                    <w:rPr>
                                      <w:b/>
                                      <w:bCs/>
                                      <w:color w:val="5B9BD5" w:themeColor="accent1"/>
                                      <w:sz w:val="40"/>
                                      <w:szCs w:val="40"/>
                                    </w:rPr>
                                    <w:alias w:val="Subtitle"/>
                                    <w:id w:val="835959094"/>
                                    <w:showingPlcHdr/>
                                    <w:dataBinding w:prefixMappings="xmlns:ns0='http://schemas.openxmlformats.org/package/2006/metadata/core-properties' xmlns:ns1='http://purl.org/dc/elements/1.1/'" w:xpath="/ns0:coreProperties[1]/ns1:subject[1]" w:storeItemID="{6C3C8BC8-F283-45AE-878A-BAB7291924A1}"/>
                                    <w:text/>
                                  </w:sdtPr>
                                  <w:sdtEndPr/>
                                  <w:sdtContent>
                                    <w:p w:rsidR="00DF71C2" w:rsidRDefault="00DF71C2">
                                      <w:pPr>
                                        <w:rPr>
                                          <w:b/>
                                          <w:bCs/>
                                          <w:color w:val="5B9BD5" w:themeColor="accent1"/>
                                          <w:sz w:val="40"/>
                                          <w:szCs w:val="40"/>
                                        </w:rPr>
                                      </w:pPr>
                                      <w:r>
                                        <w:rPr>
                                          <w:b/>
                                          <w:bCs/>
                                          <w:color w:val="5B9BD5" w:themeColor="accent1"/>
                                          <w:sz w:val="40"/>
                                          <w:szCs w:val="40"/>
                                        </w:rPr>
                                        <w:t xml:space="preserve">     </w:t>
                                      </w:r>
                                    </w:p>
                                  </w:sdtContent>
                                </w:sdt>
                                <w:p w:rsidR="00DF71C2" w:rsidRDefault="00DF71C2">
                                  <w:pPr>
                                    <w:rPr>
                                      <w:b/>
                                      <w:bCs/>
                                      <w:color w:val="000000" w:themeColor="text1"/>
                                      <w:sz w:val="32"/>
                                      <w:szCs w:val="32"/>
                                    </w:rPr>
                                  </w:pPr>
                                </w:p>
                                <w:p w:rsidR="00DF71C2" w:rsidRDefault="00DF71C2">
                                  <w:pPr>
                                    <w:rPr>
                                      <w:b/>
                                      <w:bCs/>
                                      <w:color w:val="000000" w:themeColor="text1"/>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0</wp14:pctHeight>
                    </wp14:sizeRelV>
                  </wp:anchor>
                </w:drawing>
              </mc:Choice>
              <mc:Fallback>
                <w:pict>
                  <v:group id="Group 3" o:spid="_x0000_s1026" style="position:absolute;margin-left:0;margin-top:0;width:611.95pt;height:605.25pt;z-index:251661824;mso-width-percent:1000;mso-position-horizontal:center;mso-position-horizontal-relative:page;mso-position-vertical:center;mso-position-vertical-relative:margin;mso-width-percent:1000;mso-height-relative:margin" coordorigin=",2294" coordsize="12240,1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" o:allowincell="f">
                    <v:group id="Group 4" o:spid="_x0000_s1027" style="position:absolute;top:9661;width:12240;height:4738"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group id="Group 5"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shape id="Freeform 6"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7CRMAA&#10;AADcAAAADwAAAGRycy9kb3ducmV2LnhtbERPzWoCMRC+C75DGKE3za60IlujiCBY7KFqH2DYjLuL&#10;yWRJRt2+fXMo9Pjx/a82g3fqQTF1gQ2UswIUcR1sx42B78t+ugSVBNmiC0wGfijBZj0erbCy4ckn&#10;epylUTmEU4UGWpG+0jrVLXlMs9ATZ+4aokfJMDbaRnzmcO/0vCgW2mPHuaHFnnYt1bfz3RsQd+RT&#10;vfx4O96L0n1+RdstdmLMy2TYvoMSGuRf/Oc+WAOvZZ6fz+Qj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7CRMAAAADcAAAADwAAAAAAAAAAAAAAAACYAgAAZHJzL2Rvd25y&#10;ZXYueG1sUEsFBgAAAAAEAAQA9QAAAIUD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2xsYA&#10;AADcAAAADwAAAGRycy9kb3ducmV2LnhtbESPQWsCMRSE74X+h/AKvZSa3VZqWY0i0tJ6stqC18fm&#10;uVndvGyTVFd/fSMIHoeZ+YYZTTrbiD35UDtWkPcyEMSl0zVXCn6+3x9fQYSIrLFxTAqOFGAyvr0Z&#10;YaHdgZe0X8VKJAiHAhWYGNtCylAashh6riVO3sZ5izFJX0nt8ZDgtpFPWfYiLdacFgy2NDNU7lZ/&#10;VsHXaemnz+2vP6HpV4vtfP0wePtQ6v6umw5BROriNXxpf2oF/TyH85l0BOT4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g2xsYAAADcAAAADwAAAAAAAAAAAAAAAACYAgAAZHJz&#10;L2Rvd25yZXYueG1sUEsFBgAAAAAEAAQA9QAAAIsD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WTcMMA&#10;AADcAAAADwAAAGRycy9kb3ducmV2LnhtbESPQYvCMBSE78L+h/AW9qapQVS6RnFXZEW8qOv90Tzb&#10;avNSmqj13xtB8DjMzDfMZNbaSlyp8aVjDf1eAoI4c6bkXMP/ftkdg/AB2WDlmDTcycNs+tGZYGrc&#10;jbd03YVcRAj7FDUUIdSplD4ryKLvuZo4ekfXWAxRNrk0Dd4i3FZSJclQWiw5LhRY029B2Xl3sRpG&#10;+8VgMTdr9fPH4aSygzodNkrrr892/g0iUBve4Vd7ZTQM+gqeZ+IR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WTcMMAAADcAAAADwAAAAAAAAAAAAAAAACYAgAAZHJzL2Rv&#10;d25yZXYueG1sUEsFBgAAAAAEAAQA9QAAAIgDAAAAAA==&#10;" path="m,l,3550,1591,2746r,-2009l,xe" fillcolor="#a7bfde" stroked="f">
                          <v:fill opacity="32896f"/>
                          <v:path arrowok="t" o:connecttype="custom" o:connectlocs="0,0;0,3550;1591,2746;1591,737;0,0" o:connectangles="0,0,0,0,0"/>
                        </v:shape>
                      </v:group>
                      <v:shape id="Freeform 9"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I4MUA&#10;AADcAAAADwAAAGRycy9kb3ducmV2LnhtbESPQWvCQBSE70L/w/IKvemutaik2UgJaHvoxUTvj+xr&#10;Epp9G7LbGP313ULB4zAz3zDpbrKdGGnwrWMNy4UCQVw503Kt4VTu51sQPiAb7ByThit52GUPsxQT&#10;4y58pLEItYgQ9glqaELoEyl91ZBFv3A9cfS+3GAxRDnU0gx4iXDbyWel1tJiy3GhwZ7yhqrv4sdq&#10;OI756nwoFV1Ls+neN5+Fut1yrZ8ep7dXEIGmcA//tz+MhpflCv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jgxQAAANwAAAAPAAAAAAAAAAAAAAAAAJgCAABkcnMv&#10;ZG93bnJldi54bWxQSwUGAAAAAAQABAD1AAAAigM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Qw+sYA&#10;AADcAAAADwAAAGRycy9kb3ducmV2LnhtbESPQWsCMRSE7wX/Q3hCbzWraCmrUURs6aVQtyJ6e7t5&#10;zS7dvCxJqmt/fVMQehxm5htmseptK87kQ+NYwXiUgSCunG7YKNh/PD88gQgRWWPrmBRcKcBqObhb&#10;YK7dhXd0LqIRCcIhRwV1jF0uZahqshhGriNO3qfzFmOS3kjt8ZLgtpWTLHuUFhtOCzV2tKmp+iq+&#10;rYKDfJ8Vx515c+WpzEq/PbTm50Wp+2G/noOI1Mf/8K39qhVMx1P4O5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Qw+sYAAADcAAAADwAAAAAAAAAAAAAAAACYAgAAZHJz&#10;L2Rvd25yZXYueG1sUEsFBgAAAAAEAAQA9QAAAIsD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sFfsYA&#10;AADcAAAADwAAAGRycy9kb3ducmV2LnhtbESPQWvCQBSE7wX/w/KEXopuLK2E1FXEYOlBqMZCr6/Z&#10;ZxLMvg27WxP/vVsoeBxm5htmsRpMKy7kfGNZwWyagCAurW64UvB13E5SED4ga2wtk4IreVgtRw8L&#10;zLTt+UCXIlQiQthnqKAOocuk9GVNBv3UdsTRO1lnMETpKqkd9hFuWvmcJHNpsOG4UGNHm5rKc/Fr&#10;FBT5d/F09fvPPE/33fuP221Mnyr1OB7WbyACDeEe/m9/aAUvs1f4O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sFfsYAAADcAAAADwAAAAAAAAAAAAAAAACYAgAAZHJz&#10;L2Rvd25yZXYueG1sUEsFBgAAAAAEAAQA9QAAAIsD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8JbsMA&#10;AADcAAAADwAAAGRycy9kb3ducmV2LnhtbESPQWvCQBSE7wX/w/IEb3WTKFJSV9FCaT0aW8+P7DMb&#10;zL6N2a1J/70rCB6HmfmGWa4H24grdb52rCCdJiCIS6drrhT8HD5f30D4gKyxcUwK/snDejV6WWKu&#10;Xc97uhahEhHCPkcFJoQ2l9KXhiz6qWuJo3dyncUQZVdJ3WEf4baRWZIspMWa44LBlj4Mlefizyr4&#10;7fdSh+ayO34VaTarj9usvBilJuNh8w4i0BCe4Uf7WyuYpwu4n4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8JbsMAAADcAAAADwAAAAAAAAAAAAAAAACYAgAAZHJzL2Rv&#10;d25yZXYueG1sUEsFBgAAAAAEAAQA9QAAAIgD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ACcUA&#10;AADcAAAADwAAAGRycy9kb3ducmV2LnhtbESPW4vCMBSE3xf8D+EIvq2pF1apRnFFYd8WLyC+HZpj&#10;W2xOapKt7b/fLCz4OMzMN8xy3ZpKNOR8aVnBaJiAIM6sLjlXcD7t3+cgfEDWWFkmBR15WK96b0tM&#10;tX3ygZpjyEWEsE9RQRFCnUrps4IM+qGtiaN3s85giNLlUjt8Rrip5DhJPqTBkuNCgTVtC8ruxx+j&#10;YOK+x7vD5eHR3ubb82fTTa91p9Sg324WIAK14RX+b39pBdPRD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4AJxQAAANwAAAAPAAAAAAAAAAAAAAAAAJgCAABkcnMv&#10;ZG93bnJldi54bWxQSwUGAAAAAAQABAD1AAAAigM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HgAcMA&#10;AADcAAAADwAAAGRycy9kb3ducmV2LnhtbERPz0/CMBS+k/g/NM+Em3SAIJkUYhY0JHgQhHB9rM92&#10;cX1d1jrmf28PJhy/fL+X697VoqM2VJ4VjEcZCOLS64qNguPn68MCRIjIGmvPpOCXAqxXd4Ml5tpf&#10;eU/dIRqRQjjkqMDG2ORShtKSwzDyDXHivnzrMCbYGqlbvKZwV8tJls2lw4pTg8WGCkvl9+HHKXj7&#10;mBVT0523zc5X9vT+dDSXYqPU8L5/eQYRqY838b97qxU8jtPadC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HgAcMAAADcAAAADwAAAAAAAAAAAAAAAACYAgAAZHJzL2Rv&#10;d25yZXYueG1sUEsFBgAAAAAEAAQA9QAAAIgDAAAAAA==&#10;" path="m,1038l,2411,4102,3432,4102,,,1038xe" fillcolor="#d3dfee" stroked="f">
                        <v:fill opacity="46003f"/>
                        <v:path arrowok="t" o:connecttype="custom" o:connectlocs="0,1038;0,2411;4102,3432;4102,0;0,1038" o:connectangles="0,0,0,0,0"/>
                      </v:shape>
                    </v:group>
                    <v:rect id="Rectangle 15" o:spid="_x0000_s1038" style="position:absolute;left:1007;top:6795;width:9972;height:1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UpPsYA&#10;AADcAAAADwAAAGRycy9kb3ducmV2LnhtbESP0WrCQBRE3wv9h+UWfCl1o4it0Y2UtEL0zdQPuGZv&#10;kzTZuyG7jfHvuwXBx2FmzjCb7WhaMVDvassKZtMIBHFhdc2lgtPX7uUNhPPIGlvLpOBKDrbJ48MG&#10;Y20vfKQh96UIEHYxKqi872IpXVGRQTe1HXHwvm1v0AfZl1L3eAlw08p5FC2lwZrDQoUdpRUVTf5r&#10;FOwPi8MpzeRPs6o/nrPXPJLn5adSk6fxfQ3C0+jv4Vs70woWsxX8nwlHQ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UpPsYAAADcAAAADwAAAAAAAAAAAAAAAACYAgAAZHJz&#10;L2Rvd25yZXYueG1sUEsFBgAAAAAEAAQA9QAAAIsDAAAAAA==&#10;" filled="f" stroked="f">
                      <v:textbox style="mso-fit-shape-to-text:t">
                        <w:txbxContent>
                          <w:sdt>
                            <w:sdtPr>
                              <w:rPr>
                                <w:rFonts w:ascii="Times New Roman" w:hAnsi="Times New Roman" w:cs="Times New Roman"/>
                                <w:b/>
                                <w:bCs/>
                                <w:color w:val="7030A0"/>
                                <w:sz w:val="32"/>
                                <w:szCs w:val="32"/>
                              </w:rPr>
                              <w:alias w:val="Company"/>
                              <w:id w:val="1224413103"/>
                              <w:dataBinding w:prefixMappings="xmlns:ns0='http://schemas.openxmlformats.org/officeDocument/2006/extended-properties'" w:xpath="/ns0:Properties[1]/ns0:Company[1]" w:storeItemID="{6668398D-A668-4E3E-A5EB-62B293D839F1}"/>
                              <w:text/>
                            </w:sdtPr>
                            <w:sdtEndPr/>
                            <w:sdtContent>
                              <w:p w:rsidR="00DF71C2" w:rsidRDefault="005556DA">
                                <w:pPr>
                                  <w:spacing w:after="0"/>
                                  <w:rPr>
                                    <w:b/>
                                    <w:bCs/>
                                    <w:color w:val="000000" w:themeColor="text1"/>
                                    <w:sz w:val="32"/>
                                    <w:szCs w:val="32"/>
                                  </w:rPr>
                                </w:pPr>
                                <w:r>
                                  <w:rPr>
                                    <w:rFonts w:ascii="Times New Roman" w:hAnsi="Times New Roman" w:cs="Times New Roman"/>
                                    <w:b/>
                                    <w:bCs/>
                                    <w:color w:val="7030A0"/>
                                    <w:sz w:val="32"/>
                                    <w:szCs w:val="32"/>
                                    <w:lang w:val="en-MY"/>
                                  </w:rPr>
                                  <w:t xml:space="preserve"> Impact of COVID-19 on the Financial Innovation in Bangladesh</w:t>
                                </w:r>
                              </w:p>
                            </w:sdtContent>
                          </w:sdt>
                          <w:p w:rsidR="00DF71C2" w:rsidRDefault="00DF71C2">
                            <w:pPr>
                              <w:spacing w:after="0"/>
                              <w:rPr>
                                <w:b/>
                                <w:bCs/>
                                <w:color w:val="000000" w:themeColor="text1"/>
                                <w:sz w:val="32"/>
                                <w:szCs w:val="32"/>
                              </w:rPr>
                            </w:pPr>
                          </w:p>
                        </w:txbxContent>
                      </v:textbox>
                    </v:rect>
                    <v:rect id="Rectangle 16" o:spid="_x0000_s1039" style="position:absolute;left:6494;top:11160;width:4998;height:1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NKHsMA&#10;AADcAAAADwAAAGRycy9kb3ducmV2LnhtbERPzWrCQBC+F3yHZYReitk0iNU0q4htIXpr6gOM2WkS&#10;zc6G7DbGt3cPQo8f33+2GU0rBupdY1nBaxSDIC6tbrhScPz5mi1BOI+ssbVMCm7kYLOePGWYanvl&#10;bxoKX4kQwi5FBbX3XSqlK2sy6CLbEQfu1/YGfYB9JXWP1xBuWpnE8UIabDg01NjRrqbyUvwZBfvD&#10;/HDc5fJ8WTUfL/lbEcvT4lOp5+m4fQfhafT/4oc71wrmSZgfzo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NKHsMAAADcAAAADwAAAAAAAAAAAAAAAACYAgAAZHJzL2Rv&#10;d25yZXYueG1sUEsFBgAAAAAEAAQA9QAAAIgDAAAAAA==&#10;" filled="f" stroked="f">
                      <v:textbox style="mso-fit-shape-to-text:t">
                        <w:txbxContent>
                          <w:sdt>
                            <w:sdtPr>
                              <w:rPr>
                                <w:sz w:val="96"/>
                                <w:szCs w:val="96"/>
                                <w14:numForm w14:val="oldStyle"/>
                              </w:rPr>
                              <w:alias w:val="Year"/>
                              <w:id w:val="-1707251655"/>
                              <w:showingPlcHdr/>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EndPr/>
                            <w:sdtContent>
                              <w:p w:rsidR="00DF71C2" w:rsidRDefault="00DF71C2">
                                <w:pPr>
                                  <w:jc w:val="right"/>
                                  <w:rPr>
                                    <w:sz w:val="96"/>
                                    <w:szCs w:val="96"/>
                                    <w14:numForm w14:val="oldStyle"/>
                                  </w:rPr>
                                </w:pPr>
                                <w:r>
                                  <w:rPr>
                                    <w:sz w:val="96"/>
                                    <w:szCs w:val="96"/>
                                    <w14:numForm w14:val="oldStyle"/>
                                  </w:rPr>
                                  <w:t xml:space="preserve">     </w:t>
                                </w:r>
                              </w:p>
                            </w:sdtContent>
                          </w:sdt>
                        </w:txbxContent>
                      </v:textbox>
                    </v:rect>
                    <v:rect id="Rectangle 17" o:spid="_x0000_s1040" style="position:absolute;left:1800;top:2294;width:8638;height:726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xMUA&#10;AADcAAAADwAAAGRycy9kb3ducmV2LnhtbESP0WrCQBRE3wv+w3ILvtWNqUhJXaUooQqtoPUDrtlr&#10;EszeDbtrEv/eLRT6OMzMGWaxGkwjOnK+tqxgOklAEBdW11wqOP3kL28gfEDW2FgmBXfysFqOnhaY&#10;advzgbpjKEWEsM9QQRVCm0npi4oM+oltiaN3sc5giNKVUjvsI9w0Mk2SuTRYc1yosKV1RcX1eDMK&#10;Xr/2e/e9uebzZHPasXXD+vN8UGr8PHy8gwg0hP/wX3urFczSKfye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yvExQAAANwAAAAPAAAAAAAAAAAAAAAAAJgCAABkcnMv&#10;ZG93bnJldi54bWxQSwUGAAAAAAQABAD1AAAAigMAAAAA&#10;" filled="f" stroked="f">
                      <v:textbox>
                        <w:txbxContent>
                          <w:sdt>
                            <w:sdtPr>
                              <w:rPr>
                                <w:b/>
                                <w:bCs/>
                                <w:color w:val="44546A" w:themeColor="text2"/>
                                <w:sz w:val="72"/>
                                <w:szCs w:val="72"/>
                              </w:rPr>
                              <w:alias w:val="Title"/>
                              <w:id w:val="678473940"/>
                              <w:showingPlcHdr/>
                              <w:dataBinding w:prefixMappings="xmlns:ns0='http://schemas.openxmlformats.org/package/2006/metadata/core-properties' xmlns:ns1='http://purl.org/dc/elements/1.1/'" w:xpath="/ns0:coreProperties[1]/ns1:title[1]" w:storeItemID="{6C3C8BC8-F283-45AE-878A-BAB7291924A1}"/>
                              <w:text/>
                            </w:sdtPr>
                            <w:sdtEndPr/>
                            <w:sdtContent>
                              <w:p w:rsidR="00DF71C2" w:rsidRDefault="00E4392A">
                                <w:pPr>
                                  <w:spacing w:after="0"/>
                                  <w:rPr>
                                    <w:b/>
                                    <w:bCs/>
                                    <w:color w:val="44546A" w:themeColor="text2"/>
                                    <w:sz w:val="72"/>
                                    <w:szCs w:val="72"/>
                                  </w:rPr>
                                </w:pPr>
                                <w:r w:rsidRPr="00C35F36">
                                  <w:rPr>
                                    <w:rFonts w:ascii="Times New Roman" w:hAnsi="Times New Roman" w:cs="Times New Roman"/>
                                    <w:b/>
                                    <w:bCs/>
                                    <w:color w:val="44546A" w:themeColor="text2"/>
                                    <w:sz w:val="72"/>
                                    <w:szCs w:val="72"/>
                                  </w:rPr>
                                  <w:t xml:space="preserve">     </w:t>
                                </w:r>
                              </w:p>
                            </w:sdtContent>
                          </w:sdt>
                          <w:sdt>
                            <w:sdtPr>
                              <w:rPr>
                                <w:b/>
                                <w:bCs/>
                                <w:color w:val="5B9BD5" w:themeColor="accent1"/>
                                <w:sz w:val="40"/>
                                <w:szCs w:val="40"/>
                              </w:rPr>
                              <w:alias w:val="Subtitle"/>
                              <w:id w:val="835959094"/>
                              <w:showingPlcHdr/>
                              <w:dataBinding w:prefixMappings="xmlns:ns0='http://schemas.openxmlformats.org/package/2006/metadata/core-properties' xmlns:ns1='http://purl.org/dc/elements/1.1/'" w:xpath="/ns0:coreProperties[1]/ns1:subject[1]" w:storeItemID="{6C3C8BC8-F283-45AE-878A-BAB7291924A1}"/>
                              <w:text/>
                            </w:sdtPr>
                            <w:sdtEndPr/>
                            <w:sdtContent>
                              <w:p w:rsidR="00DF71C2" w:rsidRDefault="00DF71C2">
                                <w:pPr>
                                  <w:rPr>
                                    <w:b/>
                                    <w:bCs/>
                                    <w:color w:val="5B9BD5" w:themeColor="accent1"/>
                                    <w:sz w:val="40"/>
                                    <w:szCs w:val="40"/>
                                  </w:rPr>
                                </w:pPr>
                                <w:r>
                                  <w:rPr>
                                    <w:b/>
                                    <w:bCs/>
                                    <w:color w:val="5B9BD5" w:themeColor="accent1"/>
                                    <w:sz w:val="40"/>
                                    <w:szCs w:val="40"/>
                                  </w:rPr>
                                  <w:t xml:space="preserve">     </w:t>
                                </w:r>
                              </w:p>
                            </w:sdtContent>
                          </w:sdt>
                          <w:p w:rsidR="00DF71C2" w:rsidRDefault="00DF71C2">
                            <w:pPr>
                              <w:rPr>
                                <w:b/>
                                <w:bCs/>
                                <w:color w:val="000000" w:themeColor="text1"/>
                                <w:sz w:val="32"/>
                                <w:szCs w:val="32"/>
                              </w:rPr>
                            </w:pPr>
                          </w:p>
                          <w:p w:rsidR="00DF71C2" w:rsidRDefault="00DF71C2">
                            <w:pPr>
                              <w:rPr>
                                <w:b/>
                                <w:bCs/>
                                <w:color w:val="000000" w:themeColor="text1"/>
                                <w:sz w:val="32"/>
                                <w:szCs w:val="32"/>
                              </w:rPr>
                            </w:pPr>
                          </w:p>
                        </w:txbxContent>
                      </v:textbox>
                    </v:rect>
                    <w10:wrap anchorx="page" anchory="margin"/>
                  </v:group>
                </w:pict>
              </mc:Fallback>
            </mc:AlternateContent>
          </w:r>
          <w:r w:rsidR="00FC52AB">
            <w:rPr>
              <w:rFonts w:ascii="Times New Roman" w:hAnsi="Times New Roman" w:cs="Times New Roman"/>
              <w:b/>
              <w:noProof/>
              <w:color w:val="833C0B" w:themeColor="accent2" w:themeShade="80"/>
              <w:sz w:val="48"/>
              <w:szCs w:val="48"/>
              <w:lang w:val="en-MY" w:eastAsia="en-MY"/>
            </w:rPr>
            <w:drawing>
              <wp:inline distT="0" distB="0" distL="0" distR="0" wp14:anchorId="04DD0A3F" wp14:editId="2EDECD2F">
                <wp:extent cx="6057900" cy="30289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3-22 at 4.04.29 PM.jpeg"/>
                        <pic:cNvPicPr/>
                      </pic:nvPicPr>
                      <pic:blipFill>
                        <a:blip r:embed="rId9">
                          <a:extLst>
                            <a:ext uri="{28A0092B-C50C-407E-A947-70E740481C1C}">
                              <a14:useLocalDpi xmlns:a14="http://schemas.microsoft.com/office/drawing/2010/main" val="0"/>
                            </a:ext>
                          </a:extLst>
                        </a:blip>
                        <a:stretch>
                          <a:fillRect/>
                        </a:stretch>
                      </pic:blipFill>
                      <pic:spPr>
                        <a:xfrm>
                          <a:off x="0" y="0"/>
                          <a:ext cx="6057900" cy="3028950"/>
                        </a:xfrm>
                        <a:prstGeom prst="rect">
                          <a:avLst/>
                        </a:prstGeom>
                      </pic:spPr>
                    </pic:pic>
                  </a:graphicData>
                </a:graphic>
              </wp:inline>
            </w:drawing>
          </w:r>
          <w:r w:rsidR="00DF71C2">
            <w:rPr>
              <w:rFonts w:ascii="Times New Roman" w:hAnsi="Times New Roman" w:cs="Times New Roman"/>
              <w:b/>
              <w:color w:val="833C0B" w:themeColor="accent2" w:themeShade="80"/>
              <w:sz w:val="48"/>
              <w:szCs w:val="48"/>
            </w:rPr>
            <w:br w:type="page"/>
          </w:r>
        </w:p>
      </w:sdtContent>
    </w:sdt>
    <w:p w:rsidR="00C9766C" w:rsidRPr="0054746D" w:rsidRDefault="00C9766C" w:rsidP="00C9766C">
      <w:pPr>
        <w:jc w:val="center"/>
        <w:rPr>
          <w:rFonts w:ascii="Times New Roman" w:hAnsi="Times New Roman" w:cs="Times New Roman"/>
          <w:b/>
          <w:color w:val="833C0B" w:themeColor="accent2" w:themeShade="80"/>
          <w:sz w:val="48"/>
          <w:szCs w:val="48"/>
        </w:rPr>
      </w:pPr>
      <w:r w:rsidRPr="0054746D">
        <w:rPr>
          <w:rFonts w:ascii="Times New Roman" w:hAnsi="Times New Roman" w:cs="Times New Roman"/>
          <w:b/>
          <w:color w:val="833C0B" w:themeColor="accent2" w:themeShade="80"/>
          <w:sz w:val="48"/>
          <w:szCs w:val="48"/>
        </w:rPr>
        <w:lastRenderedPageBreak/>
        <w:t>United International University</w:t>
      </w:r>
    </w:p>
    <w:p w:rsidR="00C9766C" w:rsidRPr="0054746D" w:rsidRDefault="00C9766C" w:rsidP="00C9766C">
      <w:pPr>
        <w:spacing w:after="0" w:line="276" w:lineRule="auto"/>
        <w:jc w:val="center"/>
        <w:rPr>
          <w:rFonts w:ascii="Times New Roman" w:hAnsi="Times New Roman" w:cs="Times New Roman"/>
          <w:b/>
          <w:color w:val="833C0B" w:themeColor="accent2" w:themeShade="80"/>
          <w:sz w:val="36"/>
          <w:szCs w:val="36"/>
        </w:rPr>
      </w:pPr>
      <w:bookmarkStart w:id="0" w:name="_Hlk60185664"/>
      <w:r w:rsidRPr="0054746D">
        <w:rPr>
          <w:rFonts w:ascii="Times New Roman" w:hAnsi="Times New Roman" w:cs="Times New Roman"/>
          <w:b/>
          <w:color w:val="833C0B" w:themeColor="accent2" w:themeShade="80"/>
          <w:sz w:val="36"/>
          <w:szCs w:val="36"/>
        </w:rPr>
        <w:t>School of Business and Economics</w:t>
      </w:r>
    </w:p>
    <w:p w:rsidR="00C9766C" w:rsidRDefault="00C9766C" w:rsidP="00C9766C">
      <w:pPr>
        <w:spacing w:after="0" w:line="276" w:lineRule="auto"/>
        <w:jc w:val="center"/>
        <w:rPr>
          <w:rFonts w:ascii="Times New Roman" w:hAnsi="Times New Roman" w:cs="Times New Roman"/>
          <w:b/>
          <w:sz w:val="36"/>
          <w:szCs w:val="36"/>
        </w:rPr>
      </w:pPr>
    </w:p>
    <w:p w:rsidR="00C9766C" w:rsidRDefault="00C9766C" w:rsidP="00C9766C">
      <w:pPr>
        <w:spacing w:after="0" w:line="276" w:lineRule="auto"/>
        <w:jc w:val="center"/>
        <w:rPr>
          <w:rFonts w:ascii="Times New Roman" w:hAnsi="Times New Roman" w:cs="Times New Roman"/>
          <w:b/>
          <w:sz w:val="36"/>
          <w:szCs w:val="36"/>
        </w:rPr>
      </w:pPr>
      <w:r w:rsidRPr="007D7F52">
        <w:rPr>
          <w:rFonts w:ascii="Times New Roman" w:hAnsi="Times New Roman"/>
          <w:b/>
          <w:smallCaps/>
          <w:noProof/>
          <w:sz w:val="32"/>
          <w:szCs w:val="32"/>
          <w:lang w:val="en-MY" w:eastAsia="en-MY"/>
        </w:rPr>
        <w:drawing>
          <wp:anchor distT="0" distB="0" distL="114300" distR="114300" simplePos="0" relativeHeight="251657216" behindDoc="1" locked="0" layoutInCell="1" allowOverlap="1" wp14:anchorId="56B9D18B" wp14:editId="31A8A35B">
            <wp:simplePos x="0" y="0"/>
            <wp:positionH relativeFrom="column">
              <wp:posOffset>2310765</wp:posOffset>
            </wp:positionH>
            <wp:positionV relativeFrom="paragraph">
              <wp:posOffset>44450</wp:posOffset>
            </wp:positionV>
            <wp:extent cx="1233805" cy="1108710"/>
            <wp:effectExtent l="0" t="0" r="4445" b="0"/>
            <wp:wrapSquare wrapText="bothSides"/>
            <wp:docPr id="1" name="Picture 22" descr="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IU logo"/>
                    <pic:cNvPicPr>
                      <a:picLocks noChangeAspect="1" noChangeArrowheads="1"/>
                    </pic:cNvPicPr>
                  </pic:nvPicPr>
                  <pic:blipFill>
                    <a:blip r:embed="rId10" cstate="print"/>
                    <a:srcRect/>
                    <a:stretch>
                      <a:fillRect/>
                    </a:stretch>
                  </pic:blipFill>
                  <pic:spPr bwMode="auto">
                    <a:xfrm>
                      <a:off x="0" y="0"/>
                      <a:ext cx="1233805" cy="1108710"/>
                    </a:xfrm>
                    <a:prstGeom prst="rect">
                      <a:avLst/>
                    </a:prstGeom>
                    <a:noFill/>
                  </pic:spPr>
                </pic:pic>
              </a:graphicData>
            </a:graphic>
          </wp:anchor>
        </w:drawing>
      </w:r>
    </w:p>
    <w:p w:rsidR="00C9766C" w:rsidRPr="007D7F52" w:rsidRDefault="00C9766C" w:rsidP="00C9766C">
      <w:pPr>
        <w:spacing w:after="0" w:line="276" w:lineRule="auto"/>
        <w:jc w:val="center"/>
        <w:rPr>
          <w:rFonts w:ascii="Times New Roman" w:hAnsi="Times New Roman" w:cs="Times New Roman"/>
          <w:b/>
          <w:sz w:val="36"/>
          <w:szCs w:val="36"/>
        </w:rPr>
      </w:pPr>
    </w:p>
    <w:bookmarkEnd w:id="0"/>
    <w:p w:rsidR="00C9766C" w:rsidRDefault="00C9766C"/>
    <w:p w:rsidR="00C9766C" w:rsidRDefault="00C9766C"/>
    <w:p w:rsidR="00C9766C" w:rsidRDefault="00C9766C"/>
    <w:p w:rsidR="00C9766C" w:rsidRDefault="00C9766C"/>
    <w:p w:rsidR="00C9766C" w:rsidRPr="00FC7000" w:rsidRDefault="005556DA" w:rsidP="00C9766C">
      <w:pPr>
        <w:spacing w:after="0" w:line="276" w:lineRule="auto"/>
        <w:jc w:val="center"/>
        <w:rPr>
          <w:rFonts w:ascii="Times New Roman" w:hAnsi="Times New Roman" w:cs="Times New Roman"/>
          <w:b/>
          <w:color w:val="833C0B" w:themeColor="accent2" w:themeShade="80"/>
          <w:sz w:val="40"/>
          <w:szCs w:val="40"/>
        </w:rPr>
      </w:pPr>
      <w:r w:rsidRPr="00FC7000">
        <w:rPr>
          <w:rFonts w:ascii="Times New Roman" w:hAnsi="Times New Roman" w:cs="Times New Roman"/>
          <w:b/>
          <w:color w:val="833C0B" w:themeColor="accent2" w:themeShade="80"/>
          <w:sz w:val="40"/>
          <w:szCs w:val="40"/>
        </w:rPr>
        <w:t>‘</w:t>
      </w:r>
      <w:r>
        <w:rPr>
          <w:rFonts w:ascii="Times New Roman" w:hAnsi="Times New Roman" w:cs="Times New Roman"/>
          <w:b/>
          <w:color w:val="833C0B" w:themeColor="accent2" w:themeShade="80"/>
          <w:sz w:val="40"/>
          <w:szCs w:val="40"/>
        </w:rPr>
        <w:t>IMPACT OF COVID-19 ON</w:t>
      </w:r>
      <w:r w:rsidRPr="00FC7000">
        <w:rPr>
          <w:rFonts w:ascii="Times New Roman" w:hAnsi="Times New Roman" w:cs="Times New Roman"/>
          <w:b/>
          <w:color w:val="833C0B" w:themeColor="accent2" w:themeShade="80"/>
          <w:sz w:val="40"/>
          <w:szCs w:val="40"/>
        </w:rPr>
        <w:t xml:space="preserve"> </w:t>
      </w:r>
      <w:r>
        <w:rPr>
          <w:rFonts w:ascii="Times New Roman" w:hAnsi="Times New Roman" w:cs="Times New Roman"/>
          <w:b/>
          <w:color w:val="833C0B" w:themeColor="accent2" w:themeShade="80"/>
          <w:sz w:val="40"/>
          <w:szCs w:val="40"/>
        </w:rPr>
        <w:t xml:space="preserve">THE </w:t>
      </w:r>
      <w:r w:rsidRPr="00FC7000">
        <w:rPr>
          <w:rFonts w:ascii="Times New Roman" w:hAnsi="Times New Roman" w:cs="Times New Roman"/>
          <w:b/>
          <w:color w:val="833C0B" w:themeColor="accent2" w:themeShade="80"/>
          <w:sz w:val="40"/>
          <w:szCs w:val="40"/>
        </w:rPr>
        <w:t xml:space="preserve">FINANCIAL </w:t>
      </w:r>
      <w:r>
        <w:rPr>
          <w:rFonts w:ascii="Times New Roman" w:hAnsi="Times New Roman" w:cs="Times New Roman"/>
          <w:b/>
          <w:color w:val="833C0B" w:themeColor="accent2" w:themeShade="80"/>
          <w:sz w:val="40"/>
          <w:szCs w:val="40"/>
        </w:rPr>
        <w:t>INNOVATION</w:t>
      </w:r>
      <w:r w:rsidRPr="00FC7000">
        <w:rPr>
          <w:rFonts w:ascii="Times New Roman" w:hAnsi="Times New Roman" w:cs="Times New Roman"/>
          <w:b/>
          <w:color w:val="833C0B" w:themeColor="accent2" w:themeShade="80"/>
          <w:sz w:val="40"/>
          <w:szCs w:val="40"/>
        </w:rPr>
        <w:t xml:space="preserve"> IN BANGLADESH’</w:t>
      </w:r>
    </w:p>
    <w:tbl>
      <w:tblPr>
        <w:tblStyle w:val="LightList-Accent1"/>
        <w:tblW w:w="0" w:type="auto"/>
        <w:tblLook w:val="04A0" w:firstRow="1" w:lastRow="0" w:firstColumn="1" w:lastColumn="0" w:noHBand="0" w:noVBand="1"/>
      </w:tblPr>
      <w:tblGrid>
        <w:gridCol w:w="9576"/>
      </w:tblGrid>
      <w:tr w:rsidR="00F5335C" w:rsidRPr="0077038E" w:rsidTr="001918C2">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9576" w:type="dxa"/>
          </w:tcPr>
          <w:p w:rsidR="00F5335C" w:rsidRPr="0077038E" w:rsidRDefault="00F5335C" w:rsidP="00F5335C">
            <w:pPr>
              <w:spacing w:line="276" w:lineRule="auto"/>
              <w:rPr>
                <w:rFonts w:ascii="Times New Roman" w:hAnsi="Times New Roman" w:cs="Times New Roman"/>
                <w:b w:val="0"/>
                <w:sz w:val="40"/>
                <w:szCs w:val="40"/>
              </w:rPr>
            </w:pPr>
            <w:r w:rsidRPr="0077038E">
              <w:rPr>
                <w:rFonts w:ascii="Times New Roman" w:hAnsi="Times New Roman" w:cs="Times New Roman"/>
                <w:b w:val="0"/>
                <w:sz w:val="32"/>
                <w:szCs w:val="32"/>
              </w:rPr>
              <w:t xml:space="preserve">                                               Submitted To:</w:t>
            </w:r>
          </w:p>
        </w:tc>
      </w:tr>
      <w:tr w:rsidR="00F5335C" w:rsidRPr="0077038E" w:rsidTr="00191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335C" w:rsidRPr="0077038E" w:rsidRDefault="00F5335C" w:rsidP="00F5335C">
            <w:pPr>
              <w:spacing w:line="276" w:lineRule="auto"/>
              <w:rPr>
                <w:rFonts w:ascii="Times New Roman" w:hAnsi="Times New Roman" w:cs="Times New Roman"/>
                <w:color w:val="833C0B" w:themeColor="accent2" w:themeShade="80"/>
                <w:sz w:val="32"/>
                <w:szCs w:val="32"/>
              </w:rPr>
            </w:pPr>
            <w:r w:rsidRPr="0077038E">
              <w:rPr>
                <w:rFonts w:ascii="Times New Roman" w:hAnsi="Times New Roman" w:cs="Times New Roman"/>
                <w:color w:val="833C0B" w:themeColor="accent2" w:themeShade="80"/>
                <w:sz w:val="32"/>
                <w:szCs w:val="32"/>
              </w:rPr>
              <w:t xml:space="preserve">                         </w:t>
            </w:r>
            <w:r w:rsidR="0077038E">
              <w:rPr>
                <w:rFonts w:ascii="Times New Roman" w:hAnsi="Times New Roman" w:cs="Times New Roman"/>
                <w:color w:val="833C0B" w:themeColor="accent2" w:themeShade="80"/>
                <w:sz w:val="32"/>
                <w:szCs w:val="32"/>
              </w:rPr>
              <w:t xml:space="preserve">            </w:t>
            </w:r>
            <w:proofErr w:type="spellStart"/>
            <w:r w:rsidR="00CD7190">
              <w:rPr>
                <w:rFonts w:ascii="Times New Roman" w:hAnsi="Times New Roman" w:cs="Times New Roman"/>
                <w:color w:val="833C0B" w:themeColor="accent2" w:themeShade="80"/>
                <w:sz w:val="32"/>
                <w:szCs w:val="32"/>
              </w:rPr>
              <w:t>Mofij</w:t>
            </w:r>
            <w:r w:rsidR="0004470D">
              <w:rPr>
                <w:rFonts w:ascii="Times New Roman" w:hAnsi="Times New Roman" w:cs="Times New Roman"/>
                <w:color w:val="833C0B" w:themeColor="accent2" w:themeShade="80"/>
                <w:sz w:val="32"/>
                <w:szCs w:val="32"/>
              </w:rPr>
              <w:t>ul</w:t>
            </w:r>
            <w:proofErr w:type="spellEnd"/>
            <w:r w:rsidR="0004470D">
              <w:rPr>
                <w:rFonts w:ascii="Times New Roman" w:hAnsi="Times New Roman" w:cs="Times New Roman"/>
                <w:color w:val="833C0B" w:themeColor="accent2" w:themeShade="80"/>
                <w:sz w:val="32"/>
                <w:szCs w:val="32"/>
              </w:rPr>
              <w:t xml:space="preserve"> </w:t>
            </w:r>
            <w:proofErr w:type="spellStart"/>
            <w:r w:rsidR="0004470D">
              <w:rPr>
                <w:rFonts w:ascii="Times New Roman" w:hAnsi="Times New Roman" w:cs="Times New Roman"/>
                <w:color w:val="833C0B" w:themeColor="accent2" w:themeShade="80"/>
                <w:sz w:val="32"/>
                <w:szCs w:val="32"/>
              </w:rPr>
              <w:t>Hoq</w:t>
            </w:r>
            <w:proofErr w:type="spellEnd"/>
            <w:r w:rsidRPr="0077038E">
              <w:rPr>
                <w:rFonts w:ascii="Times New Roman" w:hAnsi="Times New Roman" w:cs="Times New Roman"/>
                <w:color w:val="833C0B" w:themeColor="accent2" w:themeShade="80"/>
                <w:sz w:val="32"/>
                <w:szCs w:val="32"/>
              </w:rPr>
              <w:t xml:space="preserve"> </w:t>
            </w:r>
            <w:proofErr w:type="spellStart"/>
            <w:r w:rsidRPr="0077038E">
              <w:rPr>
                <w:rFonts w:ascii="Times New Roman" w:hAnsi="Times New Roman" w:cs="Times New Roman"/>
                <w:color w:val="833C0B" w:themeColor="accent2" w:themeShade="80"/>
                <w:sz w:val="32"/>
                <w:szCs w:val="32"/>
              </w:rPr>
              <w:t>Masum</w:t>
            </w:r>
            <w:proofErr w:type="spellEnd"/>
          </w:p>
        </w:tc>
      </w:tr>
      <w:tr w:rsidR="00F5335C" w:rsidRPr="0077038E" w:rsidTr="001918C2">
        <w:tc>
          <w:tcPr>
            <w:cnfStyle w:val="001000000000" w:firstRow="0" w:lastRow="0" w:firstColumn="1" w:lastColumn="0" w:oddVBand="0" w:evenVBand="0" w:oddHBand="0" w:evenHBand="0" w:firstRowFirstColumn="0" w:firstRowLastColumn="0" w:lastRowFirstColumn="0" w:lastRowLastColumn="0"/>
            <w:tcW w:w="9576" w:type="dxa"/>
          </w:tcPr>
          <w:p w:rsidR="00F5335C" w:rsidRPr="0077038E" w:rsidRDefault="00F5335C" w:rsidP="00F5335C">
            <w:pPr>
              <w:spacing w:line="276" w:lineRule="auto"/>
              <w:rPr>
                <w:rFonts w:ascii="Times New Roman" w:hAnsi="Times New Roman" w:cs="Times New Roman"/>
                <w:color w:val="833C0B" w:themeColor="accent2" w:themeShade="80"/>
                <w:sz w:val="32"/>
                <w:szCs w:val="32"/>
              </w:rPr>
            </w:pPr>
            <w:r w:rsidRPr="0077038E">
              <w:rPr>
                <w:rFonts w:ascii="Times New Roman" w:eastAsia="Times New Roman" w:hAnsi="Times New Roman" w:cs="Times New Roman"/>
                <w:color w:val="833C0B" w:themeColor="accent2" w:themeShade="80"/>
                <w:sz w:val="32"/>
                <w:szCs w:val="32"/>
              </w:rPr>
              <w:t xml:space="preserve">                                        Assistant Professor</w:t>
            </w:r>
          </w:p>
        </w:tc>
      </w:tr>
      <w:tr w:rsidR="00F5335C" w:rsidRPr="0077038E" w:rsidTr="001918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335C" w:rsidRPr="0077038E" w:rsidRDefault="00F5335C" w:rsidP="00F5335C">
            <w:pPr>
              <w:spacing w:line="276" w:lineRule="auto"/>
              <w:rPr>
                <w:rFonts w:ascii="Times New Roman" w:hAnsi="Times New Roman" w:cs="Times New Roman"/>
                <w:color w:val="833C0B" w:themeColor="accent2" w:themeShade="80"/>
                <w:sz w:val="32"/>
                <w:szCs w:val="32"/>
              </w:rPr>
            </w:pPr>
            <w:r w:rsidRPr="0077038E">
              <w:rPr>
                <w:rFonts w:ascii="Times New Roman" w:eastAsia="Times New Roman" w:hAnsi="Times New Roman" w:cs="Times New Roman"/>
                <w:color w:val="833C0B" w:themeColor="accent2" w:themeShade="80"/>
                <w:sz w:val="32"/>
                <w:szCs w:val="32"/>
              </w:rPr>
              <w:t xml:space="preserve">                           </w:t>
            </w:r>
            <w:r w:rsidR="0077038E">
              <w:rPr>
                <w:rFonts w:ascii="Times New Roman" w:eastAsia="Times New Roman" w:hAnsi="Times New Roman" w:cs="Times New Roman"/>
                <w:color w:val="833C0B" w:themeColor="accent2" w:themeShade="80"/>
                <w:sz w:val="32"/>
                <w:szCs w:val="32"/>
              </w:rPr>
              <w:t xml:space="preserve">  </w:t>
            </w:r>
            <w:r w:rsidRPr="0077038E">
              <w:rPr>
                <w:rFonts w:ascii="Times New Roman" w:eastAsia="Times New Roman" w:hAnsi="Times New Roman" w:cs="Times New Roman"/>
                <w:color w:val="833C0B" w:themeColor="accent2" w:themeShade="80"/>
                <w:sz w:val="32"/>
                <w:szCs w:val="32"/>
              </w:rPr>
              <w:t>School of Business &amp; Economics</w:t>
            </w:r>
          </w:p>
        </w:tc>
      </w:tr>
      <w:tr w:rsidR="00F5335C" w:rsidRPr="0077038E" w:rsidTr="001918C2">
        <w:tc>
          <w:tcPr>
            <w:cnfStyle w:val="001000000000" w:firstRow="0" w:lastRow="0" w:firstColumn="1" w:lastColumn="0" w:oddVBand="0" w:evenVBand="0" w:oddHBand="0" w:evenHBand="0" w:firstRowFirstColumn="0" w:firstRowLastColumn="0" w:lastRowFirstColumn="0" w:lastRowLastColumn="0"/>
            <w:tcW w:w="9576" w:type="dxa"/>
          </w:tcPr>
          <w:p w:rsidR="00F5335C" w:rsidRPr="0077038E" w:rsidRDefault="00F5335C" w:rsidP="00F5335C">
            <w:pPr>
              <w:spacing w:line="276" w:lineRule="auto"/>
              <w:rPr>
                <w:rFonts w:ascii="Times New Roman" w:hAnsi="Times New Roman" w:cs="Times New Roman"/>
                <w:color w:val="833C0B" w:themeColor="accent2" w:themeShade="80"/>
                <w:sz w:val="32"/>
                <w:szCs w:val="32"/>
              </w:rPr>
            </w:pPr>
            <w:r w:rsidRPr="0077038E">
              <w:rPr>
                <w:rFonts w:ascii="Times New Roman" w:eastAsia="Times New Roman" w:hAnsi="Times New Roman" w:cs="Times New Roman"/>
                <w:color w:val="833C0B" w:themeColor="accent2" w:themeShade="80"/>
                <w:sz w:val="32"/>
                <w:szCs w:val="32"/>
              </w:rPr>
              <w:t xml:space="preserve">                            </w:t>
            </w:r>
            <w:r w:rsidR="0077038E">
              <w:rPr>
                <w:rFonts w:ascii="Times New Roman" w:eastAsia="Times New Roman" w:hAnsi="Times New Roman" w:cs="Times New Roman"/>
                <w:color w:val="833C0B" w:themeColor="accent2" w:themeShade="80"/>
                <w:sz w:val="32"/>
                <w:szCs w:val="32"/>
              </w:rPr>
              <w:t xml:space="preserve">  </w:t>
            </w:r>
            <w:r w:rsidRPr="0077038E">
              <w:rPr>
                <w:rFonts w:ascii="Times New Roman" w:eastAsia="Times New Roman" w:hAnsi="Times New Roman" w:cs="Times New Roman"/>
                <w:color w:val="833C0B" w:themeColor="accent2" w:themeShade="80"/>
                <w:sz w:val="32"/>
                <w:szCs w:val="32"/>
              </w:rPr>
              <w:t>United International University</w:t>
            </w:r>
          </w:p>
        </w:tc>
      </w:tr>
    </w:tbl>
    <w:p w:rsidR="00F5335C" w:rsidRPr="0077038E" w:rsidRDefault="00F5335C" w:rsidP="00F5335C">
      <w:pPr>
        <w:spacing w:after="0" w:line="276" w:lineRule="auto"/>
        <w:rPr>
          <w:rFonts w:ascii="Times New Roman" w:hAnsi="Times New Roman" w:cs="Times New Roman"/>
          <w:b/>
          <w:sz w:val="32"/>
          <w:szCs w:val="32"/>
        </w:rPr>
      </w:pPr>
    </w:p>
    <w:tbl>
      <w:tblPr>
        <w:tblStyle w:val="LightList-Accent1"/>
        <w:tblW w:w="0" w:type="auto"/>
        <w:tblLook w:val="04A0" w:firstRow="1" w:lastRow="0" w:firstColumn="1" w:lastColumn="0" w:noHBand="0" w:noVBand="1"/>
      </w:tblPr>
      <w:tblGrid>
        <w:gridCol w:w="9576"/>
      </w:tblGrid>
      <w:tr w:rsidR="00F5335C" w:rsidRPr="0077038E" w:rsidTr="0077038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9576" w:type="dxa"/>
          </w:tcPr>
          <w:p w:rsidR="00F5335C" w:rsidRPr="0077038E" w:rsidRDefault="00F5335C">
            <w:pPr>
              <w:rPr>
                <w:rFonts w:ascii="Times New Roman" w:hAnsi="Times New Roman" w:cs="Times New Roman"/>
                <w:sz w:val="32"/>
                <w:szCs w:val="32"/>
              </w:rPr>
            </w:pPr>
            <w:r w:rsidRPr="0077038E">
              <w:rPr>
                <w:rFonts w:ascii="Times New Roman" w:hAnsi="Times New Roman" w:cs="Times New Roman"/>
                <w:sz w:val="32"/>
                <w:szCs w:val="32"/>
              </w:rPr>
              <w:t xml:space="preserve">                                      </w:t>
            </w:r>
            <w:r w:rsidR="0077038E" w:rsidRPr="0077038E">
              <w:rPr>
                <w:rFonts w:ascii="Times New Roman" w:hAnsi="Times New Roman" w:cs="Times New Roman"/>
                <w:sz w:val="32"/>
                <w:szCs w:val="32"/>
              </w:rPr>
              <w:t xml:space="preserve">       </w:t>
            </w:r>
            <w:r w:rsidRPr="0077038E">
              <w:rPr>
                <w:rFonts w:ascii="Times New Roman" w:hAnsi="Times New Roman" w:cs="Times New Roman"/>
                <w:sz w:val="32"/>
                <w:szCs w:val="32"/>
              </w:rPr>
              <w:t xml:space="preserve"> Submitted By:</w:t>
            </w:r>
          </w:p>
        </w:tc>
      </w:tr>
      <w:tr w:rsidR="00F5335C" w:rsidRPr="0077038E" w:rsidTr="00770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335C" w:rsidRPr="0077038E" w:rsidRDefault="00F5335C">
            <w:pPr>
              <w:rPr>
                <w:rFonts w:ascii="Times New Roman" w:hAnsi="Times New Roman" w:cs="Times New Roman"/>
                <w:color w:val="833C0B" w:themeColor="accent2" w:themeShade="80"/>
                <w:sz w:val="32"/>
                <w:szCs w:val="32"/>
              </w:rPr>
            </w:pPr>
            <w:r w:rsidRPr="0077038E">
              <w:rPr>
                <w:rFonts w:ascii="Times New Roman" w:hAnsi="Times New Roman" w:cs="Times New Roman"/>
                <w:color w:val="833C0B" w:themeColor="accent2" w:themeShade="80"/>
                <w:sz w:val="32"/>
                <w:szCs w:val="32"/>
              </w:rPr>
              <w:t xml:space="preserve">                                            </w:t>
            </w:r>
            <w:r w:rsidR="0077038E" w:rsidRPr="0077038E">
              <w:rPr>
                <w:rFonts w:ascii="Times New Roman" w:hAnsi="Times New Roman" w:cs="Times New Roman"/>
                <w:color w:val="833C0B" w:themeColor="accent2" w:themeShade="80"/>
                <w:sz w:val="32"/>
                <w:szCs w:val="32"/>
              </w:rPr>
              <w:t xml:space="preserve"> </w:t>
            </w:r>
            <w:proofErr w:type="spellStart"/>
            <w:r w:rsidRPr="0077038E">
              <w:rPr>
                <w:rFonts w:ascii="Times New Roman" w:hAnsi="Times New Roman" w:cs="Times New Roman"/>
                <w:color w:val="833C0B" w:themeColor="accent2" w:themeShade="80"/>
                <w:sz w:val="32"/>
                <w:szCs w:val="32"/>
              </w:rPr>
              <w:t>Alifa</w:t>
            </w:r>
            <w:proofErr w:type="spellEnd"/>
            <w:r w:rsidRPr="0077038E">
              <w:rPr>
                <w:rFonts w:ascii="Times New Roman" w:hAnsi="Times New Roman" w:cs="Times New Roman"/>
                <w:color w:val="833C0B" w:themeColor="accent2" w:themeShade="80"/>
                <w:sz w:val="32"/>
                <w:szCs w:val="32"/>
              </w:rPr>
              <w:t xml:space="preserve"> </w:t>
            </w:r>
            <w:proofErr w:type="spellStart"/>
            <w:r w:rsidRPr="0077038E">
              <w:rPr>
                <w:rFonts w:ascii="Times New Roman" w:hAnsi="Times New Roman" w:cs="Times New Roman"/>
                <w:color w:val="833C0B" w:themeColor="accent2" w:themeShade="80"/>
                <w:sz w:val="32"/>
                <w:szCs w:val="32"/>
              </w:rPr>
              <w:t>Akter</w:t>
            </w:r>
            <w:proofErr w:type="spellEnd"/>
            <w:r w:rsidRPr="0077038E">
              <w:rPr>
                <w:rFonts w:ascii="Times New Roman" w:hAnsi="Times New Roman" w:cs="Times New Roman"/>
                <w:color w:val="833C0B" w:themeColor="accent2" w:themeShade="80"/>
                <w:sz w:val="32"/>
                <w:szCs w:val="32"/>
              </w:rPr>
              <w:t xml:space="preserve"> </w:t>
            </w:r>
            <w:proofErr w:type="spellStart"/>
            <w:r w:rsidRPr="0077038E">
              <w:rPr>
                <w:rFonts w:ascii="Times New Roman" w:hAnsi="Times New Roman" w:cs="Times New Roman"/>
                <w:color w:val="833C0B" w:themeColor="accent2" w:themeShade="80"/>
                <w:sz w:val="32"/>
                <w:szCs w:val="32"/>
              </w:rPr>
              <w:t>Mim</w:t>
            </w:r>
            <w:proofErr w:type="spellEnd"/>
          </w:p>
        </w:tc>
      </w:tr>
      <w:tr w:rsidR="00F5335C" w:rsidRPr="0077038E" w:rsidTr="0077038E">
        <w:tc>
          <w:tcPr>
            <w:cnfStyle w:val="001000000000" w:firstRow="0" w:lastRow="0" w:firstColumn="1" w:lastColumn="0" w:oddVBand="0" w:evenVBand="0" w:oddHBand="0" w:evenHBand="0" w:firstRowFirstColumn="0" w:firstRowLastColumn="0" w:lastRowFirstColumn="0" w:lastRowLastColumn="0"/>
            <w:tcW w:w="9576" w:type="dxa"/>
          </w:tcPr>
          <w:p w:rsidR="00F5335C" w:rsidRPr="0077038E" w:rsidRDefault="00F5335C">
            <w:pPr>
              <w:rPr>
                <w:rFonts w:ascii="Times New Roman" w:hAnsi="Times New Roman" w:cs="Times New Roman"/>
                <w:color w:val="833C0B" w:themeColor="accent2" w:themeShade="80"/>
                <w:sz w:val="32"/>
                <w:szCs w:val="32"/>
              </w:rPr>
            </w:pPr>
            <w:r w:rsidRPr="0077038E">
              <w:rPr>
                <w:rFonts w:ascii="Times New Roman" w:hAnsi="Times New Roman" w:cs="Times New Roman"/>
                <w:color w:val="833C0B" w:themeColor="accent2" w:themeShade="80"/>
                <w:sz w:val="32"/>
                <w:szCs w:val="32"/>
              </w:rPr>
              <w:t xml:space="preserve">                                              ID: 114 171 016</w:t>
            </w:r>
          </w:p>
        </w:tc>
      </w:tr>
      <w:tr w:rsidR="00F5335C" w:rsidRPr="0077038E" w:rsidTr="00770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335C" w:rsidRPr="0077038E" w:rsidRDefault="00F5335C">
            <w:pPr>
              <w:rPr>
                <w:rFonts w:ascii="Times New Roman" w:hAnsi="Times New Roman" w:cs="Times New Roman"/>
                <w:color w:val="833C0B" w:themeColor="accent2" w:themeShade="80"/>
                <w:sz w:val="32"/>
                <w:szCs w:val="32"/>
              </w:rPr>
            </w:pPr>
            <w:r w:rsidRPr="0077038E">
              <w:rPr>
                <w:rFonts w:ascii="Times New Roman" w:hAnsi="Times New Roman" w:cs="Times New Roman"/>
                <w:bCs w:val="0"/>
                <w:color w:val="833C0B" w:themeColor="accent2" w:themeShade="80"/>
                <w:sz w:val="32"/>
                <w:szCs w:val="32"/>
              </w:rPr>
              <w:t xml:space="preserve">             </w:t>
            </w:r>
            <w:r w:rsidR="0077038E">
              <w:rPr>
                <w:rFonts w:ascii="Times New Roman" w:hAnsi="Times New Roman" w:cs="Times New Roman"/>
                <w:bCs w:val="0"/>
                <w:color w:val="833C0B" w:themeColor="accent2" w:themeShade="80"/>
                <w:sz w:val="32"/>
                <w:szCs w:val="32"/>
              </w:rPr>
              <w:t xml:space="preserve">   </w:t>
            </w:r>
            <w:r w:rsidR="00AA2B7F">
              <w:rPr>
                <w:rFonts w:ascii="Times New Roman" w:hAnsi="Times New Roman" w:cs="Times New Roman"/>
                <w:bCs w:val="0"/>
                <w:color w:val="833C0B" w:themeColor="accent2" w:themeShade="80"/>
                <w:sz w:val="32"/>
                <w:szCs w:val="32"/>
              </w:rPr>
              <w:t xml:space="preserve">   </w:t>
            </w:r>
            <w:r w:rsidRPr="0077038E">
              <w:rPr>
                <w:rFonts w:ascii="Times New Roman" w:hAnsi="Times New Roman" w:cs="Times New Roman"/>
                <w:color w:val="833C0B" w:themeColor="accent2" w:themeShade="80"/>
                <w:sz w:val="32"/>
                <w:szCs w:val="32"/>
              </w:rPr>
              <w:t>School of Business and Economics (BBA in AIS)</w:t>
            </w:r>
          </w:p>
        </w:tc>
      </w:tr>
    </w:tbl>
    <w:p w:rsidR="00BA3B62" w:rsidRDefault="00BA3B62" w:rsidP="00BA3B62">
      <w:pPr>
        <w:spacing w:line="360" w:lineRule="auto"/>
        <w:rPr>
          <w:rFonts w:ascii="Times New Roman" w:hAnsi="Times New Roman" w:cs="Times New Roman"/>
          <w:b/>
          <w:sz w:val="32"/>
          <w:szCs w:val="32"/>
        </w:rPr>
      </w:pPr>
    </w:p>
    <w:p w:rsidR="00BA3B62" w:rsidRDefault="00BA3B62" w:rsidP="00BA3B62">
      <w:pPr>
        <w:spacing w:line="360" w:lineRule="auto"/>
        <w:rPr>
          <w:rFonts w:ascii="Times New Roman" w:hAnsi="Times New Roman" w:cs="Times New Roman"/>
          <w:b/>
          <w:bCs/>
          <w:color w:val="833C0B" w:themeColor="accent2" w:themeShade="80"/>
          <w:sz w:val="28"/>
          <w:szCs w:val="28"/>
        </w:rPr>
      </w:pPr>
      <w:r w:rsidRPr="00BA3B62">
        <w:rPr>
          <w:rFonts w:ascii="Times New Roman" w:hAnsi="Times New Roman" w:cs="Times New Roman"/>
          <w:b/>
          <w:color w:val="833C0B" w:themeColor="accent2" w:themeShade="80"/>
          <w:sz w:val="32"/>
          <w:szCs w:val="32"/>
        </w:rPr>
        <w:t xml:space="preserve">                                  </w:t>
      </w:r>
      <w:r w:rsidR="00DB3B74">
        <w:rPr>
          <w:rFonts w:ascii="Times New Roman" w:hAnsi="Times New Roman" w:cs="Times New Roman"/>
          <w:b/>
          <w:color w:val="833C0B" w:themeColor="accent2" w:themeShade="80"/>
          <w:sz w:val="32"/>
          <w:szCs w:val="32"/>
        </w:rPr>
        <w:t xml:space="preserve">   </w:t>
      </w:r>
      <w:r w:rsidRPr="00BA3B62">
        <w:rPr>
          <w:rFonts w:ascii="Times New Roman" w:hAnsi="Times New Roman" w:cs="Times New Roman"/>
          <w:b/>
          <w:bCs/>
          <w:color w:val="833C0B" w:themeColor="accent2" w:themeShade="80"/>
          <w:sz w:val="28"/>
          <w:szCs w:val="28"/>
        </w:rPr>
        <w:t>DATE OF SUBMISSION</w:t>
      </w:r>
    </w:p>
    <w:p w:rsidR="0005061B" w:rsidRPr="00BA3B62" w:rsidRDefault="0005061B" w:rsidP="00BA3B62">
      <w:pPr>
        <w:spacing w:line="360" w:lineRule="auto"/>
        <w:rPr>
          <w:rFonts w:ascii="Times New Roman" w:hAnsi="Times New Roman" w:cs="Times New Roman"/>
          <w:b/>
          <w:bCs/>
          <w:color w:val="833C0B" w:themeColor="accent2" w:themeShade="80"/>
          <w:sz w:val="28"/>
          <w:szCs w:val="28"/>
        </w:rPr>
      </w:pPr>
      <w:r>
        <w:rPr>
          <w:rFonts w:ascii="Times New Roman" w:hAnsi="Times New Roman" w:cs="Times New Roman"/>
          <w:b/>
          <w:bCs/>
          <w:color w:val="833C0B" w:themeColor="accent2" w:themeShade="80"/>
          <w:sz w:val="28"/>
          <w:szCs w:val="28"/>
        </w:rPr>
        <w:t xml:space="preserve">                                                        23/03/2021</w:t>
      </w:r>
    </w:p>
    <w:p w:rsidR="00D175D9" w:rsidRPr="00BA3B62" w:rsidRDefault="00D175D9">
      <w:pPr>
        <w:rPr>
          <w:rFonts w:ascii="Times New Roman" w:hAnsi="Times New Roman" w:cs="Times New Roman"/>
          <w:b/>
          <w:sz w:val="32"/>
          <w:szCs w:val="32"/>
        </w:rPr>
      </w:pPr>
      <w:r w:rsidRPr="0077038E">
        <w:rPr>
          <w:rFonts w:ascii="Times New Roman" w:hAnsi="Times New Roman" w:cs="Times New Roman"/>
          <w:b/>
          <w:sz w:val="32"/>
          <w:szCs w:val="32"/>
        </w:rPr>
        <w:br w:type="page"/>
      </w:r>
    </w:p>
    <w:p w:rsidR="00DB3B74" w:rsidRDefault="00C576FF" w:rsidP="00C576FF">
      <w:pPr>
        <w:pStyle w:val="Heading1"/>
        <w:rPr>
          <w:rFonts w:ascii="Times New Roman" w:hAnsi="Times New Roman" w:cs="Times New Roman"/>
          <w:sz w:val="28"/>
          <w:szCs w:val="28"/>
        </w:rPr>
      </w:pPr>
      <w:r w:rsidRPr="00D36202">
        <w:rPr>
          <w:rFonts w:ascii="Times New Roman" w:hAnsi="Times New Roman" w:cs="Times New Roman"/>
          <w:sz w:val="28"/>
          <w:szCs w:val="28"/>
        </w:rPr>
        <w:lastRenderedPageBreak/>
        <w:t xml:space="preserve">                                              </w:t>
      </w:r>
      <w:bookmarkStart w:id="1" w:name="_Toc67370122"/>
      <w:r w:rsidR="00DB303F" w:rsidRPr="00D36202">
        <w:rPr>
          <w:rFonts w:ascii="Times New Roman" w:hAnsi="Times New Roman" w:cs="Times New Roman"/>
          <w:sz w:val="28"/>
          <w:szCs w:val="28"/>
        </w:rPr>
        <w:t>Letter of A</w:t>
      </w:r>
      <w:r w:rsidR="00DB3B74" w:rsidRPr="00D36202">
        <w:rPr>
          <w:rFonts w:ascii="Times New Roman" w:hAnsi="Times New Roman" w:cs="Times New Roman"/>
          <w:sz w:val="28"/>
          <w:szCs w:val="28"/>
        </w:rPr>
        <w:t>cknowledgement</w:t>
      </w:r>
      <w:bookmarkEnd w:id="1"/>
    </w:p>
    <w:p w:rsidR="00AA2B7F" w:rsidRPr="00AA2B7F" w:rsidRDefault="00AA2B7F" w:rsidP="00AA2B7F"/>
    <w:p w:rsidR="00DB3B74" w:rsidRPr="00061FB1" w:rsidRDefault="00DB3B74" w:rsidP="006517DB">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First of all, I would like to thank the Almighty Allah, the most contemplative and the most pardoning for his ample knowledge and abetments. Then I would like to demonstrate my gratefulness to my family, friends and others people who help me by giving the effective information to confirm this report. A speci</w:t>
      </w:r>
      <w:r w:rsidR="007144D1">
        <w:rPr>
          <w:rFonts w:ascii="Times New Roman" w:hAnsi="Times New Roman" w:cs="Times New Roman"/>
          <w:sz w:val="24"/>
          <w:szCs w:val="24"/>
        </w:rPr>
        <w:t xml:space="preserve">al gratefulness to </w:t>
      </w:r>
      <w:proofErr w:type="spellStart"/>
      <w:r w:rsidR="007144D1">
        <w:rPr>
          <w:rFonts w:ascii="Times New Roman" w:hAnsi="Times New Roman" w:cs="Times New Roman"/>
          <w:sz w:val="24"/>
          <w:szCs w:val="24"/>
        </w:rPr>
        <w:t>Mofijul</w:t>
      </w:r>
      <w:proofErr w:type="spellEnd"/>
      <w:r w:rsidR="007144D1">
        <w:rPr>
          <w:rFonts w:ascii="Times New Roman" w:hAnsi="Times New Roman" w:cs="Times New Roman"/>
          <w:sz w:val="24"/>
          <w:szCs w:val="24"/>
        </w:rPr>
        <w:t xml:space="preserve"> </w:t>
      </w:r>
      <w:proofErr w:type="spellStart"/>
      <w:r w:rsidR="007144D1">
        <w:rPr>
          <w:rFonts w:ascii="Times New Roman" w:hAnsi="Times New Roman" w:cs="Times New Roman"/>
          <w:sz w:val="24"/>
          <w:szCs w:val="24"/>
        </w:rPr>
        <w:t>Ho</w:t>
      </w:r>
      <w:r w:rsidR="00A177A8">
        <w:rPr>
          <w:rFonts w:ascii="Times New Roman" w:hAnsi="Times New Roman" w:cs="Times New Roman"/>
          <w:sz w:val="24"/>
          <w:szCs w:val="24"/>
        </w:rPr>
        <w:t>q</w:t>
      </w:r>
      <w:proofErr w:type="spellEnd"/>
      <w:r w:rsidR="00A177A8">
        <w:rPr>
          <w:rFonts w:ascii="Times New Roman" w:hAnsi="Times New Roman" w:cs="Times New Roman"/>
          <w:sz w:val="24"/>
          <w:szCs w:val="24"/>
        </w:rPr>
        <w:t xml:space="preserve"> </w:t>
      </w:r>
      <w:proofErr w:type="spellStart"/>
      <w:r w:rsidR="00A177A8">
        <w:rPr>
          <w:rFonts w:ascii="Times New Roman" w:hAnsi="Times New Roman" w:cs="Times New Roman"/>
          <w:sz w:val="24"/>
          <w:szCs w:val="24"/>
        </w:rPr>
        <w:t>Masum</w:t>
      </w:r>
      <w:proofErr w:type="spellEnd"/>
      <w:r w:rsidR="00A177A8">
        <w:rPr>
          <w:rFonts w:ascii="Times New Roman" w:hAnsi="Times New Roman" w:cs="Times New Roman"/>
          <w:sz w:val="24"/>
          <w:szCs w:val="24"/>
        </w:rPr>
        <w:t xml:space="preserve"> S</w:t>
      </w:r>
      <w:r w:rsidR="002C30D8">
        <w:rPr>
          <w:rFonts w:ascii="Times New Roman" w:hAnsi="Times New Roman" w:cs="Times New Roman"/>
          <w:sz w:val="24"/>
          <w:szCs w:val="24"/>
        </w:rPr>
        <w:t>ir, Assistant P</w:t>
      </w:r>
      <w:r w:rsidRPr="00061FB1">
        <w:rPr>
          <w:rFonts w:ascii="Times New Roman" w:hAnsi="Times New Roman" w:cs="Times New Roman"/>
          <w:sz w:val="24"/>
          <w:szCs w:val="24"/>
        </w:rPr>
        <w:t>rofessor , School of  Business &amp; Economics ,United International University ,for giving me an absolutely kind and effective guidance for this project. The continuous meeting between me and my supervisor has helped me out to complete the report.</w:t>
      </w:r>
    </w:p>
    <w:p w:rsidR="00D175D9" w:rsidRPr="00061FB1" w:rsidRDefault="00D175D9"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br w:type="page"/>
      </w:r>
    </w:p>
    <w:p w:rsidR="00270804" w:rsidRPr="00D36202" w:rsidRDefault="009A3F51" w:rsidP="009A3F51">
      <w:pPr>
        <w:pStyle w:val="Heading1"/>
        <w:rPr>
          <w:rFonts w:ascii="Times New Roman" w:hAnsi="Times New Roman" w:cs="Times New Roman"/>
          <w:sz w:val="28"/>
          <w:szCs w:val="28"/>
        </w:rPr>
      </w:pPr>
      <w:r w:rsidRPr="00061FB1">
        <w:rPr>
          <w:rFonts w:ascii="Times New Roman" w:hAnsi="Times New Roman" w:cs="Times New Roman"/>
          <w:sz w:val="24"/>
          <w:szCs w:val="24"/>
        </w:rPr>
        <w:lastRenderedPageBreak/>
        <w:t xml:space="preserve">                                                            </w:t>
      </w:r>
      <w:bookmarkStart w:id="2" w:name="_Toc67370123"/>
      <w:r w:rsidR="00270804" w:rsidRPr="00D36202">
        <w:rPr>
          <w:rFonts w:ascii="Times New Roman" w:hAnsi="Times New Roman" w:cs="Times New Roman"/>
          <w:sz w:val="28"/>
          <w:szCs w:val="28"/>
        </w:rPr>
        <w:t>Letter of Transmittal</w:t>
      </w:r>
      <w:bookmarkEnd w:id="2"/>
    </w:p>
    <w:p w:rsidR="00270804" w:rsidRPr="0005061B" w:rsidRDefault="00270804" w:rsidP="006517DB">
      <w:pPr>
        <w:tabs>
          <w:tab w:val="left" w:pos="180"/>
        </w:tabs>
        <w:spacing w:line="360" w:lineRule="auto"/>
        <w:jc w:val="both"/>
        <w:rPr>
          <w:rFonts w:ascii="Times New Roman" w:hAnsi="Times New Roman" w:cs="Times New Roman"/>
          <w:sz w:val="24"/>
          <w:szCs w:val="24"/>
        </w:rPr>
      </w:pPr>
      <w:r w:rsidRPr="0005061B">
        <w:rPr>
          <w:rFonts w:ascii="Times New Roman" w:hAnsi="Times New Roman" w:cs="Times New Roman"/>
          <w:sz w:val="24"/>
          <w:szCs w:val="24"/>
        </w:rPr>
        <w:t>Date</w:t>
      </w:r>
      <w:r w:rsidR="0005061B" w:rsidRPr="0005061B">
        <w:rPr>
          <w:rFonts w:ascii="Times New Roman" w:hAnsi="Times New Roman" w:cs="Times New Roman"/>
          <w:sz w:val="24"/>
          <w:szCs w:val="24"/>
        </w:rPr>
        <w:t>: 23/03/2021</w:t>
      </w:r>
    </w:p>
    <w:p w:rsidR="00270804" w:rsidRPr="00061FB1" w:rsidRDefault="00270804" w:rsidP="006517DB">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To,</w:t>
      </w:r>
    </w:p>
    <w:p w:rsidR="00270804" w:rsidRPr="00061FB1" w:rsidRDefault="008F3CF8" w:rsidP="006517DB">
      <w:pPr>
        <w:tabs>
          <w:tab w:val="left" w:pos="180"/>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Mofijul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w:t>
      </w:r>
      <w:r w:rsidR="00270804" w:rsidRPr="00061FB1">
        <w:rPr>
          <w:rFonts w:ascii="Times New Roman" w:hAnsi="Times New Roman" w:cs="Times New Roman"/>
          <w:sz w:val="24"/>
          <w:szCs w:val="24"/>
        </w:rPr>
        <w:t>q</w:t>
      </w:r>
      <w:proofErr w:type="spellEnd"/>
      <w:r w:rsidR="00270804" w:rsidRPr="00061FB1">
        <w:rPr>
          <w:rFonts w:ascii="Times New Roman" w:hAnsi="Times New Roman" w:cs="Times New Roman"/>
          <w:sz w:val="24"/>
          <w:szCs w:val="24"/>
        </w:rPr>
        <w:t xml:space="preserve"> </w:t>
      </w:r>
      <w:proofErr w:type="spellStart"/>
      <w:r w:rsidR="00270804" w:rsidRPr="00061FB1">
        <w:rPr>
          <w:rFonts w:ascii="Times New Roman" w:hAnsi="Times New Roman" w:cs="Times New Roman"/>
          <w:sz w:val="24"/>
          <w:szCs w:val="24"/>
        </w:rPr>
        <w:t>Masum</w:t>
      </w:r>
      <w:proofErr w:type="spellEnd"/>
    </w:p>
    <w:p w:rsidR="00270804" w:rsidRPr="00061FB1" w:rsidRDefault="00270804" w:rsidP="006517DB">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Assistant Professor </w:t>
      </w:r>
    </w:p>
    <w:p w:rsidR="00D85088" w:rsidRDefault="00270804" w:rsidP="006517DB">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Sc</w:t>
      </w:r>
      <w:r w:rsidR="006130E8">
        <w:rPr>
          <w:rFonts w:ascii="Times New Roman" w:hAnsi="Times New Roman" w:cs="Times New Roman"/>
          <w:sz w:val="24"/>
          <w:szCs w:val="24"/>
        </w:rPr>
        <w:t>hool of Business &amp; Economics (SO</w:t>
      </w:r>
      <w:r w:rsidR="00D85088">
        <w:rPr>
          <w:rFonts w:ascii="Times New Roman" w:hAnsi="Times New Roman" w:cs="Times New Roman"/>
          <w:sz w:val="24"/>
          <w:szCs w:val="24"/>
        </w:rPr>
        <w:t>BE)</w:t>
      </w:r>
    </w:p>
    <w:p w:rsidR="00270804" w:rsidRPr="00061FB1" w:rsidRDefault="00270804" w:rsidP="006517DB">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 United International University </w:t>
      </w:r>
    </w:p>
    <w:p w:rsidR="005556DA" w:rsidRPr="005556DA" w:rsidRDefault="005556DA" w:rsidP="005556DA">
      <w:pPr>
        <w:spacing w:after="0"/>
        <w:jc w:val="both"/>
        <w:rPr>
          <w:rFonts w:ascii="Times New Roman" w:hAnsi="Times New Roman" w:cs="Times New Roman"/>
          <w:bCs/>
          <w:sz w:val="24"/>
          <w:szCs w:val="24"/>
        </w:rPr>
      </w:pPr>
      <w:r>
        <w:rPr>
          <w:rFonts w:ascii="Times New Roman" w:hAnsi="Times New Roman" w:cs="Times New Roman"/>
          <w:sz w:val="24"/>
          <w:szCs w:val="24"/>
        </w:rPr>
        <w:t>Subject: S</w:t>
      </w:r>
      <w:r w:rsidRPr="005556DA">
        <w:rPr>
          <w:rFonts w:ascii="Times New Roman" w:hAnsi="Times New Roman" w:cs="Times New Roman"/>
          <w:sz w:val="24"/>
          <w:szCs w:val="24"/>
        </w:rPr>
        <w:t xml:space="preserve">ubmission of report on </w:t>
      </w:r>
      <w:r>
        <w:rPr>
          <w:rFonts w:ascii="Times New Roman" w:hAnsi="Times New Roman" w:cs="Times New Roman"/>
          <w:sz w:val="24"/>
          <w:szCs w:val="24"/>
        </w:rPr>
        <w:t>“I</w:t>
      </w:r>
      <w:r w:rsidRPr="005556DA">
        <w:rPr>
          <w:rFonts w:ascii="Times New Roman" w:hAnsi="Times New Roman" w:cs="Times New Roman"/>
          <w:sz w:val="24"/>
          <w:szCs w:val="24"/>
        </w:rPr>
        <w:t>mpact of covid-19 on the financial innovation in Bangladesh</w:t>
      </w:r>
      <w:r>
        <w:rPr>
          <w:rFonts w:ascii="Times New Roman" w:hAnsi="Times New Roman" w:cs="Times New Roman"/>
          <w:sz w:val="24"/>
          <w:szCs w:val="24"/>
        </w:rPr>
        <w:t>.”</w:t>
      </w:r>
    </w:p>
    <w:p w:rsidR="00270804" w:rsidRPr="00061FB1" w:rsidRDefault="00270804" w:rsidP="006517DB">
      <w:pPr>
        <w:tabs>
          <w:tab w:val="left" w:pos="180"/>
        </w:tabs>
        <w:spacing w:line="360" w:lineRule="auto"/>
        <w:jc w:val="both"/>
        <w:rPr>
          <w:rFonts w:ascii="Times New Roman" w:hAnsi="Times New Roman" w:cs="Times New Roman"/>
          <w:sz w:val="24"/>
          <w:szCs w:val="24"/>
        </w:rPr>
      </w:pPr>
      <w:bookmarkStart w:id="3" w:name="_GoBack"/>
      <w:bookmarkEnd w:id="3"/>
    </w:p>
    <w:p w:rsidR="00270804" w:rsidRPr="00061FB1" w:rsidRDefault="00270804" w:rsidP="006517DB">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Dear sir , It’s my delight to represent my research on the effect o</w:t>
      </w:r>
      <w:r w:rsidR="00AA2B7F">
        <w:rPr>
          <w:rFonts w:ascii="Times New Roman" w:hAnsi="Times New Roman" w:cs="Times New Roman"/>
          <w:sz w:val="24"/>
          <w:szCs w:val="24"/>
        </w:rPr>
        <w:t xml:space="preserve">f </w:t>
      </w:r>
      <w:proofErr w:type="spellStart"/>
      <w:r w:rsidR="00AA2B7F">
        <w:rPr>
          <w:rFonts w:ascii="Times New Roman" w:hAnsi="Times New Roman" w:cs="Times New Roman"/>
          <w:sz w:val="24"/>
          <w:szCs w:val="24"/>
        </w:rPr>
        <w:t>Covid</w:t>
      </w:r>
      <w:proofErr w:type="spellEnd"/>
      <w:r w:rsidR="00AA2B7F">
        <w:rPr>
          <w:rFonts w:ascii="Times New Roman" w:hAnsi="Times New Roman" w:cs="Times New Roman"/>
          <w:sz w:val="24"/>
          <w:szCs w:val="24"/>
        </w:rPr>
        <w:t xml:space="preserve"> 19 in Financial Innovation- f</w:t>
      </w:r>
      <w:r w:rsidRPr="00061FB1">
        <w:rPr>
          <w:rFonts w:ascii="Times New Roman" w:hAnsi="Times New Roman" w:cs="Times New Roman"/>
          <w:sz w:val="24"/>
          <w:szCs w:val="24"/>
        </w:rPr>
        <w:t>rom the perspective of Bangladesh ,this report allow us to acquire knowledge about financial services expansion mid pandemic. So it was definitely challenging and marvelous experiences. Thank you for your supportive judgment for successfully creating an idea. Without your valuable support and motivation this report would have been an imperfect one. I tried to accomplish the paper in an appropriate way. I hope</w:t>
      </w:r>
      <w:proofErr w:type="gramStart"/>
      <w:r w:rsidRPr="00061FB1">
        <w:rPr>
          <w:rFonts w:ascii="Times New Roman" w:hAnsi="Times New Roman" w:cs="Times New Roman"/>
          <w:sz w:val="24"/>
          <w:szCs w:val="24"/>
        </w:rPr>
        <w:t>,</w:t>
      </w:r>
      <w:proofErr w:type="gramEnd"/>
      <w:r w:rsidRPr="00061FB1">
        <w:rPr>
          <w:rFonts w:ascii="Times New Roman" w:hAnsi="Times New Roman" w:cs="Times New Roman"/>
          <w:sz w:val="24"/>
          <w:szCs w:val="24"/>
        </w:rPr>
        <w:t xml:space="preserve"> this report will meet your anticipation.</w:t>
      </w:r>
    </w:p>
    <w:p w:rsidR="00A11792" w:rsidRPr="00061FB1" w:rsidRDefault="00A11792" w:rsidP="006517DB">
      <w:pPr>
        <w:tabs>
          <w:tab w:val="left" w:pos="180"/>
        </w:tabs>
        <w:spacing w:line="360" w:lineRule="auto"/>
        <w:jc w:val="both"/>
        <w:rPr>
          <w:rFonts w:ascii="Times New Roman" w:hAnsi="Times New Roman" w:cs="Times New Roman"/>
          <w:sz w:val="24"/>
          <w:szCs w:val="24"/>
        </w:rPr>
      </w:pPr>
    </w:p>
    <w:p w:rsidR="00A11792" w:rsidRPr="00061FB1" w:rsidRDefault="00A11792" w:rsidP="006517DB">
      <w:pPr>
        <w:tabs>
          <w:tab w:val="left" w:pos="180"/>
        </w:tabs>
        <w:spacing w:line="360" w:lineRule="auto"/>
        <w:jc w:val="both"/>
        <w:rPr>
          <w:rFonts w:ascii="Times New Roman" w:hAnsi="Times New Roman" w:cs="Times New Roman"/>
          <w:sz w:val="24"/>
          <w:szCs w:val="24"/>
        </w:rPr>
      </w:pPr>
    </w:p>
    <w:p w:rsidR="00270804" w:rsidRPr="00061FB1" w:rsidRDefault="00270804" w:rsidP="006517DB">
      <w:pPr>
        <w:tabs>
          <w:tab w:val="left" w:pos="180"/>
        </w:tabs>
        <w:spacing w:line="360" w:lineRule="auto"/>
        <w:jc w:val="both"/>
        <w:rPr>
          <w:rFonts w:ascii="Times New Roman" w:hAnsi="Times New Roman" w:cs="Times New Roman"/>
          <w:sz w:val="24"/>
          <w:szCs w:val="24"/>
        </w:rPr>
      </w:pPr>
      <w:proofErr w:type="spellStart"/>
      <w:r w:rsidRPr="00061FB1">
        <w:rPr>
          <w:rFonts w:ascii="Times New Roman" w:hAnsi="Times New Roman" w:cs="Times New Roman"/>
          <w:sz w:val="24"/>
          <w:szCs w:val="24"/>
        </w:rPr>
        <w:t>Alifa</w:t>
      </w:r>
      <w:proofErr w:type="spellEnd"/>
      <w:r w:rsidRPr="00061FB1">
        <w:rPr>
          <w:rFonts w:ascii="Times New Roman" w:hAnsi="Times New Roman" w:cs="Times New Roman"/>
          <w:sz w:val="24"/>
          <w:szCs w:val="24"/>
        </w:rPr>
        <w:t xml:space="preserve"> </w:t>
      </w:r>
      <w:proofErr w:type="spellStart"/>
      <w:r w:rsidRPr="00061FB1">
        <w:rPr>
          <w:rFonts w:ascii="Times New Roman" w:hAnsi="Times New Roman" w:cs="Times New Roman"/>
          <w:sz w:val="24"/>
          <w:szCs w:val="24"/>
        </w:rPr>
        <w:t>Akter</w:t>
      </w:r>
      <w:proofErr w:type="spellEnd"/>
      <w:r w:rsidRPr="00061FB1">
        <w:rPr>
          <w:rFonts w:ascii="Times New Roman" w:hAnsi="Times New Roman" w:cs="Times New Roman"/>
          <w:sz w:val="24"/>
          <w:szCs w:val="24"/>
        </w:rPr>
        <w:t xml:space="preserve"> </w:t>
      </w:r>
      <w:proofErr w:type="spellStart"/>
      <w:r w:rsidRPr="00061FB1">
        <w:rPr>
          <w:rFonts w:ascii="Times New Roman" w:hAnsi="Times New Roman" w:cs="Times New Roman"/>
          <w:sz w:val="24"/>
          <w:szCs w:val="24"/>
        </w:rPr>
        <w:t>Mim</w:t>
      </w:r>
      <w:proofErr w:type="spellEnd"/>
    </w:p>
    <w:p w:rsidR="00270804" w:rsidRPr="00061FB1" w:rsidRDefault="00270804" w:rsidP="006517DB">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114 171 016</w:t>
      </w:r>
    </w:p>
    <w:p w:rsidR="00270804" w:rsidRPr="00061FB1" w:rsidRDefault="00270804" w:rsidP="006517DB">
      <w:pPr>
        <w:tabs>
          <w:tab w:val="left" w:pos="180"/>
        </w:tabs>
        <w:spacing w:line="360" w:lineRule="auto"/>
        <w:jc w:val="both"/>
        <w:rPr>
          <w:rFonts w:ascii="Times New Roman" w:hAnsi="Times New Roman" w:cs="Times New Roman"/>
          <w:sz w:val="24"/>
          <w:szCs w:val="24"/>
        </w:rPr>
      </w:pPr>
      <w:r w:rsidRPr="00061FB1">
        <w:rPr>
          <w:rFonts w:ascii="Times New Roman" w:eastAsia="Times New Roman" w:hAnsi="Times New Roman" w:cs="Times New Roman"/>
          <w:sz w:val="24"/>
          <w:szCs w:val="24"/>
        </w:rPr>
        <w:t>Bachelor of Business Administration in Accounting &amp; Information System (BBA IN AIS)</w:t>
      </w:r>
    </w:p>
    <w:p w:rsidR="00D175D9" w:rsidRPr="00061FB1" w:rsidRDefault="00D175D9" w:rsidP="006517DB">
      <w:pPr>
        <w:spacing w:line="360" w:lineRule="auto"/>
        <w:jc w:val="both"/>
        <w:rPr>
          <w:rFonts w:ascii="Times New Roman" w:hAnsi="Times New Roman" w:cs="Times New Roman"/>
          <w:sz w:val="24"/>
          <w:szCs w:val="24"/>
        </w:rPr>
      </w:pPr>
    </w:p>
    <w:p w:rsidR="00D175D9" w:rsidRPr="00061FB1" w:rsidRDefault="00D175D9"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br w:type="page"/>
      </w:r>
    </w:p>
    <w:p w:rsidR="00D175D9" w:rsidRPr="00D36202" w:rsidRDefault="0007025F" w:rsidP="0007025F">
      <w:pPr>
        <w:pStyle w:val="Heading1"/>
        <w:rPr>
          <w:rFonts w:ascii="Times New Roman" w:hAnsi="Times New Roman" w:cs="Times New Roman"/>
          <w:sz w:val="28"/>
          <w:szCs w:val="28"/>
        </w:rPr>
      </w:pPr>
      <w:r w:rsidRPr="00D36202">
        <w:rPr>
          <w:rFonts w:ascii="Times New Roman" w:hAnsi="Times New Roman" w:cs="Times New Roman"/>
          <w:sz w:val="28"/>
          <w:szCs w:val="28"/>
        </w:rPr>
        <w:lastRenderedPageBreak/>
        <w:t xml:space="preserve">                                </w:t>
      </w:r>
      <w:r w:rsidR="007F1B90">
        <w:rPr>
          <w:rFonts w:ascii="Times New Roman" w:hAnsi="Times New Roman" w:cs="Times New Roman"/>
          <w:sz w:val="28"/>
          <w:szCs w:val="28"/>
        </w:rPr>
        <w:t xml:space="preserve">                        </w:t>
      </w:r>
      <w:bookmarkStart w:id="4" w:name="_Toc67370124"/>
      <w:r w:rsidR="00D175D9" w:rsidRPr="00D36202">
        <w:rPr>
          <w:rFonts w:ascii="Times New Roman" w:hAnsi="Times New Roman" w:cs="Times New Roman"/>
          <w:sz w:val="28"/>
          <w:szCs w:val="28"/>
        </w:rPr>
        <w:t>Abstract</w:t>
      </w:r>
      <w:bookmarkEnd w:id="4"/>
    </w:p>
    <w:p w:rsidR="0069072F" w:rsidRPr="00061FB1" w:rsidRDefault="00607FB0"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Swift novelty </w:t>
      </w:r>
      <w:r w:rsidR="00E7126B" w:rsidRPr="00061FB1">
        <w:rPr>
          <w:rFonts w:ascii="Times New Roman" w:hAnsi="Times New Roman" w:cs="Times New Roman"/>
          <w:sz w:val="24"/>
          <w:szCs w:val="24"/>
        </w:rPr>
        <w:t>has affected the progressive economic atmosphere extremely, particularly the effect of financial innovation on financial system, both as to digit as well as standard</w:t>
      </w:r>
      <w:sdt>
        <w:sdtPr>
          <w:rPr>
            <w:rFonts w:ascii="Times New Roman" w:hAnsi="Times New Roman" w:cs="Times New Roman"/>
            <w:sz w:val="24"/>
            <w:szCs w:val="24"/>
          </w:rPr>
          <w:id w:val="1885440275"/>
          <w:citation/>
        </w:sdtPr>
        <w:sdtEndPr/>
        <w:sdtContent>
          <w:r w:rsidR="00E7126B" w:rsidRPr="00061FB1">
            <w:rPr>
              <w:rFonts w:ascii="Times New Roman" w:hAnsi="Times New Roman" w:cs="Times New Roman"/>
              <w:sz w:val="24"/>
              <w:szCs w:val="24"/>
            </w:rPr>
            <w:fldChar w:fldCharType="begin"/>
          </w:r>
          <w:r w:rsidR="00E7126B" w:rsidRPr="00061FB1">
            <w:rPr>
              <w:rFonts w:ascii="Times New Roman" w:hAnsi="Times New Roman" w:cs="Times New Roman"/>
              <w:sz w:val="24"/>
              <w:szCs w:val="24"/>
            </w:rPr>
            <w:instrText xml:space="preserve"> CITATION Joa11 \l 1033 </w:instrText>
          </w:r>
          <w:r w:rsidR="00E7126B"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(Błach, 2011)</w:t>
          </w:r>
          <w:r w:rsidR="00E7126B" w:rsidRPr="00061FB1">
            <w:rPr>
              <w:rFonts w:ascii="Times New Roman" w:hAnsi="Times New Roman" w:cs="Times New Roman"/>
              <w:sz w:val="24"/>
              <w:szCs w:val="24"/>
            </w:rPr>
            <w:fldChar w:fldCharType="end"/>
          </w:r>
        </w:sdtContent>
      </w:sdt>
      <w:r w:rsidR="00E7126B" w:rsidRPr="00061FB1">
        <w:rPr>
          <w:rFonts w:ascii="Times New Roman" w:hAnsi="Times New Roman" w:cs="Times New Roman"/>
          <w:sz w:val="24"/>
          <w:szCs w:val="24"/>
        </w:rPr>
        <w:t>.</w:t>
      </w:r>
      <w:r w:rsidR="00AE30D2" w:rsidRPr="00061FB1">
        <w:rPr>
          <w:rFonts w:ascii="Times New Roman" w:hAnsi="Times New Roman" w:cs="Times New Roman"/>
          <w:sz w:val="24"/>
          <w:szCs w:val="24"/>
        </w:rPr>
        <w:t xml:space="preserve"> Both t</w:t>
      </w:r>
      <w:r w:rsidR="0069072F" w:rsidRPr="00061FB1">
        <w:rPr>
          <w:rFonts w:ascii="Times New Roman" w:hAnsi="Times New Roman" w:cs="Times New Roman"/>
          <w:sz w:val="24"/>
          <w:szCs w:val="24"/>
        </w:rPr>
        <w:t>he devel</w:t>
      </w:r>
      <w:r w:rsidR="00AE30D2" w:rsidRPr="00061FB1">
        <w:rPr>
          <w:rFonts w:ascii="Times New Roman" w:hAnsi="Times New Roman" w:cs="Times New Roman"/>
          <w:sz w:val="24"/>
          <w:szCs w:val="24"/>
        </w:rPr>
        <w:t>oped and emerging countries have</w:t>
      </w:r>
      <w:r w:rsidR="0069072F" w:rsidRPr="00061FB1">
        <w:rPr>
          <w:rFonts w:ascii="Times New Roman" w:hAnsi="Times New Roman" w:cs="Times New Roman"/>
          <w:sz w:val="24"/>
          <w:szCs w:val="24"/>
        </w:rPr>
        <w:t xml:space="preserve"> emphasized on financial innovation for living a better and easy life along with economic development. The Covid-19 pandemic has opened a new era in the countries financial inclusion</w:t>
      </w:r>
      <w:r w:rsidR="00A129A6" w:rsidRPr="00061FB1">
        <w:rPr>
          <w:rFonts w:ascii="Times New Roman" w:hAnsi="Times New Roman" w:cs="Times New Roman"/>
          <w:sz w:val="24"/>
          <w:szCs w:val="24"/>
        </w:rPr>
        <w:t xml:space="preserve"> and innovation</w:t>
      </w:r>
      <w:r w:rsidR="0069072F" w:rsidRPr="00061FB1">
        <w:rPr>
          <w:rFonts w:ascii="Times New Roman" w:hAnsi="Times New Roman" w:cs="Times New Roman"/>
          <w:sz w:val="24"/>
          <w:szCs w:val="24"/>
        </w:rPr>
        <w:t xml:space="preserve">. The objective of this paper is showing the effect of pandemic in various financial innovation techniques in Bangladesh. This research was conducted by using secondary information. The outcomes concluded that the pandemic has significant role in the growth of financial services in Bangladesh. The government, banks and financial services providers’ policy and new invention made it convenient for people to access in financial services amid pandemic. The findings suggest that, Bangladeshi people are accessing different digital financial services than before but it will take time to ensure financial inclusion for all where government and banks need to work for security issues, fastest internet and spread the financial literacy among people.  </w:t>
      </w:r>
    </w:p>
    <w:p w:rsidR="0049270C" w:rsidRPr="00061FB1" w:rsidRDefault="0049270C" w:rsidP="006517DB">
      <w:pPr>
        <w:spacing w:line="360" w:lineRule="auto"/>
        <w:jc w:val="both"/>
        <w:rPr>
          <w:rFonts w:ascii="Times New Roman" w:hAnsi="Times New Roman" w:cs="Times New Roman"/>
          <w:sz w:val="24"/>
          <w:szCs w:val="24"/>
        </w:rPr>
      </w:pPr>
      <w:r w:rsidRPr="00061FB1">
        <w:rPr>
          <w:rFonts w:ascii="Times New Roman" w:hAnsi="Times New Roman" w:cs="Times New Roman"/>
          <w:b/>
          <w:color w:val="1F3864" w:themeColor="accent5" w:themeShade="80"/>
          <w:sz w:val="24"/>
          <w:szCs w:val="24"/>
        </w:rPr>
        <w:t>Key Words:</w:t>
      </w:r>
      <w:r w:rsidRPr="00061FB1">
        <w:rPr>
          <w:rFonts w:ascii="Times New Roman" w:hAnsi="Times New Roman" w:cs="Times New Roman"/>
          <w:color w:val="1F3864" w:themeColor="accent5" w:themeShade="80"/>
          <w:sz w:val="24"/>
          <w:szCs w:val="24"/>
        </w:rPr>
        <w:t xml:space="preserve"> </w:t>
      </w:r>
      <w:r w:rsidRPr="00061FB1">
        <w:rPr>
          <w:rFonts w:ascii="Times New Roman" w:hAnsi="Times New Roman" w:cs="Times New Roman"/>
          <w:sz w:val="24"/>
          <w:szCs w:val="24"/>
        </w:rPr>
        <w:t xml:space="preserve">Financial Innovation, Financial Inclusion, Economic Development, </w:t>
      </w:r>
      <w:proofErr w:type="spellStart"/>
      <w:r w:rsidRPr="00061FB1">
        <w:rPr>
          <w:rFonts w:ascii="Times New Roman" w:hAnsi="Times New Roman" w:cs="Times New Roman"/>
          <w:sz w:val="24"/>
          <w:szCs w:val="24"/>
        </w:rPr>
        <w:t>Fin</w:t>
      </w:r>
      <w:r w:rsidR="009744F9">
        <w:rPr>
          <w:rFonts w:ascii="Times New Roman" w:hAnsi="Times New Roman" w:cs="Times New Roman"/>
          <w:sz w:val="24"/>
          <w:szCs w:val="24"/>
        </w:rPr>
        <w:t>t</w:t>
      </w:r>
      <w:r w:rsidRPr="00061FB1">
        <w:rPr>
          <w:rFonts w:ascii="Times New Roman" w:hAnsi="Times New Roman" w:cs="Times New Roman"/>
          <w:sz w:val="24"/>
          <w:szCs w:val="24"/>
        </w:rPr>
        <w:t>ech</w:t>
      </w:r>
      <w:proofErr w:type="spellEnd"/>
      <w:r w:rsidRPr="00061FB1">
        <w:rPr>
          <w:rFonts w:ascii="Times New Roman" w:hAnsi="Times New Roman" w:cs="Times New Roman"/>
          <w:sz w:val="24"/>
          <w:szCs w:val="24"/>
        </w:rPr>
        <w:t>, DFS, MFS, Covid-19.</w:t>
      </w:r>
    </w:p>
    <w:p w:rsidR="0049270C" w:rsidRPr="00061FB1" w:rsidRDefault="0049270C" w:rsidP="006517DB">
      <w:pPr>
        <w:spacing w:line="360" w:lineRule="auto"/>
        <w:jc w:val="both"/>
        <w:rPr>
          <w:rFonts w:ascii="Times New Roman" w:hAnsi="Times New Roman" w:cs="Times New Roman"/>
          <w:sz w:val="24"/>
          <w:szCs w:val="24"/>
        </w:rPr>
      </w:pPr>
    </w:p>
    <w:p w:rsidR="00D175D9" w:rsidRPr="00061FB1" w:rsidRDefault="00D175D9"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682128381"/>
        <w:docPartObj>
          <w:docPartGallery w:val="Table of Contents"/>
          <w:docPartUnique/>
        </w:docPartObj>
      </w:sdtPr>
      <w:sdtEndPr>
        <w:rPr>
          <w:b/>
          <w:bCs/>
          <w:noProof/>
        </w:rPr>
      </w:sdtEndPr>
      <w:sdtContent>
        <w:p w:rsidR="003C0B50" w:rsidRDefault="003C0B50">
          <w:pPr>
            <w:pStyle w:val="TOCHeading"/>
          </w:pPr>
          <w:r>
            <w:t>Contents</w:t>
          </w:r>
        </w:p>
        <w:p w:rsidR="003C0B50" w:rsidRDefault="003C0B5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67370122" w:history="1">
            <w:r w:rsidRPr="00571EE0">
              <w:rPr>
                <w:rStyle w:val="Hyperlink"/>
                <w:rFonts w:ascii="Times New Roman" w:hAnsi="Times New Roman" w:cs="Times New Roman"/>
                <w:noProof/>
              </w:rPr>
              <w:t>Letter of Acknowledgement</w:t>
            </w:r>
            <w:r>
              <w:rPr>
                <w:noProof/>
                <w:webHidden/>
              </w:rPr>
              <w:tab/>
            </w:r>
            <w:r>
              <w:rPr>
                <w:noProof/>
                <w:webHidden/>
              </w:rPr>
              <w:fldChar w:fldCharType="begin"/>
            </w:r>
            <w:r>
              <w:rPr>
                <w:noProof/>
                <w:webHidden/>
              </w:rPr>
              <w:instrText xml:space="preserve"> PAGEREF _Toc67370122 \h </w:instrText>
            </w:r>
            <w:r>
              <w:rPr>
                <w:noProof/>
                <w:webHidden/>
              </w:rPr>
            </w:r>
            <w:r>
              <w:rPr>
                <w:noProof/>
                <w:webHidden/>
              </w:rPr>
              <w:fldChar w:fldCharType="separate"/>
            </w:r>
            <w:r w:rsidR="008A632F">
              <w:rPr>
                <w:noProof/>
                <w:webHidden/>
              </w:rPr>
              <w:t>iii</w:t>
            </w:r>
            <w:r>
              <w:rPr>
                <w:noProof/>
                <w:webHidden/>
              </w:rPr>
              <w:fldChar w:fldCharType="end"/>
            </w:r>
          </w:hyperlink>
        </w:p>
        <w:p w:rsidR="003C0B50" w:rsidRDefault="002D2A7A">
          <w:pPr>
            <w:pStyle w:val="TOC1"/>
            <w:tabs>
              <w:tab w:val="right" w:leader="dot" w:pos="9350"/>
            </w:tabs>
            <w:rPr>
              <w:rFonts w:eastAsiaTheme="minorEastAsia"/>
              <w:noProof/>
            </w:rPr>
          </w:pPr>
          <w:hyperlink w:anchor="_Toc67370123" w:history="1">
            <w:r w:rsidR="003C0B50" w:rsidRPr="00571EE0">
              <w:rPr>
                <w:rStyle w:val="Hyperlink"/>
                <w:rFonts w:ascii="Times New Roman" w:hAnsi="Times New Roman" w:cs="Times New Roman"/>
                <w:noProof/>
              </w:rPr>
              <w:t>Letter of Transmittal</w:t>
            </w:r>
            <w:r w:rsidR="003C0B50">
              <w:rPr>
                <w:noProof/>
                <w:webHidden/>
              </w:rPr>
              <w:tab/>
            </w:r>
            <w:r w:rsidR="003C0B50">
              <w:rPr>
                <w:noProof/>
                <w:webHidden/>
              </w:rPr>
              <w:fldChar w:fldCharType="begin"/>
            </w:r>
            <w:r w:rsidR="003C0B50">
              <w:rPr>
                <w:noProof/>
                <w:webHidden/>
              </w:rPr>
              <w:instrText xml:space="preserve"> PAGEREF _Toc67370123 \h </w:instrText>
            </w:r>
            <w:r w:rsidR="003C0B50">
              <w:rPr>
                <w:noProof/>
                <w:webHidden/>
              </w:rPr>
            </w:r>
            <w:r w:rsidR="003C0B50">
              <w:rPr>
                <w:noProof/>
                <w:webHidden/>
              </w:rPr>
              <w:fldChar w:fldCharType="separate"/>
            </w:r>
            <w:r w:rsidR="008A632F">
              <w:rPr>
                <w:noProof/>
                <w:webHidden/>
              </w:rPr>
              <w:t>iv</w:t>
            </w:r>
            <w:r w:rsidR="003C0B50">
              <w:rPr>
                <w:noProof/>
                <w:webHidden/>
              </w:rPr>
              <w:fldChar w:fldCharType="end"/>
            </w:r>
          </w:hyperlink>
        </w:p>
        <w:p w:rsidR="003C0B50" w:rsidRDefault="002D2A7A">
          <w:pPr>
            <w:pStyle w:val="TOC1"/>
            <w:tabs>
              <w:tab w:val="right" w:leader="dot" w:pos="9350"/>
            </w:tabs>
            <w:rPr>
              <w:rFonts w:eastAsiaTheme="minorEastAsia"/>
              <w:noProof/>
            </w:rPr>
          </w:pPr>
          <w:hyperlink w:anchor="_Toc67370124" w:history="1">
            <w:r w:rsidR="003C0B50" w:rsidRPr="00571EE0">
              <w:rPr>
                <w:rStyle w:val="Hyperlink"/>
                <w:rFonts w:ascii="Times New Roman" w:hAnsi="Times New Roman" w:cs="Times New Roman"/>
                <w:noProof/>
              </w:rPr>
              <w:t>Abstract</w:t>
            </w:r>
            <w:r w:rsidR="003C0B50">
              <w:rPr>
                <w:noProof/>
                <w:webHidden/>
              </w:rPr>
              <w:tab/>
            </w:r>
            <w:r w:rsidR="003C0B50">
              <w:rPr>
                <w:noProof/>
                <w:webHidden/>
              </w:rPr>
              <w:fldChar w:fldCharType="begin"/>
            </w:r>
            <w:r w:rsidR="003C0B50">
              <w:rPr>
                <w:noProof/>
                <w:webHidden/>
              </w:rPr>
              <w:instrText xml:space="preserve"> PAGEREF _Toc67370124 \h </w:instrText>
            </w:r>
            <w:r w:rsidR="003C0B50">
              <w:rPr>
                <w:noProof/>
                <w:webHidden/>
              </w:rPr>
            </w:r>
            <w:r w:rsidR="003C0B50">
              <w:rPr>
                <w:noProof/>
                <w:webHidden/>
              </w:rPr>
              <w:fldChar w:fldCharType="separate"/>
            </w:r>
            <w:r w:rsidR="008A632F">
              <w:rPr>
                <w:noProof/>
                <w:webHidden/>
              </w:rPr>
              <w:t>v</w:t>
            </w:r>
            <w:r w:rsidR="003C0B50">
              <w:rPr>
                <w:noProof/>
                <w:webHidden/>
              </w:rPr>
              <w:fldChar w:fldCharType="end"/>
            </w:r>
          </w:hyperlink>
        </w:p>
        <w:p w:rsidR="003C0B50" w:rsidRDefault="002D2A7A">
          <w:pPr>
            <w:pStyle w:val="TOC1"/>
            <w:tabs>
              <w:tab w:val="left" w:pos="440"/>
              <w:tab w:val="right" w:leader="dot" w:pos="9350"/>
            </w:tabs>
            <w:rPr>
              <w:rFonts w:eastAsiaTheme="minorEastAsia"/>
              <w:noProof/>
            </w:rPr>
          </w:pPr>
          <w:hyperlink w:anchor="_Toc67370125" w:history="1">
            <w:r w:rsidR="003C0B50" w:rsidRPr="00571EE0">
              <w:rPr>
                <w:rStyle w:val="Hyperlink"/>
                <w:rFonts w:ascii="Times New Roman" w:hAnsi="Times New Roman" w:cs="Times New Roman"/>
                <w:noProof/>
              </w:rPr>
              <w:t>1.</w:t>
            </w:r>
            <w:r w:rsidR="003C0B50">
              <w:rPr>
                <w:rFonts w:eastAsiaTheme="minorEastAsia"/>
                <w:noProof/>
              </w:rPr>
              <w:tab/>
            </w:r>
            <w:r w:rsidR="003C0B50" w:rsidRPr="00571EE0">
              <w:rPr>
                <w:rStyle w:val="Hyperlink"/>
                <w:rFonts w:ascii="Times New Roman" w:hAnsi="Times New Roman" w:cs="Times New Roman"/>
                <w:noProof/>
              </w:rPr>
              <w:t>Introduction</w:t>
            </w:r>
            <w:r w:rsidR="003C0B50">
              <w:rPr>
                <w:noProof/>
                <w:webHidden/>
              </w:rPr>
              <w:tab/>
            </w:r>
            <w:r w:rsidR="003C0B50">
              <w:rPr>
                <w:noProof/>
                <w:webHidden/>
              </w:rPr>
              <w:fldChar w:fldCharType="begin"/>
            </w:r>
            <w:r w:rsidR="003C0B50">
              <w:rPr>
                <w:noProof/>
                <w:webHidden/>
              </w:rPr>
              <w:instrText xml:space="preserve"> PAGEREF _Toc67370125 \h </w:instrText>
            </w:r>
            <w:r w:rsidR="003C0B50">
              <w:rPr>
                <w:noProof/>
                <w:webHidden/>
              </w:rPr>
            </w:r>
            <w:r w:rsidR="003C0B50">
              <w:rPr>
                <w:noProof/>
                <w:webHidden/>
              </w:rPr>
              <w:fldChar w:fldCharType="separate"/>
            </w:r>
            <w:r w:rsidR="008A632F">
              <w:rPr>
                <w:noProof/>
                <w:webHidden/>
              </w:rPr>
              <w:t>1</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26" w:history="1">
            <w:r w:rsidR="003C0B50" w:rsidRPr="00571EE0">
              <w:rPr>
                <w:rStyle w:val="Hyperlink"/>
                <w:rFonts w:ascii="Times New Roman" w:hAnsi="Times New Roman" w:cs="Times New Roman"/>
                <w:noProof/>
              </w:rPr>
              <w:t>1.1 Introduction to the topic in hand</w:t>
            </w:r>
            <w:r w:rsidR="003C0B50">
              <w:rPr>
                <w:noProof/>
                <w:webHidden/>
              </w:rPr>
              <w:tab/>
            </w:r>
            <w:r w:rsidR="003C0B50">
              <w:rPr>
                <w:noProof/>
                <w:webHidden/>
              </w:rPr>
              <w:fldChar w:fldCharType="begin"/>
            </w:r>
            <w:r w:rsidR="003C0B50">
              <w:rPr>
                <w:noProof/>
                <w:webHidden/>
              </w:rPr>
              <w:instrText xml:space="preserve"> PAGEREF _Toc67370126 \h </w:instrText>
            </w:r>
            <w:r w:rsidR="003C0B50">
              <w:rPr>
                <w:noProof/>
                <w:webHidden/>
              </w:rPr>
            </w:r>
            <w:r w:rsidR="003C0B50">
              <w:rPr>
                <w:noProof/>
                <w:webHidden/>
              </w:rPr>
              <w:fldChar w:fldCharType="separate"/>
            </w:r>
            <w:r w:rsidR="008A632F">
              <w:rPr>
                <w:noProof/>
                <w:webHidden/>
              </w:rPr>
              <w:t>1</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27" w:history="1">
            <w:r w:rsidR="003C0B50" w:rsidRPr="00571EE0">
              <w:rPr>
                <w:rStyle w:val="Hyperlink"/>
                <w:rFonts w:ascii="Times New Roman" w:hAnsi="Times New Roman" w:cs="Times New Roman"/>
                <w:noProof/>
              </w:rPr>
              <w:t>1.2 A brief introduction of the concerned field</w:t>
            </w:r>
            <w:r w:rsidR="003C0B50">
              <w:rPr>
                <w:noProof/>
                <w:webHidden/>
              </w:rPr>
              <w:tab/>
            </w:r>
            <w:r w:rsidR="003C0B50">
              <w:rPr>
                <w:noProof/>
                <w:webHidden/>
              </w:rPr>
              <w:fldChar w:fldCharType="begin"/>
            </w:r>
            <w:r w:rsidR="003C0B50">
              <w:rPr>
                <w:noProof/>
                <w:webHidden/>
              </w:rPr>
              <w:instrText xml:space="preserve"> PAGEREF _Toc67370127 \h </w:instrText>
            </w:r>
            <w:r w:rsidR="003C0B50">
              <w:rPr>
                <w:noProof/>
                <w:webHidden/>
              </w:rPr>
            </w:r>
            <w:r w:rsidR="003C0B50">
              <w:rPr>
                <w:noProof/>
                <w:webHidden/>
              </w:rPr>
              <w:fldChar w:fldCharType="separate"/>
            </w:r>
            <w:r w:rsidR="008A632F">
              <w:rPr>
                <w:noProof/>
                <w:webHidden/>
              </w:rPr>
              <w:t>2</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28" w:history="1">
            <w:r w:rsidR="003C0B50" w:rsidRPr="00571EE0">
              <w:rPr>
                <w:rStyle w:val="Hyperlink"/>
                <w:rFonts w:ascii="Times New Roman" w:hAnsi="Times New Roman" w:cs="Times New Roman"/>
                <w:noProof/>
              </w:rPr>
              <w:t>1.3 Rationale of the study</w:t>
            </w:r>
            <w:r w:rsidR="003C0B50">
              <w:rPr>
                <w:noProof/>
                <w:webHidden/>
              </w:rPr>
              <w:tab/>
            </w:r>
            <w:r w:rsidR="003C0B50">
              <w:rPr>
                <w:noProof/>
                <w:webHidden/>
              </w:rPr>
              <w:fldChar w:fldCharType="begin"/>
            </w:r>
            <w:r w:rsidR="003C0B50">
              <w:rPr>
                <w:noProof/>
                <w:webHidden/>
              </w:rPr>
              <w:instrText xml:space="preserve"> PAGEREF _Toc67370128 \h </w:instrText>
            </w:r>
            <w:r w:rsidR="003C0B50">
              <w:rPr>
                <w:noProof/>
                <w:webHidden/>
              </w:rPr>
            </w:r>
            <w:r w:rsidR="003C0B50">
              <w:rPr>
                <w:noProof/>
                <w:webHidden/>
              </w:rPr>
              <w:fldChar w:fldCharType="separate"/>
            </w:r>
            <w:r w:rsidR="008A632F">
              <w:rPr>
                <w:noProof/>
                <w:webHidden/>
              </w:rPr>
              <w:t>2</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29" w:history="1">
            <w:r w:rsidR="003C0B50" w:rsidRPr="00571EE0">
              <w:rPr>
                <w:rStyle w:val="Hyperlink"/>
                <w:rFonts w:ascii="Times New Roman" w:hAnsi="Times New Roman" w:cs="Times New Roman"/>
                <w:noProof/>
              </w:rPr>
              <w:t>1.4 Background of the study</w:t>
            </w:r>
            <w:r w:rsidR="003C0B50">
              <w:rPr>
                <w:noProof/>
                <w:webHidden/>
              </w:rPr>
              <w:tab/>
            </w:r>
            <w:r w:rsidR="003C0B50">
              <w:rPr>
                <w:noProof/>
                <w:webHidden/>
              </w:rPr>
              <w:fldChar w:fldCharType="begin"/>
            </w:r>
            <w:r w:rsidR="003C0B50">
              <w:rPr>
                <w:noProof/>
                <w:webHidden/>
              </w:rPr>
              <w:instrText xml:space="preserve"> PAGEREF _Toc67370129 \h </w:instrText>
            </w:r>
            <w:r w:rsidR="003C0B50">
              <w:rPr>
                <w:noProof/>
                <w:webHidden/>
              </w:rPr>
            </w:r>
            <w:r w:rsidR="003C0B50">
              <w:rPr>
                <w:noProof/>
                <w:webHidden/>
              </w:rPr>
              <w:fldChar w:fldCharType="separate"/>
            </w:r>
            <w:r w:rsidR="008A632F">
              <w:rPr>
                <w:noProof/>
                <w:webHidden/>
              </w:rPr>
              <w:t>3</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30" w:history="1">
            <w:r w:rsidR="003C0B50" w:rsidRPr="00571EE0">
              <w:rPr>
                <w:rStyle w:val="Hyperlink"/>
                <w:rFonts w:ascii="Times New Roman" w:hAnsi="Times New Roman" w:cs="Times New Roman"/>
                <w:noProof/>
              </w:rPr>
              <w:t>1.5 Limitations of the study</w:t>
            </w:r>
            <w:r w:rsidR="003C0B50">
              <w:rPr>
                <w:noProof/>
                <w:webHidden/>
              </w:rPr>
              <w:tab/>
            </w:r>
            <w:r w:rsidR="003C0B50">
              <w:rPr>
                <w:noProof/>
                <w:webHidden/>
              </w:rPr>
              <w:fldChar w:fldCharType="begin"/>
            </w:r>
            <w:r w:rsidR="003C0B50">
              <w:rPr>
                <w:noProof/>
                <w:webHidden/>
              </w:rPr>
              <w:instrText xml:space="preserve"> PAGEREF _Toc67370130 \h </w:instrText>
            </w:r>
            <w:r w:rsidR="003C0B50">
              <w:rPr>
                <w:noProof/>
                <w:webHidden/>
              </w:rPr>
            </w:r>
            <w:r w:rsidR="003C0B50">
              <w:rPr>
                <w:noProof/>
                <w:webHidden/>
              </w:rPr>
              <w:fldChar w:fldCharType="separate"/>
            </w:r>
            <w:r w:rsidR="008A632F">
              <w:rPr>
                <w:noProof/>
                <w:webHidden/>
              </w:rPr>
              <w:t>4</w:t>
            </w:r>
            <w:r w:rsidR="003C0B50">
              <w:rPr>
                <w:noProof/>
                <w:webHidden/>
              </w:rPr>
              <w:fldChar w:fldCharType="end"/>
            </w:r>
          </w:hyperlink>
        </w:p>
        <w:p w:rsidR="003C0B50" w:rsidRDefault="002D2A7A">
          <w:pPr>
            <w:pStyle w:val="TOC1"/>
            <w:tabs>
              <w:tab w:val="right" w:leader="dot" w:pos="9350"/>
            </w:tabs>
            <w:rPr>
              <w:rFonts w:eastAsiaTheme="minorEastAsia"/>
              <w:noProof/>
            </w:rPr>
          </w:pPr>
          <w:hyperlink w:anchor="_Toc67370131" w:history="1">
            <w:r w:rsidR="003C0B50" w:rsidRPr="00571EE0">
              <w:rPr>
                <w:rStyle w:val="Hyperlink"/>
                <w:rFonts w:ascii="Times New Roman" w:hAnsi="Times New Roman" w:cs="Times New Roman"/>
                <w:noProof/>
              </w:rPr>
              <w:t>0.2 Objectives of the study</w:t>
            </w:r>
            <w:r w:rsidR="003C0B50">
              <w:rPr>
                <w:noProof/>
                <w:webHidden/>
              </w:rPr>
              <w:tab/>
            </w:r>
            <w:r w:rsidR="003C0B50">
              <w:rPr>
                <w:noProof/>
                <w:webHidden/>
              </w:rPr>
              <w:fldChar w:fldCharType="begin"/>
            </w:r>
            <w:r w:rsidR="003C0B50">
              <w:rPr>
                <w:noProof/>
                <w:webHidden/>
              </w:rPr>
              <w:instrText xml:space="preserve"> PAGEREF _Toc67370131 \h </w:instrText>
            </w:r>
            <w:r w:rsidR="003C0B50">
              <w:rPr>
                <w:noProof/>
                <w:webHidden/>
              </w:rPr>
            </w:r>
            <w:r w:rsidR="003C0B50">
              <w:rPr>
                <w:noProof/>
                <w:webHidden/>
              </w:rPr>
              <w:fldChar w:fldCharType="separate"/>
            </w:r>
            <w:r w:rsidR="008A632F">
              <w:rPr>
                <w:noProof/>
                <w:webHidden/>
              </w:rPr>
              <w:t>5</w:t>
            </w:r>
            <w:r w:rsidR="003C0B50">
              <w:rPr>
                <w:noProof/>
                <w:webHidden/>
              </w:rPr>
              <w:fldChar w:fldCharType="end"/>
            </w:r>
          </w:hyperlink>
        </w:p>
        <w:p w:rsidR="003C0B50" w:rsidRDefault="002D2A7A">
          <w:pPr>
            <w:pStyle w:val="TOC1"/>
            <w:tabs>
              <w:tab w:val="right" w:leader="dot" w:pos="9350"/>
            </w:tabs>
            <w:rPr>
              <w:rFonts w:eastAsiaTheme="minorEastAsia"/>
              <w:noProof/>
            </w:rPr>
          </w:pPr>
          <w:hyperlink w:anchor="_Toc67370132" w:history="1">
            <w:r w:rsidR="003C0B50" w:rsidRPr="00571EE0">
              <w:rPr>
                <w:rStyle w:val="Hyperlink"/>
                <w:rFonts w:ascii="Times New Roman" w:hAnsi="Times New Roman" w:cs="Times New Roman"/>
                <w:noProof/>
              </w:rPr>
              <w:t>0.3 Methodology of the study</w:t>
            </w:r>
            <w:r w:rsidR="003C0B50">
              <w:rPr>
                <w:noProof/>
                <w:webHidden/>
              </w:rPr>
              <w:tab/>
            </w:r>
            <w:r w:rsidR="003C0B50">
              <w:rPr>
                <w:noProof/>
                <w:webHidden/>
              </w:rPr>
              <w:fldChar w:fldCharType="begin"/>
            </w:r>
            <w:r w:rsidR="003C0B50">
              <w:rPr>
                <w:noProof/>
                <w:webHidden/>
              </w:rPr>
              <w:instrText xml:space="preserve"> PAGEREF _Toc67370132 \h </w:instrText>
            </w:r>
            <w:r w:rsidR="003C0B50">
              <w:rPr>
                <w:noProof/>
                <w:webHidden/>
              </w:rPr>
            </w:r>
            <w:r w:rsidR="003C0B50">
              <w:rPr>
                <w:noProof/>
                <w:webHidden/>
              </w:rPr>
              <w:fldChar w:fldCharType="separate"/>
            </w:r>
            <w:r w:rsidR="008A632F">
              <w:rPr>
                <w:noProof/>
                <w:webHidden/>
              </w:rPr>
              <w:t>6</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33" w:history="1">
            <w:r w:rsidR="003C0B50" w:rsidRPr="00571EE0">
              <w:rPr>
                <w:rStyle w:val="Hyperlink"/>
                <w:rFonts w:ascii="Times New Roman" w:hAnsi="Times New Roman" w:cs="Times New Roman"/>
                <w:noProof/>
              </w:rPr>
              <w:t>3.1 Data design</w:t>
            </w:r>
            <w:r w:rsidR="003C0B50">
              <w:rPr>
                <w:noProof/>
                <w:webHidden/>
              </w:rPr>
              <w:tab/>
            </w:r>
            <w:r w:rsidR="003C0B50">
              <w:rPr>
                <w:noProof/>
                <w:webHidden/>
              </w:rPr>
              <w:fldChar w:fldCharType="begin"/>
            </w:r>
            <w:r w:rsidR="003C0B50">
              <w:rPr>
                <w:noProof/>
                <w:webHidden/>
              </w:rPr>
              <w:instrText xml:space="preserve"> PAGEREF _Toc67370133 \h </w:instrText>
            </w:r>
            <w:r w:rsidR="003C0B50">
              <w:rPr>
                <w:noProof/>
                <w:webHidden/>
              </w:rPr>
            </w:r>
            <w:r w:rsidR="003C0B50">
              <w:rPr>
                <w:noProof/>
                <w:webHidden/>
              </w:rPr>
              <w:fldChar w:fldCharType="separate"/>
            </w:r>
            <w:r w:rsidR="008A632F">
              <w:rPr>
                <w:noProof/>
                <w:webHidden/>
              </w:rPr>
              <w:t>6</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34" w:history="1">
            <w:r w:rsidR="003C0B50" w:rsidRPr="00571EE0">
              <w:rPr>
                <w:rStyle w:val="Hyperlink"/>
                <w:rFonts w:ascii="Times New Roman" w:hAnsi="Times New Roman" w:cs="Times New Roman"/>
                <w:noProof/>
              </w:rPr>
              <w:t>3.2 Sample design</w:t>
            </w:r>
            <w:r w:rsidR="003C0B50">
              <w:rPr>
                <w:noProof/>
                <w:webHidden/>
              </w:rPr>
              <w:tab/>
            </w:r>
            <w:r w:rsidR="003C0B50">
              <w:rPr>
                <w:noProof/>
                <w:webHidden/>
              </w:rPr>
              <w:fldChar w:fldCharType="begin"/>
            </w:r>
            <w:r w:rsidR="003C0B50">
              <w:rPr>
                <w:noProof/>
                <w:webHidden/>
              </w:rPr>
              <w:instrText xml:space="preserve"> PAGEREF _Toc67370134 \h </w:instrText>
            </w:r>
            <w:r w:rsidR="003C0B50">
              <w:rPr>
                <w:noProof/>
                <w:webHidden/>
              </w:rPr>
            </w:r>
            <w:r w:rsidR="003C0B50">
              <w:rPr>
                <w:noProof/>
                <w:webHidden/>
              </w:rPr>
              <w:fldChar w:fldCharType="separate"/>
            </w:r>
            <w:r w:rsidR="008A632F">
              <w:rPr>
                <w:noProof/>
                <w:webHidden/>
              </w:rPr>
              <w:t>6</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35" w:history="1">
            <w:r w:rsidR="003C0B50" w:rsidRPr="00571EE0">
              <w:rPr>
                <w:rStyle w:val="Hyperlink"/>
                <w:rFonts w:ascii="Times New Roman" w:hAnsi="Times New Roman" w:cs="Times New Roman"/>
                <w:noProof/>
              </w:rPr>
              <w:t>3.3 Analytical tools</w:t>
            </w:r>
            <w:r w:rsidR="003C0B50">
              <w:rPr>
                <w:noProof/>
                <w:webHidden/>
              </w:rPr>
              <w:tab/>
            </w:r>
            <w:r w:rsidR="003C0B50">
              <w:rPr>
                <w:noProof/>
                <w:webHidden/>
              </w:rPr>
              <w:fldChar w:fldCharType="begin"/>
            </w:r>
            <w:r w:rsidR="003C0B50">
              <w:rPr>
                <w:noProof/>
                <w:webHidden/>
              </w:rPr>
              <w:instrText xml:space="preserve"> PAGEREF _Toc67370135 \h </w:instrText>
            </w:r>
            <w:r w:rsidR="003C0B50">
              <w:rPr>
                <w:noProof/>
                <w:webHidden/>
              </w:rPr>
            </w:r>
            <w:r w:rsidR="003C0B50">
              <w:rPr>
                <w:noProof/>
                <w:webHidden/>
              </w:rPr>
              <w:fldChar w:fldCharType="separate"/>
            </w:r>
            <w:r w:rsidR="008A632F">
              <w:rPr>
                <w:noProof/>
                <w:webHidden/>
              </w:rPr>
              <w:t>6</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36" w:history="1">
            <w:r w:rsidR="003C0B50" w:rsidRPr="00571EE0">
              <w:rPr>
                <w:rStyle w:val="Hyperlink"/>
                <w:rFonts w:ascii="Times New Roman" w:hAnsi="Times New Roman" w:cs="Times New Roman"/>
                <w:noProof/>
              </w:rPr>
              <w:t>3.4 Model specification</w:t>
            </w:r>
            <w:r w:rsidR="003C0B50">
              <w:rPr>
                <w:noProof/>
                <w:webHidden/>
              </w:rPr>
              <w:tab/>
            </w:r>
            <w:r w:rsidR="003C0B50">
              <w:rPr>
                <w:noProof/>
                <w:webHidden/>
              </w:rPr>
              <w:fldChar w:fldCharType="begin"/>
            </w:r>
            <w:r w:rsidR="003C0B50">
              <w:rPr>
                <w:noProof/>
                <w:webHidden/>
              </w:rPr>
              <w:instrText xml:space="preserve"> PAGEREF _Toc67370136 \h </w:instrText>
            </w:r>
            <w:r w:rsidR="003C0B50">
              <w:rPr>
                <w:noProof/>
                <w:webHidden/>
              </w:rPr>
            </w:r>
            <w:r w:rsidR="003C0B50">
              <w:rPr>
                <w:noProof/>
                <w:webHidden/>
              </w:rPr>
              <w:fldChar w:fldCharType="separate"/>
            </w:r>
            <w:r w:rsidR="008A632F">
              <w:rPr>
                <w:noProof/>
                <w:webHidden/>
              </w:rPr>
              <w:t>6</w:t>
            </w:r>
            <w:r w:rsidR="003C0B50">
              <w:rPr>
                <w:noProof/>
                <w:webHidden/>
              </w:rPr>
              <w:fldChar w:fldCharType="end"/>
            </w:r>
          </w:hyperlink>
        </w:p>
        <w:p w:rsidR="003C0B50" w:rsidRDefault="002D2A7A">
          <w:pPr>
            <w:pStyle w:val="TOC1"/>
            <w:tabs>
              <w:tab w:val="right" w:leader="dot" w:pos="9350"/>
            </w:tabs>
            <w:rPr>
              <w:rFonts w:eastAsiaTheme="minorEastAsia"/>
              <w:noProof/>
            </w:rPr>
          </w:pPr>
          <w:hyperlink w:anchor="_Toc67370137" w:history="1">
            <w:r w:rsidR="003C0B50" w:rsidRPr="00571EE0">
              <w:rPr>
                <w:rStyle w:val="Hyperlink"/>
                <w:rFonts w:ascii="Times New Roman" w:hAnsi="Times New Roman" w:cs="Times New Roman"/>
                <w:noProof/>
              </w:rPr>
              <w:t>0.4 Literature Review</w:t>
            </w:r>
            <w:r w:rsidR="003C0B50">
              <w:rPr>
                <w:noProof/>
                <w:webHidden/>
              </w:rPr>
              <w:tab/>
            </w:r>
            <w:r w:rsidR="003C0B50">
              <w:rPr>
                <w:noProof/>
                <w:webHidden/>
              </w:rPr>
              <w:fldChar w:fldCharType="begin"/>
            </w:r>
            <w:r w:rsidR="003C0B50">
              <w:rPr>
                <w:noProof/>
                <w:webHidden/>
              </w:rPr>
              <w:instrText xml:space="preserve"> PAGEREF _Toc67370137 \h </w:instrText>
            </w:r>
            <w:r w:rsidR="003C0B50">
              <w:rPr>
                <w:noProof/>
                <w:webHidden/>
              </w:rPr>
            </w:r>
            <w:r w:rsidR="003C0B50">
              <w:rPr>
                <w:noProof/>
                <w:webHidden/>
              </w:rPr>
              <w:fldChar w:fldCharType="separate"/>
            </w:r>
            <w:r w:rsidR="008A632F">
              <w:rPr>
                <w:noProof/>
                <w:webHidden/>
              </w:rPr>
              <w:t>7</w:t>
            </w:r>
            <w:r w:rsidR="003C0B50">
              <w:rPr>
                <w:noProof/>
                <w:webHidden/>
              </w:rPr>
              <w:fldChar w:fldCharType="end"/>
            </w:r>
          </w:hyperlink>
        </w:p>
        <w:p w:rsidR="003C0B50" w:rsidRDefault="002D2A7A">
          <w:pPr>
            <w:pStyle w:val="TOC1"/>
            <w:tabs>
              <w:tab w:val="right" w:leader="dot" w:pos="9350"/>
            </w:tabs>
            <w:rPr>
              <w:rFonts w:eastAsiaTheme="minorEastAsia"/>
              <w:noProof/>
            </w:rPr>
          </w:pPr>
          <w:hyperlink w:anchor="_Toc67370138" w:history="1">
            <w:r w:rsidR="003C0B50" w:rsidRPr="00571EE0">
              <w:rPr>
                <w:rStyle w:val="Hyperlink"/>
                <w:rFonts w:ascii="Times New Roman" w:hAnsi="Times New Roman" w:cs="Times New Roman"/>
                <w:noProof/>
              </w:rPr>
              <w:t>0.5 Findings and Analysis</w:t>
            </w:r>
            <w:r w:rsidR="003C0B50">
              <w:rPr>
                <w:noProof/>
                <w:webHidden/>
              </w:rPr>
              <w:tab/>
            </w:r>
            <w:r w:rsidR="003C0B50">
              <w:rPr>
                <w:noProof/>
                <w:webHidden/>
              </w:rPr>
              <w:fldChar w:fldCharType="begin"/>
            </w:r>
            <w:r w:rsidR="003C0B50">
              <w:rPr>
                <w:noProof/>
                <w:webHidden/>
              </w:rPr>
              <w:instrText xml:space="preserve"> PAGEREF _Toc67370138 \h </w:instrText>
            </w:r>
            <w:r w:rsidR="003C0B50">
              <w:rPr>
                <w:noProof/>
                <w:webHidden/>
              </w:rPr>
            </w:r>
            <w:r w:rsidR="003C0B50">
              <w:rPr>
                <w:noProof/>
                <w:webHidden/>
              </w:rPr>
              <w:fldChar w:fldCharType="separate"/>
            </w:r>
            <w:r w:rsidR="008A632F">
              <w:rPr>
                <w:noProof/>
                <w:webHidden/>
              </w:rPr>
              <w:t>11</w:t>
            </w:r>
            <w:r w:rsidR="003C0B50">
              <w:rPr>
                <w:noProof/>
                <w:webHidden/>
              </w:rPr>
              <w:fldChar w:fldCharType="end"/>
            </w:r>
          </w:hyperlink>
        </w:p>
        <w:p w:rsidR="003C0B50" w:rsidRDefault="002D2A7A">
          <w:pPr>
            <w:pStyle w:val="TOC1"/>
            <w:tabs>
              <w:tab w:val="right" w:leader="dot" w:pos="9350"/>
            </w:tabs>
            <w:rPr>
              <w:rFonts w:eastAsiaTheme="minorEastAsia"/>
              <w:noProof/>
            </w:rPr>
          </w:pPr>
          <w:hyperlink w:anchor="_Toc67370139" w:history="1">
            <w:r w:rsidR="003C0B50" w:rsidRPr="00571EE0">
              <w:rPr>
                <w:rStyle w:val="Hyperlink"/>
                <w:rFonts w:ascii="Times New Roman" w:hAnsi="Times New Roman" w:cs="Times New Roman"/>
                <w:noProof/>
              </w:rPr>
              <w:t>0.6 Conclusion and Recommendations</w:t>
            </w:r>
            <w:r w:rsidR="003C0B50">
              <w:rPr>
                <w:noProof/>
                <w:webHidden/>
              </w:rPr>
              <w:tab/>
            </w:r>
            <w:r w:rsidR="003C0B50">
              <w:rPr>
                <w:noProof/>
                <w:webHidden/>
              </w:rPr>
              <w:fldChar w:fldCharType="begin"/>
            </w:r>
            <w:r w:rsidR="003C0B50">
              <w:rPr>
                <w:noProof/>
                <w:webHidden/>
              </w:rPr>
              <w:instrText xml:space="preserve"> PAGEREF _Toc67370139 \h </w:instrText>
            </w:r>
            <w:r w:rsidR="003C0B50">
              <w:rPr>
                <w:noProof/>
                <w:webHidden/>
              </w:rPr>
            </w:r>
            <w:r w:rsidR="003C0B50">
              <w:rPr>
                <w:noProof/>
                <w:webHidden/>
              </w:rPr>
              <w:fldChar w:fldCharType="separate"/>
            </w:r>
            <w:r w:rsidR="008A632F">
              <w:rPr>
                <w:noProof/>
                <w:webHidden/>
              </w:rPr>
              <w:t>25</w:t>
            </w:r>
            <w:r w:rsidR="003C0B50">
              <w:rPr>
                <w:noProof/>
                <w:webHidden/>
              </w:rPr>
              <w:fldChar w:fldCharType="end"/>
            </w:r>
          </w:hyperlink>
        </w:p>
        <w:p w:rsidR="003C0B50" w:rsidRDefault="002D2A7A">
          <w:pPr>
            <w:pStyle w:val="TOC1"/>
            <w:tabs>
              <w:tab w:val="right" w:leader="dot" w:pos="9350"/>
            </w:tabs>
            <w:rPr>
              <w:rFonts w:eastAsiaTheme="minorEastAsia"/>
              <w:noProof/>
            </w:rPr>
          </w:pPr>
          <w:hyperlink w:anchor="_Toc67370140" w:history="1">
            <w:r w:rsidR="003C0B50" w:rsidRPr="00571EE0">
              <w:rPr>
                <w:rStyle w:val="Hyperlink"/>
                <w:noProof/>
              </w:rPr>
              <w:t>0.7 Appendix</w:t>
            </w:r>
            <w:r w:rsidR="003C0B50">
              <w:rPr>
                <w:noProof/>
                <w:webHidden/>
              </w:rPr>
              <w:tab/>
            </w:r>
            <w:r w:rsidR="003C0B50">
              <w:rPr>
                <w:noProof/>
                <w:webHidden/>
              </w:rPr>
              <w:fldChar w:fldCharType="begin"/>
            </w:r>
            <w:r w:rsidR="003C0B50">
              <w:rPr>
                <w:noProof/>
                <w:webHidden/>
              </w:rPr>
              <w:instrText xml:space="preserve"> PAGEREF _Toc67370140 \h </w:instrText>
            </w:r>
            <w:r w:rsidR="003C0B50">
              <w:rPr>
                <w:noProof/>
                <w:webHidden/>
              </w:rPr>
            </w:r>
            <w:r w:rsidR="003C0B50">
              <w:rPr>
                <w:noProof/>
                <w:webHidden/>
              </w:rPr>
              <w:fldChar w:fldCharType="separate"/>
            </w:r>
            <w:r w:rsidR="008A632F">
              <w:rPr>
                <w:noProof/>
                <w:webHidden/>
              </w:rPr>
              <w:t>vii</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41" w:history="1">
            <w:r w:rsidR="003C0B50" w:rsidRPr="00571EE0">
              <w:rPr>
                <w:rStyle w:val="Hyperlink"/>
                <w:rFonts w:ascii="Times New Roman" w:hAnsi="Times New Roman" w:cs="Times New Roman"/>
                <w:noProof/>
              </w:rPr>
              <w:t>7.1 References</w:t>
            </w:r>
            <w:r w:rsidR="003C0B50">
              <w:rPr>
                <w:noProof/>
                <w:webHidden/>
              </w:rPr>
              <w:tab/>
            </w:r>
            <w:r w:rsidR="003C0B50">
              <w:rPr>
                <w:noProof/>
                <w:webHidden/>
              </w:rPr>
              <w:fldChar w:fldCharType="begin"/>
            </w:r>
            <w:r w:rsidR="003C0B50">
              <w:rPr>
                <w:noProof/>
                <w:webHidden/>
              </w:rPr>
              <w:instrText xml:space="preserve"> PAGEREF _Toc67370141 \h </w:instrText>
            </w:r>
            <w:r w:rsidR="003C0B50">
              <w:rPr>
                <w:noProof/>
                <w:webHidden/>
              </w:rPr>
            </w:r>
            <w:r w:rsidR="003C0B50">
              <w:rPr>
                <w:noProof/>
                <w:webHidden/>
              </w:rPr>
              <w:fldChar w:fldCharType="separate"/>
            </w:r>
            <w:r w:rsidR="008A632F">
              <w:rPr>
                <w:noProof/>
                <w:webHidden/>
              </w:rPr>
              <w:t>vii</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42" w:history="1">
            <w:r w:rsidR="003C0B50" w:rsidRPr="00571EE0">
              <w:rPr>
                <w:rStyle w:val="Hyperlink"/>
                <w:rFonts w:ascii="Times New Roman" w:hAnsi="Times New Roman" w:cs="Times New Roman"/>
                <w:noProof/>
              </w:rPr>
              <w:t>7.2 Important Abbreviation</w:t>
            </w:r>
            <w:r w:rsidR="003C0B50">
              <w:rPr>
                <w:noProof/>
                <w:webHidden/>
              </w:rPr>
              <w:tab/>
            </w:r>
            <w:r w:rsidR="003C0B50">
              <w:rPr>
                <w:noProof/>
                <w:webHidden/>
              </w:rPr>
              <w:fldChar w:fldCharType="begin"/>
            </w:r>
            <w:r w:rsidR="003C0B50">
              <w:rPr>
                <w:noProof/>
                <w:webHidden/>
              </w:rPr>
              <w:instrText xml:space="preserve"> PAGEREF _Toc67370142 \h </w:instrText>
            </w:r>
            <w:r w:rsidR="003C0B50">
              <w:rPr>
                <w:noProof/>
                <w:webHidden/>
              </w:rPr>
            </w:r>
            <w:r w:rsidR="003C0B50">
              <w:rPr>
                <w:noProof/>
                <w:webHidden/>
              </w:rPr>
              <w:fldChar w:fldCharType="separate"/>
            </w:r>
            <w:r w:rsidR="008A632F">
              <w:rPr>
                <w:noProof/>
                <w:webHidden/>
              </w:rPr>
              <w:t>ix</w:t>
            </w:r>
            <w:r w:rsidR="003C0B50">
              <w:rPr>
                <w:noProof/>
                <w:webHidden/>
              </w:rPr>
              <w:fldChar w:fldCharType="end"/>
            </w:r>
          </w:hyperlink>
        </w:p>
        <w:p w:rsidR="003C0B50" w:rsidRDefault="002D2A7A">
          <w:pPr>
            <w:pStyle w:val="TOC2"/>
            <w:tabs>
              <w:tab w:val="right" w:leader="dot" w:pos="9350"/>
            </w:tabs>
            <w:rPr>
              <w:rFonts w:eastAsiaTheme="minorEastAsia"/>
              <w:noProof/>
            </w:rPr>
          </w:pPr>
          <w:hyperlink w:anchor="_Toc67370143" w:history="1">
            <w:r w:rsidR="003C0B50" w:rsidRPr="00571EE0">
              <w:rPr>
                <w:rStyle w:val="Hyperlink"/>
                <w:rFonts w:ascii="Times New Roman" w:eastAsia="Times New Roman" w:hAnsi="Times New Roman" w:cs="Times New Roman"/>
                <w:noProof/>
              </w:rPr>
              <w:t>7.3 Tables and Charts</w:t>
            </w:r>
            <w:r w:rsidR="003C0B50">
              <w:rPr>
                <w:noProof/>
                <w:webHidden/>
              </w:rPr>
              <w:tab/>
            </w:r>
            <w:r w:rsidR="003C0B50">
              <w:rPr>
                <w:noProof/>
                <w:webHidden/>
              </w:rPr>
              <w:fldChar w:fldCharType="begin"/>
            </w:r>
            <w:r w:rsidR="003C0B50">
              <w:rPr>
                <w:noProof/>
                <w:webHidden/>
              </w:rPr>
              <w:instrText xml:space="preserve"> PAGEREF _Toc67370143 \h </w:instrText>
            </w:r>
            <w:r w:rsidR="003C0B50">
              <w:rPr>
                <w:noProof/>
                <w:webHidden/>
              </w:rPr>
            </w:r>
            <w:r w:rsidR="003C0B50">
              <w:rPr>
                <w:noProof/>
                <w:webHidden/>
              </w:rPr>
              <w:fldChar w:fldCharType="separate"/>
            </w:r>
            <w:r w:rsidR="008A632F">
              <w:rPr>
                <w:noProof/>
                <w:webHidden/>
              </w:rPr>
              <w:t>ix</w:t>
            </w:r>
            <w:r w:rsidR="003C0B50">
              <w:rPr>
                <w:noProof/>
                <w:webHidden/>
              </w:rPr>
              <w:fldChar w:fldCharType="end"/>
            </w:r>
          </w:hyperlink>
        </w:p>
        <w:p w:rsidR="003C0B50" w:rsidRDefault="003C0B50">
          <w:r>
            <w:rPr>
              <w:b/>
              <w:bCs/>
              <w:noProof/>
            </w:rPr>
            <w:fldChar w:fldCharType="end"/>
          </w:r>
        </w:p>
      </w:sdtContent>
    </w:sdt>
    <w:p w:rsidR="00D175D9" w:rsidRPr="00061FB1" w:rsidRDefault="00D175D9" w:rsidP="006517DB">
      <w:pPr>
        <w:spacing w:line="360" w:lineRule="auto"/>
        <w:jc w:val="both"/>
        <w:rPr>
          <w:rFonts w:ascii="Times New Roman" w:hAnsi="Times New Roman" w:cs="Times New Roman"/>
          <w:sz w:val="24"/>
          <w:szCs w:val="24"/>
        </w:rPr>
      </w:pPr>
    </w:p>
    <w:p w:rsidR="00E23AEA" w:rsidRPr="00061FB1" w:rsidRDefault="00E23AEA" w:rsidP="006517DB">
      <w:pPr>
        <w:spacing w:line="360" w:lineRule="auto"/>
        <w:jc w:val="both"/>
        <w:rPr>
          <w:rFonts w:ascii="Times New Roman" w:hAnsi="Times New Roman" w:cs="Times New Roman"/>
          <w:sz w:val="24"/>
          <w:szCs w:val="24"/>
        </w:rPr>
      </w:pPr>
    </w:p>
    <w:p w:rsidR="00E23AEA" w:rsidRPr="00061FB1" w:rsidRDefault="00E23AEA" w:rsidP="006517DB">
      <w:pPr>
        <w:spacing w:line="360" w:lineRule="auto"/>
        <w:jc w:val="both"/>
        <w:rPr>
          <w:rFonts w:ascii="Times New Roman" w:hAnsi="Times New Roman" w:cs="Times New Roman"/>
          <w:sz w:val="24"/>
          <w:szCs w:val="24"/>
        </w:rPr>
        <w:sectPr w:rsidR="00E23AEA" w:rsidRPr="00061FB1" w:rsidSect="00DF71C2">
          <w:footerReference w:type="default" r:id="rId11"/>
          <w:pgSz w:w="12240" w:h="15840"/>
          <w:pgMar w:top="1440" w:right="1440" w:bottom="1440" w:left="1440" w:header="720" w:footer="720" w:gutter="0"/>
          <w:pgNumType w:fmt="lowerRoman" w:start="1"/>
          <w:cols w:space="720"/>
          <w:titlePg/>
          <w:docGrid w:linePitch="360"/>
        </w:sectPr>
      </w:pPr>
    </w:p>
    <w:p w:rsidR="00D175D9" w:rsidRPr="00D36202" w:rsidRDefault="00EF2F9E" w:rsidP="00773E74">
      <w:pPr>
        <w:pStyle w:val="Heading1"/>
        <w:numPr>
          <w:ilvl w:val="0"/>
          <w:numId w:val="4"/>
        </w:numPr>
        <w:rPr>
          <w:rFonts w:ascii="Times New Roman" w:hAnsi="Times New Roman" w:cs="Times New Roman"/>
          <w:sz w:val="28"/>
          <w:szCs w:val="28"/>
        </w:rPr>
      </w:pPr>
      <w:bookmarkStart w:id="5" w:name="_Toc67370125"/>
      <w:r w:rsidRPr="00D36202">
        <w:rPr>
          <w:rFonts w:ascii="Times New Roman" w:hAnsi="Times New Roman" w:cs="Times New Roman"/>
          <w:sz w:val="28"/>
          <w:szCs w:val="28"/>
        </w:rPr>
        <w:lastRenderedPageBreak/>
        <w:t>Introduction</w:t>
      </w:r>
      <w:bookmarkEnd w:id="5"/>
    </w:p>
    <w:p w:rsidR="000F58BD" w:rsidRPr="00061FB1" w:rsidRDefault="000F58BD" w:rsidP="000F58BD">
      <w:pPr>
        <w:rPr>
          <w:rFonts w:ascii="Times New Roman" w:hAnsi="Times New Roman" w:cs="Times New Roman"/>
          <w:sz w:val="24"/>
          <w:szCs w:val="24"/>
        </w:rPr>
      </w:pPr>
    </w:p>
    <w:p w:rsidR="00773E74" w:rsidRPr="00061FB1" w:rsidRDefault="001956DF" w:rsidP="001956DF">
      <w:pPr>
        <w:pStyle w:val="Heading2"/>
        <w:rPr>
          <w:rFonts w:ascii="Times New Roman" w:hAnsi="Times New Roman" w:cs="Times New Roman"/>
          <w:sz w:val="24"/>
          <w:szCs w:val="24"/>
        </w:rPr>
      </w:pPr>
      <w:r w:rsidRPr="00061FB1">
        <w:rPr>
          <w:rFonts w:ascii="Times New Roman" w:hAnsi="Times New Roman" w:cs="Times New Roman"/>
          <w:sz w:val="24"/>
          <w:szCs w:val="24"/>
        </w:rPr>
        <w:t xml:space="preserve"> </w:t>
      </w:r>
      <w:bookmarkStart w:id="6" w:name="_Toc67370126"/>
      <w:r w:rsidRPr="00061FB1">
        <w:rPr>
          <w:rFonts w:ascii="Times New Roman" w:hAnsi="Times New Roman" w:cs="Times New Roman"/>
          <w:sz w:val="24"/>
          <w:szCs w:val="24"/>
        </w:rPr>
        <w:t>1.1 Introduction to the topic in hand</w:t>
      </w:r>
      <w:bookmarkEnd w:id="6"/>
    </w:p>
    <w:p w:rsidR="0075376F" w:rsidRPr="00061FB1" w:rsidRDefault="0075376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Economic growth cannot be imagined without a productive financial system. The financial system is the group of institutions, instruments, markets and rules through which financial services are provided, interest rates are decided and financial assets are swapped </w:t>
      </w:r>
      <w:sdt>
        <w:sdtPr>
          <w:rPr>
            <w:rFonts w:ascii="Times New Roman" w:hAnsi="Times New Roman" w:cs="Times New Roman"/>
            <w:sz w:val="24"/>
            <w:szCs w:val="24"/>
          </w:rPr>
          <w:id w:val="984200376"/>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Pet09 \l 1033 </w:instrText>
          </w:r>
          <w:r w:rsidRPr="00061FB1">
            <w:rPr>
              <w:rFonts w:ascii="Times New Roman" w:hAnsi="Times New Roman" w:cs="Times New Roman"/>
              <w:sz w:val="24"/>
              <w:szCs w:val="24"/>
            </w:rPr>
            <w:fldChar w:fldCharType="separate"/>
          </w:r>
          <w:r w:rsidR="001E4301" w:rsidRPr="001E4301">
            <w:rPr>
              <w:rFonts w:ascii="Times New Roman" w:hAnsi="Times New Roman" w:cs="Times New Roman"/>
              <w:noProof/>
              <w:sz w:val="24"/>
              <w:szCs w:val="24"/>
            </w:rPr>
            <w:t>(Marquis, 2009)</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.The financial system is</w:t>
      </w:r>
      <w:r w:rsidR="00FD6B8A" w:rsidRPr="00061FB1">
        <w:rPr>
          <w:rFonts w:ascii="Times New Roman" w:hAnsi="Times New Roman" w:cs="Times New Roman"/>
          <w:sz w:val="24"/>
          <w:szCs w:val="24"/>
        </w:rPr>
        <w:t xml:space="preserve"> also</w:t>
      </w:r>
      <w:r w:rsidRPr="00061FB1">
        <w:rPr>
          <w:rFonts w:ascii="Times New Roman" w:hAnsi="Times New Roman" w:cs="Times New Roman"/>
          <w:sz w:val="24"/>
          <w:szCs w:val="24"/>
        </w:rPr>
        <w:t xml:space="preserve"> contemplated as an integral part of the economic system and crucial part of the social system</w:t>
      </w:r>
      <w:sdt>
        <w:sdtPr>
          <w:rPr>
            <w:rFonts w:ascii="Times New Roman" w:hAnsi="Times New Roman" w:cs="Times New Roman"/>
            <w:sz w:val="24"/>
            <w:szCs w:val="24"/>
          </w:rPr>
          <w:id w:val="149641787"/>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Bog08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(Bogusław Pietrzak, 2008)</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xml:space="preserve">. Financial resources of an economy are allocated effectively by financial system. Relationship between investors and savers is built as well as the cost of transaction is lessened by the financial system. However, financial innovation is the outcome of financial system, which has been expanded immensely for the last couple of years. </w:t>
      </w:r>
    </w:p>
    <w:p w:rsidR="0075376F" w:rsidRPr="00061FB1" w:rsidRDefault="0075376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The technique of the formation and promotion of new financial assets, new financial organizations, markets and technologies is delineated as financial innovation</w:t>
      </w:r>
      <w:sdt>
        <w:sdtPr>
          <w:rPr>
            <w:rFonts w:ascii="Times New Roman" w:hAnsi="Times New Roman" w:cs="Times New Roman"/>
            <w:sz w:val="24"/>
            <w:szCs w:val="24"/>
          </w:rPr>
          <w:id w:val="-213357554"/>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CITATION Jos11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(Lerner, 2011)</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The financial innovation also states research and development operations together with the exposition, acceptation and propagation of new goods and services</w:t>
      </w:r>
      <w:sdt>
        <w:sdtPr>
          <w:rPr>
            <w:rFonts w:ascii="Times New Roman" w:hAnsi="Times New Roman" w:cs="Times New Roman"/>
            <w:sz w:val="24"/>
            <w:szCs w:val="24"/>
          </w:rPr>
          <w:id w:val="163595885"/>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Fra101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(Yago, 2010)</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w:t>
      </w:r>
      <w:r w:rsidR="00FD6B8A" w:rsidRPr="00061FB1">
        <w:rPr>
          <w:rFonts w:ascii="Times New Roman" w:hAnsi="Times New Roman" w:cs="Times New Roman"/>
          <w:sz w:val="24"/>
          <w:szCs w:val="24"/>
        </w:rPr>
        <w:t xml:space="preserve"> Financial innovation can estimate by facts like experiment and progression </w:t>
      </w:r>
      <w:r w:rsidR="00EA1214" w:rsidRPr="00061FB1">
        <w:rPr>
          <w:rFonts w:ascii="Times New Roman" w:hAnsi="Times New Roman" w:cs="Times New Roman"/>
          <w:sz w:val="24"/>
          <w:szCs w:val="24"/>
        </w:rPr>
        <w:t xml:space="preserve">cost has been incurred, investment on IT, human resources and also production of inventions for instance online banking, ATMs, agent banking </w:t>
      </w:r>
      <w:r w:rsidR="004B4F8C" w:rsidRPr="00061FB1">
        <w:rPr>
          <w:rFonts w:ascii="Times New Roman" w:hAnsi="Times New Roman" w:cs="Times New Roman"/>
          <w:sz w:val="24"/>
          <w:szCs w:val="24"/>
        </w:rPr>
        <w:t>and so on</w:t>
      </w:r>
      <w:sdt>
        <w:sdtPr>
          <w:rPr>
            <w:rFonts w:ascii="Times New Roman" w:hAnsi="Times New Roman" w:cs="Times New Roman"/>
            <w:sz w:val="24"/>
            <w:szCs w:val="24"/>
          </w:rPr>
          <w:id w:val="-2144734081"/>
          <w:citation/>
        </w:sdtPr>
        <w:sdtEndPr/>
        <w:sdtContent>
          <w:r w:rsidR="00EA1214" w:rsidRPr="00061FB1">
            <w:rPr>
              <w:rFonts w:ascii="Times New Roman" w:hAnsi="Times New Roman" w:cs="Times New Roman"/>
              <w:sz w:val="24"/>
              <w:szCs w:val="24"/>
            </w:rPr>
            <w:fldChar w:fldCharType="begin"/>
          </w:r>
          <w:r w:rsidR="0074676E" w:rsidRPr="00061FB1">
            <w:rPr>
              <w:rFonts w:ascii="Times New Roman" w:hAnsi="Times New Roman" w:cs="Times New Roman"/>
              <w:sz w:val="24"/>
              <w:szCs w:val="24"/>
            </w:rPr>
            <w:instrText xml:space="preserve">CITATION DrV15 \l 1033 </w:instrText>
          </w:r>
          <w:r w:rsidR="00EA1214"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(Ekpu, 2015)</w:t>
          </w:r>
          <w:r w:rsidR="00EA1214" w:rsidRPr="00061FB1">
            <w:rPr>
              <w:rFonts w:ascii="Times New Roman" w:hAnsi="Times New Roman" w:cs="Times New Roman"/>
              <w:sz w:val="24"/>
              <w:szCs w:val="24"/>
            </w:rPr>
            <w:fldChar w:fldCharType="end"/>
          </w:r>
        </w:sdtContent>
      </w:sdt>
      <w:r w:rsidR="00BB2C00" w:rsidRPr="00061FB1">
        <w:rPr>
          <w:rFonts w:ascii="Times New Roman" w:hAnsi="Times New Roman" w:cs="Times New Roman"/>
          <w:sz w:val="24"/>
          <w:szCs w:val="24"/>
        </w:rPr>
        <w:t>.</w:t>
      </w:r>
      <w:r w:rsidR="00EA1214" w:rsidRPr="00061FB1">
        <w:rPr>
          <w:rFonts w:ascii="Times New Roman" w:hAnsi="Times New Roman" w:cs="Times New Roman"/>
          <w:sz w:val="24"/>
          <w:szCs w:val="24"/>
        </w:rPr>
        <w:t xml:space="preserve"> </w:t>
      </w:r>
      <w:r w:rsidRPr="00061FB1">
        <w:rPr>
          <w:rFonts w:ascii="Times New Roman" w:hAnsi="Times New Roman" w:cs="Times New Roman"/>
          <w:sz w:val="24"/>
          <w:szCs w:val="24"/>
        </w:rPr>
        <w:t xml:space="preserve">Financial innovation aids individuals along with businesses to achieve their economic targets more systematically, declines the capital cost, flourishes larger proficiency, enlarges the volume of financial intermediaries, thereby, the overall economic prosperity is extended. For this reason, financial innovation is obligatory for the economy of both developed as well as developing states. Bangladesh as an emerging nation has welcomed a wide array of financial innovation since last few years and it has comparably larger rate of adopting financial services than other Asian countries. </w:t>
      </w:r>
    </w:p>
    <w:p w:rsidR="0075376F" w:rsidRPr="00061FB1" w:rsidRDefault="0075376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Economic, political, social improvement of a nation can be achieved by financial inclusion. The lack of financial inclusion can lead lower economic growth. Financial inclusion is described in the terms of attainability and equability of chances to entrance financial services. It is a procedure in which people and organizations can ingress suitable, cost-efficient financial commodities. Financial inclusion is depicted as the operation of confirming penetration to financial services and sufficient credit on time where needed by fragile categories such as needy </w:t>
      </w:r>
      <w:r w:rsidRPr="00061FB1">
        <w:rPr>
          <w:rFonts w:ascii="Times New Roman" w:hAnsi="Times New Roman" w:cs="Times New Roman"/>
          <w:sz w:val="24"/>
          <w:szCs w:val="24"/>
        </w:rPr>
        <w:lastRenderedPageBreak/>
        <w:t>households and lower-income classes at a reasonable cost</w:t>
      </w:r>
      <w:sdt>
        <w:sdtPr>
          <w:rPr>
            <w:rFonts w:ascii="Times New Roman" w:hAnsi="Times New Roman" w:cs="Times New Roman"/>
            <w:sz w:val="24"/>
            <w:szCs w:val="24"/>
          </w:rPr>
          <w:id w:val="-1574653753"/>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CITATION Res08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(Reserve Bank of India, 2008)</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Financial services not only includes banking items but also insurance, credit, loan, equity commodities. When an adequate number of populations obtain abundant financial services that situation is called financial inclusion</w:t>
      </w:r>
      <w:sdt>
        <w:sdtPr>
          <w:rPr>
            <w:rFonts w:ascii="Times New Roman" w:hAnsi="Times New Roman" w:cs="Times New Roman"/>
            <w:sz w:val="24"/>
            <w:szCs w:val="24"/>
          </w:rPr>
          <w:id w:val="292868589"/>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Ola16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(Adeoye, 2016)</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Furthermore, the foremost</w:t>
      </w:r>
      <w:r w:rsidR="004B4F8C" w:rsidRPr="00061FB1">
        <w:rPr>
          <w:rFonts w:ascii="Times New Roman" w:hAnsi="Times New Roman" w:cs="Times New Roman"/>
          <w:sz w:val="24"/>
          <w:szCs w:val="24"/>
        </w:rPr>
        <w:t xml:space="preserve"> objective of financial inclusion</w:t>
      </w:r>
      <w:r w:rsidRPr="00061FB1">
        <w:rPr>
          <w:rFonts w:ascii="Times New Roman" w:hAnsi="Times New Roman" w:cs="Times New Roman"/>
          <w:sz w:val="24"/>
          <w:szCs w:val="24"/>
        </w:rPr>
        <w:t xml:space="preserve"> is to upgrade the scope, standard, accessibility of financial commodities to the financially excluded people. Additionally, financial inclusion tries to secure that all families and trades can successfully use the proper financial services to advance their livelihood.</w:t>
      </w:r>
    </w:p>
    <w:p w:rsidR="001956DF" w:rsidRPr="00BA4421" w:rsidRDefault="001956DF" w:rsidP="001956DF">
      <w:pPr>
        <w:pStyle w:val="Heading2"/>
        <w:rPr>
          <w:rFonts w:ascii="Times New Roman" w:hAnsi="Times New Roman" w:cs="Times New Roman"/>
          <w:sz w:val="24"/>
          <w:szCs w:val="24"/>
        </w:rPr>
      </w:pPr>
      <w:bookmarkStart w:id="7" w:name="_Toc67370127"/>
      <w:r w:rsidRPr="00BA4421">
        <w:rPr>
          <w:rFonts w:ascii="Times New Roman" w:hAnsi="Times New Roman" w:cs="Times New Roman"/>
          <w:sz w:val="24"/>
          <w:szCs w:val="24"/>
        </w:rPr>
        <w:t>1.2 A brief introduction of the concerned field</w:t>
      </w:r>
      <w:bookmarkEnd w:id="7"/>
    </w:p>
    <w:p w:rsidR="0075376F" w:rsidRPr="00061FB1" w:rsidRDefault="0075376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69 percent adults have bank accounts in the world while 1.7 billion adults are still deprived of accessing to financial services, according to Global </w:t>
      </w:r>
      <w:proofErr w:type="spellStart"/>
      <w:r w:rsidRPr="00061FB1">
        <w:rPr>
          <w:rFonts w:ascii="Times New Roman" w:hAnsi="Times New Roman" w:cs="Times New Roman"/>
          <w:sz w:val="24"/>
          <w:szCs w:val="24"/>
        </w:rPr>
        <w:t>Findex</w:t>
      </w:r>
      <w:proofErr w:type="spellEnd"/>
      <w:r w:rsidRPr="00061FB1">
        <w:rPr>
          <w:rFonts w:ascii="Times New Roman" w:hAnsi="Times New Roman" w:cs="Times New Roman"/>
          <w:sz w:val="24"/>
          <w:szCs w:val="24"/>
        </w:rPr>
        <w:t xml:space="preserve"> 2017 survey. As reported by Global </w:t>
      </w:r>
      <w:proofErr w:type="spellStart"/>
      <w:r w:rsidRPr="00061FB1">
        <w:rPr>
          <w:rFonts w:ascii="Times New Roman" w:hAnsi="Times New Roman" w:cs="Times New Roman"/>
          <w:sz w:val="24"/>
          <w:szCs w:val="24"/>
        </w:rPr>
        <w:t>Findex</w:t>
      </w:r>
      <w:proofErr w:type="spellEnd"/>
      <w:r w:rsidRPr="00061FB1">
        <w:rPr>
          <w:rFonts w:ascii="Times New Roman" w:hAnsi="Times New Roman" w:cs="Times New Roman"/>
          <w:sz w:val="24"/>
          <w:szCs w:val="24"/>
        </w:rPr>
        <w:t xml:space="preserve"> Database, 50 percent people had a bank account or mobile money transfer account or other financial institutions account in 2017 in Bangladesh which is 61% greater than 2014. The establishment of technology in banks and other financial institutions played a vital role in this growth. Almost all banks have begun providing agent banking, online banking, SMS banking services and mobile banking during the past decade. Customers’ assertion has proliferated for new financial goods and services as the usage of internet has enlarged from the last decade. Besides this, agent banking is playing a crucial role in the advancement of account proprietorship since unbanked population of rustic sectors can simply open an account by the agent of the bank. In Bangladesh, 715 adults had a bank account among 1000 adults in 2017 where China had 26 only based on Global Financial Development Database. The amount of bank account ownership has expanded throughout the years due to reconstruction of banking sector, digitalization of financial services, and enlargement of bank branches. If the progress rate can be maintained, one day Bangladesh will attain the ideal number in opening bank </w:t>
      </w:r>
      <w:r w:rsidR="004D04D1" w:rsidRPr="00061FB1">
        <w:rPr>
          <w:rFonts w:ascii="Times New Roman" w:hAnsi="Times New Roman" w:cs="Times New Roman"/>
          <w:sz w:val="24"/>
          <w:szCs w:val="24"/>
        </w:rPr>
        <w:t>account in coming times. To be brief,</w:t>
      </w:r>
      <w:r w:rsidRPr="00061FB1">
        <w:rPr>
          <w:rFonts w:ascii="Times New Roman" w:hAnsi="Times New Roman" w:cs="Times New Roman"/>
          <w:sz w:val="24"/>
          <w:szCs w:val="24"/>
        </w:rPr>
        <w:t xml:space="preserve"> through financial inclusion business expansion can possible, poverty can remove from country and a bright economic future can hope.</w:t>
      </w:r>
    </w:p>
    <w:p w:rsidR="00444C3D" w:rsidRPr="00D36202" w:rsidRDefault="00DD1A25" w:rsidP="00DD1A25">
      <w:pPr>
        <w:pStyle w:val="Heading2"/>
        <w:rPr>
          <w:rFonts w:ascii="Times New Roman" w:hAnsi="Times New Roman" w:cs="Times New Roman"/>
          <w:sz w:val="28"/>
          <w:szCs w:val="28"/>
        </w:rPr>
      </w:pPr>
      <w:bookmarkStart w:id="8" w:name="_Toc67370128"/>
      <w:r w:rsidRPr="00D36202">
        <w:rPr>
          <w:rFonts w:ascii="Times New Roman" w:hAnsi="Times New Roman" w:cs="Times New Roman"/>
          <w:sz w:val="28"/>
          <w:szCs w:val="28"/>
        </w:rPr>
        <w:t>1.3 Rationale</w:t>
      </w:r>
      <w:r w:rsidR="00444C3D" w:rsidRPr="00D36202">
        <w:rPr>
          <w:rFonts w:ascii="Times New Roman" w:hAnsi="Times New Roman" w:cs="Times New Roman"/>
          <w:sz w:val="28"/>
          <w:szCs w:val="28"/>
        </w:rPr>
        <w:t xml:space="preserve"> of the study</w:t>
      </w:r>
      <w:bookmarkEnd w:id="8"/>
    </w:p>
    <w:p w:rsidR="00DD1A25" w:rsidRPr="00061FB1" w:rsidRDefault="00444C3D" w:rsidP="00DD1A25">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The most important reason I am preparing the report is because this is essential to submit a project report at the end of undergrad level to my supervisor because it is the last concern based on which, If completed effectively, I will get an undergrad degree from my university .There were two opportunities which were given to me between Internship and Project and I selected project as I require to gain research experiences for my higher study. As an AIS student, my </w:t>
      </w:r>
      <w:r w:rsidRPr="00061FB1">
        <w:rPr>
          <w:rFonts w:ascii="Times New Roman" w:hAnsi="Times New Roman" w:cs="Times New Roman"/>
          <w:sz w:val="24"/>
          <w:szCs w:val="24"/>
        </w:rPr>
        <w:lastRenderedPageBreak/>
        <w:t xml:space="preserve">mentor has directed me to choose latest topic Covid-19 impacts on financial services in Bangladesh. </w:t>
      </w:r>
    </w:p>
    <w:p w:rsidR="0075376F" w:rsidRPr="00D36202" w:rsidRDefault="00DD1A25" w:rsidP="00DD1A25">
      <w:pPr>
        <w:pStyle w:val="Heading2"/>
        <w:rPr>
          <w:rFonts w:ascii="Times New Roman" w:hAnsi="Times New Roman" w:cs="Times New Roman"/>
          <w:sz w:val="28"/>
          <w:szCs w:val="28"/>
        </w:rPr>
      </w:pPr>
      <w:bookmarkStart w:id="9" w:name="_Toc67370129"/>
      <w:r w:rsidRPr="00D36202">
        <w:rPr>
          <w:rFonts w:ascii="Times New Roman" w:hAnsi="Times New Roman" w:cs="Times New Roman"/>
          <w:sz w:val="28"/>
          <w:szCs w:val="28"/>
        </w:rPr>
        <w:t xml:space="preserve">1.4 </w:t>
      </w:r>
      <w:r w:rsidR="00D64484" w:rsidRPr="00D36202">
        <w:rPr>
          <w:rFonts w:ascii="Times New Roman" w:hAnsi="Times New Roman" w:cs="Times New Roman"/>
          <w:sz w:val="28"/>
          <w:szCs w:val="28"/>
        </w:rPr>
        <w:t>Background of the study</w:t>
      </w:r>
      <w:bookmarkEnd w:id="9"/>
    </w:p>
    <w:p w:rsidR="00D64484" w:rsidRPr="00061FB1" w:rsidRDefault="00D64484"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Financial inclusion is rising internationally. Being a developing country Bangladesh is doing numerous financial innovations as a part of the government goal to establish “Digital Bangladesh”. Due to the availability of internet and smart phones, digital payments are becoming popular day by day.34 percent adults did and accepted digital payment in 2017 in Bangladesh which is 79 percent higher than 2014 and the scenario of digital payment is satisfactory than other South Asian nations but not in</w:t>
      </w:r>
      <w:r w:rsidR="008857A3" w:rsidRPr="00061FB1">
        <w:rPr>
          <w:rFonts w:ascii="Times New Roman" w:hAnsi="Times New Roman" w:cs="Times New Roman"/>
          <w:sz w:val="24"/>
          <w:szCs w:val="24"/>
        </w:rPr>
        <w:t xml:space="preserve"> the</w:t>
      </w:r>
      <w:r w:rsidRPr="00061FB1">
        <w:rPr>
          <w:rFonts w:ascii="Times New Roman" w:hAnsi="Times New Roman" w:cs="Times New Roman"/>
          <w:sz w:val="24"/>
          <w:szCs w:val="24"/>
        </w:rPr>
        <w:t xml:space="preserve"> world perspective. WHO announced the prevalence of Covid-19 as </w:t>
      </w:r>
      <w:r w:rsidR="00754D9E" w:rsidRPr="00061FB1">
        <w:rPr>
          <w:rFonts w:ascii="Times New Roman" w:hAnsi="Times New Roman" w:cs="Times New Roman"/>
          <w:sz w:val="24"/>
          <w:szCs w:val="24"/>
        </w:rPr>
        <w:t xml:space="preserve">universal pandemic in March last </w:t>
      </w:r>
      <w:proofErr w:type="gramStart"/>
      <w:r w:rsidR="00754D9E" w:rsidRPr="00061FB1">
        <w:rPr>
          <w:rFonts w:ascii="Times New Roman" w:hAnsi="Times New Roman" w:cs="Times New Roman"/>
          <w:sz w:val="24"/>
          <w:szCs w:val="24"/>
        </w:rPr>
        <w:t>year</w:t>
      </w:r>
      <w:r w:rsidRPr="00061FB1">
        <w:rPr>
          <w:rFonts w:ascii="Times New Roman" w:hAnsi="Times New Roman" w:cs="Times New Roman"/>
          <w:sz w:val="24"/>
          <w:szCs w:val="24"/>
        </w:rPr>
        <w:t>.</w:t>
      </w:r>
      <w:proofErr w:type="gramEnd"/>
      <w:r w:rsidRPr="00061FB1">
        <w:rPr>
          <w:rFonts w:ascii="Times New Roman" w:hAnsi="Times New Roman" w:cs="Times New Roman"/>
          <w:sz w:val="24"/>
          <w:szCs w:val="24"/>
        </w:rPr>
        <w:t xml:space="preserve"> On account of this epidemic people remained home for lockdown, avoided outdoors for a long time, all educational institutions closed, official works commenced at home and payment system introduced extensive shift globally in pandemic time. A current survey confirmed that 50 percent customers are using modern payment internationally amidst pandemic and they are assuming to continue this after the pandemic. Bangladeshi people also accepted digital payment mid pandemic to assuage the augmentation of corona virus. For buying fundamental goods and services people depended on contactless payment and this ease of transaction widened new scopes in digital payment method. Online banking customers and transaction rose consistently in last year where Tk8092.6 </w:t>
      </w:r>
      <w:proofErr w:type="spellStart"/>
      <w:r w:rsidRPr="00061FB1">
        <w:rPr>
          <w:rFonts w:ascii="Times New Roman" w:hAnsi="Times New Roman" w:cs="Times New Roman"/>
          <w:sz w:val="24"/>
          <w:szCs w:val="24"/>
        </w:rPr>
        <w:t>crore</w:t>
      </w:r>
      <w:proofErr w:type="spellEnd"/>
      <w:r w:rsidRPr="00061FB1">
        <w:rPr>
          <w:rFonts w:ascii="Times New Roman" w:hAnsi="Times New Roman" w:cs="Times New Roman"/>
          <w:sz w:val="24"/>
          <w:szCs w:val="24"/>
        </w:rPr>
        <w:t xml:space="preserve"> transactions occurred in December 2020. Banks introduced several opportunities which lead online banking more attractive such as app based banking by which customers can open bank account without coming bank branches. Card transactions broadened in the time of pandemic as people did online shopping more and ordered food on online. E-commerce transaction reached at Tk640.4 </w:t>
      </w:r>
      <w:proofErr w:type="spellStart"/>
      <w:r w:rsidRPr="00061FB1">
        <w:rPr>
          <w:rFonts w:ascii="Times New Roman" w:hAnsi="Times New Roman" w:cs="Times New Roman"/>
          <w:sz w:val="24"/>
          <w:szCs w:val="24"/>
        </w:rPr>
        <w:t>crore</w:t>
      </w:r>
      <w:proofErr w:type="spellEnd"/>
      <w:r w:rsidRPr="00061FB1">
        <w:rPr>
          <w:rFonts w:ascii="Times New Roman" w:hAnsi="Times New Roman" w:cs="Times New Roman"/>
          <w:sz w:val="24"/>
          <w:szCs w:val="24"/>
        </w:rPr>
        <w:t xml:space="preserve"> in July 2020 which was the highest amount than before. Agent banking saw an upward trend mid pandemic</w:t>
      </w:r>
      <w:r w:rsidR="008857A3" w:rsidRPr="00061FB1">
        <w:rPr>
          <w:rFonts w:ascii="Times New Roman" w:hAnsi="Times New Roman" w:cs="Times New Roman"/>
          <w:sz w:val="24"/>
          <w:szCs w:val="24"/>
        </w:rPr>
        <w:t xml:space="preserve"> </w:t>
      </w:r>
      <w:r w:rsidRPr="00061FB1">
        <w:rPr>
          <w:rFonts w:ascii="Times New Roman" w:hAnsi="Times New Roman" w:cs="Times New Roman"/>
          <w:sz w:val="24"/>
          <w:szCs w:val="24"/>
        </w:rPr>
        <w:t>that indicates good chances for unbanked population</w:t>
      </w:r>
      <w:r w:rsidR="008857A3" w:rsidRPr="00061FB1">
        <w:rPr>
          <w:rFonts w:ascii="Times New Roman" w:hAnsi="Times New Roman" w:cs="Times New Roman"/>
          <w:sz w:val="24"/>
          <w:szCs w:val="24"/>
        </w:rPr>
        <w:t xml:space="preserve"> though this sector faced several challenges at the beginning of pandemic.</w:t>
      </w:r>
      <w:r w:rsidRPr="00061FB1">
        <w:rPr>
          <w:rFonts w:ascii="Times New Roman" w:hAnsi="Times New Roman" w:cs="Times New Roman"/>
          <w:sz w:val="24"/>
          <w:szCs w:val="24"/>
        </w:rPr>
        <w:t xml:space="preserve"> As of December 2020, there are 15 commercial banks in Bangladesh who provide mobile financial services for their customers. MFS accepted as an easy medium of payment during pandemic by which utility bills, university fees provided that people never did before pandemic usually. Bangladesh has seen dribs and drabs of a cashless society because of pandemic but it needs more financial innovation for becoming a full</w:t>
      </w:r>
      <w:r w:rsidR="00816B68" w:rsidRPr="00061FB1">
        <w:rPr>
          <w:rFonts w:ascii="Times New Roman" w:hAnsi="Times New Roman" w:cs="Times New Roman"/>
          <w:sz w:val="24"/>
          <w:szCs w:val="24"/>
        </w:rPr>
        <w:t xml:space="preserve"> cashless society. Additionally,</w:t>
      </w:r>
      <w:r w:rsidRPr="00061FB1">
        <w:rPr>
          <w:rFonts w:ascii="Times New Roman" w:hAnsi="Times New Roman" w:cs="Times New Roman"/>
          <w:sz w:val="24"/>
          <w:szCs w:val="24"/>
        </w:rPr>
        <w:t xml:space="preserve"> governments, banks along with different </w:t>
      </w:r>
      <w:r w:rsidRPr="00061FB1">
        <w:rPr>
          <w:rFonts w:ascii="Times New Roman" w:hAnsi="Times New Roman" w:cs="Times New Roman"/>
          <w:sz w:val="24"/>
          <w:szCs w:val="24"/>
        </w:rPr>
        <w:lastRenderedPageBreak/>
        <w:t>organizations tried to swell digital payment amid pandemic.</w:t>
      </w:r>
      <w:r w:rsidR="000C67BD" w:rsidRPr="00061FB1">
        <w:rPr>
          <w:rFonts w:ascii="Times New Roman" w:hAnsi="Times New Roman" w:cs="Times New Roman"/>
          <w:sz w:val="24"/>
          <w:szCs w:val="24"/>
        </w:rPr>
        <w:t xml:space="preserve"> These various information and events created enormous opportunity for researching on this subject.</w:t>
      </w:r>
    </w:p>
    <w:p w:rsidR="00D64484" w:rsidRPr="00D36202" w:rsidRDefault="00DD1A25" w:rsidP="00DD1A25">
      <w:pPr>
        <w:pStyle w:val="Heading2"/>
        <w:rPr>
          <w:rFonts w:ascii="Times New Roman" w:hAnsi="Times New Roman" w:cs="Times New Roman"/>
          <w:sz w:val="28"/>
          <w:szCs w:val="28"/>
        </w:rPr>
      </w:pPr>
      <w:bookmarkStart w:id="10" w:name="_Toc67370130"/>
      <w:r w:rsidRPr="00D36202">
        <w:rPr>
          <w:rFonts w:ascii="Times New Roman" w:hAnsi="Times New Roman" w:cs="Times New Roman"/>
          <w:sz w:val="28"/>
          <w:szCs w:val="28"/>
        </w:rPr>
        <w:t xml:space="preserve">1.5 </w:t>
      </w:r>
      <w:r w:rsidR="00DB1C2F" w:rsidRPr="00D36202">
        <w:rPr>
          <w:rFonts w:ascii="Times New Roman" w:hAnsi="Times New Roman" w:cs="Times New Roman"/>
          <w:sz w:val="28"/>
          <w:szCs w:val="28"/>
        </w:rPr>
        <w:t>Limitations of the study</w:t>
      </w:r>
      <w:bookmarkEnd w:id="10"/>
    </w:p>
    <w:p w:rsidR="00DB1C2F" w:rsidRPr="00061FB1" w:rsidRDefault="00DB1C2F" w:rsidP="006517DB">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Although this report has conducted to find what accurately it was searching for or what was the fundamental objective, there were few limitations which were regrettably unavoidable. Those limitations are giving underneath:</w:t>
      </w:r>
    </w:p>
    <w:p w:rsidR="00DB1C2F" w:rsidRPr="00061FB1" w:rsidRDefault="001A09EC" w:rsidP="006517DB">
      <w:pPr>
        <w:tabs>
          <w:tab w:val="left" w:pos="180"/>
        </w:tabs>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Because of pandemic situation I</w:t>
      </w:r>
      <w:r w:rsidR="00DB1C2F" w:rsidRPr="00061FB1">
        <w:rPr>
          <w:rFonts w:ascii="Times New Roman" w:hAnsi="Times New Roman" w:cs="Times New Roman"/>
          <w:sz w:val="24"/>
          <w:szCs w:val="24"/>
        </w:rPr>
        <w:t xml:space="preserve"> couldn’t collect the actual data physically and have to rely on secondary data only. Some statistical data were rare to find.</w:t>
      </w:r>
      <w:r w:rsidRPr="00061FB1">
        <w:rPr>
          <w:rFonts w:ascii="Times New Roman" w:hAnsi="Times New Roman" w:cs="Times New Roman"/>
          <w:sz w:val="24"/>
          <w:szCs w:val="24"/>
        </w:rPr>
        <w:t xml:space="preserve"> Sample size was only for one year as Covid-19 is a recent situation.</w:t>
      </w:r>
      <w:r w:rsidR="00DB1C2F" w:rsidRPr="00061FB1">
        <w:rPr>
          <w:rFonts w:ascii="Times New Roman" w:hAnsi="Times New Roman" w:cs="Times New Roman"/>
          <w:sz w:val="24"/>
          <w:szCs w:val="24"/>
        </w:rPr>
        <w:t xml:space="preserve"> Even when it was construct, it was absolute challenging to collect whole data from newspapers, articles and journals because of doubt of plagiarism.</w:t>
      </w:r>
    </w:p>
    <w:p w:rsidR="00DB1C2F" w:rsidRPr="00061FB1" w:rsidRDefault="00DB1C2F" w:rsidP="006517DB">
      <w:pPr>
        <w:spacing w:line="360" w:lineRule="auto"/>
        <w:jc w:val="both"/>
        <w:rPr>
          <w:rFonts w:ascii="Times New Roman" w:hAnsi="Times New Roman" w:cs="Times New Roman"/>
          <w:sz w:val="24"/>
          <w:szCs w:val="24"/>
        </w:rPr>
      </w:pPr>
    </w:p>
    <w:p w:rsidR="0075376F" w:rsidRPr="00061FB1" w:rsidRDefault="0075376F" w:rsidP="006517DB">
      <w:pPr>
        <w:spacing w:line="360" w:lineRule="auto"/>
        <w:jc w:val="both"/>
        <w:rPr>
          <w:rFonts w:ascii="Times New Roman" w:hAnsi="Times New Roman" w:cs="Times New Roman"/>
          <w:sz w:val="24"/>
          <w:szCs w:val="24"/>
        </w:rPr>
      </w:pPr>
    </w:p>
    <w:p w:rsidR="00D175D9" w:rsidRPr="00061FB1" w:rsidRDefault="00D175D9"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br w:type="page"/>
      </w:r>
    </w:p>
    <w:p w:rsidR="00D175D9" w:rsidRPr="00D36202" w:rsidRDefault="00221F4C" w:rsidP="00221F4C">
      <w:pPr>
        <w:pStyle w:val="Heading1"/>
        <w:rPr>
          <w:rFonts w:ascii="Times New Roman" w:hAnsi="Times New Roman" w:cs="Times New Roman"/>
          <w:sz w:val="28"/>
          <w:szCs w:val="28"/>
        </w:rPr>
      </w:pPr>
      <w:bookmarkStart w:id="11" w:name="_Toc67370131"/>
      <w:r w:rsidRPr="00D36202">
        <w:rPr>
          <w:rFonts w:ascii="Times New Roman" w:hAnsi="Times New Roman" w:cs="Times New Roman"/>
          <w:sz w:val="28"/>
          <w:szCs w:val="28"/>
        </w:rPr>
        <w:lastRenderedPageBreak/>
        <w:t xml:space="preserve">0.2 </w:t>
      </w:r>
      <w:r w:rsidR="00DB1C2F" w:rsidRPr="00D36202">
        <w:rPr>
          <w:rFonts w:ascii="Times New Roman" w:hAnsi="Times New Roman" w:cs="Times New Roman"/>
          <w:sz w:val="28"/>
          <w:szCs w:val="28"/>
        </w:rPr>
        <w:t>Objectives of the study</w:t>
      </w:r>
      <w:bookmarkEnd w:id="11"/>
    </w:p>
    <w:p w:rsidR="00DB1C2F" w:rsidRPr="00061FB1" w:rsidRDefault="00DB1C2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Two kinds of objectives are used to explain the intent of a report being generated. Correspondingly in this report two categories of objectives are exploited which are portrayed beneath:</w:t>
      </w:r>
    </w:p>
    <w:p w:rsidR="00DB1C2F" w:rsidRPr="00061FB1" w:rsidRDefault="00DB1C2F" w:rsidP="006517DB">
      <w:pPr>
        <w:spacing w:line="360" w:lineRule="auto"/>
        <w:jc w:val="both"/>
        <w:rPr>
          <w:rFonts w:ascii="Times New Roman" w:hAnsi="Times New Roman" w:cs="Times New Roman"/>
          <w:sz w:val="24"/>
          <w:szCs w:val="24"/>
        </w:rPr>
      </w:pPr>
      <w:r w:rsidRPr="00061FB1">
        <w:rPr>
          <w:rFonts w:ascii="Times New Roman" w:hAnsi="Times New Roman" w:cs="Times New Roman"/>
          <w:noProof/>
          <w:sz w:val="24"/>
          <w:szCs w:val="24"/>
          <w:lang w:val="en-MY" w:eastAsia="en-MY"/>
        </w:rPr>
        <w:drawing>
          <wp:inline distT="0" distB="0" distL="0" distR="0" wp14:anchorId="72A2E197" wp14:editId="6DB54CD2">
            <wp:extent cx="5486400" cy="3200400"/>
            <wp:effectExtent l="0" t="133350" r="0" b="2095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3505AB" w:rsidRPr="00061FB1" w:rsidRDefault="003505AB" w:rsidP="006517DB">
      <w:pPr>
        <w:pStyle w:val="Caption"/>
        <w:spacing w:line="360" w:lineRule="auto"/>
        <w:jc w:val="both"/>
        <w:rPr>
          <w:rFonts w:cs="Times New Roman"/>
          <w:color w:val="1F4E79" w:themeColor="accent1" w:themeShade="80"/>
          <w:sz w:val="24"/>
          <w:szCs w:val="24"/>
        </w:rPr>
      </w:pPr>
      <w:r w:rsidRPr="00061FB1">
        <w:rPr>
          <w:rFonts w:cs="Times New Roman"/>
          <w:color w:val="1F4E79" w:themeColor="accent1" w:themeShade="80"/>
          <w:sz w:val="24"/>
          <w:szCs w:val="24"/>
        </w:rPr>
        <w:t xml:space="preserve">                                          </w:t>
      </w:r>
      <w:r w:rsidR="009D397C" w:rsidRPr="00061FB1">
        <w:rPr>
          <w:rFonts w:cs="Times New Roman"/>
          <w:color w:val="1F4E79" w:themeColor="accent1" w:themeShade="80"/>
          <w:sz w:val="24"/>
          <w:szCs w:val="24"/>
        </w:rPr>
        <w:t xml:space="preserve">                  </w:t>
      </w:r>
      <w:r w:rsidRPr="00061FB1">
        <w:rPr>
          <w:rFonts w:cs="Times New Roman"/>
          <w:color w:val="1F4E79" w:themeColor="accent1" w:themeShade="80"/>
          <w:sz w:val="24"/>
          <w:szCs w:val="24"/>
        </w:rPr>
        <w:t xml:space="preserve"> Figure </w:t>
      </w:r>
      <w:r w:rsidRPr="00061FB1">
        <w:rPr>
          <w:rFonts w:cs="Times New Roman"/>
          <w:color w:val="1F4E79" w:themeColor="accent1" w:themeShade="80"/>
          <w:sz w:val="24"/>
          <w:szCs w:val="24"/>
        </w:rPr>
        <w:fldChar w:fldCharType="begin"/>
      </w:r>
      <w:r w:rsidRPr="00061FB1">
        <w:rPr>
          <w:rFonts w:cs="Times New Roman"/>
          <w:color w:val="1F4E79" w:themeColor="accent1" w:themeShade="80"/>
          <w:sz w:val="24"/>
          <w:szCs w:val="24"/>
        </w:rPr>
        <w:instrText xml:space="preserve"> SEQ Figure \* ARABIC </w:instrText>
      </w:r>
      <w:r w:rsidRPr="00061FB1">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1</w:t>
      </w:r>
      <w:r w:rsidRPr="00061FB1">
        <w:rPr>
          <w:rFonts w:cs="Times New Roman"/>
          <w:color w:val="1F4E79" w:themeColor="accent1" w:themeShade="80"/>
          <w:sz w:val="24"/>
          <w:szCs w:val="24"/>
        </w:rPr>
        <w:fldChar w:fldCharType="end"/>
      </w:r>
      <w:r w:rsidRPr="00061FB1">
        <w:rPr>
          <w:rFonts w:cs="Times New Roman"/>
          <w:color w:val="1F4E79" w:themeColor="accent1" w:themeShade="80"/>
          <w:sz w:val="24"/>
          <w:szCs w:val="24"/>
        </w:rPr>
        <w:t>: Types of Objectives</w:t>
      </w:r>
    </w:p>
    <w:p w:rsidR="00DB1C2F" w:rsidRPr="00061FB1" w:rsidRDefault="00DB1C2F" w:rsidP="006517DB">
      <w:pPr>
        <w:spacing w:line="360" w:lineRule="auto"/>
        <w:jc w:val="both"/>
        <w:rPr>
          <w:rFonts w:ascii="Times New Roman" w:hAnsi="Times New Roman" w:cs="Times New Roman"/>
          <w:sz w:val="24"/>
          <w:szCs w:val="24"/>
        </w:rPr>
      </w:pPr>
      <w:r w:rsidRPr="0083769D">
        <w:rPr>
          <w:rFonts w:ascii="Times New Roman" w:hAnsi="Times New Roman" w:cs="Times New Roman"/>
          <w:b/>
          <w:color w:val="2E74B5" w:themeColor="accent1" w:themeShade="BF"/>
          <w:sz w:val="24"/>
          <w:szCs w:val="24"/>
        </w:rPr>
        <w:t>Broad Objective:</w:t>
      </w:r>
      <w:r w:rsidRPr="0083769D">
        <w:rPr>
          <w:rFonts w:ascii="Times New Roman" w:hAnsi="Times New Roman" w:cs="Times New Roman"/>
          <w:color w:val="2E74B5" w:themeColor="accent1" w:themeShade="BF"/>
          <w:sz w:val="24"/>
          <w:szCs w:val="24"/>
        </w:rPr>
        <w:t xml:space="preserve"> </w:t>
      </w:r>
      <w:r w:rsidRPr="00061FB1">
        <w:rPr>
          <w:rFonts w:ascii="Times New Roman" w:hAnsi="Times New Roman" w:cs="Times New Roman"/>
          <w:sz w:val="24"/>
          <w:szCs w:val="24"/>
        </w:rPr>
        <w:t>The broad objective describes about the prime object of the work. The key purpose of this research paper is to find out a comprehensive scenario of financial services amid pandemic in Bangladesh.</w:t>
      </w:r>
    </w:p>
    <w:p w:rsidR="00DB1C2F" w:rsidRPr="00061FB1" w:rsidRDefault="00DB1C2F" w:rsidP="006517DB">
      <w:pPr>
        <w:spacing w:line="360" w:lineRule="auto"/>
        <w:jc w:val="both"/>
        <w:rPr>
          <w:rFonts w:ascii="Times New Roman" w:hAnsi="Times New Roman" w:cs="Times New Roman"/>
          <w:sz w:val="24"/>
          <w:szCs w:val="24"/>
        </w:rPr>
      </w:pPr>
      <w:r w:rsidRPr="0083769D">
        <w:rPr>
          <w:rFonts w:ascii="Times New Roman" w:hAnsi="Times New Roman" w:cs="Times New Roman"/>
          <w:b/>
          <w:color w:val="2E74B5" w:themeColor="accent1" w:themeShade="BF"/>
          <w:sz w:val="24"/>
          <w:szCs w:val="24"/>
        </w:rPr>
        <w:t>Specific Objective:</w:t>
      </w:r>
      <w:r w:rsidRPr="0083769D">
        <w:rPr>
          <w:rFonts w:ascii="Times New Roman" w:hAnsi="Times New Roman" w:cs="Times New Roman"/>
          <w:color w:val="2E74B5" w:themeColor="accent1" w:themeShade="BF"/>
          <w:sz w:val="24"/>
          <w:szCs w:val="24"/>
        </w:rPr>
        <w:t xml:space="preserve"> </w:t>
      </w:r>
      <w:r w:rsidRPr="00061FB1">
        <w:rPr>
          <w:rFonts w:ascii="Times New Roman" w:hAnsi="Times New Roman" w:cs="Times New Roman"/>
          <w:sz w:val="24"/>
          <w:szCs w:val="24"/>
        </w:rPr>
        <w:t>Specific objectives are the substance of the work which provides the fundamental idea of the study. Specific objectives of this research paper are:</w:t>
      </w:r>
    </w:p>
    <w:p w:rsidR="00DB1C2F" w:rsidRPr="00061FB1" w:rsidRDefault="00DB1C2F" w:rsidP="006517DB">
      <w:pPr>
        <w:pStyle w:val="ListParagraph"/>
        <w:numPr>
          <w:ilvl w:val="0"/>
          <w:numId w:val="1"/>
        </w:num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To explore the storyline of online banking amidst pandemic</w:t>
      </w:r>
    </w:p>
    <w:p w:rsidR="00DB1C2F" w:rsidRPr="00061FB1" w:rsidRDefault="00DB1C2F" w:rsidP="006517DB">
      <w:pPr>
        <w:pStyle w:val="ListParagraph"/>
        <w:numPr>
          <w:ilvl w:val="0"/>
          <w:numId w:val="1"/>
        </w:num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To find out the scenario of agent banking mid epidemic</w:t>
      </w:r>
    </w:p>
    <w:p w:rsidR="00DB1C2F" w:rsidRPr="00061FB1" w:rsidRDefault="00DB1C2F" w:rsidP="006517DB">
      <w:pPr>
        <w:pStyle w:val="ListParagraph"/>
        <w:numPr>
          <w:ilvl w:val="0"/>
          <w:numId w:val="1"/>
        </w:num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To unearth the synopsis of mobile financial services midst pestilence</w:t>
      </w:r>
    </w:p>
    <w:p w:rsidR="00DB1C2F" w:rsidRPr="00061FB1" w:rsidRDefault="00DB1C2F" w:rsidP="006517DB">
      <w:pPr>
        <w:pStyle w:val="ListParagraph"/>
        <w:numPr>
          <w:ilvl w:val="0"/>
          <w:numId w:val="1"/>
        </w:num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To examine the acceptance of digital payment method</w:t>
      </w:r>
    </w:p>
    <w:p w:rsidR="00DB1C2F" w:rsidRPr="00061FB1" w:rsidRDefault="00DB1C2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lastRenderedPageBreak/>
        <w:t>My desire regarding this paper is to reach the intentional audience so that they can be benefited by this data to build superior judgments.</w:t>
      </w:r>
    </w:p>
    <w:p w:rsidR="00DB1C2F" w:rsidRPr="00995B40" w:rsidRDefault="00221F4C" w:rsidP="00221F4C">
      <w:pPr>
        <w:pStyle w:val="Heading1"/>
        <w:rPr>
          <w:rFonts w:ascii="Times New Roman" w:hAnsi="Times New Roman" w:cs="Times New Roman"/>
          <w:sz w:val="28"/>
          <w:szCs w:val="28"/>
        </w:rPr>
      </w:pPr>
      <w:bookmarkStart w:id="12" w:name="_Toc67370132"/>
      <w:r w:rsidRPr="00995B40">
        <w:rPr>
          <w:rFonts w:ascii="Times New Roman" w:hAnsi="Times New Roman" w:cs="Times New Roman"/>
          <w:sz w:val="28"/>
          <w:szCs w:val="28"/>
        </w:rPr>
        <w:t xml:space="preserve">0.3 </w:t>
      </w:r>
      <w:r w:rsidR="00DB1C2F" w:rsidRPr="00995B40">
        <w:rPr>
          <w:rFonts w:ascii="Times New Roman" w:hAnsi="Times New Roman" w:cs="Times New Roman"/>
          <w:sz w:val="28"/>
          <w:szCs w:val="28"/>
        </w:rPr>
        <w:t>Methodology of the study</w:t>
      </w:r>
      <w:bookmarkEnd w:id="12"/>
    </w:p>
    <w:p w:rsidR="009C0083" w:rsidRPr="00061FB1" w:rsidRDefault="00221F4C" w:rsidP="00221F4C">
      <w:pPr>
        <w:pStyle w:val="Heading2"/>
        <w:rPr>
          <w:rFonts w:ascii="Times New Roman" w:hAnsi="Times New Roman" w:cs="Times New Roman"/>
          <w:sz w:val="24"/>
          <w:szCs w:val="24"/>
        </w:rPr>
      </w:pPr>
      <w:bookmarkStart w:id="13" w:name="_Toc67370133"/>
      <w:r w:rsidRPr="00061FB1">
        <w:rPr>
          <w:rFonts w:ascii="Times New Roman" w:hAnsi="Times New Roman" w:cs="Times New Roman"/>
          <w:sz w:val="24"/>
          <w:szCs w:val="24"/>
        </w:rPr>
        <w:t xml:space="preserve">3.1 </w:t>
      </w:r>
      <w:r w:rsidR="009C0083" w:rsidRPr="00061FB1">
        <w:rPr>
          <w:rFonts w:ascii="Times New Roman" w:hAnsi="Times New Roman" w:cs="Times New Roman"/>
          <w:sz w:val="24"/>
          <w:szCs w:val="24"/>
        </w:rPr>
        <w:t>Data design</w:t>
      </w:r>
      <w:bookmarkEnd w:id="13"/>
    </w:p>
    <w:p w:rsidR="009C0083" w:rsidRPr="00061FB1" w:rsidRDefault="009C0083"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This working paper is prepared based on secondary data as the survey operation of collecting data from banks, other financial institutions, government institutions and rural people is costly and time consuming at this moment. This is a descriptive paper, where the impact of Covid-19 pandemic in Bangladesh financial services tried to discover. The required data is collected from published articles, journals, government websites, the central bank of </w:t>
      </w:r>
      <w:r w:rsidR="00A47B7B" w:rsidRPr="00061FB1">
        <w:rPr>
          <w:rFonts w:ascii="Times New Roman" w:hAnsi="Times New Roman" w:cs="Times New Roman"/>
          <w:sz w:val="24"/>
          <w:szCs w:val="24"/>
        </w:rPr>
        <w:t>Bangladesh (</w:t>
      </w:r>
      <w:r w:rsidRPr="00061FB1">
        <w:rPr>
          <w:rFonts w:ascii="Times New Roman" w:hAnsi="Times New Roman" w:cs="Times New Roman"/>
          <w:sz w:val="24"/>
          <w:szCs w:val="24"/>
        </w:rPr>
        <w:t>BB) website, different newspapers.</w:t>
      </w:r>
    </w:p>
    <w:p w:rsidR="00A47B7B" w:rsidRPr="00061FB1" w:rsidRDefault="00221F4C" w:rsidP="00221F4C">
      <w:pPr>
        <w:pStyle w:val="Heading2"/>
        <w:rPr>
          <w:rFonts w:ascii="Times New Roman" w:hAnsi="Times New Roman" w:cs="Times New Roman"/>
          <w:sz w:val="24"/>
          <w:szCs w:val="24"/>
        </w:rPr>
      </w:pPr>
      <w:bookmarkStart w:id="14" w:name="_Toc67370134"/>
      <w:r w:rsidRPr="00061FB1">
        <w:rPr>
          <w:rFonts w:ascii="Times New Roman" w:hAnsi="Times New Roman" w:cs="Times New Roman"/>
          <w:sz w:val="24"/>
          <w:szCs w:val="24"/>
        </w:rPr>
        <w:t xml:space="preserve">3.2 </w:t>
      </w:r>
      <w:r w:rsidR="00A47B7B" w:rsidRPr="00061FB1">
        <w:rPr>
          <w:rFonts w:ascii="Times New Roman" w:hAnsi="Times New Roman" w:cs="Times New Roman"/>
          <w:sz w:val="24"/>
          <w:szCs w:val="24"/>
        </w:rPr>
        <w:t>Sample design</w:t>
      </w:r>
      <w:bookmarkEnd w:id="14"/>
    </w:p>
    <w:p w:rsidR="00A47B7B" w:rsidRPr="00061FB1" w:rsidRDefault="00A47B7B"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Sampling of data is based on pandemic period. Bangladesh officially declared its first corona virus case in March 2020. This paper used data from January 2020 to December 2020 as the paper work started in December last year. Thus, the sample size was for 1 year.</w:t>
      </w:r>
    </w:p>
    <w:p w:rsidR="00A47B7B" w:rsidRPr="00061FB1" w:rsidRDefault="00221F4C" w:rsidP="00221F4C">
      <w:pPr>
        <w:pStyle w:val="Heading2"/>
        <w:rPr>
          <w:rFonts w:ascii="Times New Roman" w:hAnsi="Times New Roman" w:cs="Times New Roman"/>
          <w:sz w:val="24"/>
          <w:szCs w:val="24"/>
        </w:rPr>
      </w:pPr>
      <w:bookmarkStart w:id="15" w:name="_Toc67370135"/>
      <w:r w:rsidRPr="00061FB1">
        <w:rPr>
          <w:rFonts w:ascii="Times New Roman" w:hAnsi="Times New Roman" w:cs="Times New Roman"/>
          <w:sz w:val="24"/>
          <w:szCs w:val="24"/>
        </w:rPr>
        <w:t xml:space="preserve">3.3 </w:t>
      </w:r>
      <w:r w:rsidR="00A47B7B" w:rsidRPr="00061FB1">
        <w:rPr>
          <w:rFonts w:ascii="Times New Roman" w:hAnsi="Times New Roman" w:cs="Times New Roman"/>
          <w:sz w:val="24"/>
          <w:szCs w:val="24"/>
        </w:rPr>
        <w:t>Analytical tools</w:t>
      </w:r>
      <w:bookmarkEnd w:id="15"/>
    </w:p>
    <w:p w:rsidR="00A47B7B" w:rsidRPr="00061FB1" w:rsidRDefault="00A47B7B"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Microsoft Word and Microsoft Excel are used as the data analysis instruments, where by using Microsoft Excel I narrated graphs, charts, trends and using Microsoft Word I wrote down my paper relied on gathered data.</w:t>
      </w:r>
    </w:p>
    <w:p w:rsidR="00A47B7B" w:rsidRPr="00061FB1" w:rsidRDefault="00221F4C" w:rsidP="00221F4C">
      <w:pPr>
        <w:pStyle w:val="Heading2"/>
        <w:rPr>
          <w:rFonts w:ascii="Times New Roman" w:hAnsi="Times New Roman" w:cs="Times New Roman"/>
          <w:sz w:val="24"/>
          <w:szCs w:val="24"/>
        </w:rPr>
      </w:pPr>
      <w:bookmarkStart w:id="16" w:name="_Toc67370136"/>
      <w:r w:rsidRPr="00061FB1">
        <w:rPr>
          <w:rFonts w:ascii="Times New Roman" w:hAnsi="Times New Roman" w:cs="Times New Roman"/>
          <w:sz w:val="24"/>
          <w:szCs w:val="24"/>
        </w:rPr>
        <w:t xml:space="preserve">3.4 </w:t>
      </w:r>
      <w:r w:rsidR="00A47B7B" w:rsidRPr="00061FB1">
        <w:rPr>
          <w:rFonts w:ascii="Times New Roman" w:hAnsi="Times New Roman" w:cs="Times New Roman"/>
          <w:sz w:val="24"/>
          <w:szCs w:val="24"/>
        </w:rPr>
        <w:t>Model specification</w:t>
      </w:r>
      <w:bookmarkEnd w:id="16"/>
    </w:p>
    <w:p w:rsidR="003F67E3" w:rsidRPr="00061FB1" w:rsidRDefault="003F67E3"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A purposeful study based on analyzing graphs, trends, charts, tables.</w:t>
      </w:r>
    </w:p>
    <w:p w:rsidR="00A47B7B" w:rsidRPr="00061FB1" w:rsidRDefault="00A47B7B" w:rsidP="006517DB">
      <w:pPr>
        <w:spacing w:line="360" w:lineRule="auto"/>
        <w:jc w:val="both"/>
        <w:rPr>
          <w:rFonts w:ascii="Times New Roman" w:hAnsi="Times New Roman" w:cs="Times New Roman"/>
          <w:sz w:val="24"/>
          <w:szCs w:val="24"/>
        </w:rPr>
      </w:pPr>
    </w:p>
    <w:p w:rsidR="00A47B7B" w:rsidRPr="00061FB1" w:rsidRDefault="00A47B7B" w:rsidP="006517DB">
      <w:pPr>
        <w:spacing w:line="360" w:lineRule="auto"/>
        <w:jc w:val="both"/>
        <w:rPr>
          <w:rFonts w:ascii="Times New Roman" w:hAnsi="Times New Roman" w:cs="Times New Roman"/>
          <w:sz w:val="24"/>
          <w:szCs w:val="24"/>
        </w:rPr>
      </w:pPr>
    </w:p>
    <w:p w:rsidR="00A47B7B" w:rsidRPr="00061FB1" w:rsidRDefault="00A47B7B" w:rsidP="006517DB">
      <w:pPr>
        <w:spacing w:line="360" w:lineRule="auto"/>
        <w:jc w:val="both"/>
        <w:rPr>
          <w:rFonts w:ascii="Times New Roman" w:hAnsi="Times New Roman" w:cs="Times New Roman"/>
          <w:sz w:val="24"/>
          <w:szCs w:val="24"/>
        </w:rPr>
      </w:pPr>
    </w:p>
    <w:p w:rsidR="00A47B7B" w:rsidRPr="00061FB1" w:rsidRDefault="00A47B7B" w:rsidP="006517DB">
      <w:pPr>
        <w:spacing w:line="360" w:lineRule="auto"/>
        <w:jc w:val="both"/>
        <w:rPr>
          <w:rFonts w:ascii="Times New Roman" w:hAnsi="Times New Roman" w:cs="Times New Roman"/>
          <w:sz w:val="24"/>
          <w:szCs w:val="24"/>
        </w:rPr>
      </w:pPr>
    </w:p>
    <w:p w:rsidR="00DB1C2F" w:rsidRPr="00061FB1" w:rsidRDefault="00DB1C2F" w:rsidP="006517DB">
      <w:pPr>
        <w:spacing w:line="360" w:lineRule="auto"/>
        <w:jc w:val="both"/>
        <w:rPr>
          <w:rFonts w:ascii="Times New Roman" w:hAnsi="Times New Roman" w:cs="Times New Roman"/>
          <w:sz w:val="24"/>
          <w:szCs w:val="24"/>
        </w:rPr>
      </w:pPr>
    </w:p>
    <w:p w:rsidR="00D175D9" w:rsidRPr="00061FB1" w:rsidRDefault="00D175D9"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br w:type="page"/>
      </w:r>
    </w:p>
    <w:p w:rsidR="00D175D9" w:rsidRPr="00D36202" w:rsidRDefault="003E35B6" w:rsidP="003E35B6">
      <w:pPr>
        <w:pStyle w:val="Heading1"/>
        <w:rPr>
          <w:rFonts w:ascii="Times New Roman" w:hAnsi="Times New Roman" w:cs="Times New Roman"/>
          <w:sz w:val="28"/>
          <w:szCs w:val="28"/>
        </w:rPr>
      </w:pPr>
      <w:bookmarkStart w:id="17" w:name="_Toc67370137"/>
      <w:r w:rsidRPr="00D36202">
        <w:rPr>
          <w:rFonts w:ascii="Times New Roman" w:hAnsi="Times New Roman" w:cs="Times New Roman"/>
          <w:sz w:val="28"/>
          <w:szCs w:val="28"/>
        </w:rPr>
        <w:lastRenderedPageBreak/>
        <w:t xml:space="preserve">0.4 </w:t>
      </w:r>
      <w:r w:rsidR="00DB1C2F" w:rsidRPr="00D36202">
        <w:rPr>
          <w:rFonts w:ascii="Times New Roman" w:hAnsi="Times New Roman" w:cs="Times New Roman"/>
          <w:sz w:val="28"/>
          <w:szCs w:val="28"/>
        </w:rPr>
        <w:t>Literature Review</w:t>
      </w:r>
      <w:bookmarkEnd w:id="17"/>
    </w:p>
    <w:p w:rsidR="00DB1C2F" w:rsidRPr="00061FB1" w:rsidRDefault="00DB1C2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Innovation initiates new concepts, documents and resolutions for the existing difficulties and that is why it is an apparent operator of economic growth. Innovation cogitates as the origination of a new element and it acts like </w:t>
      </w:r>
      <w:proofErr w:type="spellStart"/>
      <w:r w:rsidRPr="00061FB1">
        <w:rPr>
          <w:rFonts w:ascii="Times New Roman" w:hAnsi="Times New Roman" w:cs="Times New Roman"/>
          <w:sz w:val="24"/>
          <w:szCs w:val="24"/>
        </w:rPr>
        <w:t>cureall</w:t>
      </w:r>
      <w:proofErr w:type="spellEnd"/>
      <w:r w:rsidRPr="00061FB1">
        <w:rPr>
          <w:rFonts w:ascii="Times New Roman" w:hAnsi="Times New Roman" w:cs="Times New Roman"/>
          <w:sz w:val="24"/>
          <w:szCs w:val="24"/>
        </w:rPr>
        <w:t xml:space="preserve"> for chronic economic complications</w:t>
      </w:r>
      <w:sdt>
        <w:sdtPr>
          <w:rPr>
            <w:rFonts w:ascii="Times New Roman" w:hAnsi="Times New Roman" w:cs="Times New Roman"/>
            <w:sz w:val="24"/>
            <w:szCs w:val="24"/>
          </w:rPr>
          <w:id w:val="-697235078"/>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Kot13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(KotsemirM,AbroskinA, 2013)</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Financial Innovation designated as the formation of new merchandise, procedure, unprocessed material, a technique of ordination</w:t>
      </w:r>
      <w:sdt>
        <w:sdtPr>
          <w:rPr>
            <w:rFonts w:ascii="Times New Roman" w:hAnsi="Times New Roman" w:cs="Times New Roman"/>
            <w:sz w:val="24"/>
            <w:szCs w:val="24"/>
          </w:rPr>
          <w:id w:val="1202510902"/>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Jos12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(Schumpeter, 1912)</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The technical ameliorations that smooth access to data, moods of pay-off together with the appearance of new financing mechanisms and facilities, new formations of institution and more accomplished also established financial marketplace can be delin</w:t>
      </w:r>
      <w:r w:rsidR="00881747" w:rsidRPr="00061FB1">
        <w:rPr>
          <w:rFonts w:ascii="Times New Roman" w:hAnsi="Times New Roman" w:cs="Times New Roman"/>
          <w:sz w:val="24"/>
          <w:szCs w:val="24"/>
        </w:rPr>
        <w:t>eated as financial innovation.</w:t>
      </w:r>
      <w:r w:rsidRPr="00061FB1">
        <w:rPr>
          <w:rFonts w:ascii="Times New Roman" w:hAnsi="Times New Roman" w:cs="Times New Roman"/>
          <w:sz w:val="24"/>
          <w:szCs w:val="24"/>
        </w:rPr>
        <w:t xml:space="preserve"> Financial innovation is not a new issue rather it has a long story of progression. The inception of some momentous historic financial innovations was the Asian economies earlier the industrial revolution. There is authentication that in the second half of twentieth century, Asia emerged several considerable financial innovations for instance Islamic finance, microfinance and the developmental state</w:t>
      </w:r>
      <w:sdt>
        <w:sdtPr>
          <w:rPr>
            <w:rFonts w:ascii="Times New Roman" w:hAnsi="Times New Roman" w:cs="Times New Roman"/>
            <w:sz w:val="24"/>
            <w:szCs w:val="24"/>
          </w:rPr>
          <w:id w:val="839970808"/>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Ros13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(Ross P. Buckley, 2013)</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To quote individually, among Asian innovation microfinance was first introduced in Bangladesh and diffused all over the world</w:t>
      </w:r>
      <w:sdt>
        <w:sdtPr>
          <w:rPr>
            <w:rFonts w:ascii="Times New Roman" w:hAnsi="Times New Roman" w:cs="Times New Roman"/>
            <w:sz w:val="24"/>
            <w:szCs w:val="24"/>
          </w:rPr>
          <w:id w:val="-1388726637"/>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Bea051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(Morduch, 2005)</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.Microfinance begun with the motto to lessen poverty of rural people by lending tiny amount of loans to aid trade activities and this innovation is considered as meaningful advances in finance for last thirty years.</w:t>
      </w:r>
    </w:p>
    <w:p w:rsidR="00DB1C2F" w:rsidRPr="00061FB1" w:rsidRDefault="00DB1C2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 xml:space="preserve">Mostly the effect of the durability in the financial sector and partially the procedures being constructed nationwide are the causes of promoting the financial innovation according to Richard </w:t>
      </w:r>
      <w:proofErr w:type="spellStart"/>
      <w:r w:rsidRPr="00061FB1">
        <w:rPr>
          <w:rFonts w:ascii="Times New Roman" w:hAnsi="Times New Roman" w:cs="Times New Roman"/>
          <w:sz w:val="24"/>
          <w:szCs w:val="24"/>
        </w:rPr>
        <w:t>Levich</w:t>
      </w:r>
      <w:proofErr w:type="spellEnd"/>
      <w:r w:rsidRPr="00061FB1">
        <w:rPr>
          <w:rFonts w:ascii="Times New Roman" w:hAnsi="Times New Roman" w:cs="Times New Roman"/>
          <w:sz w:val="24"/>
          <w:szCs w:val="24"/>
        </w:rPr>
        <w:t xml:space="preserve">, a well-known professor at New York University. From the data of 1974-1986, </w:t>
      </w:r>
      <w:proofErr w:type="spellStart"/>
      <w:r w:rsidRPr="00061FB1">
        <w:rPr>
          <w:rFonts w:ascii="Times New Roman" w:hAnsi="Times New Roman" w:cs="Times New Roman"/>
          <w:sz w:val="24"/>
          <w:szCs w:val="24"/>
        </w:rPr>
        <w:t>Tufano</w:t>
      </w:r>
      <w:proofErr w:type="spellEnd"/>
      <w:r w:rsidRPr="00061FB1">
        <w:rPr>
          <w:rFonts w:ascii="Times New Roman" w:hAnsi="Times New Roman" w:cs="Times New Roman"/>
          <w:sz w:val="24"/>
          <w:szCs w:val="24"/>
        </w:rPr>
        <w:t xml:space="preserve"> examined while establishing new commodities how investment banks balanced for their investment. He observed investment banks which made and provided innovative financial goods charged lower than the regular before homogeneous pieces entered into the market, even when their rivals were selling those products, they successively granted at low costs for the goods than competitors</w:t>
      </w:r>
      <w:sdt>
        <w:sdtPr>
          <w:rPr>
            <w:rFonts w:ascii="Times New Roman" w:hAnsi="Times New Roman" w:cs="Times New Roman"/>
            <w:sz w:val="24"/>
            <w:szCs w:val="24"/>
          </w:rPr>
          <w:id w:val="-1536114953"/>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Tuf89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(Tufano, 1989)</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By acquiring satisfaction both clients and suppliers through the innovation, financial invention turns profitable and rewarding.</w:t>
      </w:r>
    </w:p>
    <w:p w:rsidR="00DB1C2F" w:rsidRPr="00061FB1" w:rsidRDefault="00DB1C2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To unearth the relevance between financial innovation and economic upswing numerous analyses have been conveyed. A study on Zimbabwe’s finance data from 1980-2013 found that financial innovation is an eminent genesis of economic growth and a long-lasting consequence in the development of economic progress observed for broadcasting financial innovation</w:t>
      </w:r>
      <w:sdt>
        <w:sdtPr>
          <w:rPr>
            <w:rFonts w:ascii="Times New Roman" w:hAnsi="Times New Roman" w:cs="Times New Roman"/>
            <w:sz w:val="24"/>
            <w:szCs w:val="24"/>
          </w:rPr>
          <w:id w:val="213398623"/>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Ale16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lastRenderedPageBreak/>
            <w:t>(Mudzingiri, 2016)</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An evident understanding of financial innovation and growing economy in Asian countries apprehend by ADRL test during the period of 1970-2016, where a constructive and numerical noteworthy effect on economic progress examined due to the financial innovation in the long-term and short-term. According to this study, in the long-period monetary authority and credit stream of private enterprise played an indispensable preamble in economic rise also fixed capital formation along with commercial openness considered as the contributor for economic boom in China, India and Pakistan</w:t>
      </w:r>
      <w:sdt>
        <w:sdtPr>
          <w:rPr>
            <w:rFonts w:ascii="Times New Roman" w:hAnsi="Times New Roman" w:cs="Times New Roman"/>
            <w:sz w:val="24"/>
            <w:szCs w:val="24"/>
          </w:rPr>
          <w:id w:val="-745878503"/>
          <w:citation/>
        </w:sdtPr>
        <w:sdtEndPr/>
        <w:sdtContent>
          <w:r w:rsidRPr="00061FB1">
            <w:rPr>
              <w:rFonts w:ascii="Times New Roman" w:hAnsi="Times New Roman" w:cs="Times New Roman"/>
              <w:sz w:val="24"/>
              <w:szCs w:val="24"/>
            </w:rPr>
            <w:fldChar w:fldCharType="begin"/>
          </w:r>
          <w:r w:rsidR="00881747" w:rsidRPr="00061FB1">
            <w:rPr>
              <w:rFonts w:ascii="Times New Roman" w:hAnsi="Times New Roman" w:cs="Times New Roman"/>
              <w:sz w:val="24"/>
              <w:szCs w:val="24"/>
            </w:rPr>
            <w:instrText xml:space="preserve">CITATION Muh20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(Tan, 2020)</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Kirsten Amsterdam a student of University of Cape Town researched among twenty-five African countries, concluded an affirmative impact on economic expansion for mobile financial innovation especially for countries with less financial improvement, where he recommended for continuing mobile financial invention</w:t>
      </w:r>
      <w:sdt>
        <w:sdtPr>
          <w:rPr>
            <w:rFonts w:ascii="Times New Roman" w:hAnsi="Times New Roman" w:cs="Times New Roman"/>
            <w:sz w:val="24"/>
            <w:szCs w:val="24"/>
          </w:rPr>
          <w:id w:val="728968862"/>
          <w:citation/>
        </w:sdtPr>
        <w:sdtEndPr/>
        <w:sdtContent>
          <w:r w:rsidRPr="00061FB1">
            <w:rPr>
              <w:rFonts w:ascii="Times New Roman" w:hAnsi="Times New Roman" w:cs="Times New Roman"/>
              <w:sz w:val="24"/>
              <w:szCs w:val="24"/>
            </w:rPr>
            <w:fldChar w:fldCharType="begin"/>
          </w:r>
          <w:r w:rsidR="00881747" w:rsidRPr="00061FB1">
            <w:rPr>
              <w:rFonts w:ascii="Times New Roman" w:hAnsi="Times New Roman" w:cs="Times New Roman"/>
              <w:sz w:val="24"/>
              <w:szCs w:val="24"/>
            </w:rPr>
            <w:instrText xml:space="preserve">CITATION Ams18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(Amsterdam, 2018)</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Kenya obtained economic boosting through mobile banking and digital mobile payment methods</w:t>
      </w:r>
      <w:sdt>
        <w:sdtPr>
          <w:rPr>
            <w:rFonts w:ascii="Times New Roman" w:hAnsi="Times New Roman" w:cs="Times New Roman"/>
            <w:sz w:val="24"/>
            <w:szCs w:val="24"/>
          </w:rPr>
          <w:id w:val="971018870"/>
          <w:citation/>
        </w:sdtPr>
        <w:sdtEndPr/>
        <w:sdtContent>
          <w:r w:rsidRPr="00061FB1">
            <w:rPr>
              <w:rFonts w:ascii="Times New Roman" w:hAnsi="Times New Roman" w:cs="Times New Roman"/>
              <w:sz w:val="24"/>
              <w:szCs w:val="24"/>
            </w:rPr>
            <w:fldChar w:fldCharType="begin"/>
          </w:r>
          <w:r w:rsidR="00881747" w:rsidRPr="00061FB1">
            <w:rPr>
              <w:rFonts w:ascii="Times New Roman" w:hAnsi="Times New Roman" w:cs="Times New Roman"/>
              <w:sz w:val="24"/>
              <w:szCs w:val="24"/>
            </w:rPr>
            <w:instrText xml:space="preserve">CITATION MWI14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(MWINZI, 2014)</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Agent banking had superior impact in the growth of Nigerian economy</w:t>
      </w:r>
      <w:sdt>
        <w:sdtPr>
          <w:rPr>
            <w:rFonts w:ascii="Times New Roman" w:hAnsi="Times New Roman" w:cs="Times New Roman"/>
            <w:sz w:val="24"/>
            <w:szCs w:val="24"/>
          </w:rPr>
          <w:id w:val="-1726902433"/>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Cyn19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(Charles, 2019)</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Statistically remarkable relationship found between financial innovation and economic sustainability in the long run of Cameroon economy by using mobile banking and domestic credit to non-public enterprise as two important proxies</w:t>
      </w:r>
      <w:sdt>
        <w:sdtPr>
          <w:rPr>
            <w:rFonts w:ascii="Times New Roman" w:hAnsi="Times New Roman" w:cs="Times New Roman"/>
            <w:sz w:val="24"/>
            <w:szCs w:val="24"/>
          </w:rPr>
          <w:id w:val="-577058737"/>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Phi19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(Okle, 2019)</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Financial innovation declared as a great genesis for the advancement of Bangladesh economy by a study where the presence of bidirectional causality between financial innovation and economic success disclosed in the long run and short run</w:t>
      </w:r>
      <w:sdt>
        <w:sdtPr>
          <w:rPr>
            <w:rFonts w:ascii="Times New Roman" w:hAnsi="Times New Roman" w:cs="Times New Roman"/>
            <w:sz w:val="24"/>
            <w:szCs w:val="24"/>
          </w:rPr>
          <w:id w:val="1754779950"/>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MdQ17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(Jianguo, 2017)</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w:t>
      </w:r>
    </w:p>
    <w:p w:rsidR="00DB1C2F" w:rsidRPr="00061FB1" w:rsidRDefault="00DB1C2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Financial innovation is a probability for the enhancement of financial section extremely for developing nations as Bangladesh</w:t>
      </w:r>
      <w:sdt>
        <w:sdtPr>
          <w:rPr>
            <w:rFonts w:ascii="Times New Roman" w:hAnsi="Times New Roman" w:cs="Times New Roman"/>
            <w:sz w:val="24"/>
            <w:szCs w:val="24"/>
          </w:rPr>
          <w:id w:val="-798066726"/>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Mar14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(Napier, 2014)</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xml:space="preserve">.Financial inclusion elevated not only in developed states but also in developing states as an exigent affair, when UN declared the International Microcredit year during 2005. Banking industry of Bangladesh has experienced immense betterment for several years </w:t>
      </w:r>
      <w:sdt>
        <w:sdtPr>
          <w:rPr>
            <w:rFonts w:ascii="Times New Roman" w:hAnsi="Times New Roman" w:cs="Times New Roman"/>
            <w:sz w:val="24"/>
            <w:szCs w:val="24"/>
          </w:rPr>
          <w:id w:val="1490213150"/>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MdN14 \l 1033 </w:instrText>
          </w:r>
          <w:r w:rsidRPr="00061FB1">
            <w:rPr>
              <w:rFonts w:ascii="Times New Roman" w:hAnsi="Times New Roman" w:cs="Times New Roman"/>
              <w:sz w:val="24"/>
              <w:szCs w:val="24"/>
            </w:rPr>
            <w:fldChar w:fldCharType="separate"/>
          </w:r>
          <w:r w:rsidR="001E4301" w:rsidRPr="001E4301">
            <w:rPr>
              <w:rFonts w:ascii="Times New Roman" w:hAnsi="Times New Roman" w:cs="Times New Roman"/>
              <w:noProof/>
              <w:sz w:val="24"/>
              <w:szCs w:val="24"/>
            </w:rPr>
            <w:t>(Md.Nur Alam Siddik, 2014)</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 xml:space="preserve">. Although this industry is gaining progress, it is not out of troubles. This is, for, all the banks are not sufficiently able owing to excessive operating costs, to include a wide portion of the entire public ,chiefly distant regions people to interconnect with fundamental banking services. The price of utilizing financial services can be enlarged by this gap. In this way the efficiency of banks can lessen and service supplying banks become indifferent to form branch extension judgment. Thereby, Bangladesh bank is inviting banks to deliver updated banking facilities to individuals, for instance, online banking, mobile banking, agent banking, ATMs etc. Evidence showed ATMs is not an appropriate option for rural community while doing transactions from faraway areas, but </w:t>
      </w:r>
      <w:r w:rsidRPr="00061FB1">
        <w:rPr>
          <w:rFonts w:ascii="Times New Roman" w:hAnsi="Times New Roman" w:cs="Times New Roman"/>
          <w:sz w:val="24"/>
          <w:szCs w:val="24"/>
        </w:rPr>
        <w:lastRenderedPageBreak/>
        <w:t>for minimizing the matter of closeness to bank branches mobile banking is welcomed exquisitely there. Mobile banking has an exceptional probability for offering vital financial services more accessible to little-income people</w:t>
      </w:r>
      <w:sdt>
        <w:sdtPr>
          <w:rPr>
            <w:rFonts w:ascii="Times New Roman" w:hAnsi="Times New Roman" w:cs="Times New Roman"/>
            <w:sz w:val="24"/>
            <w:szCs w:val="24"/>
          </w:rPr>
          <w:id w:val="-1814937572"/>
          <w:citation/>
        </w:sdtPr>
        <w:sdtEndPr/>
        <w:sdtContent>
          <w:r w:rsidRPr="00061FB1">
            <w:rPr>
              <w:rFonts w:ascii="Times New Roman" w:hAnsi="Times New Roman" w:cs="Times New Roman"/>
              <w:sz w:val="24"/>
              <w:szCs w:val="24"/>
            </w:rPr>
            <w:fldChar w:fldCharType="begin"/>
          </w:r>
          <w:r w:rsidRPr="00061FB1">
            <w:rPr>
              <w:rFonts w:ascii="Times New Roman" w:hAnsi="Times New Roman" w:cs="Times New Roman"/>
              <w:sz w:val="24"/>
              <w:szCs w:val="24"/>
            </w:rPr>
            <w:instrText xml:space="preserve"> CITATION Con06 \l 1033 </w:instrText>
          </w:r>
          <w:r w:rsidRPr="00061FB1">
            <w:rPr>
              <w:rFonts w:ascii="Times New Roman" w:hAnsi="Times New Roman" w:cs="Times New Roman"/>
              <w:sz w:val="24"/>
              <w:szCs w:val="24"/>
            </w:rPr>
            <w:fldChar w:fldCharType="separate"/>
          </w:r>
          <w:r w:rsidR="001E4301">
            <w:rPr>
              <w:rFonts w:ascii="Times New Roman" w:hAnsi="Times New Roman" w:cs="Times New Roman"/>
              <w:noProof/>
              <w:sz w:val="24"/>
              <w:szCs w:val="24"/>
            </w:rPr>
            <w:t xml:space="preserve"> </w:t>
          </w:r>
          <w:r w:rsidR="001E4301" w:rsidRPr="001E4301">
            <w:rPr>
              <w:rFonts w:ascii="Times New Roman" w:hAnsi="Times New Roman" w:cs="Times New Roman"/>
              <w:noProof/>
              <w:sz w:val="24"/>
              <w:szCs w:val="24"/>
            </w:rPr>
            <w:t>(Consultative Group to Assist the Poor , 2006)</w:t>
          </w:r>
          <w:r w:rsidRPr="00061FB1">
            <w:rPr>
              <w:rFonts w:ascii="Times New Roman" w:hAnsi="Times New Roman" w:cs="Times New Roman"/>
              <w:sz w:val="24"/>
              <w:szCs w:val="24"/>
            </w:rPr>
            <w:fldChar w:fldCharType="end"/>
          </w:r>
        </w:sdtContent>
      </w:sdt>
      <w:r w:rsidRPr="00061FB1">
        <w:rPr>
          <w:rFonts w:ascii="Times New Roman" w:hAnsi="Times New Roman" w:cs="Times New Roman"/>
          <w:sz w:val="24"/>
          <w:szCs w:val="24"/>
        </w:rPr>
        <w:t>.</w:t>
      </w:r>
    </w:p>
    <w:p w:rsidR="00DB1C2F" w:rsidRPr="00061FB1" w:rsidRDefault="00DB1C2F"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Financial services are not deprived of digitalization. For the improvement of a nation digital financial services are needed. Financial services that depend on modern technologies to deliver and use by consumers are known as digital financial services (DFS). Financial techno</w:t>
      </w:r>
      <w:r w:rsidR="009744F9">
        <w:rPr>
          <w:rFonts w:ascii="Times New Roman" w:hAnsi="Times New Roman" w:cs="Times New Roman"/>
          <w:sz w:val="24"/>
          <w:szCs w:val="24"/>
        </w:rPr>
        <w:t>logy (</w:t>
      </w:r>
      <w:proofErr w:type="spellStart"/>
      <w:r w:rsidR="009744F9">
        <w:rPr>
          <w:rFonts w:ascii="Times New Roman" w:hAnsi="Times New Roman" w:cs="Times New Roman"/>
          <w:sz w:val="24"/>
          <w:szCs w:val="24"/>
        </w:rPr>
        <w:t>Fint</w:t>
      </w:r>
      <w:r w:rsidRPr="00061FB1">
        <w:rPr>
          <w:rFonts w:ascii="Times New Roman" w:hAnsi="Times New Roman" w:cs="Times New Roman"/>
          <w:sz w:val="24"/>
          <w:szCs w:val="24"/>
        </w:rPr>
        <w:t>ech</w:t>
      </w:r>
      <w:proofErr w:type="spellEnd"/>
      <w:r w:rsidRPr="00061FB1">
        <w:rPr>
          <w:rFonts w:ascii="Times New Roman" w:hAnsi="Times New Roman" w:cs="Times New Roman"/>
          <w:sz w:val="24"/>
          <w:szCs w:val="24"/>
        </w:rPr>
        <w:t>) denotes the combination of finance and technology to upgrade the usage and delivery of financial se</w:t>
      </w:r>
      <w:r w:rsidR="009744F9">
        <w:rPr>
          <w:rFonts w:ascii="Times New Roman" w:hAnsi="Times New Roman" w:cs="Times New Roman"/>
          <w:sz w:val="24"/>
          <w:szCs w:val="24"/>
        </w:rPr>
        <w:t xml:space="preserve">rvices. In 2018, the global </w:t>
      </w:r>
      <w:proofErr w:type="spellStart"/>
      <w:r w:rsidR="009744F9">
        <w:rPr>
          <w:rFonts w:ascii="Times New Roman" w:hAnsi="Times New Roman" w:cs="Times New Roman"/>
          <w:sz w:val="24"/>
          <w:szCs w:val="24"/>
        </w:rPr>
        <w:t>Fint</w:t>
      </w:r>
      <w:r w:rsidRPr="00061FB1">
        <w:rPr>
          <w:rFonts w:ascii="Times New Roman" w:hAnsi="Times New Roman" w:cs="Times New Roman"/>
          <w:sz w:val="24"/>
          <w:szCs w:val="24"/>
        </w:rPr>
        <w:t>ech</w:t>
      </w:r>
      <w:proofErr w:type="spellEnd"/>
      <w:r w:rsidRPr="00061FB1">
        <w:rPr>
          <w:rFonts w:ascii="Times New Roman" w:hAnsi="Times New Roman" w:cs="Times New Roman"/>
          <w:sz w:val="24"/>
          <w:szCs w:val="24"/>
        </w:rPr>
        <w:t xml:space="preserve"> industry achieved excessive growth of USD 128 billion and it is predicted </w:t>
      </w:r>
      <w:r w:rsidR="00880390" w:rsidRPr="00061FB1">
        <w:rPr>
          <w:rFonts w:ascii="Times New Roman" w:hAnsi="Times New Roman" w:cs="Times New Roman"/>
          <w:sz w:val="24"/>
          <w:szCs w:val="24"/>
        </w:rPr>
        <w:t>to reach USD 310 billion by 2022</w:t>
      </w:r>
      <w:r w:rsidRPr="00061FB1">
        <w:rPr>
          <w:rFonts w:ascii="Times New Roman" w:hAnsi="Times New Roman" w:cs="Times New Roman"/>
          <w:sz w:val="24"/>
          <w:szCs w:val="24"/>
        </w:rPr>
        <w:t>(</w:t>
      </w:r>
      <w:hyperlink r:id="rId17" w:history="1">
        <w:r w:rsidRPr="00061FB1">
          <w:rPr>
            <w:rStyle w:val="Hyperlink"/>
            <w:rFonts w:ascii="Times New Roman" w:hAnsi="Times New Roman" w:cs="Times New Roman"/>
            <w:sz w:val="24"/>
            <w:szCs w:val="24"/>
          </w:rPr>
          <w:t>https://databd.co</w:t>
        </w:r>
      </w:hyperlink>
      <w:r w:rsidR="009744F9">
        <w:rPr>
          <w:rFonts w:ascii="Times New Roman" w:hAnsi="Times New Roman" w:cs="Times New Roman"/>
          <w:sz w:val="24"/>
          <w:szCs w:val="24"/>
        </w:rPr>
        <w:t xml:space="preserve">). </w:t>
      </w:r>
      <w:proofErr w:type="spellStart"/>
      <w:r w:rsidR="009744F9">
        <w:rPr>
          <w:rFonts w:ascii="Times New Roman" w:hAnsi="Times New Roman" w:cs="Times New Roman"/>
          <w:sz w:val="24"/>
          <w:szCs w:val="24"/>
        </w:rPr>
        <w:t>Fint</w:t>
      </w:r>
      <w:r w:rsidRPr="00061FB1">
        <w:rPr>
          <w:rFonts w:ascii="Times New Roman" w:hAnsi="Times New Roman" w:cs="Times New Roman"/>
          <w:sz w:val="24"/>
          <w:szCs w:val="24"/>
        </w:rPr>
        <w:t>ech</w:t>
      </w:r>
      <w:proofErr w:type="spellEnd"/>
      <w:r w:rsidRPr="00061FB1">
        <w:rPr>
          <w:rFonts w:ascii="Times New Roman" w:hAnsi="Times New Roman" w:cs="Times New Roman"/>
          <w:sz w:val="24"/>
          <w:szCs w:val="24"/>
        </w:rPr>
        <w:t xml:space="preserve"> is not just making digital payments by using smart phones; the whole conventional financial division has faced chall</w:t>
      </w:r>
      <w:r w:rsidR="009744F9">
        <w:rPr>
          <w:rFonts w:ascii="Times New Roman" w:hAnsi="Times New Roman" w:cs="Times New Roman"/>
          <w:sz w:val="24"/>
          <w:szCs w:val="24"/>
        </w:rPr>
        <w:t xml:space="preserve">enges for it. The effect of </w:t>
      </w:r>
      <w:proofErr w:type="spellStart"/>
      <w:r w:rsidR="009744F9">
        <w:rPr>
          <w:rFonts w:ascii="Times New Roman" w:hAnsi="Times New Roman" w:cs="Times New Roman"/>
          <w:sz w:val="24"/>
          <w:szCs w:val="24"/>
        </w:rPr>
        <w:t>Fint</w:t>
      </w:r>
      <w:r w:rsidRPr="00061FB1">
        <w:rPr>
          <w:rFonts w:ascii="Times New Roman" w:hAnsi="Times New Roman" w:cs="Times New Roman"/>
          <w:sz w:val="24"/>
          <w:szCs w:val="24"/>
        </w:rPr>
        <w:t>ech</w:t>
      </w:r>
      <w:proofErr w:type="spellEnd"/>
      <w:r w:rsidRPr="00061FB1">
        <w:rPr>
          <w:rFonts w:ascii="Times New Roman" w:hAnsi="Times New Roman" w:cs="Times New Roman"/>
          <w:sz w:val="24"/>
          <w:szCs w:val="24"/>
        </w:rPr>
        <w:t xml:space="preserve"> can notice remarkably in emerging countries. The modern payment section which has brought notable shifts in monetary transaction methods is more at</w:t>
      </w:r>
      <w:r w:rsidR="009744F9">
        <w:rPr>
          <w:rFonts w:ascii="Times New Roman" w:hAnsi="Times New Roman" w:cs="Times New Roman"/>
          <w:sz w:val="24"/>
          <w:szCs w:val="24"/>
        </w:rPr>
        <w:t xml:space="preserve">tractive sector among other </w:t>
      </w:r>
      <w:proofErr w:type="spellStart"/>
      <w:r w:rsidR="009744F9">
        <w:rPr>
          <w:rFonts w:ascii="Times New Roman" w:hAnsi="Times New Roman" w:cs="Times New Roman"/>
          <w:sz w:val="24"/>
          <w:szCs w:val="24"/>
        </w:rPr>
        <w:t>Fint</w:t>
      </w:r>
      <w:r w:rsidRPr="00061FB1">
        <w:rPr>
          <w:rFonts w:ascii="Times New Roman" w:hAnsi="Times New Roman" w:cs="Times New Roman"/>
          <w:sz w:val="24"/>
          <w:szCs w:val="24"/>
        </w:rPr>
        <w:t>ech</w:t>
      </w:r>
      <w:proofErr w:type="spellEnd"/>
      <w:r w:rsidRPr="00061FB1">
        <w:rPr>
          <w:rFonts w:ascii="Times New Roman" w:hAnsi="Times New Roman" w:cs="Times New Roman"/>
          <w:sz w:val="24"/>
          <w:szCs w:val="24"/>
        </w:rPr>
        <w:t xml:space="preserve"> parts. Kenya created M-PESA, a system of mobile payment in 2005 and it acquired a blast in financial inclusion by 75% in 2016, which was 27% in 2006(</w:t>
      </w:r>
      <w:hyperlink r:id="rId18" w:history="1">
        <w:r w:rsidRPr="00061FB1">
          <w:rPr>
            <w:rStyle w:val="Hyperlink"/>
            <w:rFonts w:ascii="Times New Roman" w:hAnsi="Times New Roman" w:cs="Times New Roman"/>
            <w:sz w:val="24"/>
            <w:szCs w:val="24"/>
          </w:rPr>
          <w:t>https://databd.co</w:t>
        </w:r>
      </w:hyperlink>
      <w:r w:rsidRPr="00061FB1">
        <w:rPr>
          <w:rFonts w:ascii="Times New Roman" w:hAnsi="Times New Roman" w:cs="Times New Roman"/>
          <w:sz w:val="24"/>
          <w:szCs w:val="24"/>
        </w:rPr>
        <w:t xml:space="preserve">). In 2011, </w:t>
      </w:r>
      <w:proofErr w:type="spellStart"/>
      <w:r w:rsidRPr="00061FB1">
        <w:rPr>
          <w:rFonts w:ascii="Times New Roman" w:hAnsi="Times New Roman" w:cs="Times New Roman"/>
          <w:sz w:val="24"/>
          <w:szCs w:val="24"/>
        </w:rPr>
        <w:t>bKash</w:t>
      </w:r>
      <w:proofErr w:type="spellEnd"/>
      <w:r w:rsidRPr="00061FB1">
        <w:rPr>
          <w:rFonts w:ascii="Times New Roman" w:hAnsi="Times New Roman" w:cs="Times New Roman"/>
          <w:sz w:val="24"/>
          <w:szCs w:val="24"/>
        </w:rPr>
        <w:t>, the largest mobile financial service</w:t>
      </w:r>
      <w:r w:rsidR="00A27656" w:rsidRPr="00061FB1">
        <w:rPr>
          <w:rFonts w:ascii="Times New Roman" w:hAnsi="Times New Roman" w:cs="Times New Roman"/>
          <w:sz w:val="24"/>
          <w:szCs w:val="24"/>
        </w:rPr>
        <w:t>s</w:t>
      </w:r>
      <w:r w:rsidRPr="00061FB1">
        <w:rPr>
          <w:rFonts w:ascii="Times New Roman" w:hAnsi="Times New Roman" w:cs="Times New Roman"/>
          <w:sz w:val="24"/>
          <w:szCs w:val="24"/>
        </w:rPr>
        <w:t xml:space="preserve"> (MFS) supplier began its journey in Bangladesh. Afterward, MFS has gained tremendous achievement due to the expansion of low-expense smart phones and extension of network cover everywhere the country. In 2018, mobile Banking at</w:t>
      </w:r>
      <w:r w:rsidR="006517DB" w:rsidRPr="00061FB1">
        <w:rPr>
          <w:rFonts w:ascii="Times New Roman" w:hAnsi="Times New Roman" w:cs="Times New Roman"/>
          <w:sz w:val="24"/>
          <w:szCs w:val="24"/>
        </w:rPr>
        <w:t>tained Tk</w:t>
      </w:r>
      <w:r w:rsidRPr="00061FB1">
        <w:rPr>
          <w:rFonts w:ascii="Times New Roman" w:hAnsi="Times New Roman" w:cs="Times New Roman"/>
          <w:sz w:val="24"/>
          <w:szCs w:val="24"/>
        </w:rPr>
        <w:t xml:space="preserve">944 </w:t>
      </w:r>
      <w:proofErr w:type="spellStart"/>
      <w:r w:rsidRPr="00061FB1">
        <w:rPr>
          <w:rFonts w:ascii="Times New Roman" w:hAnsi="Times New Roman" w:cs="Times New Roman"/>
          <w:sz w:val="24"/>
          <w:szCs w:val="24"/>
        </w:rPr>
        <w:t>Crore</w:t>
      </w:r>
      <w:proofErr w:type="spellEnd"/>
      <w:r w:rsidRPr="00061FB1">
        <w:rPr>
          <w:rFonts w:ascii="Times New Roman" w:hAnsi="Times New Roman" w:cs="Times New Roman"/>
          <w:sz w:val="24"/>
          <w:szCs w:val="24"/>
        </w:rPr>
        <w:t xml:space="preserve"> in daily transactions in Bangladesh (</w:t>
      </w:r>
      <w:hyperlink r:id="rId19" w:history="1">
        <w:r w:rsidRPr="00061FB1">
          <w:rPr>
            <w:rStyle w:val="Hyperlink"/>
            <w:rFonts w:ascii="Times New Roman" w:hAnsi="Times New Roman" w:cs="Times New Roman"/>
            <w:sz w:val="24"/>
            <w:szCs w:val="24"/>
          </w:rPr>
          <w:t>https://www.thedailystar.net</w:t>
        </w:r>
      </w:hyperlink>
      <w:r w:rsidRPr="00061FB1">
        <w:rPr>
          <w:rFonts w:ascii="Times New Roman" w:hAnsi="Times New Roman" w:cs="Times New Roman"/>
          <w:sz w:val="24"/>
          <w:szCs w:val="24"/>
        </w:rPr>
        <w:t xml:space="preserve">). However, digital financial services are effective </w:t>
      </w:r>
      <w:r w:rsidR="00A27656" w:rsidRPr="00061FB1">
        <w:rPr>
          <w:rFonts w:ascii="Times New Roman" w:hAnsi="Times New Roman" w:cs="Times New Roman"/>
          <w:sz w:val="24"/>
          <w:szCs w:val="24"/>
        </w:rPr>
        <w:t>to</w:t>
      </w:r>
      <w:r w:rsidRPr="00061FB1">
        <w:rPr>
          <w:rFonts w:ascii="Times New Roman" w:hAnsi="Times New Roman" w:cs="Times New Roman"/>
          <w:sz w:val="24"/>
          <w:szCs w:val="24"/>
        </w:rPr>
        <w:t xml:space="preserve"> enhance economic boom of a country.</w:t>
      </w:r>
    </w:p>
    <w:p w:rsidR="00DB1C2F" w:rsidRPr="00061FB1" w:rsidRDefault="009B1F12" w:rsidP="006517DB">
      <w:pPr>
        <w:spacing w:line="360" w:lineRule="auto"/>
        <w:jc w:val="both"/>
        <w:rPr>
          <w:rFonts w:ascii="Times New Roman" w:hAnsi="Times New Roman" w:cs="Times New Roman"/>
          <w:b/>
          <w:color w:val="1F3864" w:themeColor="accent5" w:themeShade="80"/>
          <w:sz w:val="24"/>
          <w:szCs w:val="24"/>
        </w:rPr>
      </w:pPr>
      <w:r w:rsidRPr="00061FB1">
        <w:rPr>
          <w:rFonts w:ascii="Times New Roman" w:hAnsi="Times New Roman" w:cs="Times New Roman"/>
          <w:b/>
          <w:color w:val="1F3864" w:themeColor="accent5" w:themeShade="80"/>
          <w:sz w:val="24"/>
          <w:szCs w:val="24"/>
        </w:rPr>
        <w:t>Synopsis of financial system of Bangladesh</w:t>
      </w:r>
    </w:p>
    <w:p w:rsidR="009B1F12" w:rsidRPr="00061FB1" w:rsidRDefault="009B1F12"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There are three wide segmented divisions in the financial system of Bangladesh which are formal sector, semi-formal sector and informal sector. The formal sector includes all regulated institutions and it has two sub-sectors which are: 1. Financial Market 2. Regulators &amp; Institutions Financial Market includes Money Market (Bank, Non-bank Financial Institutions, and Primary Dealers), Capital Market (Investment Banks, Credit Rating Companies, and Stock Exchanges) and Foreign Exchange Market (Authorized Dealers). Regulators a</w:t>
      </w:r>
      <w:r w:rsidR="006A13F8" w:rsidRPr="00061FB1">
        <w:rPr>
          <w:rFonts w:ascii="Times New Roman" w:hAnsi="Times New Roman" w:cs="Times New Roman"/>
          <w:sz w:val="24"/>
          <w:szCs w:val="24"/>
        </w:rPr>
        <w:t>nd institutions are Bangladesh B</w:t>
      </w:r>
      <w:r w:rsidRPr="00061FB1">
        <w:rPr>
          <w:rFonts w:ascii="Times New Roman" w:hAnsi="Times New Roman" w:cs="Times New Roman"/>
          <w:sz w:val="24"/>
          <w:szCs w:val="24"/>
        </w:rPr>
        <w:t xml:space="preserve">ank (Central Bank of Bangladesh), Bangladesh securities and exchange commission, Insurance Development &amp; Regulatory Authority (IDRA) and Microcredit Regulatory Authority (MRA). The semi-formal sector comprehends those institutions which are regulated otherwise but do not </w:t>
      </w:r>
      <w:r w:rsidRPr="00061FB1">
        <w:rPr>
          <w:rFonts w:ascii="Times New Roman" w:hAnsi="Times New Roman" w:cs="Times New Roman"/>
          <w:sz w:val="24"/>
          <w:szCs w:val="24"/>
        </w:rPr>
        <w:lastRenderedPageBreak/>
        <w:t>fall under the governance of Central bank, Insurance Authority, Securities and Exchange Commission. Special Financial Institutions like House Building Fi</w:t>
      </w:r>
      <w:r w:rsidR="006A13F8" w:rsidRPr="00061FB1">
        <w:rPr>
          <w:rFonts w:ascii="Times New Roman" w:hAnsi="Times New Roman" w:cs="Times New Roman"/>
          <w:sz w:val="24"/>
          <w:szCs w:val="24"/>
        </w:rPr>
        <w:t xml:space="preserve">nance Corporation (HBFC), </w:t>
      </w:r>
      <w:proofErr w:type="spellStart"/>
      <w:r w:rsidR="006A13F8" w:rsidRPr="00061FB1">
        <w:rPr>
          <w:rFonts w:ascii="Times New Roman" w:hAnsi="Times New Roman" w:cs="Times New Roman"/>
          <w:sz w:val="24"/>
          <w:szCs w:val="24"/>
        </w:rPr>
        <w:t>Palli</w:t>
      </w:r>
      <w:proofErr w:type="spellEnd"/>
      <w:r w:rsidR="006A13F8" w:rsidRPr="00061FB1">
        <w:rPr>
          <w:rFonts w:ascii="Times New Roman" w:hAnsi="Times New Roman" w:cs="Times New Roman"/>
          <w:sz w:val="24"/>
          <w:szCs w:val="24"/>
        </w:rPr>
        <w:t xml:space="preserve"> Karma </w:t>
      </w:r>
      <w:proofErr w:type="spellStart"/>
      <w:r w:rsidRPr="00061FB1">
        <w:rPr>
          <w:rFonts w:ascii="Times New Roman" w:hAnsi="Times New Roman" w:cs="Times New Roman"/>
          <w:sz w:val="24"/>
          <w:szCs w:val="24"/>
        </w:rPr>
        <w:t>Sahayak</w:t>
      </w:r>
      <w:proofErr w:type="spellEnd"/>
      <w:r w:rsidRPr="00061FB1">
        <w:rPr>
          <w:rFonts w:ascii="Times New Roman" w:hAnsi="Times New Roman" w:cs="Times New Roman"/>
          <w:sz w:val="24"/>
          <w:szCs w:val="24"/>
        </w:rPr>
        <w:t xml:space="preserve"> Foundatio</w:t>
      </w:r>
      <w:r w:rsidR="006A13F8" w:rsidRPr="00061FB1">
        <w:rPr>
          <w:rFonts w:ascii="Times New Roman" w:hAnsi="Times New Roman" w:cs="Times New Roman"/>
          <w:sz w:val="24"/>
          <w:szCs w:val="24"/>
        </w:rPr>
        <w:t xml:space="preserve">n (PKSF), </w:t>
      </w:r>
      <w:proofErr w:type="spellStart"/>
      <w:proofErr w:type="gramStart"/>
      <w:r w:rsidR="006A13F8" w:rsidRPr="00061FB1">
        <w:rPr>
          <w:rFonts w:ascii="Times New Roman" w:hAnsi="Times New Roman" w:cs="Times New Roman"/>
          <w:sz w:val="24"/>
          <w:szCs w:val="24"/>
        </w:rPr>
        <w:t>Samabay</w:t>
      </w:r>
      <w:proofErr w:type="spellEnd"/>
      <w:proofErr w:type="gramEnd"/>
      <w:r w:rsidR="006A13F8" w:rsidRPr="00061FB1">
        <w:rPr>
          <w:rFonts w:ascii="Times New Roman" w:hAnsi="Times New Roman" w:cs="Times New Roman"/>
          <w:sz w:val="24"/>
          <w:szCs w:val="24"/>
        </w:rPr>
        <w:t xml:space="preserve"> Bank, </w:t>
      </w:r>
      <w:proofErr w:type="spellStart"/>
      <w:r w:rsidR="006A13F8" w:rsidRPr="00061FB1">
        <w:rPr>
          <w:rFonts w:ascii="Times New Roman" w:hAnsi="Times New Roman" w:cs="Times New Roman"/>
          <w:sz w:val="24"/>
          <w:szCs w:val="24"/>
        </w:rPr>
        <w:t>Grameen</w:t>
      </w:r>
      <w:proofErr w:type="spellEnd"/>
      <w:r w:rsidR="006A13F8" w:rsidRPr="00061FB1">
        <w:rPr>
          <w:rFonts w:ascii="Times New Roman" w:hAnsi="Times New Roman" w:cs="Times New Roman"/>
          <w:sz w:val="24"/>
          <w:szCs w:val="24"/>
        </w:rPr>
        <w:t xml:space="preserve"> </w:t>
      </w:r>
      <w:r w:rsidRPr="00061FB1">
        <w:rPr>
          <w:rFonts w:ascii="Times New Roman" w:hAnsi="Times New Roman" w:cs="Times New Roman"/>
          <w:sz w:val="24"/>
          <w:szCs w:val="24"/>
        </w:rPr>
        <w:t xml:space="preserve">Bank etc., </w:t>
      </w:r>
      <w:r w:rsidR="006A13F8" w:rsidRPr="00061FB1">
        <w:rPr>
          <w:rFonts w:ascii="Times New Roman" w:hAnsi="Times New Roman" w:cs="Times New Roman"/>
          <w:sz w:val="24"/>
          <w:szCs w:val="24"/>
        </w:rPr>
        <w:t>Nongovernmental</w:t>
      </w:r>
      <w:r w:rsidRPr="00061FB1">
        <w:rPr>
          <w:rFonts w:ascii="Times New Roman" w:hAnsi="Times New Roman" w:cs="Times New Roman"/>
          <w:sz w:val="24"/>
          <w:szCs w:val="24"/>
        </w:rPr>
        <w:t xml:space="preserve"> Organizations (NGOs and discrete government programs) represent the semiformal sector. </w:t>
      </w:r>
    </w:p>
    <w:p w:rsidR="009B1F12" w:rsidRPr="00061FB1" w:rsidRDefault="009B1F12"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The informal sector comprises private intermediaries which are utterly unregulated.</w:t>
      </w:r>
    </w:p>
    <w:p w:rsidR="009B1F12" w:rsidRPr="00061FB1" w:rsidRDefault="009B1F12" w:rsidP="006517DB">
      <w:pPr>
        <w:spacing w:line="360" w:lineRule="auto"/>
        <w:jc w:val="both"/>
        <w:rPr>
          <w:rFonts w:ascii="Times New Roman" w:hAnsi="Times New Roman" w:cs="Times New Roman"/>
          <w:sz w:val="24"/>
          <w:szCs w:val="24"/>
        </w:rPr>
      </w:pPr>
      <w:r w:rsidRPr="00061FB1">
        <w:rPr>
          <w:rFonts w:ascii="Times New Roman" w:hAnsi="Times New Roman" w:cs="Times New Roman"/>
          <w:noProof/>
          <w:sz w:val="24"/>
          <w:szCs w:val="24"/>
          <w:lang w:val="en-MY" w:eastAsia="en-MY"/>
        </w:rPr>
        <w:drawing>
          <wp:inline distT="0" distB="0" distL="0" distR="0" wp14:anchorId="5F5114F0" wp14:editId="449D36BF">
            <wp:extent cx="5486400" cy="3200400"/>
            <wp:effectExtent l="0" t="57150" r="57150" b="1143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0D3A35" w:rsidRPr="00061FB1" w:rsidRDefault="000D3A35" w:rsidP="006517DB">
      <w:pPr>
        <w:pStyle w:val="Caption"/>
        <w:spacing w:line="360" w:lineRule="auto"/>
        <w:jc w:val="both"/>
        <w:rPr>
          <w:rFonts w:cs="Times New Roman"/>
          <w:sz w:val="24"/>
          <w:szCs w:val="24"/>
        </w:rPr>
      </w:pPr>
      <w:r w:rsidRPr="00061FB1">
        <w:rPr>
          <w:rFonts w:cs="Times New Roman"/>
          <w:b w:val="0"/>
          <w:i/>
          <w:sz w:val="24"/>
          <w:szCs w:val="24"/>
        </w:rPr>
        <w:t xml:space="preserve">                                           </w:t>
      </w:r>
      <w:r w:rsidRPr="00061FB1">
        <w:rPr>
          <w:rFonts w:cs="Times New Roman"/>
          <w:color w:val="1F4E79" w:themeColor="accent1" w:themeShade="80"/>
          <w:sz w:val="24"/>
          <w:szCs w:val="24"/>
        </w:rPr>
        <w:t xml:space="preserve">Figure </w:t>
      </w:r>
      <w:r w:rsidRPr="00061FB1">
        <w:rPr>
          <w:rFonts w:cs="Times New Roman"/>
          <w:color w:val="1F4E79" w:themeColor="accent1" w:themeShade="80"/>
          <w:sz w:val="24"/>
          <w:szCs w:val="24"/>
        </w:rPr>
        <w:fldChar w:fldCharType="begin"/>
      </w:r>
      <w:r w:rsidRPr="00061FB1">
        <w:rPr>
          <w:rFonts w:cs="Times New Roman"/>
          <w:color w:val="1F4E79" w:themeColor="accent1" w:themeShade="80"/>
          <w:sz w:val="24"/>
          <w:szCs w:val="24"/>
        </w:rPr>
        <w:instrText xml:space="preserve"> SEQ Figure \* ARABIC </w:instrText>
      </w:r>
      <w:r w:rsidRPr="00061FB1">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2</w:t>
      </w:r>
      <w:r w:rsidRPr="00061FB1">
        <w:rPr>
          <w:rFonts w:cs="Times New Roman"/>
          <w:color w:val="1F4E79" w:themeColor="accent1" w:themeShade="80"/>
          <w:sz w:val="24"/>
          <w:szCs w:val="24"/>
        </w:rPr>
        <w:fldChar w:fldCharType="end"/>
      </w:r>
      <w:r w:rsidRPr="00061FB1">
        <w:rPr>
          <w:rFonts w:cs="Times New Roman"/>
          <w:color w:val="1F4E79" w:themeColor="accent1" w:themeShade="80"/>
          <w:sz w:val="24"/>
          <w:szCs w:val="24"/>
        </w:rPr>
        <w:t>: Financial System of Bangladesh</w:t>
      </w:r>
    </w:p>
    <w:p w:rsidR="009B1F12" w:rsidRPr="00061FB1" w:rsidRDefault="009B1F12" w:rsidP="006517DB">
      <w:pPr>
        <w:spacing w:line="360" w:lineRule="auto"/>
        <w:jc w:val="both"/>
        <w:rPr>
          <w:rFonts w:ascii="Times New Roman" w:hAnsi="Times New Roman" w:cs="Times New Roman"/>
          <w:sz w:val="24"/>
          <w:szCs w:val="24"/>
        </w:rPr>
      </w:pPr>
      <w:r w:rsidRPr="00061FB1">
        <w:rPr>
          <w:rFonts w:ascii="Times New Roman" w:hAnsi="Times New Roman" w:cs="Times New Roman"/>
          <w:sz w:val="24"/>
          <w:szCs w:val="24"/>
        </w:rPr>
        <w:t>An incessantly dominant preface has been playing by the financial center in the progression of Bangladesh. The financial market particularly is composed of fixed-income market, currency market, stock exchange, insurance sector, foreign exchange market as well as micro finance. Banks play a notable role in the economy of Bangladesh by allowing investable cash to nationalized also denationalized division, simplifying global commerce, producing occupation, gathering foreign workers remittance, boosting the economy of rural areas and so on. In the last few years, the expansion of capital market was faster in comparison to other portion of financial market in Bangladesh. The evaluation of stocks relating to powerful economic essentials was the inceptive operator for the advancement of capital market. However, without the strengthening of financial system, economic sustainability of Bangladesh isn’t possible.</w:t>
      </w:r>
    </w:p>
    <w:p w:rsidR="009B1F12" w:rsidRDefault="003E35B6" w:rsidP="003E35B6">
      <w:pPr>
        <w:pStyle w:val="Heading1"/>
        <w:rPr>
          <w:rFonts w:ascii="Times New Roman" w:hAnsi="Times New Roman" w:cs="Times New Roman"/>
          <w:sz w:val="28"/>
          <w:szCs w:val="28"/>
        </w:rPr>
      </w:pPr>
      <w:bookmarkStart w:id="18" w:name="_Toc67370138"/>
      <w:r w:rsidRPr="00995B40">
        <w:rPr>
          <w:rFonts w:ascii="Times New Roman" w:hAnsi="Times New Roman" w:cs="Times New Roman"/>
          <w:sz w:val="28"/>
          <w:szCs w:val="28"/>
        </w:rPr>
        <w:lastRenderedPageBreak/>
        <w:t xml:space="preserve">0.5 </w:t>
      </w:r>
      <w:r w:rsidR="0001644B" w:rsidRPr="00995B40">
        <w:rPr>
          <w:rFonts w:ascii="Times New Roman" w:hAnsi="Times New Roman" w:cs="Times New Roman"/>
          <w:sz w:val="28"/>
          <w:szCs w:val="28"/>
        </w:rPr>
        <w:t>Findings and Analysis</w:t>
      </w:r>
      <w:bookmarkEnd w:id="18"/>
    </w:p>
    <w:p w:rsidR="006169E7" w:rsidRPr="006169E7" w:rsidRDefault="006169E7" w:rsidP="006169E7"/>
    <w:p w:rsidR="00BB06FE" w:rsidRPr="00180B3F" w:rsidRDefault="00BB06FE" w:rsidP="00180B3F">
      <w:pPr>
        <w:pStyle w:val="ListParagraph"/>
        <w:numPr>
          <w:ilvl w:val="0"/>
          <w:numId w:val="5"/>
        </w:numPr>
        <w:spacing w:line="360" w:lineRule="auto"/>
        <w:jc w:val="both"/>
        <w:rPr>
          <w:rFonts w:ascii="Times New Roman" w:hAnsi="Times New Roman" w:cs="Times New Roman"/>
          <w:b/>
          <w:color w:val="1F3864" w:themeColor="accent5" w:themeShade="80"/>
          <w:sz w:val="24"/>
          <w:szCs w:val="24"/>
        </w:rPr>
      </w:pPr>
      <w:r w:rsidRPr="00180B3F">
        <w:rPr>
          <w:rFonts w:ascii="Times New Roman" w:hAnsi="Times New Roman" w:cs="Times New Roman"/>
          <w:b/>
          <w:color w:val="1F3864" w:themeColor="accent5" w:themeShade="80"/>
          <w:sz w:val="24"/>
          <w:szCs w:val="24"/>
        </w:rPr>
        <w:t>Online Banking Sector</w:t>
      </w:r>
    </w:p>
    <w:p w:rsidR="00BB06FE" w:rsidRPr="006517DB" w:rsidRDefault="00BB06FE"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Number of online banking customers from January 2020 to December 2020 is listed below:</w:t>
      </w:r>
    </w:p>
    <w:p w:rsidR="00BB06FE" w:rsidRPr="006517DB" w:rsidRDefault="00EE5D1C"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drawing>
          <wp:inline distT="0" distB="0" distL="0" distR="0" wp14:anchorId="5E4A0504" wp14:editId="58AF5D2B">
            <wp:extent cx="5629275" cy="2647950"/>
            <wp:effectExtent l="0" t="0" r="9525"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B06FE" w:rsidRPr="006517DB" w:rsidRDefault="00BB06FE" w:rsidP="006517DB">
      <w:pPr>
        <w:pStyle w:val="Caption"/>
        <w:spacing w:line="360" w:lineRule="auto"/>
        <w:jc w:val="both"/>
        <w:rPr>
          <w:rFonts w:cs="Times New Roman"/>
          <w:color w:val="1F4E79" w:themeColor="accent1" w:themeShade="80"/>
          <w:sz w:val="24"/>
          <w:szCs w:val="24"/>
        </w:rPr>
      </w:pPr>
      <w:r w:rsidRPr="006517DB">
        <w:rPr>
          <w:rFonts w:cs="Times New Roman"/>
          <w:b w:val="0"/>
          <w:i/>
          <w:sz w:val="24"/>
          <w:szCs w:val="24"/>
        </w:rPr>
        <w:t xml:space="preserve">      </w:t>
      </w:r>
      <w:r w:rsidR="00582EC4" w:rsidRPr="006517DB">
        <w:rPr>
          <w:rFonts w:cs="Times New Roman"/>
          <w:color w:val="1F4E79" w:themeColor="accent1" w:themeShade="80"/>
          <w:sz w:val="24"/>
          <w:szCs w:val="24"/>
        </w:rPr>
        <w:t xml:space="preserve">Figure </w:t>
      </w:r>
      <w:r w:rsidR="00582EC4" w:rsidRPr="006517DB">
        <w:rPr>
          <w:rFonts w:cs="Times New Roman"/>
          <w:color w:val="1F4E79" w:themeColor="accent1" w:themeShade="80"/>
          <w:sz w:val="24"/>
          <w:szCs w:val="24"/>
        </w:rPr>
        <w:fldChar w:fldCharType="begin"/>
      </w:r>
      <w:r w:rsidR="00582EC4" w:rsidRPr="006517DB">
        <w:rPr>
          <w:rFonts w:cs="Times New Roman"/>
          <w:color w:val="1F4E79" w:themeColor="accent1" w:themeShade="80"/>
          <w:sz w:val="24"/>
          <w:szCs w:val="24"/>
        </w:rPr>
        <w:instrText xml:space="preserve"> SEQ Figure \* ARABIC </w:instrText>
      </w:r>
      <w:r w:rsidR="00582EC4"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3</w:t>
      </w:r>
      <w:r w:rsidR="00582EC4" w:rsidRPr="006517DB">
        <w:rPr>
          <w:rFonts w:cs="Times New Roman"/>
          <w:color w:val="1F4E79" w:themeColor="accent1" w:themeShade="80"/>
          <w:sz w:val="24"/>
          <w:szCs w:val="24"/>
        </w:rPr>
        <w:fldChar w:fldCharType="end"/>
      </w:r>
      <w:r w:rsidR="00582EC4" w:rsidRPr="006517DB">
        <w:rPr>
          <w:rFonts w:cs="Times New Roman"/>
          <w:color w:val="1F4E79" w:themeColor="accent1" w:themeShade="80"/>
          <w:sz w:val="24"/>
          <w:szCs w:val="24"/>
        </w:rPr>
        <w:t>: Number of Online Banking Customers</w:t>
      </w:r>
      <w:r w:rsidRPr="006517DB">
        <w:rPr>
          <w:rFonts w:cs="Times New Roman"/>
          <w:color w:val="1F4E79" w:themeColor="accent1" w:themeShade="80"/>
          <w:sz w:val="24"/>
          <w:szCs w:val="24"/>
        </w:rPr>
        <w:t xml:space="preserve">            </w:t>
      </w:r>
    </w:p>
    <w:p w:rsidR="00BB06FE" w:rsidRPr="006517DB" w:rsidRDefault="00BB06FE"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From the statistic report of Bangladesh Bank, customers of online banking had increased emphatically in the last year. The number of users crossed 30lakhs at the end of September as people discovered digital transactions more compatible rather visit the bank branches during the Covid-19 Pandemic.</w:t>
      </w:r>
    </w:p>
    <w:p w:rsidR="00CD2F0E" w:rsidRPr="00731BF8" w:rsidRDefault="00BB06FE" w:rsidP="00731BF8">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lastRenderedPageBreak/>
        <w:t xml:space="preserve">                </w:t>
      </w:r>
      <w:r w:rsidR="007E38F0" w:rsidRPr="006517DB">
        <w:rPr>
          <w:rFonts w:ascii="Times New Roman" w:hAnsi="Times New Roman" w:cs="Times New Roman"/>
          <w:noProof/>
          <w:sz w:val="24"/>
          <w:szCs w:val="24"/>
          <w:lang w:val="en-MY" w:eastAsia="en-MY"/>
        </w:rPr>
        <w:drawing>
          <wp:inline distT="0" distB="0" distL="0" distR="0" wp14:anchorId="5A9617FB" wp14:editId="4B22DE76">
            <wp:extent cx="5657850" cy="253365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731BF8">
        <w:rPr>
          <w:rFonts w:ascii="Times New Roman" w:hAnsi="Times New Roman" w:cs="Times New Roman"/>
          <w:sz w:val="24"/>
          <w:szCs w:val="24"/>
        </w:rPr>
        <w:t xml:space="preserve">                </w:t>
      </w:r>
      <w:r w:rsidR="00930D21">
        <w:rPr>
          <w:rFonts w:ascii="Times New Roman" w:hAnsi="Times New Roman" w:cs="Times New Roman"/>
          <w:sz w:val="24"/>
          <w:szCs w:val="24"/>
        </w:rPr>
        <w:t xml:space="preserve">    </w:t>
      </w:r>
      <w:r w:rsidR="00CD2F0E" w:rsidRPr="009C0B1A">
        <w:rPr>
          <w:rFonts w:ascii="Times New Roman" w:hAnsi="Times New Roman" w:cs="Times New Roman"/>
          <w:b/>
          <w:color w:val="1F4E79" w:themeColor="accent1" w:themeShade="80"/>
          <w:sz w:val="24"/>
          <w:szCs w:val="24"/>
        </w:rPr>
        <w:t xml:space="preserve">Figure </w:t>
      </w:r>
      <w:r w:rsidR="00CD2F0E" w:rsidRPr="009C0B1A">
        <w:rPr>
          <w:rFonts w:ascii="Times New Roman" w:hAnsi="Times New Roman" w:cs="Times New Roman"/>
          <w:b/>
          <w:color w:val="1F4E79" w:themeColor="accent1" w:themeShade="80"/>
          <w:sz w:val="24"/>
          <w:szCs w:val="24"/>
        </w:rPr>
        <w:fldChar w:fldCharType="begin"/>
      </w:r>
      <w:r w:rsidR="00CD2F0E" w:rsidRPr="009C0B1A">
        <w:rPr>
          <w:rFonts w:ascii="Times New Roman" w:hAnsi="Times New Roman" w:cs="Times New Roman"/>
          <w:b/>
          <w:color w:val="1F4E79" w:themeColor="accent1" w:themeShade="80"/>
          <w:sz w:val="24"/>
          <w:szCs w:val="24"/>
        </w:rPr>
        <w:instrText xml:space="preserve"> SEQ Figure \* ARABIC </w:instrText>
      </w:r>
      <w:r w:rsidR="00CD2F0E" w:rsidRPr="009C0B1A">
        <w:rPr>
          <w:rFonts w:ascii="Times New Roman" w:hAnsi="Times New Roman" w:cs="Times New Roman"/>
          <w:b/>
          <w:color w:val="1F4E79" w:themeColor="accent1" w:themeShade="80"/>
          <w:sz w:val="24"/>
          <w:szCs w:val="24"/>
        </w:rPr>
        <w:fldChar w:fldCharType="separate"/>
      </w:r>
      <w:r w:rsidR="008A632F">
        <w:rPr>
          <w:rFonts w:ascii="Times New Roman" w:hAnsi="Times New Roman" w:cs="Times New Roman"/>
          <w:b/>
          <w:noProof/>
          <w:color w:val="1F4E79" w:themeColor="accent1" w:themeShade="80"/>
          <w:sz w:val="24"/>
          <w:szCs w:val="24"/>
        </w:rPr>
        <w:t>4</w:t>
      </w:r>
      <w:r w:rsidR="00CD2F0E" w:rsidRPr="009C0B1A">
        <w:rPr>
          <w:rFonts w:ascii="Times New Roman" w:hAnsi="Times New Roman" w:cs="Times New Roman"/>
          <w:b/>
          <w:color w:val="1F4E79" w:themeColor="accent1" w:themeShade="80"/>
          <w:sz w:val="24"/>
          <w:szCs w:val="24"/>
        </w:rPr>
        <w:fldChar w:fldCharType="end"/>
      </w:r>
      <w:r w:rsidR="00CD2F0E" w:rsidRPr="009C0B1A">
        <w:rPr>
          <w:rFonts w:ascii="Times New Roman" w:hAnsi="Times New Roman" w:cs="Times New Roman"/>
          <w:b/>
          <w:color w:val="1F4E79" w:themeColor="accent1" w:themeShade="80"/>
          <w:sz w:val="24"/>
          <w:szCs w:val="24"/>
        </w:rPr>
        <w:t>: Tot</w:t>
      </w:r>
      <w:r w:rsidR="00731BF8" w:rsidRPr="009C0B1A">
        <w:rPr>
          <w:rFonts w:ascii="Times New Roman" w:hAnsi="Times New Roman" w:cs="Times New Roman"/>
          <w:b/>
          <w:color w:val="1F4E79" w:themeColor="accent1" w:themeShade="80"/>
          <w:sz w:val="24"/>
          <w:szCs w:val="24"/>
        </w:rPr>
        <w:t>al Transaction of Online Banking</w:t>
      </w:r>
    </w:p>
    <w:p w:rsidR="00BB06FE" w:rsidRPr="006517DB" w:rsidRDefault="00BB06FE"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Monet</w:t>
      </w:r>
      <w:r w:rsidR="00731BF8">
        <w:rPr>
          <w:rFonts w:ascii="Times New Roman" w:hAnsi="Times New Roman" w:cs="Times New Roman"/>
          <w:sz w:val="24"/>
          <w:szCs w:val="24"/>
        </w:rPr>
        <w:t>ary transaction through online B</w:t>
      </w:r>
      <w:r w:rsidRPr="006517DB">
        <w:rPr>
          <w:rFonts w:ascii="Times New Roman" w:hAnsi="Times New Roman" w:cs="Times New Roman"/>
          <w:sz w:val="24"/>
          <w:szCs w:val="24"/>
        </w:rPr>
        <w:t xml:space="preserve">anking dilated by 21% in December compared to January. People received online banking </w:t>
      </w:r>
      <w:r w:rsidR="00731BF8">
        <w:rPr>
          <w:rFonts w:ascii="Times New Roman" w:hAnsi="Times New Roman" w:cs="Times New Roman"/>
          <w:sz w:val="24"/>
          <w:szCs w:val="24"/>
        </w:rPr>
        <w:t xml:space="preserve">comprehensively to </w:t>
      </w:r>
      <w:r w:rsidRPr="006517DB">
        <w:rPr>
          <w:rFonts w:ascii="Times New Roman" w:hAnsi="Times New Roman" w:cs="Times New Roman"/>
          <w:sz w:val="24"/>
          <w:szCs w:val="24"/>
        </w:rPr>
        <w:t>reduce the expanse of coronavirus. Banks also took great initiatives for which people found online banking easy than before and showed more interested amid pandemic. For example, from June BRAC bank escalated the limits of daily transaction through ATMs and online banking so that customers can do banking activities without visiting the branches (</w:t>
      </w:r>
      <w:hyperlink r:id="rId27" w:history="1">
        <w:r w:rsidRPr="006517DB">
          <w:rPr>
            <w:rStyle w:val="Hyperlink"/>
            <w:rFonts w:ascii="Times New Roman" w:hAnsi="Times New Roman" w:cs="Times New Roman"/>
            <w:sz w:val="24"/>
            <w:szCs w:val="24"/>
          </w:rPr>
          <w:t>https://www.bracbank.com</w:t>
        </w:r>
      </w:hyperlink>
      <w:r w:rsidRPr="006517DB">
        <w:rPr>
          <w:rFonts w:ascii="Times New Roman" w:hAnsi="Times New Roman" w:cs="Times New Roman"/>
          <w:sz w:val="24"/>
          <w:szCs w:val="24"/>
        </w:rPr>
        <w:t xml:space="preserve">). </w:t>
      </w:r>
    </w:p>
    <w:tbl>
      <w:tblPr>
        <w:tblStyle w:val="TableGrid"/>
        <w:tblW w:w="0" w:type="auto"/>
        <w:tblInd w:w="198" w:type="dxa"/>
        <w:tblLook w:val="04A0" w:firstRow="1" w:lastRow="0" w:firstColumn="1" w:lastColumn="0" w:noHBand="0" w:noVBand="1"/>
      </w:tblPr>
      <w:tblGrid>
        <w:gridCol w:w="3492"/>
        <w:gridCol w:w="2943"/>
        <w:gridCol w:w="2943"/>
      </w:tblGrid>
      <w:tr w:rsidR="00BB06FE" w:rsidRPr="009F4D4E" w:rsidTr="009C0083">
        <w:tc>
          <w:tcPr>
            <w:tcW w:w="3492" w:type="dxa"/>
          </w:tcPr>
          <w:p w:rsidR="00BB06FE" w:rsidRPr="009F4D4E" w:rsidRDefault="00BB06FE" w:rsidP="006517DB">
            <w:pPr>
              <w:pStyle w:val="ListParagraph"/>
              <w:spacing w:line="360" w:lineRule="auto"/>
              <w:jc w:val="both"/>
              <w:rPr>
                <w:rFonts w:ascii="Times New Roman" w:hAnsi="Times New Roman" w:cs="Times New Roman"/>
                <w:sz w:val="20"/>
                <w:szCs w:val="20"/>
              </w:rPr>
            </w:pPr>
            <w:r w:rsidRPr="009F4D4E">
              <w:rPr>
                <w:rFonts w:ascii="Times New Roman" w:hAnsi="Times New Roman" w:cs="Times New Roman"/>
                <w:sz w:val="20"/>
                <w:szCs w:val="20"/>
              </w:rPr>
              <w:t>Type of Transaction</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Previous Limit(TK)</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Current Limit(TK)</w:t>
            </w:r>
          </w:p>
        </w:tc>
      </w:tr>
      <w:tr w:rsidR="00BB06FE" w:rsidRPr="009F4D4E" w:rsidTr="009C0083">
        <w:tc>
          <w:tcPr>
            <w:tcW w:w="9378" w:type="dxa"/>
            <w:gridSpan w:val="3"/>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Transaction on Internet Banking</w:t>
            </w:r>
          </w:p>
        </w:tc>
      </w:tr>
      <w:tr w:rsidR="00BB06FE" w:rsidRPr="009F4D4E" w:rsidTr="009C0083">
        <w:tc>
          <w:tcPr>
            <w:tcW w:w="3492"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Transfer to another bank account</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3,00,000</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5,00,000</w:t>
            </w:r>
          </w:p>
        </w:tc>
      </w:tr>
      <w:tr w:rsidR="00BB06FE" w:rsidRPr="009F4D4E" w:rsidTr="009C0083">
        <w:tc>
          <w:tcPr>
            <w:tcW w:w="3492"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BFETN</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1,00,000</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5,00,000</w:t>
            </w:r>
          </w:p>
        </w:tc>
      </w:tr>
      <w:tr w:rsidR="00BB06FE" w:rsidRPr="009F4D4E" w:rsidTr="009C0083">
        <w:tc>
          <w:tcPr>
            <w:tcW w:w="3492"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Other bank’s credit card on Internet Banking</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3,00,000</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5,00,000</w:t>
            </w:r>
          </w:p>
        </w:tc>
      </w:tr>
      <w:tr w:rsidR="00BB06FE" w:rsidRPr="009F4D4E" w:rsidTr="009C0083">
        <w:tc>
          <w:tcPr>
            <w:tcW w:w="9378" w:type="dxa"/>
            <w:gridSpan w:val="3"/>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Transaction on ATM</w:t>
            </w:r>
          </w:p>
        </w:tc>
      </w:tr>
      <w:tr w:rsidR="00BB06FE" w:rsidRPr="009F4D4E" w:rsidTr="009C0083">
        <w:tc>
          <w:tcPr>
            <w:tcW w:w="3492"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Withdraw of Cash</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2,00,000</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3,00,000</w:t>
            </w:r>
          </w:p>
        </w:tc>
      </w:tr>
      <w:tr w:rsidR="00BB06FE" w:rsidRPr="006517DB" w:rsidTr="003860BF">
        <w:trPr>
          <w:trHeight w:val="1070"/>
        </w:trPr>
        <w:tc>
          <w:tcPr>
            <w:tcW w:w="3492"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Withdraw of cash for Premium Banking Customers</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3,00,000</w:t>
            </w:r>
          </w:p>
        </w:tc>
        <w:tc>
          <w:tcPr>
            <w:tcW w:w="2943" w:type="dxa"/>
          </w:tcPr>
          <w:p w:rsidR="00BB06FE" w:rsidRPr="009F4D4E" w:rsidRDefault="00BB06FE" w:rsidP="006517DB">
            <w:pPr>
              <w:pStyle w:val="ListParagraph"/>
              <w:spacing w:line="360" w:lineRule="auto"/>
              <w:ind w:left="0"/>
              <w:jc w:val="both"/>
              <w:rPr>
                <w:rFonts w:ascii="Times New Roman" w:hAnsi="Times New Roman" w:cs="Times New Roman"/>
                <w:sz w:val="20"/>
                <w:szCs w:val="20"/>
              </w:rPr>
            </w:pPr>
            <w:r w:rsidRPr="009F4D4E">
              <w:rPr>
                <w:rFonts w:ascii="Times New Roman" w:hAnsi="Times New Roman" w:cs="Times New Roman"/>
                <w:sz w:val="20"/>
                <w:szCs w:val="20"/>
              </w:rPr>
              <w:t>4,00,000</w:t>
            </w:r>
          </w:p>
        </w:tc>
      </w:tr>
    </w:tbl>
    <w:p w:rsidR="003860BF" w:rsidRPr="009F4D4E" w:rsidRDefault="009F4D4E" w:rsidP="006517DB">
      <w:pPr>
        <w:pStyle w:val="Caption"/>
        <w:spacing w:line="360" w:lineRule="auto"/>
        <w:jc w:val="both"/>
        <w:rPr>
          <w:rFonts w:cs="Times New Roman"/>
          <w:color w:val="1F4E79" w:themeColor="accent1" w:themeShade="80"/>
          <w:sz w:val="20"/>
          <w:szCs w:val="20"/>
        </w:rPr>
      </w:pPr>
      <w:r>
        <w:rPr>
          <w:rFonts w:cs="Times New Roman"/>
          <w:color w:val="1F4E79" w:themeColor="accent1" w:themeShade="80"/>
          <w:sz w:val="24"/>
          <w:szCs w:val="24"/>
        </w:rPr>
        <w:lastRenderedPageBreak/>
        <w:t xml:space="preserve"> </w:t>
      </w:r>
      <w:r w:rsidR="003860BF" w:rsidRPr="009F4D4E">
        <w:rPr>
          <w:rFonts w:cs="Times New Roman"/>
          <w:color w:val="1F4E79" w:themeColor="accent1" w:themeShade="80"/>
          <w:sz w:val="20"/>
          <w:szCs w:val="20"/>
        </w:rPr>
        <w:t xml:space="preserve">Table </w:t>
      </w:r>
      <w:r w:rsidR="003860BF" w:rsidRPr="009F4D4E">
        <w:rPr>
          <w:rFonts w:cs="Times New Roman"/>
          <w:color w:val="1F4E79" w:themeColor="accent1" w:themeShade="80"/>
          <w:sz w:val="20"/>
          <w:szCs w:val="20"/>
        </w:rPr>
        <w:fldChar w:fldCharType="begin"/>
      </w:r>
      <w:r w:rsidR="003860BF" w:rsidRPr="009F4D4E">
        <w:rPr>
          <w:rFonts w:cs="Times New Roman"/>
          <w:color w:val="1F4E79" w:themeColor="accent1" w:themeShade="80"/>
          <w:sz w:val="20"/>
          <w:szCs w:val="20"/>
        </w:rPr>
        <w:instrText xml:space="preserve"> SEQ Table \* ARABIC </w:instrText>
      </w:r>
      <w:r w:rsidR="003860BF" w:rsidRPr="009F4D4E">
        <w:rPr>
          <w:rFonts w:cs="Times New Roman"/>
          <w:color w:val="1F4E79" w:themeColor="accent1" w:themeShade="80"/>
          <w:sz w:val="20"/>
          <w:szCs w:val="20"/>
        </w:rPr>
        <w:fldChar w:fldCharType="separate"/>
      </w:r>
      <w:r w:rsidR="008A632F">
        <w:rPr>
          <w:rFonts w:cs="Times New Roman"/>
          <w:noProof/>
          <w:color w:val="1F4E79" w:themeColor="accent1" w:themeShade="80"/>
          <w:sz w:val="20"/>
          <w:szCs w:val="20"/>
        </w:rPr>
        <w:t>1</w:t>
      </w:r>
      <w:r w:rsidR="003860BF" w:rsidRPr="009F4D4E">
        <w:rPr>
          <w:rFonts w:cs="Times New Roman"/>
          <w:color w:val="1F4E79" w:themeColor="accent1" w:themeShade="80"/>
          <w:sz w:val="20"/>
          <w:szCs w:val="20"/>
        </w:rPr>
        <w:fldChar w:fldCharType="end"/>
      </w:r>
      <w:r w:rsidR="003860BF" w:rsidRPr="009F4D4E">
        <w:rPr>
          <w:rFonts w:cs="Times New Roman"/>
          <w:color w:val="1F4E79" w:themeColor="accent1" w:themeShade="80"/>
          <w:sz w:val="20"/>
          <w:szCs w:val="20"/>
        </w:rPr>
        <w:t>: New Money Transaction Limit of BRAC Bank</w:t>
      </w:r>
    </w:p>
    <w:p w:rsidR="00BB06FE" w:rsidRPr="006517DB" w:rsidRDefault="00BB06FE"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Managing Director and CEO of the bank </w:t>
      </w:r>
      <w:proofErr w:type="spellStart"/>
      <w:r w:rsidRPr="006517DB">
        <w:rPr>
          <w:rFonts w:ascii="Times New Roman" w:hAnsi="Times New Roman" w:cs="Times New Roman"/>
          <w:sz w:val="24"/>
          <w:szCs w:val="24"/>
        </w:rPr>
        <w:t>Selim</w:t>
      </w:r>
      <w:proofErr w:type="spellEnd"/>
      <w:r w:rsidRPr="006517DB">
        <w:rPr>
          <w:rFonts w:ascii="Times New Roman" w:hAnsi="Times New Roman" w:cs="Times New Roman"/>
          <w:sz w:val="24"/>
          <w:szCs w:val="24"/>
        </w:rPr>
        <w:t xml:space="preserve"> </w:t>
      </w:r>
      <w:proofErr w:type="spellStart"/>
      <w:r w:rsidRPr="006517DB">
        <w:rPr>
          <w:rFonts w:ascii="Times New Roman" w:hAnsi="Times New Roman" w:cs="Times New Roman"/>
          <w:sz w:val="24"/>
          <w:szCs w:val="24"/>
        </w:rPr>
        <w:t>R.F.Hussion</w:t>
      </w:r>
      <w:proofErr w:type="spellEnd"/>
      <w:r w:rsidRPr="006517DB">
        <w:rPr>
          <w:rFonts w:ascii="Times New Roman" w:hAnsi="Times New Roman" w:cs="Times New Roman"/>
          <w:sz w:val="24"/>
          <w:szCs w:val="24"/>
        </w:rPr>
        <w:t xml:space="preserve"> told that, though maintaining social and physical distance, they found customers crowding to the branches and this happened owing t</w:t>
      </w:r>
      <w:r w:rsidR="006169E7">
        <w:rPr>
          <w:rFonts w:ascii="Times New Roman" w:hAnsi="Times New Roman" w:cs="Times New Roman"/>
          <w:sz w:val="24"/>
          <w:szCs w:val="24"/>
        </w:rPr>
        <w:t>o limited number of transaction</w:t>
      </w:r>
      <w:r w:rsidRPr="006517DB">
        <w:rPr>
          <w:rFonts w:ascii="Times New Roman" w:hAnsi="Times New Roman" w:cs="Times New Roman"/>
          <w:sz w:val="24"/>
          <w:szCs w:val="24"/>
        </w:rPr>
        <w:t xml:space="preserve"> daily. By broadening the limitation of day-to-day transaction, clients will show more interest on Internet Banking service and ATMs, he also added. In this manner, Bangladesh Bank raised the daily online deals boundary among banks, where for individuals, the regular limit was declared at TK 5 lakh performed through an utmost of 10 transactions using internet banking while the maximum limit for a single transaction was set at TK 1 lakh as well as the regular transaction border for institutional customers was determined at TK 10 lakh accomplished through a maximal of 20 transactions using internet banking while the highest limit for a single transaction was set at 2 lakh(</w:t>
      </w:r>
      <w:hyperlink r:id="rId28" w:history="1">
        <w:r w:rsidRPr="006517DB">
          <w:rPr>
            <w:rStyle w:val="Hyperlink"/>
            <w:rFonts w:ascii="Times New Roman" w:hAnsi="Times New Roman" w:cs="Times New Roman"/>
            <w:sz w:val="24"/>
            <w:szCs w:val="24"/>
          </w:rPr>
          <w:t>https://www.newagebd</w:t>
        </w:r>
      </w:hyperlink>
      <w:r w:rsidRPr="006517DB">
        <w:rPr>
          <w:rFonts w:ascii="Times New Roman" w:hAnsi="Times New Roman" w:cs="Times New Roman"/>
          <w:sz w:val="24"/>
          <w:szCs w:val="24"/>
        </w:rPr>
        <w:t>). Eastern Bank Ltd gives banking service through a Mobile phone APP which is called EBL SKYBANKING and it is the first bank in Bangladesh which brought QR payment in EBL SKYBANKING considering the pandemic situation in September 2, 2020. By performing this service customers can do contactless payments in hotels, restaurants, groceries, hospitals, etc. This endeavor is going to magnify the financial zone tremendously (</w:t>
      </w:r>
      <w:hyperlink r:id="rId29" w:history="1">
        <w:r w:rsidRPr="006517DB">
          <w:rPr>
            <w:rStyle w:val="Hyperlink"/>
            <w:rFonts w:ascii="Times New Roman" w:hAnsi="Times New Roman" w:cs="Times New Roman"/>
            <w:sz w:val="24"/>
            <w:szCs w:val="24"/>
          </w:rPr>
          <w:t>https://www.ebl.com.bd</w:t>
        </w:r>
      </w:hyperlink>
      <w:r w:rsidRPr="006517DB">
        <w:rPr>
          <w:rFonts w:ascii="Times New Roman" w:hAnsi="Times New Roman" w:cs="Times New Roman"/>
          <w:sz w:val="24"/>
          <w:szCs w:val="24"/>
        </w:rPr>
        <w:t xml:space="preserve">). City Bank developed ‘City </w:t>
      </w:r>
      <w:proofErr w:type="spellStart"/>
      <w:r w:rsidRPr="006517DB">
        <w:rPr>
          <w:rFonts w:ascii="Times New Roman" w:hAnsi="Times New Roman" w:cs="Times New Roman"/>
          <w:sz w:val="24"/>
          <w:szCs w:val="24"/>
        </w:rPr>
        <w:t>Ekhoni</w:t>
      </w:r>
      <w:proofErr w:type="spellEnd"/>
      <w:r w:rsidRPr="006517DB">
        <w:rPr>
          <w:rFonts w:ascii="Times New Roman" w:hAnsi="Times New Roman" w:cs="Times New Roman"/>
          <w:sz w:val="24"/>
          <w:szCs w:val="24"/>
        </w:rPr>
        <w:t xml:space="preserve"> App’- a smartphone app by which customers can immediately open an account from their home. Due to this pandemic they introduce very easy steps for opening the account so that customers do not come to the branch (</w:t>
      </w:r>
      <w:hyperlink r:id="rId30" w:history="1">
        <w:r w:rsidRPr="006517DB">
          <w:rPr>
            <w:rStyle w:val="Hyperlink"/>
            <w:rFonts w:ascii="Times New Roman" w:hAnsi="Times New Roman" w:cs="Times New Roman"/>
            <w:sz w:val="24"/>
            <w:szCs w:val="24"/>
          </w:rPr>
          <w:t>https://www.tbsnews</w:t>
        </w:r>
      </w:hyperlink>
      <w:r w:rsidRPr="006517DB">
        <w:rPr>
          <w:rFonts w:ascii="Times New Roman" w:hAnsi="Times New Roman" w:cs="Times New Roman"/>
          <w:sz w:val="24"/>
          <w:szCs w:val="24"/>
        </w:rPr>
        <w:t>). Thus, different initiatives of bank played a pivotal role for the enlargement of online banking users, transactions.</w:t>
      </w:r>
    </w:p>
    <w:p w:rsidR="00BB06FE" w:rsidRPr="006517DB" w:rsidRDefault="00BB06FE"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For the duration of lockdown country’s two major platforms of digital banking condition is showed below: </w:t>
      </w:r>
    </w:p>
    <w:p w:rsidR="00BB06FE" w:rsidRPr="006517DB" w:rsidRDefault="00D073AD"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lastRenderedPageBreak/>
        <w:drawing>
          <wp:inline distT="0" distB="0" distL="0" distR="0" wp14:anchorId="13BD2C63" wp14:editId="5B5C8B6F">
            <wp:extent cx="5562600" cy="26670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B06FE" w:rsidRPr="006517DB" w:rsidRDefault="00856AC6" w:rsidP="006517DB">
      <w:pPr>
        <w:pStyle w:val="Caption"/>
        <w:spacing w:line="360" w:lineRule="auto"/>
        <w:jc w:val="both"/>
        <w:rPr>
          <w:rFonts w:cs="Times New Roman"/>
          <w:color w:val="1F4E79" w:themeColor="accent1" w:themeShade="80"/>
          <w:sz w:val="24"/>
          <w:szCs w:val="24"/>
        </w:rPr>
      </w:pPr>
      <w:r w:rsidRPr="006517DB">
        <w:rPr>
          <w:rFonts w:cs="Times New Roman"/>
          <w:b w:val="0"/>
          <w:i/>
          <w:sz w:val="24"/>
          <w:szCs w:val="24"/>
        </w:rPr>
        <w:t xml:space="preserve">  </w:t>
      </w:r>
      <w:r w:rsidR="00930D21">
        <w:rPr>
          <w:rFonts w:cs="Times New Roman"/>
          <w:b w:val="0"/>
          <w:i/>
          <w:sz w:val="24"/>
          <w:szCs w:val="24"/>
        </w:rPr>
        <w:t xml:space="preserve">  </w:t>
      </w: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5</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 xml:space="preserve">: Total Transaction of ATMs </w:t>
      </w:r>
    </w:p>
    <w:p w:rsidR="00BB06FE" w:rsidRPr="006517DB" w:rsidRDefault="00BB06FE" w:rsidP="006517DB">
      <w:pPr>
        <w:spacing w:line="360" w:lineRule="auto"/>
        <w:jc w:val="both"/>
        <w:rPr>
          <w:rFonts w:ascii="Times New Roman" w:hAnsi="Times New Roman" w:cs="Times New Roman"/>
          <w:sz w:val="24"/>
          <w:szCs w:val="24"/>
        </w:rPr>
      </w:pPr>
    </w:p>
    <w:p w:rsidR="00BB06FE" w:rsidRPr="006517DB" w:rsidRDefault="00D073AD"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drawing>
          <wp:inline distT="0" distB="0" distL="0" distR="0" wp14:anchorId="085E0761" wp14:editId="1A4DD6DA">
            <wp:extent cx="5619750" cy="271462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56AC6" w:rsidRPr="006517DB" w:rsidRDefault="00856AC6"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6</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 Total transaction of POS</w:t>
      </w:r>
    </w:p>
    <w:p w:rsidR="00BB06FE" w:rsidRPr="006517DB" w:rsidRDefault="00BB06FE"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Automated teller machines (ATMs) and point of sale (POS) are two popular mediums of payment in Bangladesh. In March 2020, Bangladesh recognized its first coronavirus patient and imposed lockdown from March 26 to May 30. In April, ATMs transactions lessened by 44% and POS transactions dropped by 68% in comparison to the prior month. ATM and POS transactions </w:t>
      </w:r>
      <w:r w:rsidRPr="006517DB">
        <w:rPr>
          <w:rFonts w:ascii="Times New Roman" w:hAnsi="Times New Roman" w:cs="Times New Roman"/>
          <w:sz w:val="24"/>
          <w:szCs w:val="24"/>
        </w:rPr>
        <w:lastRenderedPageBreak/>
        <w:t>dipped in size and use because of avoiding outdoors by people and accepting more contactless payment.</w:t>
      </w:r>
    </w:p>
    <w:p w:rsidR="00BB06FE" w:rsidRPr="006169E7" w:rsidRDefault="00E34484" w:rsidP="006169E7">
      <w:pPr>
        <w:pStyle w:val="ListParagraph"/>
        <w:numPr>
          <w:ilvl w:val="0"/>
          <w:numId w:val="5"/>
        </w:numPr>
        <w:spacing w:line="360" w:lineRule="auto"/>
        <w:jc w:val="both"/>
        <w:rPr>
          <w:rFonts w:ascii="Times New Roman" w:hAnsi="Times New Roman" w:cs="Times New Roman"/>
          <w:b/>
          <w:color w:val="1F3864" w:themeColor="accent5" w:themeShade="80"/>
          <w:sz w:val="24"/>
          <w:szCs w:val="24"/>
        </w:rPr>
      </w:pPr>
      <w:r w:rsidRPr="006169E7">
        <w:rPr>
          <w:rFonts w:ascii="Times New Roman" w:hAnsi="Times New Roman" w:cs="Times New Roman"/>
          <w:b/>
          <w:color w:val="1F3864" w:themeColor="accent5" w:themeShade="80"/>
          <w:sz w:val="24"/>
          <w:szCs w:val="24"/>
        </w:rPr>
        <w:t>Agent Banking</w:t>
      </w:r>
    </w:p>
    <w:p w:rsidR="00E34484" w:rsidRPr="006517DB" w:rsidRDefault="00E34484"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The screenplay of agent banking prior to and following the Covid-19 epidemic:</w:t>
      </w:r>
    </w:p>
    <w:tbl>
      <w:tblPr>
        <w:tblStyle w:val="TableGrid"/>
        <w:tblW w:w="0" w:type="auto"/>
        <w:tblLook w:val="04A0" w:firstRow="1" w:lastRow="0" w:firstColumn="1" w:lastColumn="0" w:noHBand="0" w:noVBand="1"/>
      </w:tblPr>
      <w:tblGrid>
        <w:gridCol w:w="2394"/>
        <w:gridCol w:w="2394"/>
        <w:gridCol w:w="2394"/>
        <w:gridCol w:w="2394"/>
      </w:tblGrid>
      <w:tr w:rsidR="00E34484" w:rsidRPr="006517DB" w:rsidTr="009C0083">
        <w:tc>
          <w:tcPr>
            <w:tcW w:w="2394" w:type="dxa"/>
          </w:tcPr>
          <w:p w:rsidR="00E34484" w:rsidRPr="00654D82" w:rsidRDefault="00260DAB"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Description</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 xml:space="preserve">      December 2019                                                              </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 xml:space="preserve">December 2020                           </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Change (%)</w:t>
            </w:r>
          </w:p>
        </w:tc>
      </w:tr>
      <w:tr w:rsidR="00E34484" w:rsidRPr="006517DB" w:rsidTr="009C0083">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Banks with Agent Banking License</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24</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28</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4</w:t>
            </w:r>
          </w:p>
        </w:tc>
      </w:tr>
      <w:tr w:rsidR="00E34484" w:rsidRPr="006517DB" w:rsidTr="009C0083">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 xml:space="preserve">Banks in Operation                                           </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21</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26</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5</w:t>
            </w:r>
          </w:p>
        </w:tc>
      </w:tr>
      <w:tr w:rsidR="00E34484" w:rsidRPr="006517DB" w:rsidTr="009C0083">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 xml:space="preserve"> No. of accounts                                                           </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5,268,496</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9,643,163</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83%</w:t>
            </w:r>
          </w:p>
        </w:tc>
      </w:tr>
      <w:tr w:rsidR="00E34484" w:rsidRPr="006517DB" w:rsidTr="009C0083">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 xml:space="preserve">Number of Female Accounts                   </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2,297,775</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4,398,122</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91.41%</w:t>
            </w:r>
          </w:p>
        </w:tc>
      </w:tr>
      <w:tr w:rsidR="00E34484" w:rsidRPr="006517DB" w:rsidTr="009C0083">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 xml:space="preserve">Number of Rural Accounts                         </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4,370,890</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8,358,501</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91.23%</w:t>
            </w:r>
          </w:p>
        </w:tc>
      </w:tr>
      <w:tr w:rsidR="00E34484" w:rsidRPr="006517DB" w:rsidTr="009C0083">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 xml:space="preserve">Amount of Deposit                                      </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751,716.22</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1,597,725.50</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112.54%</w:t>
            </w:r>
          </w:p>
        </w:tc>
      </w:tr>
      <w:tr w:rsidR="00E34484" w:rsidRPr="006517DB" w:rsidTr="009C0083">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 xml:space="preserve">Amount of Loan Disbursed                           </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44,600.63</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189,315.75</w:t>
            </w:r>
          </w:p>
        </w:tc>
        <w:tc>
          <w:tcPr>
            <w:tcW w:w="2394" w:type="dxa"/>
          </w:tcPr>
          <w:p w:rsidR="00E34484" w:rsidRPr="00654D82" w:rsidRDefault="00E34484" w:rsidP="006517DB">
            <w:pPr>
              <w:spacing w:line="360" w:lineRule="auto"/>
              <w:jc w:val="both"/>
              <w:rPr>
                <w:rFonts w:ascii="Times New Roman" w:hAnsi="Times New Roman" w:cs="Times New Roman"/>
                <w:sz w:val="20"/>
                <w:szCs w:val="20"/>
              </w:rPr>
            </w:pPr>
            <w:r w:rsidRPr="00654D82">
              <w:rPr>
                <w:rFonts w:ascii="Times New Roman" w:hAnsi="Times New Roman" w:cs="Times New Roman"/>
                <w:sz w:val="20"/>
                <w:szCs w:val="20"/>
              </w:rPr>
              <w:t>324.47%</w:t>
            </w:r>
          </w:p>
        </w:tc>
      </w:tr>
    </w:tbl>
    <w:p w:rsidR="00E34484" w:rsidRDefault="00E34484"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Loan, deposit are in BDT </w:t>
      </w:r>
      <w:proofErr w:type="spellStart"/>
      <w:r w:rsidRPr="006517DB">
        <w:rPr>
          <w:rFonts w:ascii="Times New Roman" w:hAnsi="Times New Roman" w:cs="Times New Roman"/>
          <w:sz w:val="24"/>
          <w:szCs w:val="24"/>
        </w:rPr>
        <w:t>lacs</w:t>
      </w:r>
      <w:proofErr w:type="spellEnd"/>
      <w:r w:rsidRPr="006517DB">
        <w:rPr>
          <w:rFonts w:ascii="Times New Roman" w:hAnsi="Times New Roman" w:cs="Times New Roman"/>
          <w:sz w:val="24"/>
          <w:szCs w:val="24"/>
        </w:rPr>
        <w:t xml:space="preserve"> (1 lac = 100,000)</w:t>
      </w:r>
    </w:p>
    <w:p w:rsidR="00D10A76" w:rsidRPr="006517DB" w:rsidRDefault="00D10A76" w:rsidP="006517D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sidRPr="00D10A76">
        <w:rPr>
          <w:rFonts w:ascii="Times New Roman" w:hAnsi="Times New Roman" w:cs="Times New Roman"/>
          <w:sz w:val="24"/>
          <w:szCs w:val="24"/>
        </w:rPr>
        <w:t>Financial Inclusion Department Bangladesh Bank</w:t>
      </w:r>
    </w:p>
    <w:p w:rsidR="004E22AB" w:rsidRPr="00F2759B" w:rsidRDefault="004E22AB" w:rsidP="006517DB">
      <w:pPr>
        <w:pStyle w:val="Caption"/>
        <w:spacing w:line="360" w:lineRule="auto"/>
        <w:jc w:val="both"/>
        <w:rPr>
          <w:rFonts w:cs="Times New Roman"/>
          <w:color w:val="1F4E79" w:themeColor="accent1" w:themeShade="80"/>
          <w:szCs w:val="22"/>
        </w:rPr>
      </w:pPr>
      <w:r w:rsidRPr="00F2759B">
        <w:rPr>
          <w:rFonts w:cs="Times New Roman"/>
          <w:color w:val="1F4E79" w:themeColor="accent1" w:themeShade="80"/>
          <w:szCs w:val="22"/>
        </w:rPr>
        <w:t xml:space="preserve">Table </w:t>
      </w:r>
      <w:r w:rsidRPr="00F2759B">
        <w:rPr>
          <w:rFonts w:cs="Times New Roman"/>
          <w:color w:val="1F4E79" w:themeColor="accent1" w:themeShade="80"/>
          <w:szCs w:val="22"/>
        </w:rPr>
        <w:fldChar w:fldCharType="begin"/>
      </w:r>
      <w:r w:rsidRPr="00F2759B">
        <w:rPr>
          <w:rFonts w:cs="Times New Roman"/>
          <w:color w:val="1F4E79" w:themeColor="accent1" w:themeShade="80"/>
          <w:szCs w:val="22"/>
        </w:rPr>
        <w:instrText xml:space="preserve"> SEQ Table \* ARABIC </w:instrText>
      </w:r>
      <w:r w:rsidRPr="00F2759B">
        <w:rPr>
          <w:rFonts w:cs="Times New Roman"/>
          <w:color w:val="1F4E79" w:themeColor="accent1" w:themeShade="80"/>
          <w:szCs w:val="22"/>
        </w:rPr>
        <w:fldChar w:fldCharType="separate"/>
      </w:r>
      <w:r w:rsidR="008A632F">
        <w:rPr>
          <w:rFonts w:cs="Times New Roman"/>
          <w:noProof/>
          <w:color w:val="1F4E79" w:themeColor="accent1" w:themeShade="80"/>
          <w:szCs w:val="22"/>
        </w:rPr>
        <w:t>2</w:t>
      </w:r>
      <w:r w:rsidRPr="00F2759B">
        <w:rPr>
          <w:rFonts w:cs="Times New Roman"/>
          <w:color w:val="1F4E79" w:themeColor="accent1" w:themeShade="80"/>
          <w:szCs w:val="22"/>
        </w:rPr>
        <w:fldChar w:fldCharType="end"/>
      </w:r>
      <w:r w:rsidRPr="00F2759B">
        <w:rPr>
          <w:rFonts w:cs="Times New Roman"/>
          <w:color w:val="1F4E79" w:themeColor="accent1" w:themeShade="80"/>
          <w:szCs w:val="22"/>
        </w:rPr>
        <w:t>: Notable Changes of Agent Banking</w:t>
      </w:r>
    </w:p>
    <w:p w:rsidR="00E34484" w:rsidRPr="006517DB" w:rsidRDefault="00E34484"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From the above data, it is clearly showing that in the midst of the Covid-19 pestilence, agent banking maintained to swell in Bangladesh. Diverse components helped here such as admissibility of agents by natives, usage of IT appliances to allay nuisances by agents, adaptation of conducting banking actions digitally by agents, included</w:t>
      </w:r>
      <w:r w:rsidR="00294125">
        <w:rPr>
          <w:rFonts w:ascii="Times New Roman" w:hAnsi="Times New Roman" w:cs="Times New Roman"/>
          <w:sz w:val="24"/>
          <w:szCs w:val="24"/>
        </w:rPr>
        <w:t xml:space="preserve"> agent banking</w:t>
      </w:r>
      <w:r w:rsidRPr="006517DB">
        <w:rPr>
          <w:rFonts w:ascii="Times New Roman" w:hAnsi="Times New Roman" w:cs="Times New Roman"/>
          <w:sz w:val="24"/>
          <w:szCs w:val="24"/>
        </w:rPr>
        <w:t xml:space="preserve"> with insurance, e-commerce, utility bill compilation for earning revenue and so on. </w:t>
      </w:r>
    </w:p>
    <w:p w:rsidR="00E34484" w:rsidRPr="006517DB" w:rsidRDefault="00E34484"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The outline of agents and outlets is listed below:</w:t>
      </w:r>
    </w:p>
    <w:p w:rsidR="00B055EB" w:rsidRPr="006517DB" w:rsidRDefault="00F0356A"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lastRenderedPageBreak/>
        <w:drawing>
          <wp:inline distT="0" distB="0" distL="0" distR="0" wp14:anchorId="37382F08" wp14:editId="0171047A">
            <wp:extent cx="5505450" cy="2790825"/>
            <wp:effectExtent l="0" t="0" r="0" b="952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055EB" w:rsidRPr="006517DB" w:rsidRDefault="006E4680"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7</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 Number of Agents of Agent Banking</w:t>
      </w:r>
    </w:p>
    <w:p w:rsidR="00B055EB" w:rsidRPr="006517DB" w:rsidRDefault="00BE5BC8"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drawing>
          <wp:inline distT="0" distB="0" distL="0" distR="0" wp14:anchorId="67C56322" wp14:editId="1A78ECA4">
            <wp:extent cx="5486400" cy="2828925"/>
            <wp:effectExtent l="0" t="0" r="0"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D1884" w:rsidRPr="006517DB" w:rsidRDefault="00CD1884"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8</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 Number of Outlets of Agent Banking</w:t>
      </w:r>
    </w:p>
    <w:p w:rsidR="00B055EB"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Above figures show that number of agents in addition to number of outlets enriched at a steady pace, particularly, in the rural arena. The chief objective of agent banking is providing banking services to deprived and unheeded people who stay in topographically inaccessible place that are far away the access of the conventional banking services. Therefore, the spacious reception of </w:t>
      </w:r>
      <w:r w:rsidRPr="006517DB">
        <w:rPr>
          <w:rFonts w:ascii="Times New Roman" w:hAnsi="Times New Roman" w:cs="Times New Roman"/>
          <w:sz w:val="24"/>
          <w:szCs w:val="24"/>
        </w:rPr>
        <w:lastRenderedPageBreak/>
        <w:t>agent banking by countryside designates an optimistic intimation to open a new horizon in financial inclusion in Bangladesh.</w:t>
      </w:r>
    </w:p>
    <w:p w:rsidR="00B055EB" w:rsidRPr="006517DB" w:rsidRDefault="00B055EB" w:rsidP="006517DB">
      <w:pPr>
        <w:spacing w:line="360" w:lineRule="auto"/>
        <w:jc w:val="both"/>
        <w:rPr>
          <w:rFonts w:ascii="Times New Roman" w:hAnsi="Times New Roman" w:cs="Times New Roman"/>
          <w:sz w:val="24"/>
          <w:szCs w:val="24"/>
        </w:rPr>
      </w:pPr>
    </w:p>
    <w:p w:rsidR="00B055EB" w:rsidRPr="006517DB" w:rsidRDefault="00E65F9F"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drawing>
          <wp:inline distT="0" distB="0" distL="0" distR="0" wp14:anchorId="2C1B13FD" wp14:editId="25DAA488">
            <wp:extent cx="5619750" cy="2752725"/>
            <wp:effectExtent l="0" t="0" r="0" b="95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B055EB" w:rsidRPr="006517DB" w:rsidRDefault="00B55570"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9</w:t>
      </w:r>
      <w:r w:rsidRPr="006517DB">
        <w:rPr>
          <w:rFonts w:cs="Times New Roman"/>
          <w:color w:val="1F4E79" w:themeColor="accent1" w:themeShade="80"/>
          <w:sz w:val="24"/>
          <w:szCs w:val="24"/>
        </w:rPr>
        <w:fldChar w:fldCharType="end"/>
      </w:r>
      <w:r w:rsidR="00BA55CB">
        <w:rPr>
          <w:rFonts w:cs="Times New Roman"/>
          <w:color w:val="1F4E79" w:themeColor="accent1" w:themeShade="80"/>
          <w:sz w:val="24"/>
          <w:szCs w:val="24"/>
        </w:rPr>
        <w:t>: Accounts N</w:t>
      </w:r>
      <w:r w:rsidRPr="006517DB">
        <w:rPr>
          <w:rFonts w:cs="Times New Roman"/>
          <w:color w:val="1F4E79" w:themeColor="accent1" w:themeShade="80"/>
          <w:sz w:val="24"/>
          <w:szCs w:val="24"/>
        </w:rPr>
        <w:t>umber of Agent Banking</w:t>
      </w:r>
    </w:p>
    <w:p w:rsidR="00B055EB" w:rsidRPr="006517DB" w:rsidRDefault="00914531"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drawing>
          <wp:inline distT="0" distB="0" distL="0" distR="0" wp14:anchorId="4FE6C428" wp14:editId="630008B2">
            <wp:extent cx="5686425" cy="2781300"/>
            <wp:effectExtent l="0" t="0" r="9525"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055EB" w:rsidRPr="006517DB" w:rsidRDefault="001301BF"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10</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 Total Transaction of Agent Banking</w:t>
      </w:r>
    </w:p>
    <w:p w:rsidR="00B055EB"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Above information indicates that the users of agent banking together with volume of transaction proliferated in the last year, where number of customers widened by 68% and volume of </w:t>
      </w:r>
      <w:r w:rsidRPr="006517DB">
        <w:rPr>
          <w:rFonts w:ascii="Times New Roman" w:hAnsi="Times New Roman" w:cs="Times New Roman"/>
          <w:sz w:val="24"/>
          <w:szCs w:val="24"/>
        </w:rPr>
        <w:lastRenderedPageBreak/>
        <w:t>transaction soared by 80% in December 2020 in contradistinction to January 2020. Amidst the pandemic, the government proclaimed a sequence of incentive packages worth BDT 1.0 trillion to alleviate the impact of Covis-19(</w:t>
      </w:r>
      <w:hyperlink r:id="rId37" w:history="1">
        <w:r w:rsidRPr="006517DB">
          <w:rPr>
            <w:rStyle w:val="Hyperlink"/>
            <w:rFonts w:ascii="Times New Roman" w:hAnsi="Times New Roman" w:cs="Times New Roman"/>
            <w:sz w:val="24"/>
            <w:szCs w:val="24"/>
          </w:rPr>
          <w:t>https://thefinancialexpress.com.bd</w:t>
        </w:r>
      </w:hyperlink>
      <w:r w:rsidRPr="006517DB">
        <w:rPr>
          <w:rFonts w:ascii="Times New Roman" w:hAnsi="Times New Roman" w:cs="Times New Roman"/>
          <w:sz w:val="24"/>
          <w:szCs w:val="24"/>
        </w:rPr>
        <w:t>). Simultaneously, the allotment of community safety nets augmented to BDT 76,000 aiming to accommodate extra recipients (</w:t>
      </w:r>
      <w:hyperlink r:id="rId38" w:history="1">
        <w:r w:rsidRPr="006517DB">
          <w:rPr>
            <w:rStyle w:val="Hyperlink"/>
            <w:rFonts w:ascii="Times New Roman" w:hAnsi="Times New Roman" w:cs="Times New Roman"/>
            <w:sz w:val="24"/>
            <w:szCs w:val="24"/>
          </w:rPr>
          <w:t>https://www.dhakatribune.com</w:t>
        </w:r>
      </w:hyperlink>
      <w:r w:rsidRPr="006517DB">
        <w:rPr>
          <w:rFonts w:ascii="Times New Roman" w:hAnsi="Times New Roman" w:cs="Times New Roman"/>
          <w:sz w:val="24"/>
          <w:szCs w:val="24"/>
        </w:rPr>
        <w:t>). Agent banking turned out a perfect platform for rural residents as the leading beneficiaries were situated in rustic fields and all</w:t>
      </w:r>
      <w:r w:rsidR="00F12F11">
        <w:rPr>
          <w:rFonts w:ascii="Times New Roman" w:hAnsi="Times New Roman" w:cs="Times New Roman"/>
          <w:sz w:val="24"/>
          <w:szCs w:val="24"/>
        </w:rPr>
        <w:t>ocation of funds was provided</w:t>
      </w:r>
      <w:r w:rsidRPr="006517DB">
        <w:rPr>
          <w:rFonts w:ascii="Times New Roman" w:hAnsi="Times New Roman" w:cs="Times New Roman"/>
          <w:sz w:val="24"/>
          <w:szCs w:val="24"/>
        </w:rPr>
        <w:t xml:space="preserve"> digitally.</w:t>
      </w:r>
    </w:p>
    <w:p w:rsidR="00B055EB" w:rsidRPr="006517DB" w:rsidRDefault="0007380C"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drawing>
          <wp:inline distT="0" distB="0" distL="0" distR="0" wp14:anchorId="135A9086" wp14:editId="146721D3">
            <wp:extent cx="5657850" cy="2809875"/>
            <wp:effectExtent l="0" t="0" r="0"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650E6" w:rsidRPr="006517DB" w:rsidRDefault="001650E6"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11</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 Inward Remittance Amount Accepted by Agent Banking</w:t>
      </w:r>
    </w:p>
    <w:p w:rsidR="00B055EB"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The amount of inward remittance through agent banking swelled outstandingly in 2020 than previous years. It is an outcome of issuing 2% cash stimulus on allowance sent by migrant Bangladeshis and this incentive announced by the government. At the same time, a number of banks also declared to give 1% cash incentive on the transmitted cash to enhance the entrance of remittance.</w:t>
      </w:r>
    </w:p>
    <w:p w:rsidR="00B055EB" w:rsidRPr="001F4EBA" w:rsidRDefault="00B055EB" w:rsidP="001F4EBA">
      <w:pPr>
        <w:pStyle w:val="ListParagraph"/>
        <w:numPr>
          <w:ilvl w:val="0"/>
          <w:numId w:val="5"/>
        </w:numPr>
        <w:spacing w:line="360" w:lineRule="auto"/>
        <w:jc w:val="both"/>
        <w:rPr>
          <w:rFonts w:ascii="Times New Roman" w:hAnsi="Times New Roman" w:cs="Times New Roman"/>
          <w:b/>
          <w:color w:val="1F3864" w:themeColor="accent5" w:themeShade="80"/>
          <w:sz w:val="24"/>
          <w:szCs w:val="24"/>
        </w:rPr>
      </w:pPr>
      <w:r w:rsidRPr="001F4EBA">
        <w:rPr>
          <w:rFonts w:ascii="Times New Roman" w:hAnsi="Times New Roman" w:cs="Times New Roman"/>
          <w:b/>
          <w:color w:val="1F3864" w:themeColor="accent5" w:themeShade="80"/>
          <w:sz w:val="24"/>
          <w:szCs w:val="24"/>
        </w:rPr>
        <w:t>Mobile financial services:</w:t>
      </w:r>
    </w:p>
    <w:tbl>
      <w:tblPr>
        <w:tblStyle w:val="TableGrid"/>
        <w:tblW w:w="0" w:type="auto"/>
        <w:tblLook w:val="04A0" w:firstRow="1" w:lastRow="0" w:firstColumn="1" w:lastColumn="0" w:noHBand="0" w:noVBand="1"/>
      </w:tblPr>
      <w:tblGrid>
        <w:gridCol w:w="3146"/>
        <w:gridCol w:w="2182"/>
        <w:gridCol w:w="2250"/>
        <w:gridCol w:w="1998"/>
      </w:tblGrid>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Description</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Amount in December,2019</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Amount in December,2020</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Percentage change</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No. of agents</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971,620</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1,058,897</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8.98%</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No. of registered clients in Lac</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795.08</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993.36</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24.93%</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lastRenderedPageBreak/>
              <w:t>No. of active accounts in Lac</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346.46</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323.27</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-6.69%</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No. of total transaction</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227,422,938</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299,506,884</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31.69%</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 xml:space="preserve">Total transaction in taka(in </w:t>
            </w:r>
            <w:proofErr w:type="spellStart"/>
            <w:r w:rsidRPr="00AA0CC9">
              <w:rPr>
                <w:rFonts w:ascii="Times New Roman" w:hAnsi="Times New Roman" w:cs="Times New Roman"/>
                <w:color w:val="000000"/>
                <w:sz w:val="20"/>
                <w:szCs w:val="20"/>
                <w:shd w:val="clear" w:color="auto" w:fill="FFFFFF"/>
              </w:rPr>
              <w:t>crore</w:t>
            </w:r>
            <w:proofErr w:type="spellEnd"/>
            <w:r w:rsidRPr="00AA0CC9">
              <w:rPr>
                <w:rFonts w:ascii="Times New Roman" w:hAnsi="Times New Roman" w:cs="Times New Roman"/>
                <w:color w:val="000000"/>
                <w:sz w:val="20"/>
                <w:szCs w:val="20"/>
                <w:shd w:val="clear" w:color="auto" w:fill="FFFFFF"/>
              </w:rPr>
              <w:t xml:space="preserve"> BDT)</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40,647.64</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56,556.88</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39.14%</w:t>
            </w:r>
          </w:p>
        </w:tc>
      </w:tr>
      <w:tr w:rsidR="00B055EB" w:rsidRPr="006517DB" w:rsidTr="009C0083">
        <w:trPr>
          <w:trHeight w:val="548"/>
        </w:trPr>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No. of daily average transaction</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7,336,224</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9,661,512</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31.69%</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 xml:space="preserve">Average daily transaction (in </w:t>
            </w:r>
            <w:proofErr w:type="spellStart"/>
            <w:r w:rsidRPr="00AA0CC9">
              <w:rPr>
                <w:rFonts w:ascii="Times New Roman" w:hAnsi="Times New Roman" w:cs="Times New Roman"/>
                <w:color w:val="000000"/>
                <w:sz w:val="20"/>
                <w:szCs w:val="20"/>
                <w:shd w:val="clear" w:color="auto" w:fill="FFFFFF"/>
              </w:rPr>
              <w:t>crore</w:t>
            </w:r>
            <w:proofErr w:type="spellEnd"/>
            <w:r w:rsidRPr="00AA0CC9">
              <w:rPr>
                <w:rFonts w:ascii="Times New Roman" w:hAnsi="Times New Roman" w:cs="Times New Roman"/>
                <w:color w:val="000000"/>
                <w:sz w:val="20"/>
                <w:szCs w:val="20"/>
                <w:shd w:val="clear" w:color="auto" w:fill="FFFFFF"/>
              </w:rPr>
              <w:t xml:space="preserve"> BDT)</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1,311.21</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1,824.42</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39.14%</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Product wise information</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 xml:space="preserve">Amount(in </w:t>
            </w:r>
            <w:proofErr w:type="spellStart"/>
            <w:r w:rsidRPr="00AA0CC9">
              <w:rPr>
                <w:rFonts w:ascii="Times New Roman" w:hAnsi="Times New Roman" w:cs="Times New Roman"/>
                <w:sz w:val="20"/>
                <w:szCs w:val="20"/>
              </w:rPr>
              <w:t>crore</w:t>
            </w:r>
            <w:proofErr w:type="spellEnd"/>
            <w:r w:rsidRPr="00AA0CC9">
              <w:rPr>
                <w:rFonts w:ascii="Times New Roman" w:hAnsi="Times New Roman" w:cs="Times New Roman"/>
                <w:sz w:val="20"/>
                <w:szCs w:val="20"/>
              </w:rPr>
              <w:t xml:space="preserve"> BDT)</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 xml:space="preserve">Amount(in </w:t>
            </w:r>
            <w:proofErr w:type="spellStart"/>
            <w:r w:rsidRPr="00AA0CC9">
              <w:rPr>
                <w:rFonts w:ascii="Times New Roman" w:hAnsi="Times New Roman" w:cs="Times New Roman"/>
                <w:sz w:val="20"/>
                <w:szCs w:val="20"/>
              </w:rPr>
              <w:t>crore</w:t>
            </w:r>
            <w:proofErr w:type="spellEnd"/>
            <w:r w:rsidRPr="00AA0CC9">
              <w:rPr>
                <w:rFonts w:ascii="Times New Roman" w:hAnsi="Times New Roman" w:cs="Times New Roman"/>
                <w:sz w:val="20"/>
                <w:szCs w:val="20"/>
              </w:rPr>
              <w:t xml:space="preserve"> BDT)</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Percentage change</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Inward Remittance</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30.95</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134.78</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335.48%</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color w:val="000000"/>
                <w:sz w:val="20"/>
                <w:szCs w:val="20"/>
                <w:shd w:val="clear" w:color="auto" w:fill="FFFFFF"/>
              </w:rPr>
            </w:pPr>
            <w:r w:rsidRPr="00AA0CC9">
              <w:rPr>
                <w:rFonts w:ascii="Times New Roman" w:hAnsi="Times New Roman" w:cs="Times New Roman"/>
                <w:color w:val="000000"/>
                <w:sz w:val="20"/>
                <w:szCs w:val="20"/>
                <w:shd w:val="clear" w:color="auto" w:fill="FFFFFF"/>
              </w:rPr>
              <w:t>Cash in transaction</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14,562.70</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17,346.65</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19.12%</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color w:val="000000"/>
                <w:sz w:val="20"/>
                <w:szCs w:val="20"/>
                <w:shd w:val="clear" w:color="auto" w:fill="FFFFFF"/>
              </w:rPr>
            </w:pPr>
            <w:r w:rsidRPr="00AA0CC9">
              <w:rPr>
                <w:rFonts w:ascii="Times New Roman" w:hAnsi="Times New Roman" w:cs="Times New Roman"/>
                <w:color w:val="000000"/>
                <w:sz w:val="20"/>
                <w:szCs w:val="20"/>
                <w:shd w:val="clear" w:color="auto" w:fill="FFFFFF"/>
              </w:rPr>
              <w:t>Cash Out Transaction</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13,473.97</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15,444.23</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14.62%</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color w:val="000000"/>
                <w:sz w:val="20"/>
                <w:szCs w:val="20"/>
                <w:shd w:val="clear" w:color="auto" w:fill="FFFFFF"/>
              </w:rPr>
            </w:pPr>
            <w:r w:rsidRPr="00AA0CC9">
              <w:rPr>
                <w:rFonts w:ascii="Times New Roman" w:hAnsi="Times New Roman" w:cs="Times New Roman"/>
                <w:color w:val="000000"/>
                <w:sz w:val="20"/>
                <w:szCs w:val="20"/>
                <w:shd w:val="clear" w:color="auto" w:fill="FFFFFF"/>
              </w:rPr>
              <w:t>P2P transaction</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9,851.50</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16,982.15</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72.38%</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color w:val="000000"/>
                <w:sz w:val="20"/>
                <w:szCs w:val="20"/>
                <w:shd w:val="clear" w:color="auto" w:fill="FFFFFF"/>
              </w:rPr>
            </w:pPr>
            <w:r w:rsidRPr="00AA0CC9">
              <w:rPr>
                <w:rFonts w:ascii="Times New Roman" w:hAnsi="Times New Roman" w:cs="Times New Roman"/>
                <w:color w:val="000000"/>
                <w:sz w:val="20"/>
                <w:szCs w:val="20"/>
                <w:shd w:val="clear" w:color="auto" w:fill="FFFFFF"/>
              </w:rPr>
              <w:t>Salary Disbursement (B2P)</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1,004.68</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2,093.72</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108.39%</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color w:val="000000"/>
                <w:sz w:val="20"/>
                <w:szCs w:val="20"/>
                <w:shd w:val="clear" w:color="auto" w:fill="FFFFFF"/>
              </w:rPr>
            </w:pPr>
            <w:r w:rsidRPr="00AA0CC9">
              <w:rPr>
                <w:rFonts w:ascii="Times New Roman" w:hAnsi="Times New Roman" w:cs="Times New Roman"/>
                <w:color w:val="000000"/>
                <w:sz w:val="20"/>
                <w:szCs w:val="20"/>
                <w:shd w:val="clear" w:color="auto" w:fill="FFFFFF"/>
              </w:rPr>
              <w:t>Utility Bill Payment (P2B)</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312.84</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834.07</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166.61%</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color w:val="000000"/>
                <w:sz w:val="20"/>
                <w:szCs w:val="20"/>
                <w:shd w:val="clear" w:color="auto" w:fill="FFFFFF"/>
              </w:rPr>
            </w:pPr>
            <w:r w:rsidRPr="00AA0CC9">
              <w:rPr>
                <w:rFonts w:ascii="Times New Roman" w:hAnsi="Times New Roman" w:cs="Times New Roman"/>
                <w:color w:val="000000"/>
                <w:sz w:val="20"/>
                <w:szCs w:val="20"/>
                <w:shd w:val="clear" w:color="auto" w:fill="FFFFFF"/>
              </w:rPr>
              <w:t>Merchant Payment</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600.21</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2,147.24</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257.75%</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color w:val="000000"/>
                <w:sz w:val="20"/>
                <w:szCs w:val="20"/>
                <w:shd w:val="clear" w:color="auto" w:fill="FFFFFF"/>
              </w:rPr>
            </w:pPr>
            <w:r w:rsidRPr="00AA0CC9">
              <w:rPr>
                <w:rFonts w:ascii="Times New Roman" w:hAnsi="Times New Roman" w:cs="Times New Roman"/>
                <w:color w:val="000000"/>
                <w:sz w:val="20"/>
                <w:szCs w:val="20"/>
                <w:shd w:val="clear" w:color="auto" w:fill="FFFFFF"/>
              </w:rPr>
              <w:t>Government Payment</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65.32</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41.39</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-36.63%</w:t>
            </w:r>
          </w:p>
        </w:tc>
      </w:tr>
      <w:tr w:rsidR="00B055EB" w:rsidRPr="006517DB" w:rsidTr="009C0083">
        <w:tc>
          <w:tcPr>
            <w:tcW w:w="3146" w:type="dxa"/>
          </w:tcPr>
          <w:p w:rsidR="00B055EB" w:rsidRPr="00AA0CC9" w:rsidRDefault="00B055EB" w:rsidP="006517DB">
            <w:pPr>
              <w:spacing w:line="360" w:lineRule="auto"/>
              <w:jc w:val="both"/>
              <w:rPr>
                <w:rFonts w:ascii="Times New Roman" w:hAnsi="Times New Roman" w:cs="Times New Roman"/>
                <w:color w:val="000000"/>
                <w:sz w:val="20"/>
                <w:szCs w:val="20"/>
                <w:shd w:val="clear" w:color="auto" w:fill="FFFFFF"/>
              </w:rPr>
            </w:pPr>
            <w:r w:rsidRPr="00AA0CC9">
              <w:rPr>
                <w:rFonts w:ascii="Times New Roman" w:hAnsi="Times New Roman" w:cs="Times New Roman"/>
                <w:color w:val="000000"/>
                <w:sz w:val="20"/>
                <w:szCs w:val="20"/>
                <w:shd w:val="clear" w:color="auto" w:fill="FFFFFF"/>
              </w:rPr>
              <w:t>Others</w:t>
            </w:r>
          </w:p>
        </w:tc>
        <w:tc>
          <w:tcPr>
            <w:tcW w:w="2182"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745.47</w:t>
            </w:r>
          </w:p>
        </w:tc>
        <w:tc>
          <w:tcPr>
            <w:tcW w:w="2250"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color w:val="000000"/>
                <w:sz w:val="20"/>
                <w:szCs w:val="20"/>
                <w:shd w:val="clear" w:color="auto" w:fill="FFFFFF"/>
              </w:rPr>
              <w:t>1,532.65</w:t>
            </w:r>
          </w:p>
        </w:tc>
        <w:tc>
          <w:tcPr>
            <w:tcW w:w="1998" w:type="dxa"/>
          </w:tcPr>
          <w:p w:rsidR="00B055EB" w:rsidRPr="00AA0CC9" w:rsidRDefault="00B055EB" w:rsidP="006517DB">
            <w:pPr>
              <w:spacing w:line="360" w:lineRule="auto"/>
              <w:jc w:val="both"/>
              <w:rPr>
                <w:rFonts w:ascii="Times New Roman" w:hAnsi="Times New Roman" w:cs="Times New Roman"/>
                <w:sz w:val="20"/>
                <w:szCs w:val="20"/>
              </w:rPr>
            </w:pPr>
            <w:r w:rsidRPr="00AA0CC9">
              <w:rPr>
                <w:rFonts w:ascii="Times New Roman" w:hAnsi="Times New Roman" w:cs="Times New Roman"/>
                <w:sz w:val="20"/>
                <w:szCs w:val="20"/>
              </w:rPr>
              <w:t>105.59%</w:t>
            </w:r>
          </w:p>
        </w:tc>
      </w:tr>
    </w:tbl>
    <w:p w:rsidR="00607614" w:rsidRPr="006517DB" w:rsidRDefault="00B055EB" w:rsidP="006517DB">
      <w:pPr>
        <w:spacing w:line="360" w:lineRule="auto"/>
        <w:jc w:val="both"/>
        <w:rPr>
          <w:rFonts w:ascii="Times New Roman" w:hAnsi="Times New Roman" w:cs="Times New Roman"/>
          <w:bCs/>
          <w:color w:val="000000"/>
          <w:sz w:val="24"/>
          <w:szCs w:val="24"/>
          <w:shd w:val="clear" w:color="auto" w:fill="FFFFFF"/>
        </w:rPr>
      </w:pPr>
      <w:r w:rsidRPr="006517DB">
        <w:rPr>
          <w:rFonts w:ascii="Times New Roman" w:hAnsi="Times New Roman" w:cs="Times New Roman"/>
          <w:bCs/>
          <w:color w:val="000000"/>
          <w:sz w:val="24"/>
          <w:szCs w:val="24"/>
          <w:shd w:val="clear" w:color="auto" w:fill="FFFFFF"/>
        </w:rPr>
        <w:t xml:space="preserve">(1 lac = 0.10 million and 1 </w:t>
      </w:r>
      <w:proofErr w:type="spellStart"/>
      <w:r w:rsidRPr="006517DB">
        <w:rPr>
          <w:rFonts w:ascii="Times New Roman" w:hAnsi="Times New Roman" w:cs="Times New Roman"/>
          <w:bCs/>
          <w:color w:val="000000"/>
          <w:sz w:val="24"/>
          <w:szCs w:val="24"/>
          <w:shd w:val="clear" w:color="auto" w:fill="FFFFFF"/>
        </w:rPr>
        <w:t>crore</w:t>
      </w:r>
      <w:proofErr w:type="spellEnd"/>
      <w:r w:rsidRPr="006517DB">
        <w:rPr>
          <w:rFonts w:ascii="Times New Roman" w:hAnsi="Times New Roman" w:cs="Times New Roman"/>
          <w:bCs/>
          <w:color w:val="000000"/>
          <w:sz w:val="24"/>
          <w:szCs w:val="24"/>
          <w:shd w:val="clear" w:color="auto" w:fill="FFFFFF"/>
        </w:rPr>
        <w:t xml:space="preserve"> = 10 million)</w:t>
      </w:r>
    </w:p>
    <w:p w:rsidR="00B055EB" w:rsidRPr="006517DB" w:rsidRDefault="00B055EB" w:rsidP="006517DB">
      <w:pPr>
        <w:spacing w:line="360" w:lineRule="auto"/>
        <w:jc w:val="both"/>
        <w:rPr>
          <w:rFonts w:ascii="Times New Roman" w:hAnsi="Times New Roman" w:cs="Times New Roman"/>
          <w:bCs/>
          <w:color w:val="000000"/>
          <w:sz w:val="24"/>
          <w:szCs w:val="24"/>
          <w:shd w:val="clear" w:color="auto" w:fill="FFFFFF"/>
        </w:rPr>
      </w:pPr>
      <w:r w:rsidRPr="006517DB">
        <w:rPr>
          <w:rFonts w:ascii="Times New Roman" w:hAnsi="Times New Roman" w:cs="Times New Roman"/>
          <w:bCs/>
          <w:color w:val="000000"/>
          <w:sz w:val="24"/>
          <w:szCs w:val="24"/>
          <w:shd w:val="clear" w:color="auto" w:fill="FFFFFF"/>
        </w:rPr>
        <w:t>Source: Bangladesh Bank</w:t>
      </w:r>
    </w:p>
    <w:p w:rsidR="00607614" w:rsidRPr="00AA0CC9" w:rsidRDefault="00607614" w:rsidP="006517DB">
      <w:pPr>
        <w:pStyle w:val="Caption"/>
        <w:spacing w:line="360" w:lineRule="auto"/>
        <w:jc w:val="both"/>
        <w:rPr>
          <w:rFonts w:cs="Times New Roman"/>
          <w:bCs/>
          <w:color w:val="1F4E79" w:themeColor="accent1" w:themeShade="80"/>
          <w:szCs w:val="22"/>
          <w:shd w:val="clear" w:color="auto" w:fill="FFFFFF"/>
        </w:rPr>
      </w:pPr>
      <w:r w:rsidRPr="00AA0CC9">
        <w:rPr>
          <w:rFonts w:cs="Times New Roman"/>
          <w:color w:val="1F4E79" w:themeColor="accent1" w:themeShade="80"/>
          <w:szCs w:val="22"/>
        </w:rPr>
        <w:t xml:space="preserve">Table </w:t>
      </w:r>
      <w:r w:rsidRPr="00AA0CC9">
        <w:rPr>
          <w:rFonts w:cs="Times New Roman"/>
          <w:color w:val="1F4E79" w:themeColor="accent1" w:themeShade="80"/>
          <w:szCs w:val="22"/>
        </w:rPr>
        <w:fldChar w:fldCharType="begin"/>
      </w:r>
      <w:r w:rsidRPr="00AA0CC9">
        <w:rPr>
          <w:rFonts w:cs="Times New Roman"/>
          <w:color w:val="1F4E79" w:themeColor="accent1" w:themeShade="80"/>
          <w:szCs w:val="22"/>
        </w:rPr>
        <w:instrText xml:space="preserve"> SEQ Table \* ARABIC </w:instrText>
      </w:r>
      <w:r w:rsidRPr="00AA0CC9">
        <w:rPr>
          <w:rFonts w:cs="Times New Roman"/>
          <w:color w:val="1F4E79" w:themeColor="accent1" w:themeShade="80"/>
          <w:szCs w:val="22"/>
        </w:rPr>
        <w:fldChar w:fldCharType="separate"/>
      </w:r>
      <w:r w:rsidR="008A632F">
        <w:rPr>
          <w:rFonts w:cs="Times New Roman"/>
          <w:noProof/>
          <w:color w:val="1F4E79" w:themeColor="accent1" w:themeShade="80"/>
          <w:szCs w:val="22"/>
        </w:rPr>
        <w:t>3</w:t>
      </w:r>
      <w:r w:rsidRPr="00AA0CC9">
        <w:rPr>
          <w:rFonts w:cs="Times New Roman"/>
          <w:color w:val="1F4E79" w:themeColor="accent1" w:themeShade="80"/>
          <w:szCs w:val="22"/>
        </w:rPr>
        <w:fldChar w:fldCharType="end"/>
      </w:r>
      <w:r w:rsidRPr="00AA0CC9">
        <w:rPr>
          <w:rFonts w:cs="Times New Roman"/>
          <w:color w:val="1F4E79" w:themeColor="accent1" w:themeShade="80"/>
          <w:szCs w:val="22"/>
        </w:rPr>
        <w:t>: Comparative Summary Statement of MFS Transactions</w:t>
      </w:r>
    </w:p>
    <w:p w:rsidR="00B055EB"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bCs/>
          <w:color w:val="000000"/>
          <w:sz w:val="24"/>
          <w:szCs w:val="24"/>
          <w:shd w:val="clear" w:color="auto" w:fill="FFFFFF"/>
        </w:rPr>
        <w:t>From collected data it can say that mobile financial services sector developed consistently in 2020 but number of active members and government payment had a negative picture.</w:t>
      </w:r>
      <w:r w:rsidRPr="006517DB">
        <w:rPr>
          <w:rFonts w:ascii="Times New Roman" w:hAnsi="Times New Roman" w:cs="Times New Roman"/>
          <w:sz w:val="24"/>
          <w:szCs w:val="24"/>
        </w:rPr>
        <w:t xml:space="preserve"> Average daily transaction stretched by 36% in July 2020 than previous month and number of active users increased by 28% in July 2020 compared to January 2020. Various persuasive implemented by mobile service suppliers have a significant impact on the expansion of Mobile Financial Services. Commercial and government institutions availed modern services to curb the stretch of coronavirus. The government took initiative to distribute a sum of BDT 1250 </w:t>
      </w:r>
      <w:proofErr w:type="spellStart"/>
      <w:r w:rsidRPr="006517DB">
        <w:rPr>
          <w:rFonts w:ascii="Times New Roman" w:hAnsi="Times New Roman" w:cs="Times New Roman"/>
          <w:sz w:val="24"/>
          <w:szCs w:val="24"/>
        </w:rPr>
        <w:t>crore</w:t>
      </w:r>
      <w:proofErr w:type="spellEnd"/>
      <w:r w:rsidRPr="006517DB">
        <w:rPr>
          <w:rFonts w:ascii="Times New Roman" w:hAnsi="Times New Roman" w:cs="Times New Roman"/>
          <w:sz w:val="24"/>
          <w:szCs w:val="24"/>
        </w:rPr>
        <w:t xml:space="preserve"> to support families amidst Covid-19 through top four MFS Providers; </w:t>
      </w:r>
      <w:proofErr w:type="spellStart"/>
      <w:r w:rsidRPr="006517DB">
        <w:rPr>
          <w:rFonts w:ascii="Times New Roman" w:hAnsi="Times New Roman" w:cs="Times New Roman"/>
          <w:sz w:val="24"/>
          <w:szCs w:val="24"/>
        </w:rPr>
        <w:t>bKash</w:t>
      </w:r>
      <w:proofErr w:type="spellEnd"/>
      <w:r w:rsidRPr="006517DB">
        <w:rPr>
          <w:rFonts w:ascii="Times New Roman" w:hAnsi="Times New Roman" w:cs="Times New Roman"/>
          <w:sz w:val="24"/>
          <w:szCs w:val="24"/>
        </w:rPr>
        <w:t xml:space="preserve">, Rocket, </w:t>
      </w:r>
      <w:proofErr w:type="spellStart"/>
      <w:r w:rsidRPr="006517DB">
        <w:rPr>
          <w:rFonts w:ascii="Times New Roman" w:hAnsi="Times New Roman" w:cs="Times New Roman"/>
          <w:sz w:val="24"/>
          <w:szCs w:val="24"/>
        </w:rPr>
        <w:t>Nagad</w:t>
      </w:r>
      <w:proofErr w:type="spellEnd"/>
      <w:r w:rsidRPr="006517DB">
        <w:rPr>
          <w:rFonts w:ascii="Times New Roman" w:hAnsi="Times New Roman" w:cs="Times New Roman"/>
          <w:sz w:val="24"/>
          <w:szCs w:val="24"/>
        </w:rPr>
        <w:t xml:space="preserve">, </w:t>
      </w:r>
      <w:r w:rsidR="00094346" w:rsidRPr="006517DB">
        <w:rPr>
          <w:rFonts w:ascii="Times New Roman" w:hAnsi="Times New Roman" w:cs="Times New Roman"/>
          <w:sz w:val="24"/>
          <w:szCs w:val="24"/>
        </w:rPr>
        <w:t>Sure cash</w:t>
      </w:r>
      <w:r w:rsidRPr="006517DB">
        <w:rPr>
          <w:rFonts w:ascii="Times New Roman" w:hAnsi="Times New Roman" w:cs="Times New Roman"/>
          <w:sz w:val="24"/>
          <w:szCs w:val="24"/>
        </w:rPr>
        <w:t xml:space="preserve"> in May 2020(</w:t>
      </w:r>
      <w:hyperlink r:id="rId40" w:history="1">
        <w:r w:rsidRPr="006517DB">
          <w:rPr>
            <w:rStyle w:val="Hyperlink"/>
            <w:rFonts w:ascii="Times New Roman" w:hAnsi="Times New Roman" w:cs="Times New Roman"/>
            <w:sz w:val="24"/>
            <w:szCs w:val="24"/>
          </w:rPr>
          <w:t>https://www-tbsnews-net.cdn</w:t>
        </w:r>
      </w:hyperlink>
      <w:r w:rsidRPr="006517DB">
        <w:rPr>
          <w:rFonts w:ascii="Times New Roman" w:hAnsi="Times New Roman" w:cs="Times New Roman"/>
          <w:sz w:val="24"/>
          <w:szCs w:val="24"/>
        </w:rPr>
        <w:t xml:space="preserve">). In April 2020, nearly 45 million users exploited </w:t>
      </w:r>
      <w:proofErr w:type="spellStart"/>
      <w:r w:rsidRPr="006517DB">
        <w:rPr>
          <w:rFonts w:ascii="Times New Roman" w:hAnsi="Times New Roman" w:cs="Times New Roman"/>
          <w:sz w:val="24"/>
          <w:szCs w:val="24"/>
        </w:rPr>
        <w:t>bKash</w:t>
      </w:r>
      <w:proofErr w:type="spellEnd"/>
      <w:r w:rsidRPr="006517DB">
        <w:rPr>
          <w:rFonts w:ascii="Times New Roman" w:hAnsi="Times New Roman" w:cs="Times New Roman"/>
          <w:sz w:val="24"/>
          <w:szCs w:val="24"/>
        </w:rPr>
        <w:t xml:space="preserve"> for enjoying incessant mobile services by recharging their phones, where it was 32 billion in January 2020, meaning 40% users magnified due to lockdown (</w:t>
      </w:r>
      <w:hyperlink r:id="rId41" w:history="1">
        <w:r w:rsidRPr="006517DB">
          <w:rPr>
            <w:rStyle w:val="Hyperlink"/>
            <w:rFonts w:ascii="Times New Roman" w:hAnsi="Times New Roman" w:cs="Times New Roman"/>
            <w:sz w:val="24"/>
            <w:szCs w:val="24"/>
          </w:rPr>
          <w:t>https://www-tbsnews-net.cdn</w:t>
        </w:r>
      </w:hyperlink>
      <w:r w:rsidRPr="006517DB">
        <w:rPr>
          <w:rFonts w:ascii="Times New Roman" w:hAnsi="Times New Roman" w:cs="Times New Roman"/>
          <w:sz w:val="24"/>
          <w:szCs w:val="24"/>
        </w:rPr>
        <w:t xml:space="preserve">). Additionally, more than BDT 50 million donated through </w:t>
      </w:r>
      <w:proofErr w:type="spellStart"/>
      <w:r w:rsidRPr="006517DB">
        <w:rPr>
          <w:rFonts w:ascii="Times New Roman" w:hAnsi="Times New Roman" w:cs="Times New Roman"/>
          <w:sz w:val="24"/>
          <w:szCs w:val="24"/>
        </w:rPr>
        <w:t>bKash</w:t>
      </w:r>
      <w:proofErr w:type="spellEnd"/>
      <w:r w:rsidRPr="006517DB">
        <w:rPr>
          <w:rFonts w:ascii="Times New Roman" w:hAnsi="Times New Roman" w:cs="Times New Roman"/>
          <w:sz w:val="24"/>
          <w:szCs w:val="24"/>
        </w:rPr>
        <w:t xml:space="preserve"> in charitabl</w:t>
      </w:r>
      <w:r w:rsidR="00B57C77">
        <w:rPr>
          <w:rFonts w:ascii="Times New Roman" w:hAnsi="Times New Roman" w:cs="Times New Roman"/>
          <w:sz w:val="24"/>
          <w:szCs w:val="24"/>
        </w:rPr>
        <w:t xml:space="preserve">e organizations like </w:t>
      </w:r>
      <w:proofErr w:type="spellStart"/>
      <w:r w:rsidR="00B57C77">
        <w:rPr>
          <w:rFonts w:ascii="Times New Roman" w:hAnsi="Times New Roman" w:cs="Times New Roman"/>
          <w:sz w:val="24"/>
          <w:szCs w:val="24"/>
        </w:rPr>
        <w:lastRenderedPageBreak/>
        <w:t>Bidyanondo</w:t>
      </w:r>
      <w:proofErr w:type="spellEnd"/>
      <w:r w:rsidR="00B57C77">
        <w:rPr>
          <w:rFonts w:ascii="Times New Roman" w:hAnsi="Times New Roman" w:cs="Times New Roman"/>
          <w:sz w:val="24"/>
          <w:szCs w:val="24"/>
        </w:rPr>
        <w:t xml:space="preserve"> </w:t>
      </w:r>
      <w:r w:rsidRPr="006517DB">
        <w:rPr>
          <w:rFonts w:ascii="Times New Roman" w:hAnsi="Times New Roman" w:cs="Times New Roman"/>
          <w:sz w:val="24"/>
          <w:szCs w:val="24"/>
        </w:rPr>
        <w:t xml:space="preserve">Foundation, </w:t>
      </w:r>
      <w:proofErr w:type="spellStart"/>
      <w:r w:rsidRPr="006517DB">
        <w:rPr>
          <w:rFonts w:ascii="Times New Roman" w:hAnsi="Times New Roman" w:cs="Times New Roman"/>
          <w:sz w:val="24"/>
          <w:szCs w:val="24"/>
        </w:rPr>
        <w:t>Sajida</w:t>
      </w:r>
      <w:proofErr w:type="spellEnd"/>
      <w:r w:rsidRPr="006517DB">
        <w:rPr>
          <w:rFonts w:ascii="Times New Roman" w:hAnsi="Times New Roman" w:cs="Times New Roman"/>
          <w:sz w:val="24"/>
          <w:szCs w:val="24"/>
        </w:rPr>
        <w:t xml:space="preserve"> Foundation from mid-March to mid-April, 2020(</w:t>
      </w:r>
      <w:hyperlink r:id="rId42" w:history="1">
        <w:r w:rsidRPr="006517DB">
          <w:rPr>
            <w:rStyle w:val="Hyperlink"/>
            <w:rFonts w:ascii="Times New Roman" w:hAnsi="Times New Roman" w:cs="Times New Roman"/>
            <w:sz w:val="24"/>
            <w:szCs w:val="24"/>
          </w:rPr>
          <w:t>https://www.thedailystar.net</w:t>
        </w:r>
      </w:hyperlink>
      <w:r w:rsidRPr="006517DB">
        <w:rPr>
          <w:rFonts w:ascii="Times New Roman" w:hAnsi="Times New Roman" w:cs="Times New Roman"/>
          <w:sz w:val="24"/>
          <w:szCs w:val="24"/>
        </w:rPr>
        <w:t>). In a nutshell, people accepted cashless transaction more to keep safe them from virus and that helped mobile banking sector to improve.</w:t>
      </w:r>
    </w:p>
    <w:p w:rsidR="00B055EB" w:rsidRPr="006517DB" w:rsidRDefault="00B34AE6"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drawing>
          <wp:inline distT="0" distB="0" distL="0" distR="0" wp14:anchorId="53895785" wp14:editId="56EF682D">
            <wp:extent cx="5857875" cy="2857500"/>
            <wp:effectExtent l="0" t="0" r="9525"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614CE" w:rsidRPr="006517DB" w:rsidRDefault="00A614CE"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12</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 P2P Transaction by MFS</w:t>
      </w:r>
    </w:p>
    <w:p w:rsidR="00B055EB"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In July 2020, person-to-person transaction reached at TK 17,293.43, the largest part of the whole transactions mid epidemic that was 31.7% higher than preceding month. Bangladesh Bank boosted the peer to peer transaction limit for Covid-19 from BDT 75,000 to BDT 200,000 each month, which contributed to the enlargement of P2P transaction (</w:t>
      </w:r>
      <w:hyperlink r:id="rId44" w:history="1">
        <w:r w:rsidRPr="006517DB">
          <w:rPr>
            <w:rStyle w:val="Hyperlink"/>
            <w:rFonts w:ascii="Times New Roman" w:hAnsi="Times New Roman" w:cs="Times New Roman"/>
            <w:sz w:val="24"/>
            <w:szCs w:val="24"/>
          </w:rPr>
          <w:t>https://www.thedailystar.net</w:t>
        </w:r>
      </w:hyperlink>
      <w:r w:rsidRPr="006517DB">
        <w:rPr>
          <w:rFonts w:ascii="Times New Roman" w:hAnsi="Times New Roman" w:cs="Times New Roman"/>
          <w:sz w:val="24"/>
          <w:szCs w:val="24"/>
        </w:rPr>
        <w:t>).</w:t>
      </w:r>
    </w:p>
    <w:p w:rsidR="0096469A" w:rsidRPr="00806AF7" w:rsidRDefault="00E70926" w:rsidP="00806AF7">
      <w:pPr>
        <w:spacing w:line="360" w:lineRule="auto"/>
        <w:jc w:val="both"/>
        <w:rPr>
          <w:rFonts w:ascii="Times New Roman" w:hAnsi="Times New Roman" w:cs="Times New Roman"/>
          <w:b/>
          <w:sz w:val="24"/>
          <w:szCs w:val="24"/>
        </w:rPr>
      </w:pPr>
      <w:r w:rsidRPr="006517DB">
        <w:rPr>
          <w:rFonts w:ascii="Times New Roman" w:hAnsi="Times New Roman" w:cs="Times New Roman"/>
          <w:noProof/>
          <w:sz w:val="24"/>
          <w:szCs w:val="24"/>
          <w:lang w:val="en-MY" w:eastAsia="en-MY"/>
        </w:rPr>
        <w:lastRenderedPageBreak/>
        <w:drawing>
          <wp:inline distT="0" distB="0" distL="0" distR="0" wp14:anchorId="397C5E8A" wp14:editId="7343A5F4">
            <wp:extent cx="5915025" cy="2743200"/>
            <wp:effectExtent l="0" t="0" r="9525"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0096469A" w:rsidRPr="00806AF7">
        <w:rPr>
          <w:rFonts w:ascii="Times New Roman" w:hAnsi="Times New Roman" w:cs="Times New Roman"/>
          <w:b/>
          <w:color w:val="1F4E79" w:themeColor="accent1" w:themeShade="80"/>
          <w:sz w:val="24"/>
          <w:szCs w:val="24"/>
        </w:rPr>
        <w:t xml:space="preserve">Figure </w:t>
      </w:r>
      <w:r w:rsidR="0096469A" w:rsidRPr="00806AF7">
        <w:rPr>
          <w:rFonts w:ascii="Times New Roman" w:hAnsi="Times New Roman" w:cs="Times New Roman"/>
          <w:b/>
          <w:color w:val="1F4E79" w:themeColor="accent1" w:themeShade="80"/>
          <w:sz w:val="24"/>
          <w:szCs w:val="24"/>
        </w:rPr>
        <w:fldChar w:fldCharType="begin"/>
      </w:r>
      <w:r w:rsidR="0096469A" w:rsidRPr="00806AF7">
        <w:rPr>
          <w:rFonts w:ascii="Times New Roman" w:hAnsi="Times New Roman" w:cs="Times New Roman"/>
          <w:b/>
          <w:color w:val="1F4E79" w:themeColor="accent1" w:themeShade="80"/>
          <w:sz w:val="24"/>
          <w:szCs w:val="24"/>
        </w:rPr>
        <w:instrText xml:space="preserve"> SEQ Figure \* ARABIC </w:instrText>
      </w:r>
      <w:r w:rsidR="0096469A" w:rsidRPr="00806AF7">
        <w:rPr>
          <w:rFonts w:ascii="Times New Roman" w:hAnsi="Times New Roman" w:cs="Times New Roman"/>
          <w:b/>
          <w:color w:val="1F4E79" w:themeColor="accent1" w:themeShade="80"/>
          <w:sz w:val="24"/>
          <w:szCs w:val="24"/>
        </w:rPr>
        <w:fldChar w:fldCharType="separate"/>
      </w:r>
      <w:r w:rsidR="008A632F">
        <w:rPr>
          <w:rFonts w:ascii="Times New Roman" w:hAnsi="Times New Roman" w:cs="Times New Roman"/>
          <w:b/>
          <w:noProof/>
          <w:color w:val="1F4E79" w:themeColor="accent1" w:themeShade="80"/>
          <w:sz w:val="24"/>
          <w:szCs w:val="24"/>
        </w:rPr>
        <w:t>13</w:t>
      </w:r>
      <w:r w:rsidR="0096469A" w:rsidRPr="00806AF7">
        <w:rPr>
          <w:rFonts w:ascii="Times New Roman" w:hAnsi="Times New Roman" w:cs="Times New Roman"/>
          <w:b/>
          <w:color w:val="1F4E79" w:themeColor="accent1" w:themeShade="80"/>
          <w:sz w:val="24"/>
          <w:szCs w:val="24"/>
        </w:rPr>
        <w:fldChar w:fldCharType="end"/>
      </w:r>
      <w:r w:rsidR="0096469A" w:rsidRPr="00806AF7">
        <w:rPr>
          <w:rFonts w:ascii="Times New Roman" w:hAnsi="Times New Roman" w:cs="Times New Roman"/>
          <w:b/>
          <w:color w:val="1F4E79" w:themeColor="accent1" w:themeShade="80"/>
          <w:sz w:val="24"/>
          <w:szCs w:val="24"/>
        </w:rPr>
        <w:t>: Salary Distribution by MFS</w:t>
      </w:r>
    </w:p>
    <w:p w:rsidR="00B055EB"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The employees of garment factories collected their stipends through mobile financial services in April 2020 as the country went to lockdown where 4.1 million workers were associated. In July 2020, salary distribution through MFS stood at TK 4,586.97 which was 92.96% greater than June 2020.In April, 0.3 million new accounts were created by MFS providers as the government alleged to give TK 5,000 </w:t>
      </w:r>
      <w:proofErr w:type="spellStart"/>
      <w:r w:rsidRPr="006517DB">
        <w:rPr>
          <w:rFonts w:ascii="Times New Roman" w:hAnsi="Times New Roman" w:cs="Times New Roman"/>
          <w:sz w:val="24"/>
          <w:szCs w:val="24"/>
        </w:rPr>
        <w:t>crore</w:t>
      </w:r>
      <w:proofErr w:type="spellEnd"/>
      <w:r w:rsidRPr="006517DB">
        <w:rPr>
          <w:rFonts w:ascii="Times New Roman" w:hAnsi="Times New Roman" w:cs="Times New Roman"/>
          <w:sz w:val="24"/>
          <w:szCs w:val="24"/>
        </w:rPr>
        <w:t xml:space="preserve"> salaries for the export-driven industries. It was promulgated compulsorily for incentive recipients to provide salaries by using digital payment methods and Bangladesh Bank reduced cash out charge to BDT 4 from BDT 14.5-18 for employee wages.</w:t>
      </w:r>
    </w:p>
    <w:p w:rsidR="001069EB" w:rsidRPr="00F82323" w:rsidRDefault="003346D6" w:rsidP="00806AF7">
      <w:pPr>
        <w:spacing w:line="360" w:lineRule="auto"/>
        <w:jc w:val="both"/>
        <w:rPr>
          <w:rFonts w:ascii="Times New Roman" w:hAnsi="Times New Roman" w:cs="Times New Roman"/>
          <w:b/>
          <w:color w:val="1F3864" w:themeColor="accent5" w:themeShade="80"/>
          <w:sz w:val="24"/>
          <w:szCs w:val="24"/>
        </w:rPr>
      </w:pPr>
      <w:r w:rsidRPr="006517DB">
        <w:rPr>
          <w:rFonts w:ascii="Times New Roman" w:hAnsi="Times New Roman" w:cs="Times New Roman"/>
          <w:noProof/>
          <w:sz w:val="24"/>
          <w:szCs w:val="24"/>
          <w:lang w:val="en-MY" w:eastAsia="en-MY"/>
        </w:rPr>
        <w:drawing>
          <wp:anchor distT="0" distB="0" distL="114300" distR="114300" simplePos="0" relativeHeight="251658240" behindDoc="0" locked="0" layoutInCell="1" allowOverlap="1" wp14:anchorId="054268F8" wp14:editId="5FC1B826">
            <wp:simplePos x="0" y="0"/>
            <wp:positionH relativeFrom="column">
              <wp:posOffset>66040</wp:posOffset>
            </wp:positionH>
            <wp:positionV relativeFrom="paragraph">
              <wp:posOffset>370205</wp:posOffset>
            </wp:positionV>
            <wp:extent cx="5876925" cy="2647950"/>
            <wp:effectExtent l="0" t="0" r="9525" b="0"/>
            <wp:wrapSquare wrapText="bothSides"/>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r w:rsidR="00245A3B" w:rsidRPr="006517DB">
        <w:rPr>
          <w:rFonts w:ascii="Times New Roman" w:hAnsi="Times New Roman" w:cs="Times New Roman"/>
          <w:sz w:val="24"/>
          <w:szCs w:val="24"/>
        </w:rPr>
        <w:br w:type="textWrapping" w:clear="all"/>
      </w:r>
      <w:r w:rsidR="001069EB" w:rsidRPr="00F82323">
        <w:rPr>
          <w:rFonts w:ascii="Times New Roman" w:hAnsi="Times New Roman" w:cs="Times New Roman"/>
          <w:b/>
          <w:color w:val="1F3864" w:themeColor="accent5" w:themeShade="80"/>
          <w:sz w:val="24"/>
          <w:szCs w:val="24"/>
        </w:rPr>
        <w:lastRenderedPageBreak/>
        <w:t xml:space="preserve">Figure </w:t>
      </w:r>
      <w:r w:rsidR="001069EB" w:rsidRPr="00F82323">
        <w:rPr>
          <w:rFonts w:ascii="Times New Roman" w:hAnsi="Times New Roman" w:cs="Times New Roman"/>
          <w:b/>
          <w:color w:val="1F3864" w:themeColor="accent5" w:themeShade="80"/>
          <w:sz w:val="24"/>
          <w:szCs w:val="24"/>
        </w:rPr>
        <w:fldChar w:fldCharType="begin"/>
      </w:r>
      <w:r w:rsidR="001069EB" w:rsidRPr="00F82323">
        <w:rPr>
          <w:rFonts w:ascii="Times New Roman" w:hAnsi="Times New Roman" w:cs="Times New Roman"/>
          <w:b/>
          <w:color w:val="1F3864" w:themeColor="accent5" w:themeShade="80"/>
          <w:sz w:val="24"/>
          <w:szCs w:val="24"/>
        </w:rPr>
        <w:instrText xml:space="preserve"> SEQ Figure \* ARABIC </w:instrText>
      </w:r>
      <w:r w:rsidR="001069EB" w:rsidRPr="00F82323">
        <w:rPr>
          <w:rFonts w:ascii="Times New Roman" w:hAnsi="Times New Roman" w:cs="Times New Roman"/>
          <w:b/>
          <w:color w:val="1F3864" w:themeColor="accent5" w:themeShade="80"/>
          <w:sz w:val="24"/>
          <w:szCs w:val="24"/>
        </w:rPr>
        <w:fldChar w:fldCharType="separate"/>
      </w:r>
      <w:r w:rsidR="008A632F">
        <w:rPr>
          <w:rFonts w:ascii="Times New Roman" w:hAnsi="Times New Roman" w:cs="Times New Roman"/>
          <w:b/>
          <w:noProof/>
          <w:color w:val="1F3864" w:themeColor="accent5" w:themeShade="80"/>
          <w:sz w:val="24"/>
          <w:szCs w:val="24"/>
        </w:rPr>
        <w:t>14</w:t>
      </w:r>
      <w:r w:rsidR="001069EB" w:rsidRPr="00F82323">
        <w:rPr>
          <w:rFonts w:ascii="Times New Roman" w:hAnsi="Times New Roman" w:cs="Times New Roman"/>
          <w:b/>
          <w:color w:val="1F3864" w:themeColor="accent5" w:themeShade="80"/>
          <w:sz w:val="24"/>
          <w:szCs w:val="24"/>
        </w:rPr>
        <w:fldChar w:fldCharType="end"/>
      </w:r>
      <w:r w:rsidR="001069EB" w:rsidRPr="00F82323">
        <w:rPr>
          <w:rFonts w:ascii="Times New Roman" w:hAnsi="Times New Roman" w:cs="Times New Roman"/>
          <w:b/>
          <w:color w:val="1F3864" w:themeColor="accent5" w:themeShade="80"/>
          <w:sz w:val="24"/>
          <w:szCs w:val="24"/>
        </w:rPr>
        <w:t>: Utility Bill Payment by MFS</w:t>
      </w:r>
    </w:p>
    <w:p w:rsidR="00B055EB"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MFS build paying utility bills- internet bill, gas bill, electricity bill, university fees tranquil within pandemic. In June 2020, it stood at BDT 992.94 which is highest amount ever for utility payment through MFS. In July, </w:t>
      </w:r>
      <w:proofErr w:type="spellStart"/>
      <w:r w:rsidRPr="006517DB">
        <w:rPr>
          <w:rFonts w:ascii="Times New Roman" w:hAnsi="Times New Roman" w:cs="Times New Roman"/>
          <w:sz w:val="24"/>
          <w:szCs w:val="24"/>
        </w:rPr>
        <w:t>Titas</w:t>
      </w:r>
      <w:proofErr w:type="spellEnd"/>
      <w:r w:rsidRPr="006517DB">
        <w:rPr>
          <w:rFonts w:ascii="Times New Roman" w:hAnsi="Times New Roman" w:cs="Times New Roman"/>
          <w:sz w:val="24"/>
          <w:szCs w:val="24"/>
        </w:rPr>
        <w:t xml:space="preserve"> Gas transmission and Distribution Company Limited created an agreement with </w:t>
      </w:r>
      <w:proofErr w:type="spellStart"/>
      <w:r w:rsidRPr="006517DB">
        <w:rPr>
          <w:rFonts w:ascii="Times New Roman" w:hAnsi="Times New Roman" w:cs="Times New Roman"/>
          <w:sz w:val="24"/>
          <w:szCs w:val="24"/>
        </w:rPr>
        <w:t>Nagad</w:t>
      </w:r>
      <w:proofErr w:type="spellEnd"/>
      <w:r w:rsidRPr="006517DB">
        <w:rPr>
          <w:rFonts w:ascii="Times New Roman" w:hAnsi="Times New Roman" w:cs="Times New Roman"/>
          <w:sz w:val="24"/>
          <w:szCs w:val="24"/>
        </w:rPr>
        <w:t xml:space="preserve"> and Rocket </w:t>
      </w:r>
      <w:r w:rsidR="009E7F66" w:rsidRPr="006517DB">
        <w:rPr>
          <w:rFonts w:ascii="Times New Roman" w:hAnsi="Times New Roman" w:cs="Times New Roman"/>
          <w:sz w:val="24"/>
          <w:szCs w:val="24"/>
        </w:rPr>
        <w:t>for</w:t>
      </w:r>
      <w:r w:rsidRPr="006517DB">
        <w:rPr>
          <w:rFonts w:ascii="Times New Roman" w:hAnsi="Times New Roman" w:cs="Times New Roman"/>
          <w:sz w:val="24"/>
          <w:szCs w:val="24"/>
        </w:rPr>
        <w:t xml:space="preserve"> giving </w:t>
      </w:r>
      <w:proofErr w:type="spellStart"/>
      <w:r w:rsidRPr="006517DB">
        <w:rPr>
          <w:rFonts w:ascii="Times New Roman" w:hAnsi="Times New Roman" w:cs="Times New Roman"/>
          <w:sz w:val="24"/>
          <w:szCs w:val="24"/>
        </w:rPr>
        <w:t>Titas</w:t>
      </w:r>
      <w:proofErr w:type="spellEnd"/>
      <w:r w:rsidRPr="006517DB">
        <w:rPr>
          <w:rFonts w:ascii="Times New Roman" w:hAnsi="Times New Roman" w:cs="Times New Roman"/>
          <w:sz w:val="24"/>
          <w:szCs w:val="24"/>
        </w:rPr>
        <w:t xml:space="preserve"> Gas bill through </w:t>
      </w:r>
      <w:proofErr w:type="spellStart"/>
      <w:r w:rsidRPr="006517DB">
        <w:rPr>
          <w:rFonts w:ascii="Times New Roman" w:hAnsi="Times New Roman" w:cs="Times New Roman"/>
          <w:sz w:val="24"/>
          <w:szCs w:val="24"/>
        </w:rPr>
        <w:t>Nagad</w:t>
      </w:r>
      <w:proofErr w:type="spellEnd"/>
      <w:r w:rsidRPr="006517DB">
        <w:rPr>
          <w:rFonts w:ascii="Times New Roman" w:hAnsi="Times New Roman" w:cs="Times New Roman"/>
          <w:sz w:val="24"/>
          <w:szCs w:val="24"/>
        </w:rPr>
        <w:t xml:space="preserve"> and Rocket. Schools, colleges and universities made memorandum with MFS suppliers for receiving tuition fees.</w:t>
      </w:r>
    </w:p>
    <w:p w:rsidR="00B055EB" w:rsidRPr="006517DB" w:rsidRDefault="00C32FF5" w:rsidP="006517DB">
      <w:pPr>
        <w:spacing w:line="360" w:lineRule="auto"/>
        <w:jc w:val="both"/>
        <w:rPr>
          <w:rFonts w:ascii="Times New Roman" w:hAnsi="Times New Roman" w:cs="Times New Roman"/>
          <w:sz w:val="24"/>
          <w:szCs w:val="24"/>
        </w:rPr>
      </w:pPr>
      <w:r w:rsidRPr="006517DB">
        <w:rPr>
          <w:rFonts w:ascii="Times New Roman" w:hAnsi="Times New Roman" w:cs="Times New Roman"/>
          <w:noProof/>
          <w:sz w:val="24"/>
          <w:szCs w:val="24"/>
          <w:lang w:val="en-MY" w:eastAsia="en-MY"/>
        </w:rPr>
        <w:drawing>
          <wp:inline distT="0" distB="0" distL="0" distR="0" wp14:anchorId="25C283A4" wp14:editId="3240EB64">
            <wp:extent cx="5895975" cy="27813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245A3B" w:rsidRPr="006517DB" w:rsidRDefault="00245A3B"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15</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 Amount of Inward Remittance Received by MFS</w:t>
      </w:r>
    </w:p>
    <w:p w:rsidR="00B055E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Amidst the Covid-19 pandemic Bangladesh received 177.97 </w:t>
      </w:r>
      <w:proofErr w:type="spellStart"/>
      <w:r w:rsidRPr="006517DB">
        <w:rPr>
          <w:rFonts w:ascii="Times New Roman" w:hAnsi="Times New Roman" w:cs="Times New Roman"/>
          <w:sz w:val="24"/>
          <w:szCs w:val="24"/>
        </w:rPr>
        <w:t>crore</w:t>
      </w:r>
      <w:proofErr w:type="spellEnd"/>
      <w:r w:rsidRPr="006517DB">
        <w:rPr>
          <w:rFonts w:ascii="Times New Roman" w:hAnsi="Times New Roman" w:cs="Times New Roman"/>
          <w:sz w:val="24"/>
          <w:szCs w:val="24"/>
        </w:rPr>
        <w:t xml:space="preserve"> inward remittance in May 2020 through MFS which was 58.36 % greater than April. In September 2020, Standard Chartered Bank, along with </w:t>
      </w:r>
      <w:proofErr w:type="spellStart"/>
      <w:r w:rsidRPr="006517DB">
        <w:rPr>
          <w:rFonts w:ascii="Times New Roman" w:hAnsi="Times New Roman" w:cs="Times New Roman"/>
          <w:sz w:val="24"/>
          <w:szCs w:val="24"/>
        </w:rPr>
        <w:t>bKash</w:t>
      </w:r>
      <w:proofErr w:type="spellEnd"/>
      <w:r w:rsidRPr="006517DB">
        <w:rPr>
          <w:rFonts w:ascii="Times New Roman" w:hAnsi="Times New Roman" w:cs="Times New Roman"/>
          <w:sz w:val="24"/>
          <w:szCs w:val="24"/>
        </w:rPr>
        <w:t xml:space="preserve"> and </w:t>
      </w:r>
      <w:proofErr w:type="spellStart"/>
      <w:r w:rsidRPr="006517DB">
        <w:rPr>
          <w:rFonts w:ascii="Times New Roman" w:hAnsi="Times New Roman" w:cs="Times New Roman"/>
          <w:sz w:val="24"/>
          <w:szCs w:val="24"/>
        </w:rPr>
        <w:t>Valyou</w:t>
      </w:r>
      <w:proofErr w:type="spellEnd"/>
      <w:r w:rsidRPr="006517DB">
        <w:rPr>
          <w:rFonts w:ascii="Times New Roman" w:hAnsi="Times New Roman" w:cs="Times New Roman"/>
          <w:sz w:val="24"/>
          <w:szCs w:val="24"/>
        </w:rPr>
        <w:t xml:space="preserve"> proclaimed to launch an excellent remittance facility by which a Bangladeshi emigrant can instantly send money to a recipie</w:t>
      </w:r>
      <w:r w:rsidR="002957D5">
        <w:rPr>
          <w:rFonts w:ascii="Times New Roman" w:hAnsi="Times New Roman" w:cs="Times New Roman"/>
          <w:sz w:val="24"/>
          <w:szCs w:val="24"/>
        </w:rPr>
        <w:t xml:space="preserve">nt who is a </w:t>
      </w:r>
      <w:proofErr w:type="spellStart"/>
      <w:r w:rsidR="002957D5">
        <w:rPr>
          <w:rFonts w:ascii="Times New Roman" w:hAnsi="Times New Roman" w:cs="Times New Roman"/>
          <w:sz w:val="24"/>
          <w:szCs w:val="24"/>
        </w:rPr>
        <w:t>bKash</w:t>
      </w:r>
      <w:proofErr w:type="spellEnd"/>
      <w:r w:rsidR="002957D5">
        <w:rPr>
          <w:rFonts w:ascii="Times New Roman" w:hAnsi="Times New Roman" w:cs="Times New Roman"/>
          <w:sz w:val="24"/>
          <w:szCs w:val="24"/>
        </w:rPr>
        <w:t xml:space="preserve"> wallet holder (</w:t>
      </w:r>
      <w:hyperlink r:id="rId48" w:history="1">
        <w:r w:rsidR="002957D5" w:rsidRPr="00D65250">
          <w:rPr>
            <w:rStyle w:val="Hyperlink"/>
            <w:rFonts w:ascii="Times New Roman" w:hAnsi="Times New Roman" w:cs="Times New Roman"/>
            <w:sz w:val="24"/>
            <w:szCs w:val="24"/>
          </w:rPr>
          <w:t>https://www.thedailystar.net</w:t>
        </w:r>
      </w:hyperlink>
      <w:r w:rsidR="002957D5">
        <w:rPr>
          <w:rFonts w:ascii="Times New Roman" w:hAnsi="Times New Roman" w:cs="Times New Roman"/>
          <w:sz w:val="24"/>
          <w:szCs w:val="24"/>
        </w:rPr>
        <w:t>).</w:t>
      </w:r>
    </w:p>
    <w:p w:rsidR="002957D5" w:rsidRPr="007367F3" w:rsidRDefault="002957D5" w:rsidP="006517DB">
      <w:pPr>
        <w:spacing w:line="360" w:lineRule="auto"/>
        <w:jc w:val="both"/>
        <w:rPr>
          <w:rFonts w:ascii="Times New Roman" w:hAnsi="Times New Roman" w:cs="Times New Roman"/>
          <w:b/>
          <w:color w:val="1F3864" w:themeColor="accent5" w:themeShade="80"/>
          <w:sz w:val="24"/>
          <w:szCs w:val="24"/>
        </w:rPr>
      </w:pPr>
      <w:r w:rsidRPr="007367F3">
        <w:rPr>
          <w:rFonts w:ascii="Times New Roman" w:hAnsi="Times New Roman" w:cs="Times New Roman"/>
          <w:b/>
          <w:color w:val="1F3864" w:themeColor="accent5" w:themeShade="80"/>
          <w:sz w:val="24"/>
          <w:szCs w:val="24"/>
        </w:rPr>
        <w:t>Decline of MFS Active members:</w:t>
      </w:r>
    </w:p>
    <w:tbl>
      <w:tblPr>
        <w:tblStyle w:val="TableGrid"/>
        <w:tblW w:w="0" w:type="auto"/>
        <w:tblLook w:val="04A0" w:firstRow="1" w:lastRow="0" w:firstColumn="1" w:lastColumn="0" w:noHBand="0" w:noVBand="1"/>
      </w:tblPr>
      <w:tblGrid>
        <w:gridCol w:w="1916"/>
        <w:gridCol w:w="1915"/>
        <w:gridCol w:w="1915"/>
      </w:tblGrid>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Month</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NO. of registered accounts in lac</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NO. of active accounts in lac</w:t>
            </w:r>
          </w:p>
        </w:tc>
      </w:tr>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April’20</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849.77</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280.91</w:t>
            </w:r>
          </w:p>
        </w:tc>
      </w:tr>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May’20</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879.39</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354.61</w:t>
            </w:r>
          </w:p>
        </w:tc>
      </w:tr>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lastRenderedPageBreak/>
              <w:t>June’20</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887.97</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385.71</w:t>
            </w:r>
          </w:p>
        </w:tc>
      </w:tr>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July’20</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925.73</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426.78</w:t>
            </w:r>
          </w:p>
        </w:tc>
      </w:tr>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August’20</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929.37</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405.73</w:t>
            </w:r>
          </w:p>
        </w:tc>
      </w:tr>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September’20</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947.87</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410.35</w:t>
            </w:r>
          </w:p>
        </w:tc>
      </w:tr>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October’20</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964.16</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332.93</w:t>
            </w:r>
          </w:p>
        </w:tc>
      </w:tr>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November’20</w:t>
            </w:r>
          </w:p>
        </w:tc>
        <w:tc>
          <w:tcPr>
            <w:tcW w:w="1915" w:type="dxa"/>
          </w:tcPr>
          <w:p w:rsidR="00B055EB" w:rsidRPr="009C61C6" w:rsidRDefault="00B055EB" w:rsidP="006517DB">
            <w:pPr>
              <w:spacing w:line="360" w:lineRule="auto"/>
              <w:jc w:val="both"/>
              <w:rPr>
                <w:rFonts w:ascii="Times New Roman" w:hAnsi="Times New Roman" w:cs="Times New Roman"/>
                <w:color w:val="000000"/>
                <w:sz w:val="20"/>
                <w:szCs w:val="20"/>
                <w:shd w:val="clear" w:color="auto" w:fill="FFFFFF"/>
              </w:rPr>
            </w:pPr>
            <w:r w:rsidRPr="009C61C6">
              <w:rPr>
                <w:rFonts w:ascii="Times New Roman" w:hAnsi="Times New Roman" w:cs="Times New Roman"/>
                <w:color w:val="000000"/>
                <w:sz w:val="20"/>
                <w:szCs w:val="20"/>
                <w:shd w:val="clear" w:color="auto" w:fill="FFFFFF"/>
              </w:rPr>
              <w:t>978.37</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316.74</w:t>
            </w:r>
          </w:p>
        </w:tc>
      </w:tr>
      <w:tr w:rsidR="00B055EB" w:rsidRPr="006517DB" w:rsidTr="009C0083">
        <w:tc>
          <w:tcPr>
            <w:tcW w:w="1916"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sz w:val="20"/>
                <w:szCs w:val="20"/>
              </w:rPr>
              <w:t>December’20</w:t>
            </w:r>
          </w:p>
        </w:tc>
        <w:tc>
          <w:tcPr>
            <w:tcW w:w="1915" w:type="dxa"/>
          </w:tcPr>
          <w:p w:rsidR="00B055EB" w:rsidRPr="009C61C6" w:rsidRDefault="00B055EB" w:rsidP="006517DB">
            <w:pPr>
              <w:spacing w:line="360" w:lineRule="auto"/>
              <w:jc w:val="both"/>
              <w:rPr>
                <w:rFonts w:ascii="Times New Roman" w:hAnsi="Times New Roman" w:cs="Times New Roman"/>
                <w:color w:val="000000"/>
                <w:sz w:val="20"/>
                <w:szCs w:val="20"/>
                <w:shd w:val="clear" w:color="auto" w:fill="FFFFFF"/>
              </w:rPr>
            </w:pPr>
            <w:r w:rsidRPr="009C61C6">
              <w:rPr>
                <w:rFonts w:ascii="Times New Roman" w:hAnsi="Times New Roman" w:cs="Times New Roman"/>
                <w:color w:val="000000"/>
                <w:sz w:val="20"/>
                <w:szCs w:val="20"/>
                <w:shd w:val="clear" w:color="auto" w:fill="FFFFFF"/>
              </w:rPr>
              <w:t>993.36</w:t>
            </w:r>
          </w:p>
        </w:tc>
        <w:tc>
          <w:tcPr>
            <w:tcW w:w="1915" w:type="dxa"/>
          </w:tcPr>
          <w:p w:rsidR="00B055EB" w:rsidRPr="009C61C6" w:rsidRDefault="00B055EB" w:rsidP="006517DB">
            <w:pPr>
              <w:spacing w:line="360" w:lineRule="auto"/>
              <w:jc w:val="both"/>
              <w:rPr>
                <w:rFonts w:ascii="Times New Roman" w:hAnsi="Times New Roman" w:cs="Times New Roman"/>
                <w:sz w:val="20"/>
                <w:szCs w:val="20"/>
              </w:rPr>
            </w:pPr>
            <w:r w:rsidRPr="009C61C6">
              <w:rPr>
                <w:rFonts w:ascii="Times New Roman" w:hAnsi="Times New Roman" w:cs="Times New Roman"/>
                <w:color w:val="000000"/>
                <w:sz w:val="20"/>
                <w:szCs w:val="20"/>
                <w:shd w:val="clear" w:color="auto" w:fill="FFFFFF"/>
              </w:rPr>
              <w:t>323.27</w:t>
            </w:r>
          </w:p>
        </w:tc>
      </w:tr>
    </w:tbl>
    <w:p w:rsidR="004C1925" w:rsidRPr="00F03204" w:rsidRDefault="009F7893" w:rsidP="006517DB">
      <w:pPr>
        <w:pStyle w:val="Caption"/>
        <w:spacing w:line="360" w:lineRule="auto"/>
        <w:jc w:val="both"/>
        <w:rPr>
          <w:rFonts w:cs="Times New Roman"/>
          <w:color w:val="1F4E79" w:themeColor="accent1" w:themeShade="80"/>
          <w:szCs w:val="22"/>
        </w:rPr>
      </w:pPr>
      <w:r w:rsidRPr="00F03204">
        <w:rPr>
          <w:rFonts w:cs="Times New Roman"/>
          <w:color w:val="1F4E79" w:themeColor="accent1" w:themeShade="80"/>
          <w:szCs w:val="22"/>
        </w:rPr>
        <w:t xml:space="preserve">Table </w:t>
      </w:r>
      <w:r w:rsidRPr="00F03204">
        <w:rPr>
          <w:rFonts w:cs="Times New Roman"/>
          <w:color w:val="1F4E79" w:themeColor="accent1" w:themeShade="80"/>
          <w:szCs w:val="22"/>
        </w:rPr>
        <w:fldChar w:fldCharType="begin"/>
      </w:r>
      <w:r w:rsidRPr="00F03204">
        <w:rPr>
          <w:rFonts w:cs="Times New Roman"/>
          <w:color w:val="1F4E79" w:themeColor="accent1" w:themeShade="80"/>
          <w:szCs w:val="22"/>
        </w:rPr>
        <w:instrText xml:space="preserve"> SEQ Table \* ARABIC </w:instrText>
      </w:r>
      <w:r w:rsidRPr="00F03204">
        <w:rPr>
          <w:rFonts w:cs="Times New Roman"/>
          <w:color w:val="1F4E79" w:themeColor="accent1" w:themeShade="80"/>
          <w:szCs w:val="22"/>
        </w:rPr>
        <w:fldChar w:fldCharType="separate"/>
      </w:r>
      <w:r w:rsidR="008A632F">
        <w:rPr>
          <w:rFonts w:cs="Times New Roman"/>
          <w:noProof/>
          <w:color w:val="1F4E79" w:themeColor="accent1" w:themeShade="80"/>
          <w:szCs w:val="22"/>
        </w:rPr>
        <w:t>4</w:t>
      </w:r>
      <w:r w:rsidRPr="00F03204">
        <w:rPr>
          <w:rFonts w:cs="Times New Roman"/>
          <w:color w:val="1F4E79" w:themeColor="accent1" w:themeShade="80"/>
          <w:szCs w:val="22"/>
        </w:rPr>
        <w:fldChar w:fldCharType="end"/>
      </w:r>
      <w:r w:rsidRPr="00F03204">
        <w:rPr>
          <w:rFonts w:cs="Times New Roman"/>
          <w:color w:val="1F4E79" w:themeColor="accent1" w:themeShade="80"/>
          <w:szCs w:val="22"/>
        </w:rPr>
        <w:t>: MFS Financial Services Accounts Number 2020</w:t>
      </w:r>
    </w:p>
    <w:p w:rsidR="00B055EB"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One mobile financial services account was operative out of three registered accounts in November 2020. Despite of getting a huge number of active accounts due to pandemic, the active clients commenced to decline from October 2020 and lessened by 25.78% in November in comparison with July previous year as pandemic situation became better than before people initiated doing cash transactions.</w:t>
      </w:r>
    </w:p>
    <w:p w:rsidR="004C1925" w:rsidRDefault="004C1925" w:rsidP="007367F3">
      <w:pPr>
        <w:pStyle w:val="ListParagraph"/>
        <w:numPr>
          <w:ilvl w:val="0"/>
          <w:numId w:val="5"/>
        </w:numPr>
        <w:spacing w:line="360" w:lineRule="auto"/>
        <w:jc w:val="both"/>
        <w:rPr>
          <w:rFonts w:ascii="Times New Roman" w:hAnsi="Times New Roman" w:cs="Times New Roman"/>
          <w:b/>
          <w:color w:val="1F3864" w:themeColor="accent5" w:themeShade="80"/>
          <w:sz w:val="24"/>
          <w:szCs w:val="24"/>
        </w:rPr>
      </w:pPr>
      <w:r w:rsidRPr="007367F3">
        <w:rPr>
          <w:rFonts w:ascii="Times New Roman" w:hAnsi="Times New Roman" w:cs="Times New Roman"/>
          <w:b/>
          <w:color w:val="1F3864" w:themeColor="accent5" w:themeShade="80"/>
          <w:sz w:val="24"/>
          <w:szCs w:val="24"/>
        </w:rPr>
        <w:t>E-commerce Sector</w:t>
      </w:r>
    </w:p>
    <w:p w:rsidR="00195AB9" w:rsidRPr="00195AB9" w:rsidRDefault="00195AB9" w:rsidP="00195AB9">
      <w:pPr>
        <w:spacing w:line="360" w:lineRule="auto"/>
        <w:ind w:left="360"/>
        <w:jc w:val="both"/>
        <w:rPr>
          <w:rFonts w:ascii="Times New Roman" w:hAnsi="Times New Roman" w:cs="Times New Roman"/>
          <w:b/>
          <w:color w:val="1F3864" w:themeColor="accent5" w:themeShade="80"/>
          <w:sz w:val="24"/>
          <w:szCs w:val="24"/>
        </w:rPr>
      </w:pPr>
      <w:r>
        <w:rPr>
          <w:noProof/>
          <w:lang w:val="en-MY" w:eastAsia="en-MY"/>
        </w:rPr>
        <w:drawing>
          <wp:inline distT="0" distB="0" distL="0" distR="0" wp14:anchorId="7F9339BC" wp14:editId="4E1ADC67">
            <wp:extent cx="5219700" cy="280987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2D3E13" w:rsidRPr="006517DB" w:rsidRDefault="00F82323" w:rsidP="006517DB">
      <w:pPr>
        <w:pStyle w:val="Caption"/>
        <w:spacing w:line="360" w:lineRule="auto"/>
        <w:jc w:val="both"/>
        <w:rPr>
          <w:rFonts w:cs="Times New Roman"/>
          <w:color w:val="1F4E79" w:themeColor="accent1" w:themeShade="80"/>
          <w:sz w:val="24"/>
          <w:szCs w:val="24"/>
        </w:rPr>
      </w:pPr>
      <w:r>
        <w:rPr>
          <w:rFonts w:cs="Times New Roman"/>
          <w:b w:val="0"/>
          <w:iCs w:val="0"/>
          <w:sz w:val="24"/>
          <w:szCs w:val="24"/>
        </w:rPr>
        <w:t xml:space="preserve">        </w:t>
      </w:r>
      <w:r w:rsidR="002D3E13" w:rsidRPr="006517DB">
        <w:rPr>
          <w:rFonts w:cs="Times New Roman"/>
          <w:color w:val="1F4E79" w:themeColor="accent1" w:themeShade="80"/>
          <w:sz w:val="24"/>
          <w:szCs w:val="24"/>
        </w:rPr>
        <w:t xml:space="preserve">Figure </w:t>
      </w:r>
      <w:r w:rsidR="002D3E13" w:rsidRPr="006517DB">
        <w:rPr>
          <w:rFonts w:cs="Times New Roman"/>
          <w:color w:val="1F4E79" w:themeColor="accent1" w:themeShade="80"/>
          <w:sz w:val="24"/>
          <w:szCs w:val="24"/>
        </w:rPr>
        <w:fldChar w:fldCharType="begin"/>
      </w:r>
      <w:r w:rsidR="002D3E13" w:rsidRPr="006517DB">
        <w:rPr>
          <w:rFonts w:cs="Times New Roman"/>
          <w:color w:val="1F4E79" w:themeColor="accent1" w:themeShade="80"/>
          <w:sz w:val="24"/>
          <w:szCs w:val="24"/>
        </w:rPr>
        <w:instrText xml:space="preserve"> SEQ Figure \* ARABIC </w:instrText>
      </w:r>
      <w:r w:rsidR="002D3E13"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16</w:t>
      </w:r>
      <w:r w:rsidR="002D3E13" w:rsidRPr="006517DB">
        <w:rPr>
          <w:rFonts w:cs="Times New Roman"/>
          <w:color w:val="1F4E79" w:themeColor="accent1" w:themeShade="80"/>
          <w:sz w:val="24"/>
          <w:szCs w:val="24"/>
        </w:rPr>
        <w:fldChar w:fldCharType="end"/>
      </w:r>
      <w:r w:rsidR="002D3E13" w:rsidRPr="006517DB">
        <w:rPr>
          <w:rFonts w:cs="Times New Roman"/>
          <w:color w:val="1F4E79" w:themeColor="accent1" w:themeShade="80"/>
          <w:sz w:val="24"/>
          <w:szCs w:val="24"/>
        </w:rPr>
        <w:t xml:space="preserve">: Number of Transaction </w:t>
      </w:r>
      <w:r w:rsidR="0045562E" w:rsidRPr="006517DB">
        <w:rPr>
          <w:rFonts w:cs="Times New Roman"/>
          <w:color w:val="1F4E79" w:themeColor="accent1" w:themeShade="80"/>
          <w:sz w:val="24"/>
          <w:szCs w:val="24"/>
        </w:rPr>
        <w:t>in E-commerce S</w:t>
      </w:r>
      <w:r w:rsidR="002D3E13" w:rsidRPr="006517DB">
        <w:rPr>
          <w:rFonts w:cs="Times New Roman"/>
          <w:color w:val="1F4E79" w:themeColor="accent1" w:themeShade="80"/>
          <w:sz w:val="24"/>
          <w:szCs w:val="24"/>
        </w:rPr>
        <w:t>ite</w:t>
      </w:r>
    </w:p>
    <w:p w:rsidR="004C1925" w:rsidRPr="006517DB" w:rsidRDefault="00EA7776" w:rsidP="006517DB">
      <w:pPr>
        <w:spacing w:line="360" w:lineRule="auto"/>
        <w:jc w:val="both"/>
        <w:rPr>
          <w:rFonts w:ascii="Times New Roman" w:hAnsi="Times New Roman" w:cs="Times New Roman"/>
          <w:sz w:val="24"/>
          <w:szCs w:val="24"/>
        </w:rPr>
      </w:pPr>
      <w:r>
        <w:rPr>
          <w:noProof/>
          <w:lang w:val="en-MY" w:eastAsia="en-MY"/>
        </w:rPr>
        <w:lastRenderedPageBreak/>
        <w:drawing>
          <wp:inline distT="0" distB="0" distL="0" distR="0" wp14:anchorId="7786460A" wp14:editId="7539D9AD">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C1925" w:rsidRPr="006517DB" w:rsidRDefault="009A4F8A"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17</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w:t>
      </w:r>
      <w:r w:rsidR="0045562E" w:rsidRPr="006517DB">
        <w:rPr>
          <w:rFonts w:cs="Times New Roman"/>
          <w:color w:val="1F4E79" w:themeColor="accent1" w:themeShade="80"/>
          <w:sz w:val="24"/>
          <w:szCs w:val="24"/>
        </w:rPr>
        <w:t xml:space="preserve"> Total Transaction of E-commerce S</w:t>
      </w:r>
      <w:r w:rsidRPr="006517DB">
        <w:rPr>
          <w:rFonts w:cs="Times New Roman"/>
          <w:color w:val="1F4E79" w:themeColor="accent1" w:themeShade="80"/>
          <w:sz w:val="24"/>
          <w:szCs w:val="24"/>
        </w:rPr>
        <w:t>ite</w:t>
      </w:r>
    </w:p>
    <w:p w:rsidR="00B055EB"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This Covid-19 epidemic has opened a new era in e-commerce sector. During pandemic number of transaction and amount of transaction of e-commerce zone rose tremendously as people shifted to digital payment methods from paper money. Number of transaction magnified by 46.15% in December compared to January prior year. Cattle market also carried to the digital stage for last year </w:t>
      </w:r>
      <w:proofErr w:type="spellStart"/>
      <w:r w:rsidRPr="006517DB">
        <w:rPr>
          <w:rFonts w:ascii="Times New Roman" w:hAnsi="Times New Roman" w:cs="Times New Roman"/>
          <w:sz w:val="24"/>
          <w:szCs w:val="24"/>
        </w:rPr>
        <w:t>Eid-ul-Adha</w:t>
      </w:r>
      <w:proofErr w:type="spellEnd"/>
      <w:r w:rsidRPr="006517DB">
        <w:rPr>
          <w:rFonts w:ascii="Times New Roman" w:hAnsi="Times New Roman" w:cs="Times New Roman"/>
          <w:sz w:val="24"/>
          <w:szCs w:val="24"/>
        </w:rPr>
        <w:t>. As reported by government officers within five years five lakh employee will be occupied in e-</w:t>
      </w:r>
      <w:proofErr w:type="spellStart"/>
      <w:r w:rsidRPr="006517DB">
        <w:rPr>
          <w:rFonts w:ascii="Times New Roman" w:hAnsi="Times New Roman" w:cs="Times New Roman"/>
          <w:sz w:val="24"/>
          <w:szCs w:val="24"/>
        </w:rPr>
        <w:t>commrce</w:t>
      </w:r>
      <w:proofErr w:type="spellEnd"/>
      <w:r w:rsidRPr="006517DB">
        <w:rPr>
          <w:rFonts w:ascii="Times New Roman" w:hAnsi="Times New Roman" w:cs="Times New Roman"/>
          <w:sz w:val="24"/>
          <w:szCs w:val="24"/>
        </w:rPr>
        <w:t xml:space="preserve"> section of Bangladesh. Online sales enhanced by 70 to 80 percent amid pandemic. Cardholders of different banks enjoyed discount for purchasing products or services through online mid the coronavirus pandemic. For example, </w:t>
      </w:r>
      <w:proofErr w:type="spellStart"/>
      <w:r w:rsidRPr="006517DB">
        <w:rPr>
          <w:rFonts w:ascii="Times New Roman" w:hAnsi="Times New Roman" w:cs="Times New Roman"/>
          <w:sz w:val="24"/>
          <w:szCs w:val="24"/>
        </w:rPr>
        <w:t>ShareTrip</w:t>
      </w:r>
      <w:proofErr w:type="spellEnd"/>
      <w:r w:rsidRPr="006517DB">
        <w:rPr>
          <w:rFonts w:ascii="Times New Roman" w:hAnsi="Times New Roman" w:cs="Times New Roman"/>
          <w:sz w:val="24"/>
          <w:szCs w:val="24"/>
        </w:rPr>
        <w:t xml:space="preserve">, one of the best online travel agency in Bangladesh offered 18% discounts for BRAC Bank debit and credit cardholders till August 06, 2020.  </w:t>
      </w:r>
      <w:proofErr w:type="spellStart"/>
      <w:r w:rsidRPr="006517DB">
        <w:rPr>
          <w:rFonts w:ascii="Times New Roman" w:hAnsi="Times New Roman" w:cs="Times New Roman"/>
          <w:sz w:val="24"/>
          <w:szCs w:val="24"/>
        </w:rPr>
        <w:t>Sheba.xyz</w:t>
      </w:r>
      <w:proofErr w:type="spellEnd"/>
      <w:r w:rsidRPr="006517DB">
        <w:rPr>
          <w:rFonts w:ascii="Times New Roman" w:hAnsi="Times New Roman" w:cs="Times New Roman"/>
          <w:sz w:val="24"/>
          <w:szCs w:val="24"/>
        </w:rPr>
        <w:t xml:space="preserve">, a demanding online service platform for household services granted 10% discount till October 31, 2020 for the BRAC Bank cardholders. </w:t>
      </w:r>
      <w:proofErr w:type="spellStart"/>
      <w:r w:rsidRPr="006517DB">
        <w:rPr>
          <w:rFonts w:ascii="Times New Roman" w:hAnsi="Times New Roman" w:cs="Times New Roman"/>
          <w:sz w:val="24"/>
          <w:szCs w:val="24"/>
        </w:rPr>
        <w:t>Easytrax</w:t>
      </w:r>
      <w:proofErr w:type="spellEnd"/>
      <w:r w:rsidRPr="006517DB">
        <w:rPr>
          <w:rFonts w:ascii="Times New Roman" w:hAnsi="Times New Roman" w:cs="Times New Roman"/>
          <w:sz w:val="24"/>
          <w:szCs w:val="24"/>
        </w:rPr>
        <w:t xml:space="preserve">, an outstanding GPS tracking service provider in Bangladesh awarded 20% discount for the cardholders till September 04, 2020. </w:t>
      </w:r>
      <w:proofErr w:type="spellStart"/>
      <w:r w:rsidRPr="006517DB">
        <w:rPr>
          <w:rFonts w:ascii="Times New Roman" w:hAnsi="Times New Roman" w:cs="Times New Roman"/>
          <w:sz w:val="24"/>
          <w:szCs w:val="24"/>
        </w:rPr>
        <w:t>Shajgoj</w:t>
      </w:r>
      <w:proofErr w:type="spellEnd"/>
      <w:r w:rsidRPr="006517DB">
        <w:rPr>
          <w:rFonts w:ascii="Times New Roman" w:hAnsi="Times New Roman" w:cs="Times New Roman"/>
          <w:sz w:val="24"/>
          <w:szCs w:val="24"/>
        </w:rPr>
        <w:t xml:space="preserve">, the leading beauty &amp; personal care e-commerce and content platform of Bangladesh allowed 10% discount to the cardholders till August 31, 2020. The use of QR code increased amidst pandemic than before by which customers can easily access to internet and see products information, offers along with doing payment to the merchant by scanning QR code from their account. From the commence of pandemic </w:t>
      </w:r>
      <w:proofErr w:type="spellStart"/>
      <w:r w:rsidRPr="006517DB">
        <w:rPr>
          <w:rFonts w:ascii="Times New Roman" w:hAnsi="Times New Roman" w:cs="Times New Roman"/>
          <w:sz w:val="24"/>
          <w:szCs w:val="24"/>
        </w:rPr>
        <w:t>Daraz</w:t>
      </w:r>
      <w:proofErr w:type="spellEnd"/>
      <w:r w:rsidRPr="006517DB">
        <w:rPr>
          <w:rFonts w:ascii="Times New Roman" w:hAnsi="Times New Roman" w:cs="Times New Roman"/>
          <w:sz w:val="24"/>
          <w:szCs w:val="24"/>
        </w:rPr>
        <w:t xml:space="preserve">, </w:t>
      </w:r>
      <w:proofErr w:type="spellStart"/>
      <w:r w:rsidRPr="006517DB">
        <w:rPr>
          <w:rFonts w:ascii="Times New Roman" w:hAnsi="Times New Roman" w:cs="Times New Roman"/>
          <w:sz w:val="24"/>
          <w:szCs w:val="24"/>
        </w:rPr>
        <w:t>Evaly</w:t>
      </w:r>
      <w:proofErr w:type="spellEnd"/>
      <w:r w:rsidRPr="006517DB">
        <w:rPr>
          <w:rFonts w:ascii="Times New Roman" w:hAnsi="Times New Roman" w:cs="Times New Roman"/>
          <w:sz w:val="24"/>
          <w:szCs w:val="24"/>
        </w:rPr>
        <w:t xml:space="preserve">, </w:t>
      </w:r>
      <w:proofErr w:type="spellStart"/>
      <w:r w:rsidRPr="006517DB">
        <w:rPr>
          <w:rFonts w:ascii="Times New Roman" w:hAnsi="Times New Roman" w:cs="Times New Roman"/>
          <w:sz w:val="24"/>
          <w:szCs w:val="24"/>
        </w:rPr>
        <w:lastRenderedPageBreak/>
        <w:t>Ajkerdeal</w:t>
      </w:r>
      <w:proofErr w:type="spellEnd"/>
      <w:r w:rsidRPr="006517DB">
        <w:rPr>
          <w:rFonts w:ascii="Times New Roman" w:hAnsi="Times New Roman" w:cs="Times New Roman"/>
          <w:sz w:val="24"/>
          <w:szCs w:val="24"/>
        </w:rPr>
        <w:t xml:space="preserve">, </w:t>
      </w:r>
      <w:proofErr w:type="spellStart"/>
      <w:r w:rsidRPr="006517DB">
        <w:rPr>
          <w:rFonts w:ascii="Times New Roman" w:hAnsi="Times New Roman" w:cs="Times New Roman"/>
          <w:sz w:val="24"/>
          <w:szCs w:val="24"/>
        </w:rPr>
        <w:t>Bagdoom</w:t>
      </w:r>
      <w:proofErr w:type="spellEnd"/>
      <w:r w:rsidRPr="006517DB">
        <w:rPr>
          <w:rFonts w:ascii="Times New Roman" w:hAnsi="Times New Roman" w:cs="Times New Roman"/>
          <w:sz w:val="24"/>
          <w:szCs w:val="24"/>
        </w:rPr>
        <w:t xml:space="preserve">, </w:t>
      </w:r>
      <w:proofErr w:type="spellStart"/>
      <w:r w:rsidRPr="006517DB">
        <w:rPr>
          <w:rFonts w:ascii="Times New Roman" w:hAnsi="Times New Roman" w:cs="Times New Roman"/>
          <w:sz w:val="24"/>
          <w:szCs w:val="24"/>
        </w:rPr>
        <w:t>Priyoshop</w:t>
      </w:r>
      <w:proofErr w:type="spellEnd"/>
      <w:r w:rsidRPr="006517DB">
        <w:rPr>
          <w:rFonts w:ascii="Times New Roman" w:hAnsi="Times New Roman" w:cs="Times New Roman"/>
          <w:sz w:val="24"/>
          <w:szCs w:val="24"/>
        </w:rPr>
        <w:t xml:space="preserve">, </w:t>
      </w:r>
      <w:proofErr w:type="spellStart"/>
      <w:r w:rsidRPr="006517DB">
        <w:rPr>
          <w:rFonts w:ascii="Times New Roman" w:hAnsi="Times New Roman" w:cs="Times New Roman"/>
          <w:sz w:val="24"/>
          <w:szCs w:val="24"/>
        </w:rPr>
        <w:t>Rokmari</w:t>
      </w:r>
      <w:proofErr w:type="spellEnd"/>
      <w:r w:rsidRPr="006517DB">
        <w:rPr>
          <w:rFonts w:ascii="Times New Roman" w:hAnsi="Times New Roman" w:cs="Times New Roman"/>
          <w:sz w:val="24"/>
          <w:szCs w:val="24"/>
        </w:rPr>
        <w:t xml:space="preserve">, </w:t>
      </w:r>
      <w:proofErr w:type="spellStart"/>
      <w:r w:rsidRPr="006517DB">
        <w:rPr>
          <w:rFonts w:ascii="Times New Roman" w:hAnsi="Times New Roman" w:cs="Times New Roman"/>
          <w:sz w:val="24"/>
          <w:szCs w:val="24"/>
        </w:rPr>
        <w:t>Pikaboo</w:t>
      </w:r>
      <w:proofErr w:type="spellEnd"/>
      <w:r w:rsidRPr="006517DB">
        <w:rPr>
          <w:rFonts w:ascii="Times New Roman" w:hAnsi="Times New Roman" w:cs="Times New Roman"/>
          <w:sz w:val="24"/>
          <w:szCs w:val="24"/>
        </w:rPr>
        <w:t xml:space="preserve"> , </w:t>
      </w:r>
      <w:proofErr w:type="spellStart"/>
      <w:r w:rsidRPr="006517DB">
        <w:rPr>
          <w:rFonts w:ascii="Times New Roman" w:hAnsi="Times New Roman" w:cs="Times New Roman"/>
          <w:sz w:val="24"/>
          <w:szCs w:val="24"/>
        </w:rPr>
        <w:t>Othoba</w:t>
      </w:r>
      <w:proofErr w:type="spellEnd"/>
      <w:r w:rsidRPr="006517DB">
        <w:rPr>
          <w:rFonts w:ascii="Times New Roman" w:hAnsi="Times New Roman" w:cs="Times New Roman"/>
          <w:sz w:val="24"/>
          <w:szCs w:val="24"/>
        </w:rPr>
        <w:t xml:space="preserve"> </w:t>
      </w:r>
      <w:proofErr w:type="spellStart"/>
      <w:r w:rsidRPr="006517DB">
        <w:rPr>
          <w:rFonts w:ascii="Times New Roman" w:hAnsi="Times New Roman" w:cs="Times New Roman"/>
          <w:sz w:val="24"/>
          <w:szCs w:val="24"/>
        </w:rPr>
        <w:t>etc</w:t>
      </w:r>
      <w:proofErr w:type="spellEnd"/>
      <w:r w:rsidRPr="006517DB">
        <w:rPr>
          <w:rFonts w:ascii="Times New Roman" w:hAnsi="Times New Roman" w:cs="Times New Roman"/>
          <w:sz w:val="24"/>
          <w:szCs w:val="24"/>
        </w:rPr>
        <w:t xml:space="preserve">  gave immense discounts to all products to encourage people for staying at home from the commencement of pandemic.</w:t>
      </w:r>
    </w:p>
    <w:p w:rsidR="00B055EB" w:rsidRPr="006517DB" w:rsidRDefault="00D74114" w:rsidP="006517DB">
      <w:pPr>
        <w:spacing w:line="360" w:lineRule="auto"/>
        <w:jc w:val="both"/>
        <w:rPr>
          <w:rFonts w:ascii="Times New Roman" w:hAnsi="Times New Roman" w:cs="Times New Roman"/>
          <w:sz w:val="24"/>
          <w:szCs w:val="24"/>
        </w:rPr>
      </w:pPr>
      <w:r>
        <w:rPr>
          <w:noProof/>
          <w:lang w:val="en-MY" w:eastAsia="en-MY"/>
        </w:rPr>
        <w:drawing>
          <wp:inline distT="0" distB="0" distL="0" distR="0" wp14:anchorId="4760BF5A" wp14:editId="6599C320">
            <wp:extent cx="6000750" cy="273367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6D53F5" w:rsidRPr="006517DB" w:rsidRDefault="006D53F5" w:rsidP="006517DB">
      <w:pPr>
        <w:pStyle w:val="Caption"/>
        <w:spacing w:line="360" w:lineRule="auto"/>
        <w:jc w:val="both"/>
        <w:rPr>
          <w:rFonts w:cs="Times New Roman"/>
          <w:color w:val="1F4E79" w:themeColor="accent1" w:themeShade="80"/>
          <w:sz w:val="24"/>
          <w:szCs w:val="24"/>
        </w:rPr>
      </w:pPr>
      <w:r w:rsidRPr="006517DB">
        <w:rPr>
          <w:rFonts w:cs="Times New Roman"/>
          <w:color w:val="1F4E79" w:themeColor="accent1" w:themeShade="80"/>
          <w:sz w:val="24"/>
          <w:szCs w:val="24"/>
        </w:rPr>
        <w:t xml:space="preserve">Figure </w:t>
      </w:r>
      <w:r w:rsidRPr="006517DB">
        <w:rPr>
          <w:rFonts w:cs="Times New Roman"/>
          <w:color w:val="1F4E79" w:themeColor="accent1" w:themeShade="80"/>
          <w:sz w:val="24"/>
          <w:szCs w:val="24"/>
        </w:rPr>
        <w:fldChar w:fldCharType="begin"/>
      </w:r>
      <w:r w:rsidRPr="006517DB">
        <w:rPr>
          <w:rFonts w:cs="Times New Roman"/>
          <w:color w:val="1F4E79" w:themeColor="accent1" w:themeShade="80"/>
          <w:sz w:val="24"/>
          <w:szCs w:val="24"/>
        </w:rPr>
        <w:instrText xml:space="preserve"> SEQ Figure \* ARABIC </w:instrText>
      </w:r>
      <w:r w:rsidRPr="006517DB">
        <w:rPr>
          <w:rFonts w:cs="Times New Roman"/>
          <w:color w:val="1F4E79" w:themeColor="accent1" w:themeShade="80"/>
          <w:sz w:val="24"/>
          <w:szCs w:val="24"/>
        </w:rPr>
        <w:fldChar w:fldCharType="separate"/>
      </w:r>
      <w:r w:rsidR="008A632F">
        <w:rPr>
          <w:rFonts w:cs="Times New Roman"/>
          <w:noProof/>
          <w:color w:val="1F4E79" w:themeColor="accent1" w:themeShade="80"/>
          <w:sz w:val="24"/>
          <w:szCs w:val="24"/>
        </w:rPr>
        <w:t>18</w:t>
      </w:r>
      <w:r w:rsidRPr="006517DB">
        <w:rPr>
          <w:rFonts w:cs="Times New Roman"/>
          <w:color w:val="1F4E79" w:themeColor="accent1" w:themeShade="80"/>
          <w:sz w:val="24"/>
          <w:szCs w:val="24"/>
        </w:rPr>
        <w:fldChar w:fldCharType="end"/>
      </w:r>
      <w:r w:rsidRPr="006517DB">
        <w:rPr>
          <w:rFonts w:cs="Times New Roman"/>
          <w:color w:val="1F4E79" w:themeColor="accent1" w:themeShade="80"/>
          <w:sz w:val="24"/>
          <w:szCs w:val="24"/>
        </w:rPr>
        <w:t>: Merchant Payment through MFS</w:t>
      </w:r>
    </w:p>
    <w:p w:rsidR="00CE4B40" w:rsidRPr="006517DB" w:rsidRDefault="00B055EB"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Merchant payment through mobile financial services stood highest score ever in December previous year which is </w:t>
      </w:r>
      <w:r w:rsidRPr="006517DB">
        <w:rPr>
          <w:rFonts w:ascii="Times New Roman" w:hAnsi="Times New Roman" w:cs="Times New Roman"/>
          <w:color w:val="000000"/>
          <w:sz w:val="24"/>
          <w:szCs w:val="24"/>
          <w:shd w:val="clear" w:color="auto" w:fill="FFFFFF"/>
        </w:rPr>
        <w:t xml:space="preserve">2,147.24 </w:t>
      </w:r>
      <w:proofErr w:type="spellStart"/>
      <w:r w:rsidRPr="006517DB">
        <w:rPr>
          <w:rFonts w:ascii="Times New Roman" w:hAnsi="Times New Roman" w:cs="Times New Roman"/>
          <w:color w:val="000000"/>
          <w:sz w:val="24"/>
          <w:szCs w:val="24"/>
          <w:shd w:val="clear" w:color="auto" w:fill="FFFFFF"/>
        </w:rPr>
        <w:t>crore</w:t>
      </w:r>
      <w:proofErr w:type="spellEnd"/>
      <w:r w:rsidRPr="006517DB">
        <w:rPr>
          <w:rFonts w:ascii="Times New Roman" w:hAnsi="Times New Roman" w:cs="Times New Roman"/>
          <w:color w:val="000000"/>
          <w:sz w:val="24"/>
          <w:szCs w:val="24"/>
          <w:shd w:val="clear" w:color="auto" w:fill="FFFFFF"/>
        </w:rPr>
        <w:t xml:space="preserve"> means 242.04% larger compared to January 2020. </w:t>
      </w:r>
      <w:r w:rsidRPr="006517DB">
        <w:rPr>
          <w:rFonts w:ascii="Times New Roman" w:hAnsi="Times New Roman" w:cs="Times New Roman"/>
          <w:sz w:val="24"/>
          <w:szCs w:val="24"/>
        </w:rPr>
        <w:t>In March 2020, Bangladesh Bank ordered not to take any charge for buying medicine and other essential commodities using MFS and debit cards as well as credit cards. MFS played a notable role to enhance the e-commerce sector.</w:t>
      </w:r>
    </w:p>
    <w:p w:rsidR="00BB06FE" w:rsidRDefault="003E35B6" w:rsidP="003E35B6">
      <w:pPr>
        <w:pStyle w:val="Heading1"/>
        <w:rPr>
          <w:rFonts w:ascii="Times New Roman" w:hAnsi="Times New Roman" w:cs="Times New Roman"/>
          <w:sz w:val="28"/>
          <w:szCs w:val="28"/>
        </w:rPr>
      </w:pPr>
      <w:bookmarkStart w:id="19" w:name="_Toc67370139"/>
      <w:r w:rsidRPr="009228F7">
        <w:rPr>
          <w:rFonts w:ascii="Times New Roman" w:hAnsi="Times New Roman" w:cs="Times New Roman"/>
          <w:sz w:val="28"/>
          <w:szCs w:val="28"/>
        </w:rPr>
        <w:t xml:space="preserve">0.6 </w:t>
      </w:r>
      <w:r w:rsidR="00A63C34" w:rsidRPr="009228F7">
        <w:rPr>
          <w:rFonts w:ascii="Times New Roman" w:hAnsi="Times New Roman" w:cs="Times New Roman"/>
          <w:sz w:val="28"/>
          <w:szCs w:val="28"/>
        </w:rPr>
        <w:t>Conclusion</w:t>
      </w:r>
      <w:r w:rsidRPr="009228F7">
        <w:rPr>
          <w:rFonts w:ascii="Times New Roman" w:hAnsi="Times New Roman" w:cs="Times New Roman"/>
          <w:sz w:val="28"/>
          <w:szCs w:val="28"/>
        </w:rPr>
        <w:t xml:space="preserve"> and Recommendations</w:t>
      </w:r>
      <w:bookmarkEnd w:id="19"/>
    </w:p>
    <w:p w:rsidR="00DE7977" w:rsidRPr="00DE7977" w:rsidRDefault="00DE7977" w:rsidP="00DE7977">
      <w:pPr>
        <w:rPr>
          <w:rFonts w:ascii="Times New Roman" w:hAnsi="Times New Roman" w:cs="Times New Roman"/>
          <w:b/>
          <w:color w:val="1F3864" w:themeColor="accent5" w:themeShade="80"/>
          <w:sz w:val="24"/>
          <w:szCs w:val="24"/>
        </w:rPr>
      </w:pPr>
      <w:r w:rsidRPr="00DE7977">
        <w:rPr>
          <w:rFonts w:ascii="Times New Roman" w:hAnsi="Times New Roman" w:cs="Times New Roman"/>
          <w:b/>
          <w:color w:val="1F3864" w:themeColor="accent5" w:themeShade="80"/>
          <w:sz w:val="24"/>
          <w:szCs w:val="24"/>
        </w:rPr>
        <w:t>Conclusion</w:t>
      </w:r>
    </w:p>
    <w:p w:rsidR="00A63C34" w:rsidRPr="006517DB" w:rsidRDefault="00A63C34"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Financial inclusion is not only the procedure of securing entrance to financial services, it has to be suitable where equitable, economical, translucent access is needed. Only high number of bank branches, large number of ATMs and POS, wide amount of transaction do not make sure financial inclusion in a country where supply sector initiatives must accompaniment consciousness and financial knowledge as well as demand sector circumstance, needed for achieving real goals. The government and central bank of Bangladesh have taken several efforts for surging financial services throughout the country. </w:t>
      </w:r>
    </w:p>
    <w:p w:rsidR="00A63C34" w:rsidRPr="006517DB" w:rsidRDefault="00A63C34"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lastRenderedPageBreak/>
        <w:t>The study supplies several epilogues based upon the outcomes of the study. The finding states that people in Bangladesh are interested about new inventive financial products and because of pandemic they have accepted digital banking system. Ease of use, transaction security, convenience and speed are the factors for an upward trend in digital banking platform. New financial innovations should be added in existing mobile financial services, online banking, agent banking and other banking services to gain the objective of digital Bangladesh.</w:t>
      </w:r>
    </w:p>
    <w:p w:rsidR="00A63C34" w:rsidRPr="006517DB" w:rsidRDefault="00A63C34"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Bangladesh has recently designated as a moderately developed state and in case of financial innovation it is not falling behind though we have many challenges still to overcome. If 50 percent financial transactions are conducted through digital modes, a country is considered to be a cash-lite society, where the rate is 29% in Bangladesh. Bangladesh has a long way to go to become a cashless society but Covid-19 has widened a new stage for digital payment method in Bangladesh.</w:t>
      </w:r>
    </w:p>
    <w:p w:rsidR="00A63C34" w:rsidRPr="006517DB" w:rsidRDefault="00A63C34"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Earlier mentioned different countries economic boom through financial innovation where Kenya’s success by mobile financial services is remarkable. For the economic development of Bangladesh, financial innovation is a must in upcoming days. Hence, the government, banks, other financial institutions should focus on innovating more financial commodities and encouraging people about the usage of formal finance.</w:t>
      </w:r>
    </w:p>
    <w:p w:rsidR="00A63C34" w:rsidRPr="006517DB" w:rsidRDefault="00A63C34" w:rsidP="006517DB">
      <w:p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This working paper used explicative study which has marvelous scopes for further research. This study was based on secondary information where primary data can use in future work that will be more accurate. </w:t>
      </w:r>
    </w:p>
    <w:p w:rsidR="00A63C34" w:rsidRPr="00D62ED9" w:rsidRDefault="00F07629" w:rsidP="006517DB">
      <w:pPr>
        <w:spacing w:line="360" w:lineRule="auto"/>
        <w:jc w:val="both"/>
        <w:rPr>
          <w:rFonts w:ascii="Times New Roman" w:hAnsi="Times New Roman" w:cs="Times New Roman"/>
          <w:b/>
          <w:color w:val="1F3864" w:themeColor="accent5" w:themeShade="80"/>
          <w:sz w:val="24"/>
          <w:szCs w:val="24"/>
        </w:rPr>
      </w:pPr>
      <w:r w:rsidRPr="00D62ED9">
        <w:rPr>
          <w:rFonts w:ascii="Times New Roman" w:hAnsi="Times New Roman" w:cs="Times New Roman"/>
          <w:b/>
          <w:color w:val="1F3864" w:themeColor="accent5" w:themeShade="80"/>
          <w:sz w:val="24"/>
          <w:szCs w:val="24"/>
        </w:rPr>
        <w:t>Recommendations</w:t>
      </w:r>
    </w:p>
    <w:p w:rsidR="00F07629" w:rsidRPr="007C7B1B" w:rsidRDefault="00F07629" w:rsidP="007C7B1B">
      <w:pPr>
        <w:pStyle w:val="ListParagraph"/>
        <w:numPr>
          <w:ilvl w:val="0"/>
          <w:numId w:val="5"/>
        </w:numPr>
        <w:spacing w:line="360" w:lineRule="auto"/>
        <w:jc w:val="both"/>
        <w:rPr>
          <w:rFonts w:ascii="Times New Roman" w:hAnsi="Times New Roman" w:cs="Times New Roman"/>
          <w:sz w:val="24"/>
          <w:szCs w:val="24"/>
        </w:rPr>
      </w:pPr>
      <w:r w:rsidRPr="007C7B1B">
        <w:rPr>
          <w:rFonts w:ascii="Times New Roman" w:hAnsi="Times New Roman" w:cs="Times New Roman"/>
          <w:sz w:val="24"/>
          <w:szCs w:val="24"/>
        </w:rPr>
        <w:t xml:space="preserve">Though the active members of mobile financial services escalated amidst pandemic, it began decline from October 2020. High cash out charge can be a reason for reducing the number of active customers. The cash-our charge in each thousand for </w:t>
      </w:r>
      <w:proofErr w:type="spellStart"/>
      <w:r w:rsidRPr="007C7B1B">
        <w:rPr>
          <w:rFonts w:ascii="Times New Roman" w:hAnsi="Times New Roman" w:cs="Times New Roman"/>
          <w:sz w:val="24"/>
          <w:szCs w:val="24"/>
        </w:rPr>
        <w:t>bKash</w:t>
      </w:r>
      <w:proofErr w:type="spellEnd"/>
      <w:r w:rsidRPr="007C7B1B">
        <w:rPr>
          <w:rFonts w:ascii="Times New Roman" w:hAnsi="Times New Roman" w:cs="Times New Roman"/>
          <w:sz w:val="24"/>
          <w:szCs w:val="24"/>
        </w:rPr>
        <w:t xml:space="preserve"> is Tk18.50, Rocket is Tk18 and Sure cash is Tk18. Recently, </w:t>
      </w:r>
      <w:proofErr w:type="spellStart"/>
      <w:r w:rsidRPr="007C7B1B">
        <w:rPr>
          <w:rFonts w:ascii="Times New Roman" w:hAnsi="Times New Roman" w:cs="Times New Roman"/>
          <w:sz w:val="24"/>
          <w:szCs w:val="24"/>
        </w:rPr>
        <w:t>Nagad</w:t>
      </w:r>
      <w:proofErr w:type="spellEnd"/>
      <w:r w:rsidRPr="007C7B1B">
        <w:rPr>
          <w:rFonts w:ascii="Times New Roman" w:hAnsi="Times New Roman" w:cs="Times New Roman"/>
          <w:sz w:val="24"/>
          <w:szCs w:val="24"/>
        </w:rPr>
        <w:t xml:space="preserve"> has cut its cash-out charge to Tk10 from Tk18.5. In a nutshell, for the expansion of mobile financial services suppliers should determine cash-out charge at a single digit.</w:t>
      </w:r>
    </w:p>
    <w:p w:rsidR="00F07629" w:rsidRPr="006517DB" w:rsidRDefault="00F07629" w:rsidP="007C7B1B">
      <w:pPr>
        <w:pStyle w:val="ListParagraph"/>
        <w:numPr>
          <w:ilvl w:val="0"/>
          <w:numId w:val="5"/>
        </w:num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 xml:space="preserve">As 41 percent of whole labor-force is associated with agrarian section in Bangladesh and majority of them stays in the remote areas, it is tough to reach them by online banking or </w:t>
      </w:r>
      <w:r w:rsidRPr="006517DB">
        <w:rPr>
          <w:rFonts w:ascii="Times New Roman" w:hAnsi="Times New Roman" w:cs="Times New Roman"/>
          <w:sz w:val="24"/>
          <w:szCs w:val="24"/>
        </w:rPr>
        <w:lastRenderedPageBreak/>
        <w:t xml:space="preserve">mobile financial services. For this reason, agent banking can play a momentous role in financial inclusion in Bangladesh by bringing financially excluded population of rural areas under formal banking. </w:t>
      </w:r>
    </w:p>
    <w:p w:rsidR="00F07629" w:rsidRPr="006517DB" w:rsidRDefault="00F07629" w:rsidP="007C7B1B">
      <w:pPr>
        <w:pStyle w:val="ListParagraph"/>
        <w:numPr>
          <w:ilvl w:val="0"/>
          <w:numId w:val="5"/>
        </w:num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Online banking platform should be more secured. A wide range of people avoid taking banking services through online due to privacy issues. The government along with all banks should work together in security issues.</w:t>
      </w:r>
    </w:p>
    <w:p w:rsidR="00F07629" w:rsidRPr="007C7B1B" w:rsidRDefault="00F07629" w:rsidP="007C7B1B">
      <w:pPr>
        <w:pStyle w:val="ListParagraph"/>
        <w:numPr>
          <w:ilvl w:val="0"/>
          <w:numId w:val="5"/>
        </w:numPr>
        <w:spacing w:line="360" w:lineRule="auto"/>
        <w:jc w:val="both"/>
        <w:rPr>
          <w:rFonts w:ascii="Times New Roman" w:hAnsi="Times New Roman" w:cs="Times New Roman"/>
          <w:sz w:val="24"/>
          <w:szCs w:val="24"/>
        </w:rPr>
      </w:pPr>
      <w:r w:rsidRPr="007C7B1B">
        <w:rPr>
          <w:rFonts w:ascii="Times New Roman" w:hAnsi="Times New Roman" w:cs="Times New Roman"/>
          <w:sz w:val="24"/>
          <w:szCs w:val="24"/>
        </w:rPr>
        <w:t>Since Bangladesh is passing toward online activities more than before and digital payment methods are accepting by people than prior, it is crying need to develop speedy internet facilities.</w:t>
      </w:r>
    </w:p>
    <w:p w:rsidR="00F07629" w:rsidRPr="006517DB" w:rsidRDefault="00F07629" w:rsidP="007C7B1B">
      <w:pPr>
        <w:pStyle w:val="ListParagraph"/>
        <w:numPr>
          <w:ilvl w:val="0"/>
          <w:numId w:val="5"/>
        </w:numPr>
        <w:spacing w:line="360" w:lineRule="auto"/>
        <w:jc w:val="both"/>
        <w:rPr>
          <w:rFonts w:ascii="Times New Roman" w:hAnsi="Times New Roman" w:cs="Times New Roman"/>
          <w:sz w:val="24"/>
          <w:szCs w:val="24"/>
        </w:rPr>
      </w:pPr>
      <w:r w:rsidRPr="006517DB">
        <w:rPr>
          <w:rFonts w:ascii="Times New Roman" w:hAnsi="Times New Roman" w:cs="Times New Roman"/>
          <w:sz w:val="24"/>
          <w:szCs w:val="24"/>
        </w:rPr>
        <w:t>The usage of Quick Response Code (QR) payment method should be expanded in the country which can help to boost digital payment. Although big shops, merchants, restaurants have availed this system, small organizations are still lag in establishing this new method.</w:t>
      </w:r>
    </w:p>
    <w:p w:rsidR="00F07629" w:rsidRPr="006517DB" w:rsidRDefault="00F07629" w:rsidP="006517DB">
      <w:pPr>
        <w:spacing w:line="360" w:lineRule="auto"/>
        <w:jc w:val="both"/>
        <w:rPr>
          <w:rFonts w:ascii="Times New Roman" w:hAnsi="Times New Roman" w:cs="Times New Roman"/>
          <w:sz w:val="24"/>
          <w:szCs w:val="24"/>
        </w:rPr>
      </w:pPr>
    </w:p>
    <w:p w:rsidR="00B67C92" w:rsidRDefault="00B67C92" w:rsidP="00635641">
      <w:pPr>
        <w:pStyle w:val="Heading1"/>
        <w:sectPr w:rsidR="00B67C92" w:rsidSect="00B67C92">
          <w:pgSz w:w="12240" w:h="15840"/>
          <w:pgMar w:top="1440" w:right="1440" w:bottom="1440" w:left="1440" w:header="720" w:footer="720" w:gutter="0"/>
          <w:pgNumType w:start="1"/>
          <w:cols w:space="720"/>
          <w:docGrid w:linePitch="360"/>
        </w:sectPr>
      </w:pPr>
    </w:p>
    <w:p w:rsidR="00443DC8" w:rsidRDefault="00635641" w:rsidP="00635641">
      <w:pPr>
        <w:pStyle w:val="Heading1"/>
      </w:pPr>
      <w:bookmarkStart w:id="20" w:name="_Toc67370140"/>
      <w:r>
        <w:lastRenderedPageBreak/>
        <w:t xml:space="preserve">0.7 </w:t>
      </w:r>
      <w:r w:rsidR="009F7840" w:rsidRPr="006517DB">
        <w:t>A</w:t>
      </w:r>
      <w:r w:rsidR="00D175D9" w:rsidRPr="006517DB">
        <w:t>ppendix</w:t>
      </w:r>
      <w:bookmarkEnd w:id="20"/>
    </w:p>
    <w:p w:rsidR="008F1BEF" w:rsidRDefault="008F1BEF" w:rsidP="008F1BEF">
      <w:pPr>
        <w:pStyle w:val="Heading2"/>
        <w:rPr>
          <w:rFonts w:ascii="Times New Roman" w:hAnsi="Times New Roman" w:cs="Times New Roman"/>
          <w:sz w:val="24"/>
          <w:szCs w:val="24"/>
        </w:rPr>
      </w:pPr>
      <w:bookmarkStart w:id="21" w:name="_Toc67370141"/>
      <w:r w:rsidRPr="008F1BEF">
        <w:rPr>
          <w:rFonts w:ascii="Times New Roman" w:hAnsi="Times New Roman" w:cs="Times New Roman"/>
          <w:sz w:val="24"/>
          <w:szCs w:val="24"/>
        </w:rPr>
        <w:t>7.1 References</w:t>
      </w:r>
      <w:bookmarkEnd w:id="21"/>
    </w:p>
    <w:sdt>
      <w:sdtPr>
        <w:rPr>
          <w:rFonts w:asciiTheme="minorHAnsi" w:eastAsiaTheme="minorHAnsi" w:hAnsiTheme="minorHAnsi" w:cstheme="minorBidi"/>
          <w:color w:val="auto"/>
          <w:sz w:val="22"/>
          <w:szCs w:val="22"/>
        </w:rPr>
        <w:id w:val="736359631"/>
        <w:docPartObj>
          <w:docPartGallery w:val="Bibliographies"/>
          <w:docPartUnique/>
        </w:docPartObj>
      </w:sdtPr>
      <w:sdtEndPr>
        <w:rPr>
          <w:rFonts w:ascii="Times New Roman" w:hAnsi="Times New Roman" w:cs="Times New Roman"/>
          <w:sz w:val="24"/>
          <w:szCs w:val="24"/>
        </w:rPr>
      </w:sdtEndPr>
      <w:sdtContent>
        <w:p w:rsidR="00BB7E5C" w:rsidRDefault="00BB7E5C">
          <w:pPr>
            <w:pStyle w:val="Heading1"/>
          </w:pPr>
        </w:p>
        <w:sdt>
          <w:sdtPr>
            <w:id w:val="111145805"/>
            <w:bibliography/>
          </w:sdtPr>
          <w:sdtEndPr>
            <w:rPr>
              <w:rFonts w:ascii="Times New Roman" w:hAnsi="Times New Roman" w:cs="Times New Roman"/>
              <w:sz w:val="24"/>
              <w:szCs w:val="24"/>
            </w:rPr>
          </w:sdtEndPr>
          <w:sdtContent>
            <w:p w:rsidR="001E4301" w:rsidRDefault="00BB7E5C" w:rsidP="001E4301">
              <w:pPr>
                <w:pStyle w:val="Bibliography"/>
                <w:ind w:left="720" w:hanging="720"/>
                <w:rPr>
                  <w:noProof/>
                </w:rPr>
              </w:pPr>
              <w:r w:rsidRPr="00BB7E5C">
                <w:rPr>
                  <w:rFonts w:ascii="Times New Roman" w:hAnsi="Times New Roman" w:cs="Times New Roman"/>
                  <w:sz w:val="24"/>
                  <w:szCs w:val="24"/>
                </w:rPr>
                <w:fldChar w:fldCharType="begin"/>
              </w:r>
              <w:r w:rsidRPr="00BB7E5C">
                <w:rPr>
                  <w:rFonts w:ascii="Times New Roman" w:hAnsi="Times New Roman" w:cs="Times New Roman"/>
                  <w:sz w:val="24"/>
                  <w:szCs w:val="24"/>
                </w:rPr>
                <w:instrText xml:space="preserve"> BIBLIOGRAPHY </w:instrText>
              </w:r>
              <w:r w:rsidRPr="00BB7E5C">
                <w:rPr>
                  <w:rFonts w:ascii="Times New Roman" w:hAnsi="Times New Roman" w:cs="Times New Roman"/>
                  <w:sz w:val="24"/>
                  <w:szCs w:val="24"/>
                </w:rPr>
                <w:fldChar w:fldCharType="separate"/>
              </w:r>
              <w:r w:rsidR="001E4301">
                <w:rPr>
                  <w:noProof/>
                </w:rPr>
                <w:t>Adeoye, O. E. (2016). Dererminents of Financial Inclusion in Africa:A dynamic panel data approach. 310-361.</w:t>
              </w:r>
            </w:p>
            <w:p w:rsidR="001E4301" w:rsidRDefault="001E4301" w:rsidP="001E4301">
              <w:pPr>
                <w:pStyle w:val="Bibliography"/>
                <w:ind w:left="720" w:hanging="720"/>
                <w:rPr>
                  <w:noProof/>
                </w:rPr>
              </w:pPr>
              <w:r>
                <w:rPr>
                  <w:noProof/>
                </w:rPr>
                <w:t>Amsterdam, K. (2018, February). The Effect of Financial Innovation on Economic Growth in African Countries.</w:t>
              </w:r>
            </w:p>
            <w:p w:rsidR="001E4301" w:rsidRDefault="001E4301" w:rsidP="001E4301">
              <w:pPr>
                <w:pStyle w:val="Bibliography"/>
                <w:ind w:left="720" w:hanging="720"/>
                <w:rPr>
                  <w:noProof/>
                </w:rPr>
              </w:pPr>
              <w:r>
                <w:rPr>
                  <w:noProof/>
                </w:rPr>
                <w:t xml:space="preserve">Błach, J. (2011). FINANCIAL INNOVATIONS AND THEIR ROLE IN THE MODERN FINANCIAL SYSTEM –IDENTIFICATION AND SYSTEMATIZATIONOF THE PROBLEM. </w:t>
              </w:r>
              <w:r>
                <w:rPr>
                  <w:i/>
                  <w:iCs/>
                  <w:noProof/>
                </w:rPr>
                <w:t>Financial Internet Quarterly,,e-Finanse, 7</w:t>
              </w:r>
              <w:r>
                <w:rPr>
                  <w:noProof/>
                </w:rPr>
                <w:t>(3), 13-26.</w:t>
              </w:r>
            </w:p>
            <w:p w:rsidR="001E4301" w:rsidRDefault="001E4301" w:rsidP="001E4301">
              <w:pPr>
                <w:pStyle w:val="Bibliography"/>
                <w:ind w:left="720" w:hanging="720"/>
                <w:rPr>
                  <w:noProof/>
                </w:rPr>
              </w:pPr>
              <w:r>
                <w:rPr>
                  <w:noProof/>
                </w:rPr>
                <w:t xml:space="preserve">Bogusław Pietrzak, Z. P. (2008). </w:t>
              </w:r>
              <w:r>
                <w:rPr>
                  <w:i/>
                  <w:iCs/>
                  <w:noProof/>
                </w:rPr>
                <w:t>System finansowy w Polsce,Vol 1.</w:t>
              </w:r>
              <w:r>
                <w:rPr>
                  <w:noProof/>
                </w:rPr>
                <w:t xml:space="preserve"> Warszawa: PWN.</w:t>
              </w:r>
            </w:p>
            <w:p w:rsidR="001E4301" w:rsidRDefault="001E4301" w:rsidP="001E4301">
              <w:pPr>
                <w:pStyle w:val="Bibliography"/>
                <w:ind w:left="720" w:hanging="720"/>
                <w:rPr>
                  <w:noProof/>
                </w:rPr>
              </w:pPr>
              <w:r>
                <w:rPr>
                  <w:noProof/>
                </w:rPr>
                <w:t xml:space="preserve">Charles, C. O. (2019, August). THE IMPACT OF FINANCIAL INNOVATION ON . </w:t>
              </w:r>
              <w:r>
                <w:rPr>
                  <w:i/>
                  <w:iCs/>
                  <w:noProof/>
                </w:rPr>
                <w:t>International Journal of Economics, Commerce and Management, VII</w:t>
              </w:r>
              <w:r>
                <w:rPr>
                  <w:noProof/>
                </w:rPr>
                <w:t>(8).</w:t>
              </w:r>
            </w:p>
            <w:p w:rsidR="001E4301" w:rsidRDefault="001E4301" w:rsidP="001E4301">
              <w:pPr>
                <w:pStyle w:val="Bibliography"/>
                <w:ind w:left="720" w:hanging="720"/>
                <w:rPr>
                  <w:noProof/>
                </w:rPr>
              </w:pPr>
              <w:r>
                <w:rPr>
                  <w:noProof/>
                </w:rPr>
                <w:t xml:space="preserve">Consultative Group to Assist the Poor . (2006). </w:t>
              </w:r>
              <w:r>
                <w:rPr>
                  <w:i/>
                  <w:iCs/>
                  <w:noProof/>
                </w:rPr>
                <w:t>Mobile Phone Banking and Low-Income Customers:Evidence from South Africa.</w:t>
              </w:r>
              <w:r>
                <w:rPr>
                  <w:noProof/>
                </w:rPr>
                <w:t xml:space="preserve"> https://www.cgap.org/.</w:t>
              </w:r>
            </w:p>
            <w:p w:rsidR="001E4301" w:rsidRDefault="001E4301" w:rsidP="001E4301">
              <w:pPr>
                <w:pStyle w:val="Bibliography"/>
                <w:ind w:left="720" w:hanging="720"/>
                <w:rPr>
                  <w:noProof/>
                </w:rPr>
              </w:pPr>
              <w:r>
                <w:rPr>
                  <w:noProof/>
                </w:rPr>
                <w:t>Ekpu, D. V. (2015). MEASURING AND REPORTING FINANCIAL INNOVATION PERFORMANCE AND ITS IMPACT: A REVIEW OFMETHODOLOGIES.</w:t>
              </w:r>
            </w:p>
            <w:p w:rsidR="001E4301" w:rsidRDefault="001E4301" w:rsidP="001E4301">
              <w:pPr>
                <w:pStyle w:val="Bibliography"/>
                <w:ind w:left="720" w:hanging="720"/>
                <w:rPr>
                  <w:noProof/>
                </w:rPr>
              </w:pPr>
              <w:r>
                <w:rPr>
                  <w:noProof/>
                </w:rPr>
                <w:t>Jianguo, M. Q. (2017). Financial innovation and economic growth in Bangladesh.</w:t>
              </w:r>
            </w:p>
            <w:p w:rsidR="001E4301" w:rsidRDefault="001E4301" w:rsidP="001E4301">
              <w:pPr>
                <w:pStyle w:val="Bibliography"/>
                <w:ind w:left="720" w:hanging="720"/>
                <w:rPr>
                  <w:noProof/>
                </w:rPr>
              </w:pPr>
              <w:r>
                <w:rPr>
                  <w:noProof/>
                </w:rPr>
                <w:t xml:space="preserve">KotsemirM,AbroskinA. (2013). </w:t>
              </w:r>
              <w:r>
                <w:rPr>
                  <w:i/>
                  <w:iCs/>
                  <w:noProof/>
                </w:rPr>
                <w:t xml:space="preserve">)InnovationConceptandTypology-AnEvolutionaryDiscussion.SciTechnolInnovWPBRP05/STI/2013, pp.50 </w:t>
              </w:r>
              <w:r>
                <w:rPr>
                  <w:noProof/>
                </w:rPr>
                <w:t>.</w:t>
              </w:r>
            </w:p>
            <w:p w:rsidR="001E4301" w:rsidRDefault="001E4301" w:rsidP="001E4301">
              <w:pPr>
                <w:pStyle w:val="Bibliography"/>
                <w:ind w:left="720" w:hanging="720"/>
                <w:rPr>
                  <w:noProof/>
                </w:rPr>
              </w:pPr>
              <w:r>
                <w:rPr>
                  <w:noProof/>
                </w:rPr>
                <w:t xml:space="preserve">Lerner, P. T. (2011, December). The Consequences of Financial Innovation: A Counterfactual Research Agenda. </w:t>
              </w:r>
              <w:r>
                <w:rPr>
                  <w:i/>
                  <w:iCs/>
                  <w:noProof/>
                </w:rPr>
                <w:t>Annual Review of Financial Economics, 3</w:t>
              </w:r>
              <w:r>
                <w:rPr>
                  <w:noProof/>
                </w:rPr>
                <w:t>, 41-45.</w:t>
              </w:r>
            </w:p>
            <w:p w:rsidR="001E4301" w:rsidRDefault="001E4301" w:rsidP="001E4301">
              <w:pPr>
                <w:pStyle w:val="Bibliography"/>
                <w:ind w:left="720" w:hanging="720"/>
                <w:rPr>
                  <w:noProof/>
                </w:rPr>
              </w:pPr>
              <w:r>
                <w:rPr>
                  <w:noProof/>
                </w:rPr>
                <w:t xml:space="preserve">Marquis, P. R. (2009). </w:t>
              </w:r>
              <w:r>
                <w:rPr>
                  <w:i/>
                  <w:iCs/>
                  <w:noProof/>
                </w:rPr>
                <w:t>Money Market and Capital Market,Financial Institutions and Instruments in a Global Market Place.</w:t>
              </w:r>
              <w:r>
                <w:rPr>
                  <w:noProof/>
                </w:rPr>
                <w:t xml:space="preserve"> New York: McGraw Hill.</w:t>
              </w:r>
            </w:p>
            <w:p w:rsidR="001E4301" w:rsidRDefault="001E4301" w:rsidP="001E4301">
              <w:pPr>
                <w:pStyle w:val="Bibliography"/>
                <w:ind w:left="720" w:hanging="720"/>
                <w:rPr>
                  <w:noProof/>
                </w:rPr>
              </w:pPr>
              <w:r>
                <w:rPr>
                  <w:noProof/>
                </w:rPr>
                <w:t xml:space="preserve">Md.Nur Alam Siddik, G. S. (2014). Financial Inclusion through Mobile Banking: A Case of Bangladesh. </w:t>
              </w:r>
              <w:r>
                <w:rPr>
                  <w:i/>
                  <w:iCs/>
                  <w:noProof/>
                </w:rPr>
                <w:t>Journal of Applied Finance &amp; Banking, 4</w:t>
              </w:r>
              <w:r>
                <w:rPr>
                  <w:noProof/>
                </w:rPr>
                <w:t>(6).</w:t>
              </w:r>
            </w:p>
            <w:p w:rsidR="001E4301" w:rsidRDefault="001E4301" w:rsidP="001E4301">
              <w:pPr>
                <w:pStyle w:val="Bibliography"/>
                <w:ind w:left="720" w:hanging="720"/>
                <w:rPr>
                  <w:noProof/>
                </w:rPr>
              </w:pPr>
              <w:r>
                <w:rPr>
                  <w:noProof/>
                </w:rPr>
                <w:t xml:space="preserve">Morduch, B. A. (2005). </w:t>
              </w:r>
              <w:r>
                <w:rPr>
                  <w:i/>
                  <w:iCs/>
                  <w:noProof/>
                </w:rPr>
                <w:t>The Economics of Microfinance.</w:t>
              </w:r>
              <w:r>
                <w:rPr>
                  <w:noProof/>
                </w:rPr>
                <w:t xml:space="preserve"> The MIT Press.</w:t>
              </w:r>
            </w:p>
            <w:p w:rsidR="001E4301" w:rsidRDefault="001E4301" w:rsidP="001E4301">
              <w:pPr>
                <w:pStyle w:val="Bibliography"/>
                <w:ind w:left="720" w:hanging="720"/>
                <w:rPr>
                  <w:noProof/>
                </w:rPr>
              </w:pPr>
              <w:r>
                <w:rPr>
                  <w:noProof/>
                </w:rPr>
                <w:t xml:space="preserve">Mudzingiri, A. B. (2016, June 03). Financial innovation and economic growth: evidence from Zimbabwe. </w:t>
              </w:r>
              <w:r>
                <w:rPr>
                  <w:i/>
                  <w:iCs/>
                  <w:noProof/>
                </w:rPr>
                <w:t>Investment Management and Financial Innovations, 13</w:t>
              </w:r>
              <w:r>
                <w:rPr>
                  <w:noProof/>
                </w:rPr>
                <w:t>(2), 65-75.</w:t>
              </w:r>
            </w:p>
            <w:p w:rsidR="001E4301" w:rsidRDefault="001E4301" w:rsidP="001E4301">
              <w:pPr>
                <w:pStyle w:val="Bibliography"/>
                <w:ind w:left="720" w:hanging="720"/>
                <w:rPr>
                  <w:noProof/>
                </w:rPr>
              </w:pPr>
              <w:r>
                <w:rPr>
                  <w:noProof/>
                </w:rPr>
                <w:t>MWINZI, D. M. (2014, October). THE EFFECT OF FINANCIAL INNOVATION ON ECONOMIC GROWTH IN KENYA.</w:t>
              </w:r>
            </w:p>
            <w:p w:rsidR="001E4301" w:rsidRDefault="001E4301" w:rsidP="001E4301">
              <w:pPr>
                <w:pStyle w:val="Bibliography"/>
                <w:ind w:left="720" w:hanging="720"/>
                <w:rPr>
                  <w:noProof/>
                </w:rPr>
              </w:pPr>
              <w:r>
                <w:rPr>
                  <w:noProof/>
                </w:rPr>
                <w:t xml:space="preserve">Napier, M. (2014). </w:t>
              </w:r>
              <w:r>
                <w:rPr>
                  <w:i/>
                  <w:iCs/>
                  <w:noProof/>
                </w:rPr>
                <w:t>Real Money, New Frontiers: Case studies of Financial Innovation in Africa.</w:t>
              </w:r>
            </w:p>
            <w:p w:rsidR="001E4301" w:rsidRDefault="001E4301" w:rsidP="001E4301">
              <w:pPr>
                <w:pStyle w:val="Bibliography"/>
                <w:ind w:left="720" w:hanging="720"/>
                <w:rPr>
                  <w:noProof/>
                </w:rPr>
              </w:pPr>
              <w:r>
                <w:rPr>
                  <w:noProof/>
                </w:rPr>
                <w:t xml:space="preserve">Okle, P. S. (2019, November 19). Financial innovation and economic growth in Cameroon . </w:t>
              </w:r>
              <w:r>
                <w:rPr>
                  <w:i/>
                  <w:iCs/>
                  <w:noProof/>
                </w:rPr>
                <w:t>International Journal of Business and Finance Management Research</w:t>
              </w:r>
              <w:r>
                <w:rPr>
                  <w:noProof/>
                </w:rPr>
                <w:t>.</w:t>
              </w:r>
            </w:p>
            <w:p w:rsidR="001E4301" w:rsidRDefault="001E4301" w:rsidP="001E4301">
              <w:pPr>
                <w:pStyle w:val="Bibliography"/>
                <w:ind w:left="720" w:hanging="720"/>
                <w:rPr>
                  <w:noProof/>
                </w:rPr>
              </w:pPr>
              <w:r>
                <w:rPr>
                  <w:noProof/>
                </w:rPr>
                <w:t xml:space="preserve">Reserve Bank of India. (2008). </w:t>
              </w:r>
              <w:r>
                <w:rPr>
                  <w:i/>
                  <w:iCs/>
                  <w:noProof/>
                </w:rPr>
                <w:t>Report of the coommittee on financial inclusion.</w:t>
              </w:r>
              <w:r>
                <w:rPr>
                  <w:noProof/>
                </w:rPr>
                <w:t xml:space="preserve"> </w:t>
              </w:r>
            </w:p>
            <w:p w:rsidR="001E4301" w:rsidRDefault="001E4301" w:rsidP="001E4301">
              <w:pPr>
                <w:pStyle w:val="Bibliography"/>
                <w:ind w:left="720" w:hanging="720"/>
                <w:rPr>
                  <w:noProof/>
                </w:rPr>
              </w:pPr>
              <w:r>
                <w:rPr>
                  <w:noProof/>
                </w:rPr>
                <w:lastRenderedPageBreak/>
                <w:t xml:space="preserve">Ross P. Buckley, D. W. ( 2013, September 27). </w:t>
              </w:r>
              <w:r>
                <w:rPr>
                  <w:i/>
                  <w:iCs/>
                  <w:noProof/>
                </w:rPr>
                <w:t>Financial Innovation in East Asia</w:t>
              </w:r>
              <w:r>
                <w:rPr>
                  <w:noProof/>
                </w:rPr>
                <w:t>, 3,4.</w:t>
              </w:r>
            </w:p>
            <w:p w:rsidR="001E4301" w:rsidRDefault="001E4301" w:rsidP="001E4301">
              <w:pPr>
                <w:pStyle w:val="Bibliography"/>
                <w:ind w:left="720" w:hanging="720"/>
                <w:rPr>
                  <w:noProof/>
                </w:rPr>
              </w:pPr>
              <w:r>
                <w:rPr>
                  <w:noProof/>
                </w:rPr>
                <w:t xml:space="preserve">Schumpeter, J. (1912). </w:t>
              </w:r>
              <w:r>
                <w:rPr>
                  <w:i/>
                  <w:iCs/>
                  <w:noProof/>
                </w:rPr>
                <w:t>Theorie der wirtschaftlichen Entwicklung.</w:t>
              </w:r>
            </w:p>
            <w:p w:rsidR="001E4301" w:rsidRDefault="001E4301" w:rsidP="001E4301">
              <w:pPr>
                <w:pStyle w:val="Bibliography"/>
                <w:ind w:left="720" w:hanging="720"/>
                <w:rPr>
                  <w:noProof/>
                </w:rPr>
              </w:pPr>
              <w:r>
                <w:rPr>
                  <w:noProof/>
                </w:rPr>
                <w:t>Tan, M. R. (2020, June 20). Financial innovation and economic growth: Empiricalevidence from China, India and Pakistan.</w:t>
              </w:r>
            </w:p>
            <w:p w:rsidR="001E4301" w:rsidRDefault="001E4301" w:rsidP="001E4301">
              <w:pPr>
                <w:pStyle w:val="Bibliography"/>
                <w:ind w:left="720" w:hanging="720"/>
                <w:rPr>
                  <w:noProof/>
                </w:rPr>
              </w:pPr>
              <w:r>
                <w:rPr>
                  <w:noProof/>
                </w:rPr>
                <w:t xml:space="preserve">Tufano, P. (1989, December). Financial innovation and first-mover advantages. </w:t>
              </w:r>
              <w:r>
                <w:rPr>
                  <w:i/>
                  <w:iCs/>
                  <w:noProof/>
                </w:rPr>
                <w:t>Journal of Financial Economics</w:t>
              </w:r>
              <w:r>
                <w:rPr>
                  <w:noProof/>
                </w:rPr>
                <w:t>, 25(2), 213-240.</w:t>
              </w:r>
            </w:p>
            <w:p w:rsidR="001E4301" w:rsidRDefault="001E4301" w:rsidP="001E4301">
              <w:pPr>
                <w:pStyle w:val="Bibliography"/>
                <w:ind w:left="720" w:hanging="720"/>
                <w:rPr>
                  <w:noProof/>
                </w:rPr>
              </w:pPr>
              <w:r>
                <w:rPr>
                  <w:noProof/>
                </w:rPr>
                <w:t xml:space="preserve">Yago, F. A. (2010). </w:t>
              </w:r>
              <w:r>
                <w:rPr>
                  <w:i/>
                  <w:iCs/>
                  <w:noProof/>
                </w:rPr>
                <w:t>Financing the Future: Market-Based Innovations for Growth.</w:t>
              </w:r>
              <w:r>
                <w:rPr>
                  <w:noProof/>
                </w:rPr>
                <w:t xml:space="preserve"> Pearson.</w:t>
              </w:r>
            </w:p>
            <w:p w:rsidR="00BB7E5C" w:rsidRPr="00BB7E5C" w:rsidRDefault="00BB7E5C" w:rsidP="001E4301">
              <w:pPr>
                <w:spacing w:line="360" w:lineRule="auto"/>
                <w:jc w:val="both"/>
                <w:rPr>
                  <w:rFonts w:ascii="Times New Roman" w:hAnsi="Times New Roman" w:cs="Times New Roman"/>
                  <w:sz w:val="24"/>
                  <w:szCs w:val="24"/>
                </w:rPr>
              </w:pPr>
              <w:r w:rsidRPr="00BB7E5C">
                <w:rPr>
                  <w:rFonts w:ascii="Times New Roman" w:hAnsi="Times New Roman" w:cs="Times New Roman"/>
                  <w:b/>
                  <w:bCs/>
                  <w:noProof/>
                  <w:sz w:val="24"/>
                  <w:szCs w:val="24"/>
                </w:rPr>
                <w:fldChar w:fldCharType="end"/>
              </w:r>
            </w:p>
          </w:sdtContent>
        </w:sdt>
      </w:sdtContent>
    </w:sdt>
    <w:p w:rsidR="00BB7E5C" w:rsidRPr="00BB7E5C" w:rsidRDefault="00BB7E5C" w:rsidP="00BB7E5C">
      <w:pPr>
        <w:spacing w:line="360" w:lineRule="auto"/>
        <w:jc w:val="both"/>
        <w:rPr>
          <w:rFonts w:ascii="Times New Roman" w:hAnsi="Times New Roman" w:cs="Times New Roman"/>
          <w:sz w:val="24"/>
          <w:szCs w:val="24"/>
        </w:rPr>
      </w:pPr>
    </w:p>
    <w:p w:rsidR="008F1BEF" w:rsidRPr="00BB7E5C" w:rsidRDefault="008F1BEF" w:rsidP="00BB7E5C">
      <w:pPr>
        <w:spacing w:line="360" w:lineRule="auto"/>
        <w:jc w:val="both"/>
        <w:rPr>
          <w:rFonts w:ascii="Times New Roman" w:hAnsi="Times New Roman" w:cs="Times New Roman"/>
          <w:sz w:val="24"/>
          <w:szCs w:val="24"/>
        </w:rPr>
      </w:pPr>
    </w:p>
    <w:p w:rsidR="009F7840" w:rsidRDefault="009F7840" w:rsidP="006517DB">
      <w:pPr>
        <w:spacing w:line="360" w:lineRule="auto"/>
        <w:jc w:val="both"/>
        <w:rPr>
          <w:rFonts w:ascii="Times New Roman" w:hAnsi="Times New Roman" w:cs="Times New Roman"/>
          <w:sz w:val="24"/>
          <w:szCs w:val="24"/>
        </w:rPr>
      </w:pPr>
    </w:p>
    <w:p w:rsidR="009744F9" w:rsidRDefault="009744F9" w:rsidP="006517DB">
      <w:pPr>
        <w:spacing w:line="360" w:lineRule="auto"/>
        <w:jc w:val="both"/>
        <w:rPr>
          <w:rFonts w:ascii="Times New Roman" w:hAnsi="Times New Roman" w:cs="Times New Roman"/>
          <w:sz w:val="24"/>
          <w:szCs w:val="24"/>
        </w:rPr>
      </w:pPr>
    </w:p>
    <w:p w:rsidR="009744F9" w:rsidRDefault="009744F9" w:rsidP="006517DB">
      <w:pPr>
        <w:spacing w:line="360" w:lineRule="auto"/>
        <w:jc w:val="both"/>
        <w:rPr>
          <w:rFonts w:ascii="Times New Roman" w:hAnsi="Times New Roman" w:cs="Times New Roman"/>
          <w:sz w:val="24"/>
          <w:szCs w:val="24"/>
        </w:rPr>
      </w:pPr>
    </w:p>
    <w:p w:rsidR="009744F9" w:rsidRDefault="009744F9" w:rsidP="006517DB">
      <w:pPr>
        <w:spacing w:line="360" w:lineRule="auto"/>
        <w:jc w:val="both"/>
        <w:rPr>
          <w:rFonts w:ascii="Times New Roman" w:hAnsi="Times New Roman" w:cs="Times New Roman"/>
          <w:sz w:val="24"/>
          <w:szCs w:val="24"/>
        </w:rPr>
      </w:pPr>
    </w:p>
    <w:p w:rsidR="009744F9" w:rsidRDefault="009744F9" w:rsidP="006517DB">
      <w:pPr>
        <w:spacing w:line="360" w:lineRule="auto"/>
        <w:jc w:val="both"/>
        <w:rPr>
          <w:rFonts w:ascii="Times New Roman" w:hAnsi="Times New Roman" w:cs="Times New Roman"/>
          <w:sz w:val="24"/>
          <w:szCs w:val="24"/>
        </w:rPr>
      </w:pPr>
    </w:p>
    <w:p w:rsidR="00CC6CE9" w:rsidRDefault="00CC6CE9" w:rsidP="009744F9">
      <w:pPr>
        <w:pStyle w:val="Heading2"/>
        <w:rPr>
          <w:rFonts w:ascii="Times New Roman" w:hAnsi="Times New Roman" w:cs="Times New Roman"/>
          <w:sz w:val="24"/>
          <w:szCs w:val="24"/>
        </w:rPr>
      </w:pPr>
    </w:p>
    <w:p w:rsidR="00CC6CE9" w:rsidRDefault="00CC6CE9" w:rsidP="009744F9">
      <w:pPr>
        <w:pStyle w:val="Heading2"/>
        <w:rPr>
          <w:rFonts w:ascii="Times New Roman" w:hAnsi="Times New Roman" w:cs="Times New Roman"/>
          <w:sz w:val="24"/>
          <w:szCs w:val="24"/>
        </w:rPr>
      </w:pPr>
    </w:p>
    <w:p w:rsidR="009744F9" w:rsidRDefault="009744F9" w:rsidP="009744F9">
      <w:pPr>
        <w:pStyle w:val="Heading2"/>
        <w:rPr>
          <w:rFonts w:ascii="Times New Roman" w:hAnsi="Times New Roman" w:cs="Times New Roman"/>
          <w:sz w:val="24"/>
          <w:szCs w:val="24"/>
        </w:rPr>
      </w:pPr>
      <w:bookmarkStart w:id="22" w:name="_Toc67370142"/>
      <w:r w:rsidRPr="009744F9">
        <w:rPr>
          <w:rFonts w:ascii="Times New Roman" w:hAnsi="Times New Roman" w:cs="Times New Roman"/>
          <w:sz w:val="24"/>
          <w:szCs w:val="24"/>
        </w:rPr>
        <w:t>7.2 Important Abbreviation</w:t>
      </w:r>
      <w:bookmarkEnd w:id="22"/>
    </w:p>
    <w:p w:rsidR="009744F9" w:rsidRDefault="009744F9" w:rsidP="009744F9"/>
    <w:p w:rsidR="009744F9" w:rsidRPr="000E084B" w:rsidRDefault="009744F9" w:rsidP="000E084B">
      <w:pPr>
        <w:spacing w:line="360" w:lineRule="auto"/>
        <w:jc w:val="both"/>
        <w:rPr>
          <w:rFonts w:ascii="Times New Roman" w:hAnsi="Times New Roman" w:cs="Times New Roman"/>
          <w:b/>
          <w:sz w:val="24"/>
          <w:szCs w:val="24"/>
        </w:rPr>
      </w:pPr>
      <w:r w:rsidRPr="000E084B">
        <w:rPr>
          <w:rFonts w:ascii="Times New Roman" w:hAnsi="Times New Roman" w:cs="Times New Roman"/>
          <w:b/>
          <w:sz w:val="24"/>
          <w:szCs w:val="24"/>
        </w:rPr>
        <w:t>FI: Financial Inclusion</w:t>
      </w:r>
    </w:p>
    <w:p w:rsidR="009744F9" w:rsidRPr="000E084B" w:rsidRDefault="009744F9" w:rsidP="000E084B">
      <w:pPr>
        <w:spacing w:line="360" w:lineRule="auto"/>
        <w:jc w:val="both"/>
        <w:rPr>
          <w:rFonts w:ascii="Times New Roman" w:hAnsi="Times New Roman" w:cs="Times New Roman"/>
          <w:b/>
          <w:sz w:val="24"/>
          <w:szCs w:val="24"/>
        </w:rPr>
      </w:pPr>
      <w:r w:rsidRPr="000E084B">
        <w:rPr>
          <w:rFonts w:ascii="Times New Roman" w:hAnsi="Times New Roman" w:cs="Times New Roman"/>
          <w:b/>
          <w:sz w:val="24"/>
          <w:szCs w:val="24"/>
        </w:rPr>
        <w:t>DFS: Digital Financial Services</w:t>
      </w:r>
    </w:p>
    <w:p w:rsidR="009744F9" w:rsidRPr="000E084B" w:rsidRDefault="009744F9" w:rsidP="000E084B">
      <w:pPr>
        <w:spacing w:line="360" w:lineRule="auto"/>
        <w:jc w:val="both"/>
        <w:rPr>
          <w:rFonts w:ascii="Times New Roman" w:hAnsi="Times New Roman" w:cs="Times New Roman"/>
          <w:b/>
          <w:sz w:val="24"/>
          <w:szCs w:val="24"/>
        </w:rPr>
      </w:pPr>
      <w:r w:rsidRPr="000E084B">
        <w:rPr>
          <w:rFonts w:ascii="Times New Roman" w:hAnsi="Times New Roman" w:cs="Times New Roman"/>
          <w:b/>
          <w:sz w:val="24"/>
          <w:szCs w:val="24"/>
        </w:rPr>
        <w:t>MFS: Mobile Financial Services</w:t>
      </w:r>
    </w:p>
    <w:p w:rsidR="009744F9" w:rsidRPr="000E084B" w:rsidRDefault="009744F9" w:rsidP="000E084B">
      <w:pPr>
        <w:spacing w:line="360" w:lineRule="auto"/>
        <w:jc w:val="both"/>
        <w:rPr>
          <w:rFonts w:ascii="Times New Roman" w:hAnsi="Times New Roman" w:cs="Times New Roman"/>
          <w:b/>
          <w:sz w:val="24"/>
          <w:szCs w:val="24"/>
        </w:rPr>
      </w:pPr>
      <w:proofErr w:type="spellStart"/>
      <w:r w:rsidRPr="000E084B">
        <w:rPr>
          <w:rFonts w:ascii="Times New Roman" w:hAnsi="Times New Roman" w:cs="Times New Roman"/>
          <w:b/>
          <w:sz w:val="24"/>
          <w:szCs w:val="24"/>
        </w:rPr>
        <w:t>Fintech</w:t>
      </w:r>
      <w:proofErr w:type="spellEnd"/>
      <w:r w:rsidRPr="000E084B">
        <w:rPr>
          <w:rFonts w:ascii="Times New Roman" w:hAnsi="Times New Roman" w:cs="Times New Roman"/>
          <w:b/>
          <w:sz w:val="24"/>
          <w:szCs w:val="24"/>
        </w:rPr>
        <w:t>: Financial Technology</w:t>
      </w:r>
    </w:p>
    <w:p w:rsidR="009744F9" w:rsidRPr="000E084B" w:rsidRDefault="009744F9" w:rsidP="000E084B">
      <w:pPr>
        <w:spacing w:after="180" w:line="360" w:lineRule="auto"/>
        <w:ind w:left="450" w:hanging="450"/>
        <w:jc w:val="both"/>
        <w:rPr>
          <w:rFonts w:ascii="Times New Roman" w:eastAsia="Times New Roman" w:hAnsi="Times New Roman" w:cs="Times New Roman"/>
          <w:b/>
          <w:bCs/>
          <w:color w:val="000000"/>
          <w:sz w:val="24"/>
          <w:szCs w:val="24"/>
        </w:rPr>
      </w:pPr>
      <w:r w:rsidRPr="000E084B">
        <w:rPr>
          <w:rFonts w:ascii="Times New Roman" w:eastAsia="Times New Roman" w:hAnsi="Times New Roman" w:cs="Times New Roman"/>
          <w:b/>
          <w:bCs/>
          <w:color w:val="000000"/>
          <w:sz w:val="24"/>
          <w:szCs w:val="24"/>
        </w:rPr>
        <w:t>ARDL: Auto Regressive Distributed Lag</w:t>
      </w:r>
    </w:p>
    <w:p w:rsidR="009744F9" w:rsidRPr="000E084B" w:rsidRDefault="009744F9" w:rsidP="000E084B">
      <w:pPr>
        <w:spacing w:after="180" w:line="360" w:lineRule="auto"/>
        <w:ind w:left="450" w:hanging="450"/>
        <w:jc w:val="both"/>
        <w:rPr>
          <w:rFonts w:ascii="Times New Roman" w:eastAsia="Times New Roman" w:hAnsi="Times New Roman" w:cs="Times New Roman"/>
          <w:b/>
          <w:bCs/>
          <w:color w:val="000000"/>
          <w:sz w:val="24"/>
          <w:szCs w:val="24"/>
        </w:rPr>
      </w:pPr>
      <w:r w:rsidRPr="000E084B">
        <w:rPr>
          <w:rFonts w:ascii="Times New Roman" w:eastAsia="Times New Roman" w:hAnsi="Times New Roman" w:cs="Times New Roman"/>
          <w:b/>
          <w:bCs/>
          <w:color w:val="000000"/>
          <w:sz w:val="24"/>
          <w:szCs w:val="24"/>
        </w:rPr>
        <w:t>QR Code: Quick Response Code</w:t>
      </w:r>
    </w:p>
    <w:p w:rsidR="009744F9" w:rsidRPr="000E084B" w:rsidRDefault="009744F9" w:rsidP="000E084B">
      <w:pPr>
        <w:spacing w:after="180" w:line="360" w:lineRule="auto"/>
        <w:ind w:left="450" w:hanging="450"/>
        <w:jc w:val="both"/>
        <w:rPr>
          <w:rFonts w:ascii="Times New Roman" w:eastAsia="Times New Roman" w:hAnsi="Times New Roman" w:cs="Times New Roman"/>
          <w:b/>
          <w:bCs/>
          <w:color w:val="000000"/>
          <w:sz w:val="24"/>
          <w:szCs w:val="24"/>
        </w:rPr>
      </w:pPr>
      <w:r w:rsidRPr="000E084B">
        <w:rPr>
          <w:rFonts w:ascii="Times New Roman" w:eastAsia="Times New Roman" w:hAnsi="Times New Roman" w:cs="Times New Roman"/>
          <w:b/>
          <w:bCs/>
          <w:color w:val="000000"/>
          <w:sz w:val="24"/>
          <w:szCs w:val="24"/>
        </w:rPr>
        <w:t>ATM: Automated Teller Machine</w:t>
      </w:r>
    </w:p>
    <w:p w:rsidR="009744F9" w:rsidRDefault="009744F9" w:rsidP="000E084B">
      <w:pPr>
        <w:spacing w:after="180" w:line="360" w:lineRule="auto"/>
        <w:ind w:left="450" w:hanging="450"/>
        <w:jc w:val="both"/>
        <w:rPr>
          <w:rFonts w:ascii="Times New Roman" w:eastAsia="Times New Roman" w:hAnsi="Times New Roman" w:cs="Times New Roman"/>
          <w:b/>
          <w:bCs/>
          <w:color w:val="000000"/>
          <w:sz w:val="24"/>
          <w:szCs w:val="24"/>
        </w:rPr>
      </w:pPr>
      <w:r w:rsidRPr="000E084B">
        <w:rPr>
          <w:rFonts w:ascii="Times New Roman" w:eastAsia="Times New Roman" w:hAnsi="Times New Roman" w:cs="Times New Roman"/>
          <w:b/>
          <w:bCs/>
          <w:color w:val="000000"/>
          <w:sz w:val="24"/>
          <w:szCs w:val="24"/>
        </w:rPr>
        <w:t>POS:</w:t>
      </w:r>
      <w:r w:rsidR="000E084B" w:rsidRPr="000E084B">
        <w:rPr>
          <w:rFonts w:ascii="Times New Roman" w:eastAsia="Times New Roman" w:hAnsi="Times New Roman" w:cs="Times New Roman"/>
          <w:b/>
          <w:bCs/>
          <w:color w:val="000000"/>
          <w:sz w:val="24"/>
          <w:szCs w:val="24"/>
        </w:rPr>
        <w:t xml:space="preserve"> The Point of </w:t>
      </w:r>
      <w:r w:rsidR="002E6BD3">
        <w:rPr>
          <w:rFonts w:ascii="Times New Roman" w:eastAsia="Times New Roman" w:hAnsi="Times New Roman" w:cs="Times New Roman"/>
          <w:b/>
          <w:bCs/>
          <w:color w:val="000000"/>
          <w:sz w:val="24"/>
          <w:szCs w:val="24"/>
        </w:rPr>
        <w:t>S</w:t>
      </w:r>
      <w:r w:rsidR="000E084B" w:rsidRPr="000E084B">
        <w:rPr>
          <w:rFonts w:ascii="Times New Roman" w:eastAsia="Times New Roman" w:hAnsi="Times New Roman" w:cs="Times New Roman"/>
          <w:b/>
          <w:bCs/>
          <w:color w:val="000000"/>
          <w:sz w:val="24"/>
          <w:szCs w:val="24"/>
        </w:rPr>
        <w:t>ale</w:t>
      </w:r>
    </w:p>
    <w:p w:rsidR="00860E38" w:rsidRDefault="00860E38" w:rsidP="00860E38">
      <w:pPr>
        <w:pStyle w:val="Heading2"/>
        <w:rPr>
          <w:rFonts w:ascii="Times New Roman" w:eastAsia="Times New Roman" w:hAnsi="Times New Roman" w:cs="Times New Roman"/>
          <w:sz w:val="24"/>
          <w:szCs w:val="24"/>
        </w:rPr>
      </w:pPr>
      <w:bookmarkStart w:id="23" w:name="_Toc67370143"/>
      <w:r w:rsidRPr="00860E38">
        <w:rPr>
          <w:rFonts w:ascii="Times New Roman" w:eastAsia="Times New Roman" w:hAnsi="Times New Roman" w:cs="Times New Roman"/>
          <w:sz w:val="24"/>
          <w:szCs w:val="24"/>
        </w:rPr>
        <w:lastRenderedPageBreak/>
        <w:t>7.3 Tables and Charts</w:t>
      </w:r>
      <w:bookmarkEnd w:id="23"/>
    </w:p>
    <w:tbl>
      <w:tblPr>
        <w:tblStyle w:val="TableGrid"/>
        <w:tblW w:w="0" w:type="auto"/>
        <w:tblLook w:val="04A0" w:firstRow="1" w:lastRow="0" w:firstColumn="1" w:lastColumn="0" w:noHBand="0" w:noVBand="1"/>
      </w:tblPr>
      <w:tblGrid>
        <w:gridCol w:w="2313"/>
        <w:gridCol w:w="2288"/>
        <w:gridCol w:w="2293"/>
        <w:gridCol w:w="2349"/>
      </w:tblGrid>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Duration</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No. of online Banking customers</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No. of transaction</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 xml:space="preserve">Total transaction(Amount in </w:t>
            </w:r>
            <w:proofErr w:type="spellStart"/>
            <w:r w:rsidRPr="006C6E2C">
              <w:rPr>
                <w:rFonts w:ascii="Times New Roman" w:hAnsi="Times New Roman" w:cs="Times New Roman"/>
                <w:sz w:val="20"/>
                <w:szCs w:val="20"/>
              </w:rPr>
              <w:t>crore</w:t>
            </w:r>
            <w:proofErr w:type="spellEnd"/>
            <w:r w:rsidRPr="006C6E2C">
              <w:rPr>
                <w:rFonts w:ascii="Times New Roman" w:hAnsi="Times New Roman" w:cs="Times New Roman"/>
                <w:sz w:val="20"/>
                <w:szCs w:val="20"/>
              </w:rPr>
              <w:t xml:space="preserve"> BDT)</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January’19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2004891</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850892</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4788.1</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February’19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2049155</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858058</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4295.5</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March’19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2073479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967284</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5504.0</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April’19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2111090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1031177</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5059.3</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May’19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2143407</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1229009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6893.1</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June’19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2169101</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1045813</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4956.6</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July’19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2219297</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1276858</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7421.6</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August’19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2251891</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1241670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4646.0</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September’19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2287158</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1407299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5364.9</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October’19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2350211</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1503129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5635.2</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November’19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2406062</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1470187</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5256.5</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December’19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2472151</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1652318</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6063.0</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January’20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2516685</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1699566</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6669.6</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February’20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2605176</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1716362</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6298.9</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March’20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2648681</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1848604</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6588.0</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April’20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2687304</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1820092</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4664.4</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May’20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2722327</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2054612</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5531.7</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June’20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2742241</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2206819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7421.1</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July’20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2841714</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2264927</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6254.9</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August’20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2920933</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2028916</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6800.1</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September’20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3014419</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2071504</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7006.8</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October’20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3088254</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2123265</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6286.7</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November’20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3153948</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2251905</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7994.5</w:t>
            </w:r>
          </w:p>
        </w:tc>
      </w:tr>
      <w:tr w:rsidR="00DC0BEC" w:rsidRPr="006C6E2C" w:rsidTr="00CB769A">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December’20</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3245333</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2344411</w:t>
            </w:r>
          </w:p>
        </w:tc>
        <w:tc>
          <w:tcPr>
            <w:tcW w:w="2394" w:type="dxa"/>
          </w:tcPr>
          <w:p w:rsidR="00DC0BEC" w:rsidRPr="006C6E2C" w:rsidRDefault="00DC0BEC"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8092.6</w:t>
            </w:r>
          </w:p>
        </w:tc>
      </w:tr>
    </w:tbl>
    <w:p w:rsidR="00DC0BEC" w:rsidRDefault="00DC0BEC" w:rsidP="00DC0BEC">
      <w:pPr>
        <w:pStyle w:val="Caption"/>
        <w:rPr>
          <w:color w:val="1F3864" w:themeColor="accent5" w:themeShade="80"/>
        </w:rPr>
      </w:pPr>
      <w:r w:rsidRPr="00DC0BEC">
        <w:rPr>
          <w:color w:val="1F3864" w:themeColor="accent5" w:themeShade="80"/>
        </w:rPr>
        <w:t xml:space="preserve">Table </w:t>
      </w:r>
      <w:r w:rsidRPr="00DC0BEC">
        <w:rPr>
          <w:color w:val="1F3864" w:themeColor="accent5" w:themeShade="80"/>
        </w:rPr>
        <w:fldChar w:fldCharType="begin"/>
      </w:r>
      <w:r w:rsidRPr="00DC0BEC">
        <w:rPr>
          <w:color w:val="1F3864" w:themeColor="accent5" w:themeShade="80"/>
        </w:rPr>
        <w:instrText xml:space="preserve"> SEQ Table \* ARABIC </w:instrText>
      </w:r>
      <w:r w:rsidRPr="00DC0BEC">
        <w:rPr>
          <w:color w:val="1F3864" w:themeColor="accent5" w:themeShade="80"/>
        </w:rPr>
        <w:fldChar w:fldCharType="separate"/>
      </w:r>
      <w:r w:rsidR="008A632F">
        <w:rPr>
          <w:noProof/>
          <w:color w:val="1F3864" w:themeColor="accent5" w:themeShade="80"/>
        </w:rPr>
        <w:t>5</w:t>
      </w:r>
      <w:r w:rsidRPr="00DC0BEC">
        <w:rPr>
          <w:color w:val="1F3864" w:themeColor="accent5" w:themeShade="80"/>
        </w:rPr>
        <w:fldChar w:fldCharType="end"/>
      </w:r>
      <w:r w:rsidRPr="00DC0BEC">
        <w:rPr>
          <w:color w:val="1F3864" w:themeColor="accent5" w:themeShade="80"/>
        </w:rPr>
        <w:t>: Online Banking Customers and Transaction</w:t>
      </w:r>
    </w:p>
    <w:tbl>
      <w:tblPr>
        <w:tblStyle w:val="TableGrid"/>
        <w:tblW w:w="0" w:type="auto"/>
        <w:tblLook w:val="04A0" w:firstRow="1" w:lastRow="0" w:firstColumn="1" w:lastColumn="0" w:noHBand="0" w:noVBand="1"/>
      </w:tblPr>
      <w:tblGrid>
        <w:gridCol w:w="2394"/>
        <w:gridCol w:w="2394"/>
        <w:gridCol w:w="2394"/>
      </w:tblGrid>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Duration</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No. of transaction</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 xml:space="preserve">Total transaction(Amount in </w:t>
            </w:r>
            <w:proofErr w:type="spellStart"/>
            <w:r w:rsidRPr="006C6E2C">
              <w:rPr>
                <w:rFonts w:ascii="Times New Roman" w:hAnsi="Times New Roman" w:cs="Times New Roman"/>
                <w:sz w:val="20"/>
                <w:szCs w:val="20"/>
              </w:rPr>
              <w:t>crore</w:t>
            </w:r>
            <w:proofErr w:type="spellEnd"/>
            <w:r w:rsidRPr="006C6E2C">
              <w:rPr>
                <w:rFonts w:ascii="Times New Roman" w:hAnsi="Times New Roman" w:cs="Times New Roman"/>
                <w:sz w:val="20"/>
                <w:szCs w:val="20"/>
              </w:rPr>
              <w:t xml:space="preserve"> BDT)</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January’19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1314624</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193.5</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February’19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1137333</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145.1</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March’19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1243597</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170.0</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April’19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1257071</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168.8</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May’19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1474318</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187.4</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June’19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1192149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169.9</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July’19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1344706</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210.6</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August’19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1261032</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177.0</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September’19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1446709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195.3</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lastRenderedPageBreak/>
              <w:t>October’19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1464492</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211.0</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November’19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1672204</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265.1</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December’19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1539268</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262.1</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January’20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1419712</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269.3</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February’20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1172904</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247.1</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March’20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1193173</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224.0</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April’20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1143680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254.4</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May’20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1371834</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449.5</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June’20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1543961</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491.4</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July’20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2011013</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640.4</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August’20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1921028</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488.9</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September’20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1835998</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406.0</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October’20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1877069</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543.1</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November’20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2059207</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530.6</w:t>
            </w:r>
          </w:p>
        </w:tc>
      </w:tr>
      <w:tr w:rsidR="00194C4F" w:rsidRPr="006C6E2C" w:rsidTr="00CB769A">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December’20</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2074862</w:t>
            </w:r>
          </w:p>
        </w:tc>
        <w:tc>
          <w:tcPr>
            <w:tcW w:w="2394" w:type="dxa"/>
          </w:tcPr>
          <w:p w:rsidR="00194C4F" w:rsidRPr="006C6E2C" w:rsidRDefault="00194C4F" w:rsidP="00CB769A">
            <w:pPr>
              <w:spacing w:line="360" w:lineRule="auto"/>
              <w:jc w:val="both"/>
              <w:rPr>
                <w:rFonts w:ascii="Times New Roman" w:hAnsi="Times New Roman" w:cs="Times New Roman"/>
                <w:sz w:val="20"/>
                <w:szCs w:val="20"/>
              </w:rPr>
            </w:pPr>
            <w:r w:rsidRPr="006C6E2C">
              <w:rPr>
                <w:rFonts w:ascii="Times New Roman" w:hAnsi="Times New Roman" w:cs="Times New Roman"/>
                <w:sz w:val="20"/>
                <w:szCs w:val="20"/>
              </w:rPr>
              <w:t>597.5</w:t>
            </w:r>
          </w:p>
        </w:tc>
      </w:tr>
    </w:tbl>
    <w:p w:rsidR="00194C4F" w:rsidRPr="00133A2D" w:rsidRDefault="00194C4F" w:rsidP="00194C4F">
      <w:pPr>
        <w:pStyle w:val="Caption"/>
        <w:rPr>
          <w:rFonts w:cs="Times New Roman"/>
          <w:color w:val="1F4E79" w:themeColor="accent1" w:themeShade="80"/>
          <w:sz w:val="20"/>
          <w:szCs w:val="20"/>
        </w:rPr>
      </w:pPr>
      <w:r w:rsidRPr="00133A2D">
        <w:rPr>
          <w:color w:val="1F4E79" w:themeColor="accent1" w:themeShade="80"/>
        </w:rPr>
        <w:t xml:space="preserve">Table </w:t>
      </w:r>
      <w:r w:rsidR="001A4829" w:rsidRPr="00133A2D">
        <w:rPr>
          <w:color w:val="1F4E79" w:themeColor="accent1" w:themeShade="80"/>
        </w:rPr>
        <w:fldChar w:fldCharType="begin"/>
      </w:r>
      <w:r w:rsidR="001A4829" w:rsidRPr="00133A2D">
        <w:rPr>
          <w:color w:val="1F4E79" w:themeColor="accent1" w:themeShade="80"/>
        </w:rPr>
        <w:instrText xml:space="preserve"> SEQ Table \* ARABIC </w:instrText>
      </w:r>
      <w:r w:rsidR="001A4829" w:rsidRPr="00133A2D">
        <w:rPr>
          <w:color w:val="1F4E79" w:themeColor="accent1" w:themeShade="80"/>
        </w:rPr>
        <w:fldChar w:fldCharType="separate"/>
      </w:r>
      <w:r w:rsidR="008A632F">
        <w:rPr>
          <w:noProof/>
          <w:color w:val="1F4E79" w:themeColor="accent1" w:themeShade="80"/>
        </w:rPr>
        <w:t>6</w:t>
      </w:r>
      <w:r w:rsidR="001A4829" w:rsidRPr="00133A2D">
        <w:rPr>
          <w:noProof/>
          <w:color w:val="1F4E79" w:themeColor="accent1" w:themeShade="80"/>
        </w:rPr>
        <w:fldChar w:fldCharType="end"/>
      </w:r>
      <w:r w:rsidRPr="00133A2D">
        <w:rPr>
          <w:color w:val="1F4E79" w:themeColor="accent1" w:themeShade="80"/>
        </w:rPr>
        <w:t>: E-commerce sector Detai</w:t>
      </w:r>
      <w:r w:rsidR="005979C8" w:rsidRPr="00133A2D">
        <w:rPr>
          <w:color w:val="1F4E79" w:themeColor="accent1" w:themeShade="80"/>
        </w:rPr>
        <w:t>ls</w:t>
      </w:r>
    </w:p>
    <w:p w:rsidR="00194C4F" w:rsidRPr="00194C4F" w:rsidRDefault="00194C4F" w:rsidP="00194C4F"/>
    <w:sectPr w:rsidR="00194C4F" w:rsidRPr="00194C4F" w:rsidSect="009E2F96">
      <w:pgSz w:w="11907" w:h="16839" w:code="9"/>
      <w:pgMar w:top="1440" w:right="1440" w:bottom="1440" w:left="1440" w:header="720" w:footer="720" w:gutter="0"/>
      <w:pgNumType w:fmt="lowerRoman" w:star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A7A" w:rsidRDefault="002D2A7A" w:rsidP="00D175D9">
      <w:pPr>
        <w:spacing w:after="0" w:line="240" w:lineRule="auto"/>
      </w:pPr>
      <w:r>
        <w:separator/>
      </w:r>
    </w:p>
  </w:endnote>
  <w:endnote w:type="continuationSeparator" w:id="0">
    <w:p w:rsidR="002D2A7A" w:rsidRDefault="002D2A7A" w:rsidP="00D17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0314683"/>
      <w:docPartObj>
        <w:docPartGallery w:val="Page Numbers (Bottom of Page)"/>
        <w:docPartUnique/>
      </w:docPartObj>
    </w:sdtPr>
    <w:sdtEndPr>
      <w:rPr>
        <w:noProof/>
      </w:rPr>
    </w:sdtEndPr>
    <w:sdtContent>
      <w:p w:rsidR="009744F9" w:rsidRDefault="009744F9">
        <w:pPr>
          <w:pStyle w:val="Footer"/>
          <w:jc w:val="center"/>
        </w:pPr>
        <w:r>
          <w:fldChar w:fldCharType="begin"/>
        </w:r>
        <w:r>
          <w:instrText xml:space="preserve"> PAGE   \* MERGEFORMAT </w:instrText>
        </w:r>
        <w:r>
          <w:fldChar w:fldCharType="separate"/>
        </w:r>
        <w:r w:rsidR="005556DA">
          <w:rPr>
            <w:noProof/>
          </w:rPr>
          <w:t>vi</w:t>
        </w:r>
        <w:r>
          <w:rPr>
            <w:noProof/>
          </w:rPr>
          <w:fldChar w:fldCharType="end"/>
        </w:r>
      </w:p>
    </w:sdtContent>
  </w:sdt>
  <w:p w:rsidR="009744F9" w:rsidRDefault="009744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A7A" w:rsidRDefault="002D2A7A" w:rsidP="00D175D9">
      <w:pPr>
        <w:spacing w:after="0" w:line="240" w:lineRule="auto"/>
      </w:pPr>
      <w:r>
        <w:separator/>
      </w:r>
    </w:p>
  </w:footnote>
  <w:footnote w:type="continuationSeparator" w:id="0">
    <w:p w:rsidR="002D2A7A" w:rsidRDefault="002D2A7A" w:rsidP="00D175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57FBC"/>
    <w:multiLevelType w:val="hybridMultilevel"/>
    <w:tmpl w:val="E6F0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35705D"/>
    <w:multiLevelType w:val="hybridMultilevel"/>
    <w:tmpl w:val="25F6A3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04056A"/>
    <w:multiLevelType w:val="hybridMultilevel"/>
    <w:tmpl w:val="D4E87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EF512F"/>
    <w:multiLevelType w:val="hybridMultilevel"/>
    <w:tmpl w:val="28A81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E45294"/>
    <w:multiLevelType w:val="hybridMultilevel"/>
    <w:tmpl w:val="A2541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5D9"/>
    <w:rsid w:val="0001644B"/>
    <w:rsid w:val="00022C45"/>
    <w:rsid w:val="00025648"/>
    <w:rsid w:val="0004470D"/>
    <w:rsid w:val="0005061B"/>
    <w:rsid w:val="00054710"/>
    <w:rsid w:val="00061FB1"/>
    <w:rsid w:val="0007025F"/>
    <w:rsid w:val="0007380C"/>
    <w:rsid w:val="00086C67"/>
    <w:rsid w:val="00094346"/>
    <w:rsid w:val="000A59EA"/>
    <w:rsid w:val="000C4C09"/>
    <w:rsid w:val="000C67BD"/>
    <w:rsid w:val="000D1B4D"/>
    <w:rsid w:val="000D3A35"/>
    <w:rsid w:val="000E084B"/>
    <w:rsid w:val="000F58BD"/>
    <w:rsid w:val="001069EB"/>
    <w:rsid w:val="00121408"/>
    <w:rsid w:val="001301BF"/>
    <w:rsid w:val="00133A2D"/>
    <w:rsid w:val="00143907"/>
    <w:rsid w:val="00157AF3"/>
    <w:rsid w:val="001650E6"/>
    <w:rsid w:val="00180B3F"/>
    <w:rsid w:val="001918C2"/>
    <w:rsid w:val="00192EAA"/>
    <w:rsid w:val="00194C4F"/>
    <w:rsid w:val="001956DF"/>
    <w:rsid w:val="00195AB9"/>
    <w:rsid w:val="001A09EC"/>
    <w:rsid w:val="001A4829"/>
    <w:rsid w:val="001E4301"/>
    <w:rsid w:val="001F3767"/>
    <w:rsid w:val="001F4EBA"/>
    <w:rsid w:val="00213062"/>
    <w:rsid w:val="00221F4C"/>
    <w:rsid w:val="00245A3B"/>
    <w:rsid w:val="00245CDE"/>
    <w:rsid w:val="00260DAB"/>
    <w:rsid w:val="00270804"/>
    <w:rsid w:val="00294125"/>
    <w:rsid w:val="002957D5"/>
    <w:rsid w:val="002B50F1"/>
    <w:rsid w:val="002C30D8"/>
    <w:rsid w:val="002D2A7A"/>
    <w:rsid w:val="002D3E13"/>
    <w:rsid w:val="002E6BD3"/>
    <w:rsid w:val="003346D6"/>
    <w:rsid w:val="003505AB"/>
    <w:rsid w:val="00357654"/>
    <w:rsid w:val="003730B2"/>
    <w:rsid w:val="003860BF"/>
    <w:rsid w:val="003A1F7D"/>
    <w:rsid w:val="003A6DB2"/>
    <w:rsid w:val="003C0B50"/>
    <w:rsid w:val="003D2A96"/>
    <w:rsid w:val="003E35B6"/>
    <w:rsid w:val="003F67E3"/>
    <w:rsid w:val="00411DF0"/>
    <w:rsid w:val="00427FB1"/>
    <w:rsid w:val="00431068"/>
    <w:rsid w:val="00441C1C"/>
    <w:rsid w:val="00443DC8"/>
    <w:rsid w:val="00444C3D"/>
    <w:rsid w:val="0045562E"/>
    <w:rsid w:val="004847E4"/>
    <w:rsid w:val="0049270C"/>
    <w:rsid w:val="004A368C"/>
    <w:rsid w:val="004B464D"/>
    <w:rsid w:val="004B4F8C"/>
    <w:rsid w:val="004C1925"/>
    <w:rsid w:val="004D04D1"/>
    <w:rsid w:val="004D1C71"/>
    <w:rsid w:val="004E22AB"/>
    <w:rsid w:val="00505EE9"/>
    <w:rsid w:val="00520212"/>
    <w:rsid w:val="0054746D"/>
    <w:rsid w:val="00551F46"/>
    <w:rsid w:val="005556DA"/>
    <w:rsid w:val="005653A3"/>
    <w:rsid w:val="0057059F"/>
    <w:rsid w:val="00577064"/>
    <w:rsid w:val="00582EC4"/>
    <w:rsid w:val="005979C8"/>
    <w:rsid w:val="005D46A5"/>
    <w:rsid w:val="005F719F"/>
    <w:rsid w:val="00607614"/>
    <w:rsid w:val="00607FB0"/>
    <w:rsid w:val="006130E8"/>
    <w:rsid w:val="006144F2"/>
    <w:rsid w:val="00615EFB"/>
    <w:rsid w:val="006169E7"/>
    <w:rsid w:val="00635641"/>
    <w:rsid w:val="006517DB"/>
    <w:rsid w:val="00654D82"/>
    <w:rsid w:val="00677D60"/>
    <w:rsid w:val="0069072F"/>
    <w:rsid w:val="006A13F8"/>
    <w:rsid w:val="006D53F5"/>
    <w:rsid w:val="006E4680"/>
    <w:rsid w:val="006E7A7E"/>
    <w:rsid w:val="007144D1"/>
    <w:rsid w:val="00731BF8"/>
    <w:rsid w:val="007367F3"/>
    <w:rsid w:val="0074676E"/>
    <w:rsid w:val="0075376F"/>
    <w:rsid w:val="00754D9E"/>
    <w:rsid w:val="0077038E"/>
    <w:rsid w:val="007727CE"/>
    <w:rsid w:val="00773E74"/>
    <w:rsid w:val="007766B4"/>
    <w:rsid w:val="007C5F01"/>
    <w:rsid w:val="007C7B1B"/>
    <w:rsid w:val="007E38F0"/>
    <w:rsid w:val="007F1B90"/>
    <w:rsid w:val="00800054"/>
    <w:rsid w:val="00801710"/>
    <w:rsid w:val="00806AF7"/>
    <w:rsid w:val="00816B68"/>
    <w:rsid w:val="0082778A"/>
    <w:rsid w:val="00830EF8"/>
    <w:rsid w:val="0083769D"/>
    <w:rsid w:val="00853797"/>
    <w:rsid w:val="00856AC6"/>
    <w:rsid w:val="00860E38"/>
    <w:rsid w:val="00880390"/>
    <w:rsid w:val="00881747"/>
    <w:rsid w:val="008857A3"/>
    <w:rsid w:val="008A58BC"/>
    <w:rsid w:val="008A632F"/>
    <w:rsid w:val="008F1BEF"/>
    <w:rsid w:val="008F3CF8"/>
    <w:rsid w:val="00914531"/>
    <w:rsid w:val="009228F7"/>
    <w:rsid w:val="00930D21"/>
    <w:rsid w:val="00931B6E"/>
    <w:rsid w:val="0096469A"/>
    <w:rsid w:val="009722FB"/>
    <w:rsid w:val="009744F9"/>
    <w:rsid w:val="009952B4"/>
    <w:rsid w:val="00995B40"/>
    <w:rsid w:val="009A3F51"/>
    <w:rsid w:val="009A4F8A"/>
    <w:rsid w:val="009B0830"/>
    <w:rsid w:val="009B1F12"/>
    <w:rsid w:val="009C0083"/>
    <w:rsid w:val="009C0B1A"/>
    <w:rsid w:val="009C61C6"/>
    <w:rsid w:val="009C628F"/>
    <w:rsid w:val="009D397C"/>
    <w:rsid w:val="009E2F96"/>
    <w:rsid w:val="009E7F66"/>
    <w:rsid w:val="009F4D4E"/>
    <w:rsid w:val="009F7840"/>
    <w:rsid w:val="009F7893"/>
    <w:rsid w:val="00A11792"/>
    <w:rsid w:val="00A129A6"/>
    <w:rsid w:val="00A177A8"/>
    <w:rsid w:val="00A21ECE"/>
    <w:rsid w:val="00A2201D"/>
    <w:rsid w:val="00A27656"/>
    <w:rsid w:val="00A47B7B"/>
    <w:rsid w:val="00A51534"/>
    <w:rsid w:val="00A614CE"/>
    <w:rsid w:val="00A63C34"/>
    <w:rsid w:val="00A66917"/>
    <w:rsid w:val="00A720A7"/>
    <w:rsid w:val="00AA0CC9"/>
    <w:rsid w:val="00AA2B7F"/>
    <w:rsid w:val="00AE30D2"/>
    <w:rsid w:val="00B055EB"/>
    <w:rsid w:val="00B17C61"/>
    <w:rsid w:val="00B2295A"/>
    <w:rsid w:val="00B34AE6"/>
    <w:rsid w:val="00B4798D"/>
    <w:rsid w:val="00B55570"/>
    <w:rsid w:val="00B56579"/>
    <w:rsid w:val="00B57C77"/>
    <w:rsid w:val="00B67C92"/>
    <w:rsid w:val="00B76D94"/>
    <w:rsid w:val="00BA3B62"/>
    <w:rsid w:val="00BA4421"/>
    <w:rsid w:val="00BA55CB"/>
    <w:rsid w:val="00BB06FE"/>
    <w:rsid w:val="00BB2C00"/>
    <w:rsid w:val="00BB7E5C"/>
    <w:rsid w:val="00BE5929"/>
    <w:rsid w:val="00BE5BC8"/>
    <w:rsid w:val="00BE72D5"/>
    <w:rsid w:val="00C32FF5"/>
    <w:rsid w:val="00C35F36"/>
    <w:rsid w:val="00C576FF"/>
    <w:rsid w:val="00C82132"/>
    <w:rsid w:val="00C84F0A"/>
    <w:rsid w:val="00C86C26"/>
    <w:rsid w:val="00C9669D"/>
    <w:rsid w:val="00C9766C"/>
    <w:rsid w:val="00C97DC2"/>
    <w:rsid w:val="00CA103F"/>
    <w:rsid w:val="00CC6CE9"/>
    <w:rsid w:val="00CD1884"/>
    <w:rsid w:val="00CD2F0E"/>
    <w:rsid w:val="00CD5647"/>
    <w:rsid w:val="00CD7190"/>
    <w:rsid w:val="00CE1F03"/>
    <w:rsid w:val="00CE4B40"/>
    <w:rsid w:val="00D073AD"/>
    <w:rsid w:val="00D10A76"/>
    <w:rsid w:val="00D175D9"/>
    <w:rsid w:val="00D36202"/>
    <w:rsid w:val="00D51412"/>
    <w:rsid w:val="00D62ED9"/>
    <w:rsid w:val="00D64484"/>
    <w:rsid w:val="00D74114"/>
    <w:rsid w:val="00D82690"/>
    <w:rsid w:val="00D85088"/>
    <w:rsid w:val="00DA2156"/>
    <w:rsid w:val="00DA426A"/>
    <w:rsid w:val="00DA71AE"/>
    <w:rsid w:val="00DB1C2F"/>
    <w:rsid w:val="00DB303F"/>
    <w:rsid w:val="00DB3B74"/>
    <w:rsid w:val="00DC0BEC"/>
    <w:rsid w:val="00DD1A25"/>
    <w:rsid w:val="00DE7977"/>
    <w:rsid w:val="00DF71C2"/>
    <w:rsid w:val="00E23AEA"/>
    <w:rsid w:val="00E34484"/>
    <w:rsid w:val="00E4392A"/>
    <w:rsid w:val="00E50907"/>
    <w:rsid w:val="00E65F9F"/>
    <w:rsid w:val="00E70926"/>
    <w:rsid w:val="00E7126B"/>
    <w:rsid w:val="00EA1214"/>
    <w:rsid w:val="00EA7776"/>
    <w:rsid w:val="00EB2EF9"/>
    <w:rsid w:val="00EE5D1C"/>
    <w:rsid w:val="00EF2F9E"/>
    <w:rsid w:val="00F03204"/>
    <w:rsid w:val="00F0356A"/>
    <w:rsid w:val="00F07629"/>
    <w:rsid w:val="00F12F11"/>
    <w:rsid w:val="00F2759B"/>
    <w:rsid w:val="00F5335C"/>
    <w:rsid w:val="00F538B3"/>
    <w:rsid w:val="00F65C00"/>
    <w:rsid w:val="00F71E4E"/>
    <w:rsid w:val="00F81717"/>
    <w:rsid w:val="00F81F12"/>
    <w:rsid w:val="00F82323"/>
    <w:rsid w:val="00FB4210"/>
    <w:rsid w:val="00FC36AB"/>
    <w:rsid w:val="00FC52AB"/>
    <w:rsid w:val="00FC7000"/>
    <w:rsid w:val="00FD3F8D"/>
    <w:rsid w:val="00FD6B8A"/>
    <w:rsid w:val="00FF7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76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956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5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5D9"/>
  </w:style>
  <w:style w:type="paragraph" w:styleId="Footer">
    <w:name w:val="footer"/>
    <w:basedOn w:val="Normal"/>
    <w:link w:val="FooterChar"/>
    <w:uiPriority w:val="99"/>
    <w:unhideWhenUsed/>
    <w:rsid w:val="00D17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5D9"/>
  </w:style>
  <w:style w:type="table" w:styleId="TableGrid">
    <w:name w:val="Table Grid"/>
    <w:basedOn w:val="TableNormal"/>
    <w:uiPriority w:val="59"/>
    <w:rsid w:val="00F53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1918C2"/>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BalloonText">
    <w:name w:val="Balloon Text"/>
    <w:basedOn w:val="Normal"/>
    <w:link w:val="BalloonTextChar"/>
    <w:uiPriority w:val="99"/>
    <w:semiHidden/>
    <w:unhideWhenUsed/>
    <w:rsid w:val="00753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76F"/>
    <w:rPr>
      <w:rFonts w:ascii="Tahoma" w:hAnsi="Tahoma" w:cs="Tahoma"/>
      <w:sz w:val="16"/>
      <w:szCs w:val="16"/>
    </w:rPr>
  </w:style>
  <w:style w:type="paragraph" w:styleId="ListParagraph">
    <w:name w:val="List Paragraph"/>
    <w:basedOn w:val="Normal"/>
    <w:uiPriority w:val="34"/>
    <w:qFormat/>
    <w:rsid w:val="00DB1C2F"/>
    <w:pPr>
      <w:spacing w:after="200" w:line="276" w:lineRule="auto"/>
      <w:ind w:left="720"/>
      <w:contextualSpacing/>
    </w:pPr>
  </w:style>
  <w:style w:type="character" w:styleId="Hyperlink">
    <w:name w:val="Hyperlink"/>
    <w:basedOn w:val="DefaultParagraphFont"/>
    <w:uiPriority w:val="99"/>
    <w:unhideWhenUsed/>
    <w:rsid w:val="00DB1C2F"/>
    <w:rPr>
      <w:color w:val="0563C1" w:themeColor="hyperlink"/>
      <w:u w:val="single"/>
    </w:rPr>
  </w:style>
  <w:style w:type="paragraph" w:styleId="Caption">
    <w:name w:val="caption"/>
    <w:basedOn w:val="Normal"/>
    <w:next w:val="Normal"/>
    <w:uiPriority w:val="35"/>
    <w:unhideWhenUsed/>
    <w:qFormat/>
    <w:rsid w:val="003860BF"/>
    <w:pPr>
      <w:spacing w:after="200" w:line="240" w:lineRule="auto"/>
    </w:pPr>
    <w:rPr>
      <w:rFonts w:ascii="Times New Roman" w:hAnsi="Times New Roman"/>
      <w:b/>
      <w:iCs/>
      <w:szCs w:val="18"/>
    </w:rPr>
  </w:style>
  <w:style w:type="character" w:customStyle="1" w:styleId="Heading1Char">
    <w:name w:val="Heading 1 Char"/>
    <w:basedOn w:val="DefaultParagraphFont"/>
    <w:link w:val="Heading1"/>
    <w:uiPriority w:val="9"/>
    <w:rsid w:val="00C576FF"/>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1956D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956DF"/>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1956DF"/>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DD1A25"/>
    <w:pPr>
      <w:outlineLvl w:val="9"/>
    </w:pPr>
  </w:style>
  <w:style w:type="paragraph" w:styleId="TOC1">
    <w:name w:val="toc 1"/>
    <w:basedOn w:val="Normal"/>
    <w:next w:val="Normal"/>
    <w:autoRedefine/>
    <w:uiPriority w:val="39"/>
    <w:unhideWhenUsed/>
    <w:rsid w:val="00DD1A25"/>
    <w:pPr>
      <w:spacing w:after="100"/>
    </w:pPr>
  </w:style>
  <w:style w:type="paragraph" w:styleId="TOC2">
    <w:name w:val="toc 2"/>
    <w:basedOn w:val="Normal"/>
    <w:next w:val="Normal"/>
    <w:autoRedefine/>
    <w:uiPriority w:val="39"/>
    <w:unhideWhenUsed/>
    <w:rsid w:val="00DD1A25"/>
    <w:pPr>
      <w:spacing w:after="100"/>
      <w:ind w:left="220"/>
    </w:pPr>
  </w:style>
  <w:style w:type="paragraph" w:styleId="Bibliography">
    <w:name w:val="Bibliography"/>
    <w:basedOn w:val="Normal"/>
    <w:next w:val="Normal"/>
    <w:uiPriority w:val="37"/>
    <w:unhideWhenUsed/>
    <w:rsid w:val="00BB7E5C"/>
  </w:style>
  <w:style w:type="paragraph" w:styleId="NoSpacing">
    <w:name w:val="No Spacing"/>
    <w:link w:val="NoSpacingChar"/>
    <w:uiPriority w:val="1"/>
    <w:qFormat/>
    <w:rsid w:val="00DF71C2"/>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F71C2"/>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76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956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5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5D9"/>
  </w:style>
  <w:style w:type="paragraph" w:styleId="Footer">
    <w:name w:val="footer"/>
    <w:basedOn w:val="Normal"/>
    <w:link w:val="FooterChar"/>
    <w:uiPriority w:val="99"/>
    <w:unhideWhenUsed/>
    <w:rsid w:val="00D17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5D9"/>
  </w:style>
  <w:style w:type="table" w:styleId="TableGrid">
    <w:name w:val="Table Grid"/>
    <w:basedOn w:val="TableNormal"/>
    <w:uiPriority w:val="59"/>
    <w:rsid w:val="00F53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1918C2"/>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BalloonText">
    <w:name w:val="Balloon Text"/>
    <w:basedOn w:val="Normal"/>
    <w:link w:val="BalloonTextChar"/>
    <w:uiPriority w:val="99"/>
    <w:semiHidden/>
    <w:unhideWhenUsed/>
    <w:rsid w:val="00753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76F"/>
    <w:rPr>
      <w:rFonts w:ascii="Tahoma" w:hAnsi="Tahoma" w:cs="Tahoma"/>
      <w:sz w:val="16"/>
      <w:szCs w:val="16"/>
    </w:rPr>
  </w:style>
  <w:style w:type="paragraph" w:styleId="ListParagraph">
    <w:name w:val="List Paragraph"/>
    <w:basedOn w:val="Normal"/>
    <w:uiPriority w:val="34"/>
    <w:qFormat/>
    <w:rsid w:val="00DB1C2F"/>
    <w:pPr>
      <w:spacing w:after="200" w:line="276" w:lineRule="auto"/>
      <w:ind w:left="720"/>
      <w:contextualSpacing/>
    </w:pPr>
  </w:style>
  <w:style w:type="character" w:styleId="Hyperlink">
    <w:name w:val="Hyperlink"/>
    <w:basedOn w:val="DefaultParagraphFont"/>
    <w:uiPriority w:val="99"/>
    <w:unhideWhenUsed/>
    <w:rsid w:val="00DB1C2F"/>
    <w:rPr>
      <w:color w:val="0563C1" w:themeColor="hyperlink"/>
      <w:u w:val="single"/>
    </w:rPr>
  </w:style>
  <w:style w:type="paragraph" w:styleId="Caption">
    <w:name w:val="caption"/>
    <w:basedOn w:val="Normal"/>
    <w:next w:val="Normal"/>
    <w:uiPriority w:val="35"/>
    <w:unhideWhenUsed/>
    <w:qFormat/>
    <w:rsid w:val="003860BF"/>
    <w:pPr>
      <w:spacing w:after="200" w:line="240" w:lineRule="auto"/>
    </w:pPr>
    <w:rPr>
      <w:rFonts w:ascii="Times New Roman" w:hAnsi="Times New Roman"/>
      <w:b/>
      <w:iCs/>
      <w:szCs w:val="18"/>
    </w:rPr>
  </w:style>
  <w:style w:type="character" w:customStyle="1" w:styleId="Heading1Char">
    <w:name w:val="Heading 1 Char"/>
    <w:basedOn w:val="DefaultParagraphFont"/>
    <w:link w:val="Heading1"/>
    <w:uiPriority w:val="9"/>
    <w:rsid w:val="00C576FF"/>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1956D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956DF"/>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1956DF"/>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DD1A25"/>
    <w:pPr>
      <w:outlineLvl w:val="9"/>
    </w:pPr>
  </w:style>
  <w:style w:type="paragraph" w:styleId="TOC1">
    <w:name w:val="toc 1"/>
    <w:basedOn w:val="Normal"/>
    <w:next w:val="Normal"/>
    <w:autoRedefine/>
    <w:uiPriority w:val="39"/>
    <w:unhideWhenUsed/>
    <w:rsid w:val="00DD1A25"/>
    <w:pPr>
      <w:spacing w:after="100"/>
    </w:pPr>
  </w:style>
  <w:style w:type="paragraph" w:styleId="TOC2">
    <w:name w:val="toc 2"/>
    <w:basedOn w:val="Normal"/>
    <w:next w:val="Normal"/>
    <w:autoRedefine/>
    <w:uiPriority w:val="39"/>
    <w:unhideWhenUsed/>
    <w:rsid w:val="00DD1A25"/>
    <w:pPr>
      <w:spacing w:after="100"/>
      <w:ind w:left="220"/>
    </w:pPr>
  </w:style>
  <w:style w:type="paragraph" w:styleId="Bibliography">
    <w:name w:val="Bibliography"/>
    <w:basedOn w:val="Normal"/>
    <w:next w:val="Normal"/>
    <w:uiPriority w:val="37"/>
    <w:unhideWhenUsed/>
    <w:rsid w:val="00BB7E5C"/>
  </w:style>
  <w:style w:type="paragraph" w:styleId="NoSpacing">
    <w:name w:val="No Spacing"/>
    <w:link w:val="NoSpacingChar"/>
    <w:uiPriority w:val="1"/>
    <w:qFormat/>
    <w:rsid w:val="00DF71C2"/>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F71C2"/>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hyperlink" Target="https://databd.co" TargetMode="External"/><Relationship Id="rId26" Type="http://schemas.openxmlformats.org/officeDocument/2006/relationships/chart" Target="charts/chart2.xml"/><Relationship Id="rId39"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diagramLayout" Target="diagrams/layout2.xml"/><Relationship Id="rId34" Type="http://schemas.openxmlformats.org/officeDocument/2006/relationships/chart" Target="charts/chart6.xml"/><Relationship Id="rId42" Type="http://schemas.openxmlformats.org/officeDocument/2006/relationships/hyperlink" Target="https://www.thedailystar.net" TargetMode="External"/><Relationship Id="rId47" Type="http://schemas.openxmlformats.org/officeDocument/2006/relationships/chart" Target="charts/chart13.xml"/><Relationship Id="rId50" Type="http://schemas.openxmlformats.org/officeDocument/2006/relationships/chart" Target="charts/chart15.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hyperlink" Target="https://databd.co" TargetMode="External"/><Relationship Id="rId25" Type="http://schemas.openxmlformats.org/officeDocument/2006/relationships/chart" Target="charts/chart1.xml"/><Relationship Id="rId33" Type="http://schemas.openxmlformats.org/officeDocument/2006/relationships/chart" Target="charts/chart5.xml"/><Relationship Id="rId38" Type="http://schemas.openxmlformats.org/officeDocument/2006/relationships/hyperlink" Target="https://www.dhakatribune.com" TargetMode="External"/><Relationship Id="rId46" Type="http://schemas.openxmlformats.org/officeDocument/2006/relationships/chart" Target="charts/chart12.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Data" Target="diagrams/data2.xml"/><Relationship Id="rId29" Type="http://schemas.openxmlformats.org/officeDocument/2006/relationships/hyperlink" Target="https://www.ebl.com.bd" TargetMode="External"/><Relationship Id="rId41" Type="http://schemas.openxmlformats.org/officeDocument/2006/relationships/hyperlink" Target="https://www-tbsnews-net.cd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07/relationships/diagramDrawing" Target="diagrams/drawing2.xml"/><Relationship Id="rId32" Type="http://schemas.openxmlformats.org/officeDocument/2006/relationships/chart" Target="charts/chart4.xml"/><Relationship Id="rId37" Type="http://schemas.openxmlformats.org/officeDocument/2006/relationships/hyperlink" Target="https://thefinancialexpress.com.bd" TargetMode="External"/><Relationship Id="rId40" Type="http://schemas.openxmlformats.org/officeDocument/2006/relationships/hyperlink" Target="https://www-tbsnews-net.cdn" TargetMode="External"/><Relationship Id="rId45" Type="http://schemas.openxmlformats.org/officeDocument/2006/relationships/chart" Target="charts/chart11.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diagramColors" Target="diagrams/colors2.xml"/><Relationship Id="rId28" Type="http://schemas.openxmlformats.org/officeDocument/2006/relationships/hyperlink" Target="https://www.newagebd" TargetMode="External"/><Relationship Id="rId36" Type="http://schemas.openxmlformats.org/officeDocument/2006/relationships/chart" Target="charts/chart8.xml"/><Relationship Id="rId49" Type="http://schemas.openxmlformats.org/officeDocument/2006/relationships/chart" Target="charts/chart14.xml"/><Relationship Id="rId10" Type="http://schemas.openxmlformats.org/officeDocument/2006/relationships/image" Target="media/image2.jpeg"/><Relationship Id="rId19" Type="http://schemas.openxmlformats.org/officeDocument/2006/relationships/hyperlink" Target="https://www.thedailystar.net" TargetMode="External"/><Relationship Id="rId31" Type="http://schemas.openxmlformats.org/officeDocument/2006/relationships/chart" Target="charts/chart3.xml"/><Relationship Id="rId44" Type="http://schemas.openxmlformats.org/officeDocument/2006/relationships/hyperlink" Target="https://www.thedailystar.net"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QuickStyle" Target="diagrams/quickStyle1.xml"/><Relationship Id="rId22" Type="http://schemas.openxmlformats.org/officeDocument/2006/relationships/diagramQuickStyle" Target="diagrams/quickStyle2.xml"/><Relationship Id="rId27" Type="http://schemas.openxmlformats.org/officeDocument/2006/relationships/hyperlink" Target="https://www.bracbank.com" TargetMode="External"/><Relationship Id="rId30" Type="http://schemas.openxmlformats.org/officeDocument/2006/relationships/hyperlink" Target="https://www.tbsnews" TargetMode="External"/><Relationship Id="rId35" Type="http://schemas.openxmlformats.org/officeDocument/2006/relationships/chart" Target="charts/chart7.xml"/><Relationship Id="rId43" Type="http://schemas.openxmlformats.org/officeDocument/2006/relationships/chart" Target="charts/chart10.xml"/><Relationship Id="rId48" Type="http://schemas.openxmlformats.org/officeDocument/2006/relationships/hyperlink" Target="https://www.thedailystar.net" TargetMode="External"/><Relationship Id="rId8" Type="http://schemas.openxmlformats.org/officeDocument/2006/relationships/endnotes" Target="endnotes.xml"/><Relationship Id="rId51" Type="http://schemas.openxmlformats.org/officeDocument/2006/relationships/chart" Target="charts/chart16.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9.bin"/><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10.bin"/><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oleObject" Target="../embeddings/oleObject11.bin"/><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12.bin"/><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13.bin"/><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oleObject" Target="../embeddings/oleObject14.bin"/><Relationship Id="rId1" Type="http://schemas.openxmlformats.org/officeDocument/2006/relationships/themeOverride" Target="../theme/themeOverride1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a:latin typeface="Times New Roman" panose="02020603050405020304" pitchFamily="18" charset="0"/>
                <a:cs typeface="Times New Roman" panose="02020603050405020304" pitchFamily="18" charset="0"/>
              </a:rPr>
              <a:t>Number of Customers</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6"/>
            </a:solidFill>
            <a:ln>
              <a:noFill/>
            </a:ln>
            <a:effectLst/>
            <a:sp3d/>
          </c:spPr>
          <c:invertIfNegative val="0"/>
          <c:dLbls>
            <c:dLbl>
              <c:idx val="0"/>
              <c:layout>
                <c:manualLayout>
                  <c:x val="1.3888888888888888E-2"/>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layout>
                <c:manualLayout>
                  <c:x val="0"/>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layout>
                <c:manualLayout>
                  <c:x val="2.5000000000000001E-2"/>
                  <c:y val="-2.314814814814816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in Microsoft Word]Sheet1'!$A$1:$A$12</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Noverber'20</c:v>
                </c:pt>
                <c:pt idx="11">
                  <c:v>December'20</c:v>
                </c:pt>
              </c:strCache>
            </c:strRef>
          </c:cat>
          <c:val>
            <c:numRef>
              <c:f>'[Chart in Microsoft Word]Sheet1'!$B$1:$B$12</c:f>
              <c:numCache>
                <c:formatCode>General</c:formatCode>
                <c:ptCount val="12"/>
                <c:pt idx="0">
                  <c:v>2516685</c:v>
                </c:pt>
                <c:pt idx="1">
                  <c:v>2605176</c:v>
                </c:pt>
                <c:pt idx="2">
                  <c:v>2648681</c:v>
                </c:pt>
                <c:pt idx="3">
                  <c:v>2687304</c:v>
                </c:pt>
                <c:pt idx="4">
                  <c:v>2722327</c:v>
                </c:pt>
                <c:pt idx="5">
                  <c:v>2742241</c:v>
                </c:pt>
                <c:pt idx="6">
                  <c:v>2841714</c:v>
                </c:pt>
                <c:pt idx="7">
                  <c:v>2920933</c:v>
                </c:pt>
                <c:pt idx="8">
                  <c:v>3014419</c:v>
                </c:pt>
                <c:pt idx="9">
                  <c:v>3088254</c:v>
                </c:pt>
                <c:pt idx="10">
                  <c:v>3153948</c:v>
                </c:pt>
                <c:pt idx="11">
                  <c:v>3245333</c:v>
                </c:pt>
              </c:numCache>
            </c:numRef>
          </c:val>
        </c:ser>
        <c:dLbls>
          <c:showLegendKey val="0"/>
          <c:showVal val="0"/>
          <c:showCatName val="0"/>
          <c:showSerName val="0"/>
          <c:showPercent val="0"/>
          <c:showBubbleSize val="0"/>
        </c:dLbls>
        <c:gapWidth val="150"/>
        <c:shape val="cylinder"/>
        <c:axId val="182710656"/>
        <c:axId val="182712192"/>
        <c:axId val="0"/>
      </c:bar3DChart>
      <c:catAx>
        <c:axId val="182710656"/>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82712192"/>
        <c:crosses val="autoZero"/>
        <c:auto val="1"/>
        <c:lblAlgn val="ctr"/>
        <c:lblOffset val="100"/>
        <c:noMultiLvlLbl val="0"/>
      </c:catAx>
      <c:valAx>
        <c:axId val="1827121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10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Total Transaction(Amount in Crore BDT)</a:t>
            </a:r>
          </a:p>
        </c:rich>
      </c:tx>
      <c:overlay val="0"/>
      <c:spPr>
        <a:noFill/>
        <a:ln>
          <a:noFill/>
        </a:ln>
        <a:effectLst/>
      </c:spPr>
    </c:title>
    <c:autoTitleDeleted val="0"/>
    <c:plotArea>
      <c:layout/>
      <c:barChart>
        <c:barDir val="bar"/>
        <c:grouping val="clustered"/>
        <c:varyColors val="0"/>
        <c:ser>
          <c:idx val="0"/>
          <c:order val="0"/>
          <c:spPr>
            <a:pattFill prst="ltUpDiag">
              <a:fgClr>
                <a:schemeClr val="accent1"/>
              </a:fgClr>
              <a:bgClr>
                <a:schemeClr val="lt1"/>
              </a:bgClr>
            </a:pattFill>
            <a:ln>
              <a:noFill/>
            </a:ln>
            <a:effectLst/>
          </c:spPr>
          <c:invertIfNegative val="0"/>
          <c:dLbls>
            <c:spPr>
              <a:solidFill>
                <a:srgbClr val="4F81BD">
                  <a:alpha val="70000"/>
                </a:srgb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in Microsoft Word]Sheet1'!$B$2:$B$13</c:f>
              <c:numCache>
                <c:formatCode>General</c:formatCode>
                <c:ptCount val="12"/>
                <c:pt idx="0">
                  <c:v>6669.6</c:v>
                </c:pt>
                <c:pt idx="1">
                  <c:v>6298.9</c:v>
                </c:pt>
                <c:pt idx="2">
                  <c:v>6588</c:v>
                </c:pt>
                <c:pt idx="3">
                  <c:v>4664.3999999999996</c:v>
                </c:pt>
                <c:pt idx="4">
                  <c:v>5531.7</c:v>
                </c:pt>
                <c:pt idx="5">
                  <c:v>7421.1</c:v>
                </c:pt>
                <c:pt idx="6">
                  <c:v>6254.9</c:v>
                </c:pt>
                <c:pt idx="7">
                  <c:v>6800.1</c:v>
                </c:pt>
                <c:pt idx="8">
                  <c:v>7006.8</c:v>
                </c:pt>
                <c:pt idx="9">
                  <c:v>6286.7</c:v>
                </c:pt>
                <c:pt idx="10">
                  <c:v>7994.5</c:v>
                </c:pt>
                <c:pt idx="11">
                  <c:v>8092.6</c:v>
                </c:pt>
              </c:numCache>
            </c:numRef>
          </c:val>
        </c:ser>
        <c:dLbls>
          <c:dLblPos val="inEnd"/>
          <c:showLegendKey val="0"/>
          <c:showVal val="1"/>
          <c:showCatName val="0"/>
          <c:showSerName val="0"/>
          <c:showPercent val="0"/>
          <c:showBubbleSize val="0"/>
        </c:dLbls>
        <c:gapWidth val="269"/>
        <c:overlap val="-20"/>
        <c:axId val="249365248"/>
        <c:axId val="249367936"/>
      </c:barChart>
      <c:catAx>
        <c:axId val="249365248"/>
        <c:scaling>
          <c:orientation val="minMax"/>
        </c:scaling>
        <c:delete val="0"/>
        <c:axPos val="l"/>
        <c:numFmt formatCode="General" sourceLinked="0"/>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249367936"/>
        <c:crosses val="autoZero"/>
        <c:auto val="1"/>
        <c:lblAlgn val="ctr"/>
        <c:lblOffset val="100"/>
        <c:noMultiLvlLbl val="0"/>
      </c:catAx>
      <c:valAx>
        <c:axId val="249367936"/>
        <c:scaling>
          <c:orientation val="minMax"/>
        </c:scaling>
        <c:delete val="0"/>
        <c:axPos val="b"/>
        <c:majorGridlines>
          <c:spPr>
            <a:ln w="9525" cap="flat" cmpd="sng" algn="ctr">
              <a:solidFill>
                <a:schemeClr val="lt1">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249365248"/>
        <c:crosses val="autoZero"/>
        <c:crossBetween val="between"/>
      </c:valAx>
      <c:spPr>
        <a:noFill/>
        <a:ln>
          <a:noFill/>
        </a:ln>
        <a:effectLst/>
      </c:spPr>
    </c:plotArea>
    <c:plotVisOnly val="1"/>
    <c:dispBlanksAs val="gap"/>
    <c:showDLblsOverMax val="0"/>
  </c:chart>
  <c:spPr>
    <a:solidFill>
      <a:schemeClr val="accent1"/>
    </a:solidFill>
    <a:ln w="9525" cap="flat" cmpd="sng" algn="ctr">
      <a:solidFill>
        <a:schemeClr val="accent1"/>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title>
      <c:tx>
        <c:rich>
          <a:bodyPr/>
          <a:lstStyle/>
          <a:p>
            <a:pPr>
              <a:defRPr/>
            </a:pPr>
            <a:r>
              <a:rPr lang="en-US" sz="1400">
                <a:latin typeface="Times New Roman" pitchFamily="18" charset="0"/>
                <a:cs typeface="Times New Roman" pitchFamily="18" charset="0"/>
              </a:rPr>
              <a:t>ATM Transaction(Amount in Crore BDT)</a:t>
            </a:r>
          </a:p>
        </c:rich>
      </c:tx>
      <c:overlay val="0"/>
    </c:title>
    <c:autoTitleDeleted val="0"/>
    <c:plotArea>
      <c:layout/>
      <c:lineChart>
        <c:grouping val="standard"/>
        <c:varyColors val="0"/>
        <c:ser>
          <c:idx val="0"/>
          <c:order val="0"/>
          <c:dLbls>
            <c:dLbl>
              <c:idx val="0"/>
              <c:layout>
                <c:manualLayout>
                  <c:x val="-4.4444444444444446E-2"/>
                  <c:y val="-5.092592592592592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3888888888888884E-2"/>
                  <c:y val="3.703703703703707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7.2222222222222215E-2"/>
                  <c:y val="-5.5555555555555552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8.3333333333333332E-3"/>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8.0555555555555505E-2"/>
                  <c:y val="-4.1666666666666664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3888888888888888E-2"/>
                  <c:y val="2.7777777777777776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5.8333333333333334E-2"/>
                  <c:y val="-5.0925925925925923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2.2222222222222223E-2"/>
                  <c:y val="2.3148148148148147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8.0555555555555561E-2"/>
                  <c:y val="-2.7777777777777776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3.8888888888888994E-2"/>
                  <c:y val="1.8518518518518517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8.3333333333333329E-2"/>
                  <c:y val="-4.1666666666666664E-2"/>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2.777777777777676E-3"/>
                  <c:y val="2.777777777777777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3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3 in Microsoft Word]Sheet1'!$B$2:$B$13</c:f>
              <c:numCache>
                <c:formatCode>General</c:formatCode>
                <c:ptCount val="12"/>
                <c:pt idx="0">
                  <c:v>14829.9</c:v>
                </c:pt>
                <c:pt idx="1">
                  <c:v>14327.5</c:v>
                </c:pt>
                <c:pt idx="2">
                  <c:v>14662.3</c:v>
                </c:pt>
                <c:pt idx="3">
                  <c:v>8187.2</c:v>
                </c:pt>
                <c:pt idx="4">
                  <c:v>11426.4</c:v>
                </c:pt>
                <c:pt idx="5">
                  <c:v>12065.8</c:v>
                </c:pt>
                <c:pt idx="6">
                  <c:v>17340.900000000001</c:v>
                </c:pt>
                <c:pt idx="7">
                  <c:v>12832.2</c:v>
                </c:pt>
                <c:pt idx="8">
                  <c:v>14246.6</c:v>
                </c:pt>
                <c:pt idx="9">
                  <c:v>15328.8</c:v>
                </c:pt>
                <c:pt idx="10">
                  <c:v>15881.4</c:v>
                </c:pt>
                <c:pt idx="11">
                  <c:v>16903.3</c:v>
                </c:pt>
              </c:numCache>
            </c:numRef>
          </c:val>
          <c:smooth val="0"/>
        </c:ser>
        <c:dLbls>
          <c:showLegendKey val="0"/>
          <c:showVal val="0"/>
          <c:showCatName val="0"/>
          <c:showSerName val="0"/>
          <c:showPercent val="0"/>
          <c:showBubbleSize val="0"/>
        </c:dLbls>
        <c:marker val="1"/>
        <c:smooth val="0"/>
        <c:axId val="249380224"/>
        <c:axId val="249390208"/>
      </c:lineChart>
      <c:catAx>
        <c:axId val="249380224"/>
        <c:scaling>
          <c:orientation val="minMax"/>
        </c:scaling>
        <c:delete val="0"/>
        <c:axPos val="b"/>
        <c:numFmt formatCode="General" sourceLinked="0"/>
        <c:majorTickMark val="none"/>
        <c:minorTickMark val="none"/>
        <c:tickLblPos val="nextTo"/>
        <c:crossAx val="249390208"/>
        <c:crosses val="autoZero"/>
        <c:auto val="1"/>
        <c:lblAlgn val="ctr"/>
        <c:lblOffset val="100"/>
        <c:noMultiLvlLbl val="0"/>
      </c:catAx>
      <c:valAx>
        <c:axId val="249390208"/>
        <c:scaling>
          <c:orientation val="minMax"/>
        </c:scaling>
        <c:delete val="0"/>
        <c:axPos val="l"/>
        <c:majorGridlines/>
        <c:numFmt formatCode="General" sourceLinked="1"/>
        <c:majorTickMark val="none"/>
        <c:minorTickMark val="none"/>
        <c:tickLblPos val="nextTo"/>
        <c:crossAx val="249380224"/>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POS Transaction(Amount in Crore BDT)</a:t>
            </a:r>
          </a:p>
        </c:rich>
      </c:tx>
      <c:overlay val="0"/>
      <c:spPr>
        <a:noFill/>
        <a:ln>
          <a:noFill/>
        </a:ln>
        <a:effectLst/>
      </c:spPr>
    </c:title>
    <c:autoTitleDeleted val="0"/>
    <c:plotArea>
      <c:layout/>
      <c:barChart>
        <c:barDir val="bar"/>
        <c:grouping val="stacked"/>
        <c:varyColors val="0"/>
        <c:ser>
          <c:idx val="0"/>
          <c:order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0.40555555555555567"/>
                  <c:y val="-1.6975112544026657E-16"/>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38055555555555554"/>
                  <c:y val="0"/>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34999999999999992"/>
                  <c:y val="-1.3888888888888973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13333333333333333"/>
                  <c:y val="8.4875562720133283E-17"/>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18333333333333332"/>
                  <c:y val="0"/>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0.25277777777777777"/>
                  <c:y val="0"/>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0.35"/>
                  <c:y val="-8.4875562720133283E-17"/>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0.31666666666666665"/>
                  <c:y val="0"/>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0.35555555555555557"/>
                  <c:y val="4.6296296296296294E-3"/>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0.36944444444444446"/>
                  <c:y val="0"/>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0.38333333333333336"/>
                  <c:y val="9.2592592592592587E-3"/>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0.40555555555555545"/>
                  <c:y val="-4.6296296296296294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4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4 in Microsoft Word]Sheet1'!$B$2:$B$13</c:f>
              <c:numCache>
                <c:formatCode>General</c:formatCode>
                <c:ptCount val="12"/>
                <c:pt idx="0">
                  <c:v>1666.6</c:v>
                </c:pt>
                <c:pt idx="1">
                  <c:v>1508.6</c:v>
                </c:pt>
                <c:pt idx="2">
                  <c:v>1438.1</c:v>
                </c:pt>
                <c:pt idx="3">
                  <c:v>454.8</c:v>
                </c:pt>
                <c:pt idx="4">
                  <c:v>715.6</c:v>
                </c:pt>
                <c:pt idx="5">
                  <c:v>930.6</c:v>
                </c:pt>
                <c:pt idx="6">
                  <c:v>1413.4</c:v>
                </c:pt>
                <c:pt idx="7">
                  <c:v>1183.3</c:v>
                </c:pt>
                <c:pt idx="8">
                  <c:v>1349.6</c:v>
                </c:pt>
                <c:pt idx="9">
                  <c:v>1452.7</c:v>
                </c:pt>
                <c:pt idx="10">
                  <c:v>1472.6</c:v>
                </c:pt>
                <c:pt idx="11">
                  <c:v>1565.1</c:v>
                </c:pt>
              </c:numCache>
            </c:numRef>
          </c:val>
        </c:ser>
        <c:dLbls>
          <c:showLegendKey val="0"/>
          <c:showVal val="0"/>
          <c:showCatName val="0"/>
          <c:showSerName val="0"/>
          <c:showPercent val="0"/>
          <c:showBubbleSize val="0"/>
        </c:dLbls>
        <c:gapWidth val="150"/>
        <c:overlap val="100"/>
        <c:axId val="249418880"/>
        <c:axId val="249420416"/>
      </c:barChart>
      <c:catAx>
        <c:axId val="249418880"/>
        <c:scaling>
          <c:orientation val="minMax"/>
        </c:scaling>
        <c:delete val="0"/>
        <c:axPos val="l"/>
        <c:numFmt formatCode="General" sourceLinked="0"/>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49420416"/>
        <c:crosses val="autoZero"/>
        <c:auto val="1"/>
        <c:lblAlgn val="ctr"/>
        <c:lblOffset val="100"/>
        <c:noMultiLvlLbl val="0"/>
      </c:catAx>
      <c:valAx>
        <c:axId val="249420416"/>
        <c:scaling>
          <c:orientation val="minMax"/>
        </c:scaling>
        <c:delete val="0"/>
        <c:axPos val="b"/>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4941888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Growth</a:t>
            </a:r>
            <a:r>
              <a:rPr lang="en-US" baseline="0"/>
              <a:t> of Agents</a:t>
            </a:r>
            <a:endParaRPr lang="en-US"/>
          </a:p>
        </c:rich>
      </c:tx>
      <c:overlay val="0"/>
    </c:title>
    <c:autoTitleDeleted val="0"/>
    <c:plotArea>
      <c:layout/>
      <c:lineChart>
        <c:grouping val="stacked"/>
        <c:varyColors val="0"/>
        <c:ser>
          <c:idx val="0"/>
          <c:order val="0"/>
          <c:tx>
            <c:strRef>
              <c:f>'[Chart 2 in Microsoft Word]Sheet1'!$B$1</c:f>
              <c:strCache>
                <c:ptCount val="1"/>
                <c:pt idx="0">
                  <c:v>Urban</c:v>
                </c:pt>
              </c:strCache>
            </c:strRef>
          </c:tx>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layout>
                <c:manualLayout>
                  <c:x val="-5.2777777777777778E-2"/>
                  <c:y val="-4.6296296296296294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4.1666666666666664E-2"/>
                  <c:y val="-4.6297025371828525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2.7777777777777776E-2"/>
                  <c:y val="-4.6296296296296294E-2"/>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1.6666666666666666E-2"/>
                  <c:y val="-4.629629629629629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2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2 in Microsoft Word]Sheet1'!$B$2:$B$13</c:f>
              <c:numCache>
                <c:formatCode>General</c:formatCode>
                <c:ptCount val="12"/>
                <c:pt idx="0">
                  <c:v>989</c:v>
                </c:pt>
                <c:pt idx="1">
                  <c:v>1066</c:v>
                </c:pt>
                <c:pt idx="2">
                  <c:v>1113</c:v>
                </c:pt>
                <c:pt idx="3">
                  <c:v>1130</c:v>
                </c:pt>
                <c:pt idx="4">
                  <c:v>1135</c:v>
                </c:pt>
                <c:pt idx="5">
                  <c:v>1204</c:v>
                </c:pt>
                <c:pt idx="6">
                  <c:v>1295</c:v>
                </c:pt>
                <c:pt idx="7">
                  <c:v>1347</c:v>
                </c:pt>
                <c:pt idx="8">
                  <c:v>1365</c:v>
                </c:pt>
                <c:pt idx="9">
                  <c:v>1395</c:v>
                </c:pt>
                <c:pt idx="10">
                  <c:v>1455</c:v>
                </c:pt>
                <c:pt idx="11">
                  <c:v>1578</c:v>
                </c:pt>
              </c:numCache>
            </c:numRef>
          </c:val>
          <c:smooth val="0"/>
        </c:ser>
        <c:ser>
          <c:idx val="1"/>
          <c:order val="1"/>
          <c:tx>
            <c:strRef>
              <c:f>'[Chart 2 in Microsoft Word]Sheet1'!$C$1</c:f>
              <c:strCache>
                <c:ptCount val="1"/>
                <c:pt idx="0">
                  <c:v>Rural </c:v>
                </c:pt>
              </c:strCache>
            </c:strRef>
          </c:tx>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layout>
                <c:manualLayout>
                  <c:x val="-6.9444444444444448E-2"/>
                  <c:y val="-4.6296296296296294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5.5555555555555552E-2"/>
                  <c:y val="-5.0925925925925923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3.888888888888889E-2"/>
                  <c:y val="-5.0925925925925923E-2"/>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2.2222222222222223E-2"/>
                  <c:y val="-3.703703703703703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2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2 in Microsoft Word]Sheet1'!$C$2:$C$13</c:f>
              <c:numCache>
                <c:formatCode>General</c:formatCode>
                <c:ptCount val="12"/>
                <c:pt idx="0">
                  <c:v>6991</c:v>
                </c:pt>
                <c:pt idx="1">
                  <c:v>7119</c:v>
                </c:pt>
                <c:pt idx="2">
                  <c:v>7234</c:v>
                </c:pt>
                <c:pt idx="3">
                  <c:v>7299</c:v>
                </c:pt>
                <c:pt idx="4">
                  <c:v>7329</c:v>
                </c:pt>
                <c:pt idx="5">
                  <c:v>7608</c:v>
                </c:pt>
                <c:pt idx="6">
                  <c:v>7885</c:v>
                </c:pt>
                <c:pt idx="7">
                  <c:v>8280</c:v>
                </c:pt>
                <c:pt idx="8">
                  <c:v>8808</c:v>
                </c:pt>
                <c:pt idx="9">
                  <c:v>9076</c:v>
                </c:pt>
                <c:pt idx="10">
                  <c:v>9684</c:v>
                </c:pt>
                <c:pt idx="11">
                  <c:v>10351</c:v>
                </c:pt>
              </c:numCache>
            </c:numRef>
          </c:val>
          <c:smooth val="0"/>
        </c:ser>
        <c:ser>
          <c:idx val="2"/>
          <c:order val="2"/>
          <c:tx>
            <c:strRef>
              <c:f>'[Chart 2 in Microsoft Word]Sheet1'!$D$1</c:f>
              <c:strCache>
                <c:ptCount val="1"/>
                <c:pt idx="0">
                  <c:v>Total</c:v>
                </c:pt>
              </c:strCache>
            </c:strRef>
          </c:tx>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layout>
                <c:manualLayout>
                  <c:x val="-0.14444444444444443"/>
                  <c:y val="-5.5555555555555552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0.10833333333333334"/>
                  <c:y val="-3.7037037037037077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7.4999999999999997E-2"/>
                  <c:y val="-2.7777777777777776E-2"/>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5.8333333333333334E-2"/>
                  <c:y val="-5.555555555555555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2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2 in Microsoft Word]Sheet1'!$D$2:$D$13</c:f>
              <c:numCache>
                <c:formatCode>General</c:formatCode>
                <c:ptCount val="12"/>
                <c:pt idx="0">
                  <c:v>7980</c:v>
                </c:pt>
                <c:pt idx="1">
                  <c:v>8185</c:v>
                </c:pt>
                <c:pt idx="2">
                  <c:v>8347</c:v>
                </c:pt>
                <c:pt idx="3">
                  <c:v>8429</c:v>
                </c:pt>
                <c:pt idx="4">
                  <c:v>8464</c:v>
                </c:pt>
                <c:pt idx="5">
                  <c:v>8812</c:v>
                </c:pt>
                <c:pt idx="6">
                  <c:v>9180</c:v>
                </c:pt>
                <c:pt idx="7">
                  <c:v>9627</c:v>
                </c:pt>
                <c:pt idx="8">
                  <c:v>10173</c:v>
                </c:pt>
                <c:pt idx="9">
                  <c:v>10471</c:v>
                </c:pt>
                <c:pt idx="10">
                  <c:v>11142</c:v>
                </c:pt>
                <c:pt idx="11">
                  <c:v>11929</c:v>
                </c:pt>
              </c:numCache>
            </c:numRef>
          </c:val>
          <c:smooth val="0"/>
        </c:ser>
        <c:dLbls>
          <c:showLegendKey val="0"/>
          <c:showVal val="0"/>
          <c:showCatName val="0"/>
          <c:showSerName val="0"/>
          <c:showPercent val="0"/>
          <c:showBubbleSize val="0"/>
        </c:dLbls>
        <c:marker val="1"/>
        <c:smooth val="0"/>
        <c:axId val="249754752"/>
        <c:axId val="249756288"/>
      </c:lineChart>
      <c:catAx>
        <c:axId val="249754752"/>
        <c:scaling>
          <c:orientation val="minMax"/>
        </c:scaling>
        <c:delete val="0"/>
        <c:axPos val="b"/>
        <c:numFmt formatCode="General" sourceLinked="0"/>
        <c:majorTickMark val="none"/>
        <c:minorTickMark val="none"/>
        <c:tickLblPos val="nextTo"/>
        <c:crossAx val="249756288"/>
        <c:crosses val="autoZero"/>
        <c:auto val="1"/>
        <c:lblAlgn val="ctr"/>
        <c:lblOffset val="100"/>
        <c:noMultiLvlLbl val="0"/>
      </c:catAx>
      <c:valAx>
        <c:axId val="249756288"/>
        <c:scaling>
          <c:orientation val="minMax"/>
        </c:scaling>
        <c:delete val="0"/>
        <c:axPos val="l"/>
        <c:majorGridlines/>
        <c:title>
          <c:tx>
            <c:rich>
              <a:bodyPr/>
              <a:lstStyle/>
              <a:p>
                <a:pPr>
                  <a:defRPr/>
                </a:pPr>
                <a:r>
                  <a:rPr lang="en-US"/>
                  <a:t>Number</a:t>
                </a:r>
                <a:r>
                  <a:rPr lang="en-US" baseline="0"/>
                  <a:t> of Agents</a:t>
                </a:r>
                <a:endParaRPr lang="en-US"/>
              </a:p>
            </c:rich>
          </c:tx>
          <c:overlay val="0"/>
        </c:title>
        <c:numFmt formatCode="General" sourceLinked="1"/>
        <c:majorTickMark val="none"/>
        <c:minorTickMark val="none"/>
        <c:tickLblPos val="nextTo"/>
        <c:crossAx val="249754752"/>
        <c:crosses val="autoZero"/>
        <c:crossBetween val="between"/>
      </c:valAx>
    </c:plotArea>
    <c:legend>
      <c:legendPos val="r"/>
      <c:layout>
        <c:manualLayout>
          <c:xMode val="edge"/>
          <c:yMode val="edge"/>
          <c:x val="0.83833289588801396"/>
          <c:y val="0.44612569262175561"/>
          <c:w val="0.15333377077865268"/>
          <c:h val="0.25115157480314959"/>
        </c:manualLayout>
      </c:layout>
      <c:overlay val="0"/>
    </c:legend>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Growth of Outlets</a:t>
            </a:r>
          </a:p>
        </c:rich>
      </c:tx>
      <c:overlay val="0"/>
      <c:spPr>
        <a:noFill/>
        <a:ln>
          <a:noFill/>
        </a:ln>
        <a:effectLst/>
      </c:spPr>
    </c:title>
    <c:autoTitleDeleted val="0"/>
    <c:plotArea>
      <c:layout/>
      <c:lineChart>
        <c:grouping val="stacked"/>
        <c:varyColors val="0"/>
        <c:ser>
          <c:idx val="0"/>
          <c:order val="0"/>
          <c:tx>
            <c:strRef>
              <c:f>'[Chart 3 in Microsoft Word]Sheet1'!$B$1</c:f>
              <c:strCache>
                <c:ptCount val="1"/>
                <c:pt idx="0">
                  <c:v>Urban</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3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3 in Microsoft Word]Sheet1'!$B$2:$B$13</c:f>
              <c:numCache>
                <c:formatCode>General</c:formatCode>
                <c:ptCount val="12"/>
                <c:pt idx="0">
                  <c:v>1339</c:v>
                </c:pt>
                <c:pt idx="1">
                  <c:v>1419</c:v>
                </c:pt>
                <c:pt idx="2">
                  <c:v>1463</c:v>
                </c:pt>
                <c:pt idx="3">
                  <c:v>1486</c:v>
                </c:pt>
                <c:pt idx="4">
                  <c:v>1491</c:v>
                </c:pt>
                <c:pt idx="5">
                  <c:v>1553</c:v>
                </c:pt>
                <c:pt idx="6">
                  <c:v>1650</c:v>
                </c:pt>
                <c:pt idx="7">
                  <c:v>1681</c:v>
                </c:pt>
                <c:pt idx="8">
                  <c:v>1748</c:v>
                </c:pt>
                <c:pt idx="9">
                  <c:v>1787</c:v>
                </c:pt>
                <c:pt idx="10">
                  <c:v>1878</c:v>
                </c:pt>
                <c:pt idx="11">
                  <c:v>1962</c:v>
                </c:pt>
              </c:numCache>
            </c:numRef>
          </c:val>
          <c:smooth val="0"/>
        </c:ser>
        <c:ser>
          <c:idx val="1"/>
          <c:order val="1"/>
          <c:tx>
            <c:strRef>
              <c:f>'[Chart 3 in Microsoft Word]Sheet1'!$C$1</c:f>
              <c:strCache>
                <c:ptCount val="1"/>
                <c:pt idx="0">
                  <c:v>Rural </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3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3 in Microsoft Word]Sheet1'!$C$2:$C$13</c:f>
              <c:numCache>
                <c:formatCode>General</c:formatCode>
                <c:ptCount val="12"/>
                <c:pt idx="0">
                  <c:v>10082</c:v>
                </c:pt>
                <c:pt idx="1">
                  <c:v>10383</c:v>
                </c:pt>
                <c:pt idx="2">
                  <c:v>10520</c:v>
                </c:pt>
                <c:pt idx="3">
                  <c:v>10596</c:v>
                </c:pt>
                <c:pt idx="4">
                  <c:v>10632</c:v>
                </c:pt>
                <c:pt idx="5">
                  <c:v>10895</c:v>
                </c:pt>
                <c:pt idx="6">
                  <c:v>11211</c:v>
                </c:pt>
                <c:pt idx="7">
                  <c:v>11713</c:v>
                </c:pt>
                <c:pt idx="8">
                  <c:v>12263</c:v>
                </c:pt>
                <c:pt idx="9">
                  <c:v>12627</c:v>
                </c:pt>
                <c:pt idx="10">
                  <c:v>13269</c:v>
                </c:pt>
                <c:pt idx="11">
                  <c:v>13946</c:v>
                </c:pt>
              </c:numCache>
            </c:numRef>
          </c:val>
          <c:smooth val="0"/>
        </c:ser>
        <c:ser>
          <c:idx val="2"/>
          <c:order val="2"/>
          <c:tx>
            <c:strRef>
              <c:f>'[Chart 3 in Microsoft Word]Sheet1'!$D$1</c:f>
              <c:strCache>
                <c:ptCount val="1"/>
                <c:pt idx="0">
                  <c:v>Total</c:v>
                </c:pt>
              </c:strCache>
            </c:strRef>
          </c:tx>
          <c:spPr>
            <a:ln w="31750" cap="rnd">
              <a:solidFill>
                <a:schemeClr val="accent3"/>
              </a:solidFill>
              <a:round/>
            </a:ln>
            <a:effectLst/>
          </c:spPr>
          <c:marker>
            <c:symbol val="circle"/>
            <c:size val="17"/>
            <c:spPr>
              <a:solidFill>
                <a:schemeClr val="accent3"/>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3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3 in Microsoft Word]Sheet1'!$D$2:$D$13</c:f>
              <c:numCache>
                <c:formatCode>General</c:formatCode>
                <c:ptCount val="12"/>
                <c:pt idx="0">
                  <c:v>11421</c:v>
                </c:pt>
                <c:pt idx="1">
                  <c:v>11802</c:v>
                </c:pt>
                <c:pt idx="2">
                  <c:v>11983</c:v>
                </c:pt>
                <c:pt idx="3">
                  <c:v>12082</c:v>
                </c:pt>
                <c:pt idx="4">
                  <c:v>12123</c:v>
                </c:pt>
                <c:pt idx="5">
                  <c:v>12448</c:v>
                </c:pt>
                <c:pt idx="6">
                  <c:v>12861</c:v>
                </c:pt>
                <c:pt idx="7">
                  <c:v>13394</c:v>
                </c:pt>
                <c:pt idx="8">
                  <c:v>14011</c:v>
                </c:pt>
                <c:pt idx="9">
                  <c:v>14414</c:v>
                </c:pt>
                <c:pt idx="10">
                  <c:v>15147</c:v>
                </c:pt>
                <c:pt idx="11">
                  <c:v>15908</c:v>
                </c:pt>
              </c:numCache>
            </c:numRef>
          </c:val>
          <c:smooth val="0"/>
        </c:ser>
        <c:dLbls>
          <c:dLblPos val="ctr"/>
          <c:showLegendKey val="0"/>
          <c:showVal val="1"/>
          <c:showCatName val="0"/>
          <c:showSerName val="0"/>
          <c:showPercent val="0"/>
          <c:showBubbleSize val="0"/>
        </c:dLbls>
        <c:marker val="1"/>
        <c:smooth val="0"/>
        <c:axId val="251799424"/>
        <c:axId val="251800960"/>
      </c:lineChart>
      <c:catAx>
        <c:axId val="251799424"/>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51800960"/>
        <c:crosses val="autoZero"/>
        <c:auto val="1"/>
        <c:lblAlgn val="ctr"/>
        <c:lblOffset val="100"/>
        <c:noMultiLvlLbl val="0"/>
      </c:catAx>
      <c:valAx>
        <c:axId val="2518009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Number of Outlets</a:t>
                </a:r>
              </a:p>
            </c:rich>
          </c:tx>
          <c:overlay val="0"/>
          <c:spPr>
            <a:noFill/>
            <a:ln>
              <a:noFill/>
            </a:ln>
            <a:effectLst/>
          </c:spPr>
        </c:title>
        <c:numFmt formatCode="General" sourceLinked="1"/>
        <c:majorTickMark val="none"/>
        <c:minorTickMark val="none"/>
        <c:tickLblPos val="nextTo"/>
        <c:crossAx val="25179942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Total Account</a:t>
            </a:r>
          </a:p>
        </c:rich>
      </c:tx>
      <c:overlay val="0"/>
      <c:spPr>
        <a:noFill/>
        <a:ln>
          <a:noFill/>
        </a:ln>
        <a:effectLst/>
      </c:spPr>
    </c:title>
    <c:autoTitleDeleted val="0"/>
    <c:plotArea>
      <c:layout>
        <c:manualLayout>
          <c:layoutTarget val="inner"/>
          <c:xMode val="edge"/>
          <c:yMode val="edge"/>
          <c:x val="0.14259951881014873"/>
          <c:y val="0.19480351414406533"/>
          <c:w val="0.81295603674540684"/>
          <c:h val="0.51851341498979298"/>
        </c:manualLayout>
      </c:layout>
      <c:barChart>
        <c:barDir val="col"/>
        <c:grouping val="clustered"/>
        <c:varyColors val="0"/>
        <c:ser>
          <c:idx val="0"/>
          <c:order val="0"/>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8.3333333333333332E-3"/>
                  <c:y val="9.1899970836978716E-3"/>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layout>
                <c:manualLayout>
                  <c:x val="-5.0925337632079971E-17"/>
                  <c:y val="3.233814523184602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layout>
                <c:manualLayout>
                  <c:x val="-5.0925337632079971E-17"/>
                  <c:y val="2.7708515602216391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layout>
                <c:manualLayout>
                  <c:x val="0"/>
                  <c:y val="1.8449256342957087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layout>
                <c:manualLayout>
                  <c:x val="-5.5555555555555558E-3"/>
                  <c:y val="2.3078885972586716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layout>
                <c:manualLayout>
                  <c:x val="-1.388888888888899E-2"/>
                  <c:y val="2.3078885972586761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dLbl>
              <c:idx val="11"/>
              <c:layout>
                <c:manualLayout>
                  <c:x val="2.2222222222222223E-2"/>
                  <c:y val="2.3078885972586761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4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4 in Microsoft Word]Sheet1'!$B$2:$B$13</c:f>
              <c:numCache>
                <c:formatCode>General</c:formatCode>
                <c:ptCount val="12"/>
                <c:pt idx="0">
                  <c:v>5735027</c:v>
                </c:pt>
                <c:pt idx="1">
                  <c:v>6116396</c:v>
                </c:pt>
                <c:pt idx="2">
                  <c:v>6485149</c:v>
                </c:pt>
                <c:pt idx="3">
                  <c:v>6728653</c:v>
                </c:pt>
                <c:pt idx="4">
                  <c:v>6861031</c:v>
                </c:pt>
                <c:pt idx="5">
                  <c:v>7357466</c:v>
                </c:pt>
                <c:pt idx="6">
                  <c:v>7685990</c:v>
                </c:pt>
                <c:pt idx="7">
                  <c:v>7919440</c:v>
                </c:pt>
                <c:pt idx="8">
                  <c:v>8224614</c:v>
                </c:pt>
                <c:pt idx="9">
                  <c:v>8786171</c:v>
                </c:pt>
                <c:pt idx="10">
                  <c:v>9215386</c:v>
                </c:pt>
                <c:pt idx="11">
                  <c:v>9645999</c:v>
                </c:pt>
              </c:numCache>
            </c:numRef>
          </c:val>
        </c:ser>
        <c:dLbls>
          <c:dLblPos val="inEnd"/>
          <c:showLegendKey val="0"/>
          <c:showVal val="1"/>
          <c:showCatName val="0"/>
          <c:showSerName val="0"/>
          <c:showPercent val="0"/>
          <c:showBubbleSize val="0"/>
        </c:dLbls>
        <c:gapWidth val="65"/>
        <c:axId val="254741504"/>
        <c:axId val="254755584"/>
      </c:barChart>
      <c:catAx>
        <c:axId val="254741504"/>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54755584"/>
        <c:crosses val="autoZero"/>
        <c:auto val="1"/>
        <c:lblAlgn val="ctr"/>
        <c:lblOffset val="100"/>
        <c:noMultiLvlLbl val="0"/>
      </c:catAx>
      <c:valAx>
        <c:axId val="2547555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5474150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a:t>Volume of Transaction(Amount in Crore BDT)</a:t>
            </a:r>
          </a:p>
        </c:rich>
      </c:tx>
      <c:overlay val="0"/>
      <c:spPr>
        <a:noFill/>
        <a:ln>
          <a:noFill/>
        </a:ln>
        <a:effectLst/>
      </c:spPr>
    </c:title>
    <c:autoTitleDeleted val="0"/>
    <c:plotArea>
      <c:layout/>
      <c:barChart>
        <c:barDir val="bar"/>
        <c:grouping val="clustered"/>
        <c:varyColors val="0"/>
        <c:ser>
          <c:idx val="0"/>
          <c:order val="0"/>
          <c:spPr>
            <a:noFill/>
            <a:ln w="9525" cap="flat" cmpd="sng" algn="ctr">
              <a:solidFill>
                <a:schemeClr val="accent3"/>
              </a:solidFill>
              <a:miter lim="800000"/>
            </a:ln>
            <a:effectLst>
              <a:glow rad="63500">
                <a:schemeClr val="accent3">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5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5 in Microsoft Word]Sheet1'!$B$2:$B$13</c:f>
              <c:numCache>
                <c:formatCode>General</c:formatCode>
                <c:ptCount val="12"/>
                <c:pt idx="0">
                  <c:v>18584.2</c:v>
                </c:pt>
                <c:pt idx="1">
                  <c:v>20232.2</c:v>
                </c:pt>
                <c:pt idx="2">
                  <c:v>18538.099999999999</c:v>
                </c:pt>
                <c:pt idx="3">
                  <c:v>11472.7</c:v>
                </c:pt>
                <c:pt idx="4">
                  <c:v>20034</c:v>
                </c:pt>
                <c:pt idx="5">
                  <c:v>22057.200000000001</c:v>
                </c:pt>
                <c:pt idx="6">
                  <c:v>28415.3</c:v>
                </c:pt>
                <c:pt idx="7">
                  <c:v>24394.9</c:v>
                </c:pt>
                <c:pt idx="8">
                  <c:v>30118.400000000001</c:v>
                </c:pt>
                <c:pt idx="9">
                  <c:v>32351</c:v>
                </c:pt>
                <c:pt idx="10">
                  <c:v>33283.800000000003</c:v>
                </c:pt>
                <c:pt idx="11">
                  <c:v>33421.1</c:v>
                </c:pt>
              </c:numCache>
            </c:numRef>
          </c:val>
        </c:ser>
        <c:dLbls>
          <c:showLegendKey val="0"/>
          <c:showVal val="0"/>
          <c:showCatName val="0"/>
          <c:showSerName val="0"/>
          <c:showPercent val="0"/>
          <c:showBubbleSize val="0"/>
        </c:dLbls>
        <c:gapWidth val="182"/>
        <c:overlap val="-50"/>
        <c:axId val="254801024"/>
        <c:axId val="254802560"/>
      </c:barChart>
      <c:catAx>
        <c:axId val="254801024"/>
        <c:scaling>
          <c:orientation val="minMax"/>
        </c:scaling>
        <c:delete val="0"/>
        <c:axPos val="l"/>
        <c:majorGridlines>
          <c:spPr>
            <a:ln w="9525" cap="flat" cmpd="sng" algn="ctr">
              <a:gradFill>
                <a:gsLst>
                  <a:gs pos="0">
                    <a:schemeClr val="dk1">
                      <a:lumMod val="65000"/>
                      <a:lumOff val="35000"/>
                    </a:schemeClr>
                  </a:gs>
                  <a:gs pos="100000">
                    <a:schemeClr val="dk1">
                      <a:lumMod val="75000"/>
                      <a:lumOff val="25000"/>
                    </a:schemeClr>
                  </a:gs>
                </a:gsLst>
                <a:lin ang="10800000" scaled="0"/>
              </a:gra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254802560"/>
        <c:crosses val="autoZero"/>
        <c:auto val="1"/>
        <c:lblAlgn val="ctr"/>
        <c:lblOffset val="100"/>
        <c:noMultiLvlLbl val="0"/>
      </c:catAx>
      <c:valAx>
        <c:axId val="254802560"/>
        <c:scaling>
          <c:orientation val="minMax"/>
        </c:scaling>
        <c:delete val="0"/>
        <c:axPos val="b"/>
        <c:majorGridlines>
          <c:spPr>
            <a:ln w="9525" cap="flat" cmpd="sng" algn="ctr">
              <a:gradFill>
                <a:gsLst>
                  <a:gs pos="0">
                    <a:schemeClr val="dk1">
                      <a:lumMod val="65000"/>
                      <a:lumOff val="35000"/>
                    </a:schemeClr>
                  </a:gs>
                  <a:gs pos="100000">
                    <a:schemeClr val="dk1">
                      <a:lumMod val="75000"/>
                      <a:lumOff val="25000"/>
                    </a:schemeClr>
                  </a:gs>
                </a:gsLst>
                <a:lin ang="108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254801024"/>
        <c:crosses val="autoZero"/>
        <c:crossBetween val="between"/>
      </c:valAx>
      <c:spPr>
        <a:noFill/>
        <a:ln>
          <a:noFill/>
        </a:ln>
        <a:effectLst/>
      </c:spPr>
    </c:plotArea>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Inward Remittence(Amount in Crore BDT)</a:t>
            </a:r>
          </a:p>
        </c:rich>
      </c:tx>
      <c:overlay val="0"/>
      <c:spPr>
        <a:noFill/>
        <a:ln>
          <a:noFill/>
        </a:ln>
        <a:effectLst/>
      </c:spPr>
    </c:title>
    <c:autoTitleDeleted val="0"/>
    <c:plotArea>
      <c:layout/>
      <c:lineChart>
        <c:grouping val="stacked"/>
        <c:varyColors val="0"/>
        <c:ser>
          <c:idx val="0"/>
          <c:order val="0"/>
          <c:spPr>
            <a:ln w="31750" cap="rnd">
              <a:solidFill>
                <a:schemeClr val="accent3"/>
              </a:solidFill>
              <a:round/>
            </a:ln>
            <a:effectLst/>
          </c:spPr>
          <c:marker>
            <c:symbol val="circle"/>
            <c:size val="17"/>
            <c:spPr>
              <a:solidFill>
                <a:schemeClr val="accent3"/>
              </a:solidFill>
              <a:ln>
                <a:noFill/>
              </a:ln>
              <a:effectLst/>
            </c:spPr>
          </c:marker>
          <c:dLbls>
            <c:dLbl>
              <c:idx val="0"/>
              <c:layout>
                <c:manualLayout>
                  <c:x val="-7.7284776902887153E-2"/>
                  <c:y val="-4.6296296296295444E-3"/>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dLbl>
              <c:idx val="1"/>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4"/>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5"/>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6"/>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7"/>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8"/>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9"/>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1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dLbl>
              <c:idx val="11"/>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6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6 in Microsoft Word]Sheet1'!$B$2:$B$13</c:f>
              <c:numCache>
                <c:formatCode>General</c:formatCode>
                <c:ptCount val="12"/>
                <c:pt idx="0">
                  <c:v>882.7</c:v>
                </c:pt>
                <c:pt idx="1">
                  <c:v>1078.8</c:v>
                </c:pt>
                <c:pt idx="2">
                  <c:v>1026.2</c:v>
                </c:pt>
                <c:pt idx="3">
                  <c:v>1395.3</c:v>
                </c:pt>
                <c:pt idx="4">
                  <c:v>1847.1</c:v>
                </c:pt>
                <c:pt idx="5">
                  <c:v>2093.4</c:v>
                </c:pt>
                <c:pt idx="6">
                  <c:v>3327.9</c:v>
                </c:pt>
                <c:pt idx="7">
                  <c:v>2561.5</c:v>
                </c:pt>
                <c:pt idx="8">
                  <c:v>3294.2</c:v>
                </c:pt>
                <c:pt idx="9">
                  <c:v>3372.9</c:v>
                </c:pt>
                <c:pt idx="10">
                  <c:v>2644.5</c:v>
                </c:pt>
                <c:pt idx="11">
                  <c:v>1634.1</c:v>
                </c:pt>
              </c:numCache>
            </c:numRef>
          </c:val>
          <c:smooth val="0"/>
        </c:ser>
        <c:dLbls>
          <c:dLblPos val="ctr"/>
          <c:showLegendKey val="0"/>
          <c:showVal val="1"/>
          <c:showCatName val="0"/>
          <c:showSerName val="0"/>
          <c:showPercent val="0"/>
          <c:showBubbleSize val="0"/>
        </c:dLbls>
        <c:marker val="1"/>
        <c:smooth val="0"/>
        <c:axId val="290049408"/>
        <c:axId val="290534528"/>
      </c:lineChart>
      <c:catAx>
        <c:axId val="290049408"/>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90534528"/>
        <c:crosses val="autoZero"/>
        <c:auto val="1"/>
        <c:lblAlgn val="ctr"/>
        <c:lblOffset val="100"/>
        <c:noMultiLvlLbl val="0"/>
      </c:catAx>
      <c:valAx>
        <c:axId val="29053452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90049408"/>
        <c:crosses val="autoZero"/>
        <c:crossBetween val="between"/>
      </c:valAx>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a:t>P2P Transaction(Amount in Crore BDT)</a:t>
            </a:r>
          </a:p>
        </c:rich>
      </c:tx>
      <c:overlay val="0"/>
      <c:spPr>
        <a:noFill/>
        <a:ln>
          <a:noFill/>
        </a:ln>
        <a:effectLst/>
      </c:spPr>
    </c:title>
    <c:autoTitleDeleted val="0"/>
    <c:plotArea>
      <c:layout/>
      <c:barChart>
        <c:barDir val="col"/>
        <c:grouping val="clustered"/>
        <c:varyColors val="0"/>
        <c:ser>
          <c:idx val="0"/>
          <c:order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cat>
            <c:strRef>
              <c:f>'[Chart 7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7 in Microsoft Word]Sheet1'!$B$2:$B$13</c:f>
              <c:numCache>
                <c:formatCode>#,##0.00</c:formatCode>
                <c:ptCount val="12"/>
                <c:pt idx="0">
                  <c:v>10077.950000000001</c:v>
                </c:pt>
                <c:pt idx="1">
                  <c:v>9796.98</c:v>
                </c:pt>
                <c:pt idx="2">
                  <c:v>9863.7800000000007</c:v>
                </c:pt>
                <c:pt idx="3">
                  <c:v>9242.8799999999992</c:v>
                </c:pt>
                <c:pt idx="4">
                  <c:v>14817.45</c:v>
                </c:pt>
                <c:pt idx="5">
                  <c:v>13130.03</c:v>
                </c:pt>
                <c:pt idx="6">
                  <c:v>17293.43</c:v>
                </c:pt>
                <c:pt idx="7">
                  <c:v>12464.33</c:v>
                </c:pt>
                <c:pt idx="8">
                  <c:v>14857.08</c:v>
                </c:pt>
                <c:pt idx="9">
                  <c:v>16566.5</c:v>
                </c:pt>
                <c:pt idx="10">
                  <c:v>16108.76</c:v>
                </c:pt>
                <c:pt idx="11">
                  <c:v>16982.150000000001</c:v>
                </c:pt>
              </c:numCache>
            </c:numRef>
          </c:val>
        </c:ser>
        <c:dLbls>
          <c:showLegendKey val="0"/>
          <c:showVal val="0"/>
          <c:showCatName val="0"/>
          <c:showSerName val="0"/>
          <c:showPercent val="0"/>
          <c:showBubbleSize val="0"/>
        </c:dLbls>
        <c:gapWidth val="355"/>
        <c:overlap val="-70"/>
        <c:axId val="290677504"/>
        <c:axId val="290679040"/>
      </c:barChart>
      <c:catAx>
        <c:axId val="2906775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679040"/>
        <c:crosses val="autoZero"/>
        <c:auto val="1"/>
        <c:lblAlgn val="ctr"/>
        <c:lblOffset val="100"/>
        <c:noMultiLvlLbl val="0"/>
      </c:catAx>
      <c:valAx>
        <c:axId val="290679040"/>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677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Salary Disbursment(Amount in Crore BDT)</a:t>
            </a:r>
          </a:p>
        </c:rich>
      </c:tx>
      <c:overlay val="0"/>
      <c:spPr>
        <a:noFill/>
        <a:ln>
          <a:noFill/>
        </a:ln>
        <a:effectLst/>
      </c:spPr>
    </c:title>
    <c:autoTitleDeleted val="0"/>
    <c:plotArea>
      <c:layout/>
      <c:barChart>
        <c:barDir val="bar"/>
        <c:grouping val="clustered"/>
        <c:varyColors val="0"/>
        <c:ser>
          <c:idx val="0"/>
          <c:order val="0"/>
          <c:spPr>
            <a:pattFill prst="ltUpDiag">
              <a:fgClr>
                <a:schemeClr val="accent4"/>
              </a:fgClr>
              <a:bgClr>
                <a:schemeClr val="lt1"/>
              </a:bgClr>
            </a:pattFill>
            <a:ln>
              <a:noFill/>
            </a:ln>
            <a:effectLst/>
          </c:spPr>
          <c:invertIfNegative val="0"/>
          <c:dLbls>
            <c:spPr>
              <a:solidFill>
                <a:schemeClr val="accent4">
                  <a:alpha val="7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8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8 in Microsoft Word]Sheet1'!$B$2:$B$13</c:f>
              <c:numCache>
                <c:formatCode>#,##0.00</c:formatCode>
                <c:ptCount val="12"/>
                <c:pt idx="0">
                  <c:v>1083.6099999999999</c:v>
                </c:pt>
                <c:pt idx="1">
                  <c:v>1087.74</c:v>
                </c:pt>
                <c:pt idx="2">
                  <c:v>1246.46</c:v>
                </c:pt>
                <c:pt idx="3">
                  <c:v>1064.8699999999999</c:v>
                </c:pt>
                <c:pt idx="4">
                  <c:v>2218</c:v>
                </c:pt>
                <c:pt idx="5">
                  <c:v>2377.09</c:v>
                </c:pt>
                <c:pt idx="6">
                  <c:v>4586.97</c:v>
                </c:pt>
                <c:pt idx="7">
                  <c:v>1063.5999999999999</c:v>
                </c:pt>
                <c:pt idx="8">
                  <c:v>1954.85</c:v>
                </c:pt>
                <c:pt idx="9">
                  <c:v>1918.09</c:v>
                </c:pt>
                <c:pt idx="10">
                  <c:v>2023.63</c:v>
                </c:pt>
                <c:pt idx="11">
                  <c:v>2093.7199999999998</c:v>
                </c:pt>
              </c:numCache>
            </c:numRef>
          </c:val>
        </c:ser>
        <c:dLbls>
          <c:dLblPos val="inEnd"/>
          <c:showLegendKey val="0"/>
          <c:showVal val="1"/>
          <c:showCatName val="0"/>
          <c:showSerName val="0"/>
          <c:showPercent val="0"/>
          <c:showBubbleSize val="0"/>
        </c:dLbls>
        <c:gapWidth val="269"/>
        <c:overlap val="-20"/>
        <c:axId val="290763904"/>
        <c:axId val="290766848"/>
      </c:barChart>
      <c:catAx>
        <c:axId val="290763904"/>
        <c:scaling>
          <c:orientation val="minMax"/>
        </c:scaling>
        <c:delete val="0"/>
        <c:axPos val="l"/>
        <c:numFmt formatCode="General" sourceLinked="0"/>
        <c:majorTickMark val="none"/>
        <c:minorTickMark val="none"/>
        <c:tickLblPos val="nextTo"/>
        <c:spPr>
          <a:noFill/>
          <a:ln w="3175" cap="flat" cmpd="sng" algn="ctr">
            <a:solidFill>
              <a:schemeClr val="accent4">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290766848"/>
        <c:crosses val="autoZero"/>
        <c:auto val="1"/>
        <c:lblAlgn val="ctr"/>
        <c:lblOffset val="100"/>
        <c:noMultiLvlLbl val="0"/>
      </c:catAx>
      <c:valAx>
        <c:axId val="290766848"/>
        <c:scaling>
          <c:orientation val="minMax"/>
        </c:scaling>
        <c:delete val="0"/>
        <c:axPos val="b"/>
        <c:majorGridlines>
          <c:spPr>
            <a:ln w="9525" cap="flat" cmpd="sng" algn="ctr">
              <a:solidFill>
                <a:schemeClr val="lt1">
                  <a:alpha val="2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290763904"/>
        <c:crosses val="autoZero"/>
        <c:crossBetween val="between"/>
      </c:valAx>
      <c:spPr>
        <a:noFill/>
        <a:ln>
          <a:noFill/>
        </a:ln>
        <a:effectLst/>
      </c:spPr>
    </c:plotArea>
    <c:plotVisOnly val="1"/>
    <c:dispBlanksAs val="gap"/>
    <c:showDLblsOverMax val="0"/>
  </c:chart>
  <c:spPr>
    <a:solidFill>
      <a:schemeClr val="accent4"/>
    </a:solidFill>
    <a:ln w="9525" cap="flat" cmpd="sng" algn="ctr">
      <a:solidFill>
        <a:schemeClr val="accent4"/>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sz="1800" b="1">
                <a:latin typeface="Times New Roman" panose="02020603050405020304" pitchFamily="18" charset="0"/>
                <a:cs typeface="Times New Roman" panose="02020603050405020304" pitchFamily="18" charset="0"/>
              </a:rPr>
              <a:t>Utility Bill Payment(Amount in Crore BDT)</a:t>
            </a:r>
          </a:p>
        </c:rich>
      </c:tx>
      <c:overlay val="0"/>
      <c:spPr>
        <a:noFill/>
        <a:ln>
          <a:noFill/>
        </a:ln>
        <a:effectLst/>
      </c:spPr>
    </c:title>
    <c:autoTitleDeleted val="0"/>
    <c:plotArea>
      <c:layout/>
      <c:lineChart>
        <c:grouping val="standard"/>
        <c:varyColors val="0"/>
        <c:ser>
          <c:idx val="0"/>
          <c:order val="0"/>
          <c:spPr>
            <a:ln w="38100" cap="rnd">
              <a:solidFill>
                <a:schemeClr val="accent5"/>
              </a:solidFill>
              <a:round/>
            </a:ln>
            <a:effectLst/>
          </c:spPr>
          <c:marker>
            <c:symbol val="none"/>
          </c:marker>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layout>
                <c:manualLayout>
                  <c:x val="-2.3966535433070969E-2"/>
                  <c:y val="-3.703703703703703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9 in Microsoft Word]Sheet1'!$A$1:$A$12</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9 in Microsoft Word]Sheet1'!$B$1:$B$12</c:f>
              <c:numCache>
                <c:formatCode>General</c:formatCode>
                <c:ptCount val="12"/>
                <c:pt idx="0">
                  <c:v>472.02</c:v>
                </c:pt>
                <c:pt idx="1">
                  <c:v>441.12</c:v>
                </c:pt>
                <c:pt idx="2">
                  <c:v>433.29</c:v>
                </c:pt>
                <c:pt idx="3">
                  <c:v>271.32</c:v>
                </c:pt>
                <c:pt idx="4">
                  <c:v>598.32000000000005</c:v>
                </c:pt>
                <c:pt idx="5">
                  <c:v>992.94</c:v>
                </c:pt>
                <c:pt idx="6">
                  <c:v>878.93</c:v>
                </c:pt>
                <c:pt idx="7">
                  <c:v>908.78</c:v>
                </c:pt>
                <c:pt idx="8">
                  <c:v>937.57</c:v>
                </c:pt>
                <c:pt idx="9">
                  <c:v>886.47</c:v>
                </c:pt>
                <c:pt idx="10">
                  <c:v>831.43</c:v>
                </c:pt>
                <c:pt idx="11">
                  <c:v>834.07</c:v>
                </c:pt>
              </c:numCache>
            </c:numRef>
          </c:val>
          <c:smooth val="0"/>
        </c:ser>
        <c:dLbls>
          <c:dLblPos val="ctr"/>
          <c:showLegendKey val="0"/>
          <c:showVal val="1"/>
          <c:showCatName val="0"/>
          <c:showSerName val="0"/>
          <c:showPercent val="0"/>
          <c:showBubbleSize val="0"/>
        </c:dLbls>
        <c:marker val="1"/>
        <c:smooth val="0"/>
        <c:axId val="291646080"/>
        <c:axId val="291706368"/>
      </c:lineChart>
      <c:catAx>
        <c:axId val="2916460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291706368"/>
        <c:crosses val="autoZero"/>
        <c:auto val="1"/>
        <c:lblAlgn val="ctr"/>
        <c:lblOffset val="100"/>
        <c:noMultiLvlLbl val="0"/>
      </c:catAx>
      <c:valAx>
        <c:axId val="2917063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1646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Inward Remittance(Amount in Crore BDT)</a:t>
            </a:r>
          </a:p>
        </c:rich>
      </c:tx>
      <c:overlay val="0"/>
      <c:spPr>
        <a:noFill/>
        <a:ln>
          <a:noFill/>
        </a:ln>
        <a:effectLst/>
      </c:spPr>
    </c:title>
    <c:autoTitleDeleted val="0"/>
    <c:plotArea>
      <c:layout/>
      <c:lineChart>
        <c:grouping val="standard"/>
        <c:varyColors val="0"/>
        <c:ser>
          <c:idx val="0"/>
          <c:order val="0"/>
          <c:spPr>
            <a:ln w="34925" cap="rnd">
              <a:solidFill>
                <a:schemeClr val="accent1"/>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10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10 in Microsoft Word]Sheet1'!$B$2:$B$13</c:f>
              <c:numCache>
                <c:formatCode>General</c:formatCode>
                <c:ptCount val="12"/>
                <c:pt idx="0">
                  <c:v>29.68</c:v>
                </c:pt>
                <c:pt idx="1">
                  <c:v>29.99</c:v>
                </c:pt>
                <c:pt idx="2">
                  <c:v>31.63</c:v>
                </c:pt>
                <c:pt idx="3">
                  <c:v>112.38</c:v>
                </c:pt>
                <c:pt idx="4">
                  <c:v>177.97</c:v>
                </c:pt>
                <c:pt idx="5">
                  <c:v>125.23</c:v>
                </c:pt>
                <c:pt idx="6">
                  <c:v>169.53</c:v>
                </c:pt>
                <c:pt idx="7">
                  <c:v>104.75</c:v>
                </c:pt>
                <c:pt idx="8">
                  <c:v>110.1</c:v>
                </c:pt>
                <c:pt idx="9">
                  <c:v>115.16</c:v>
                </c:pt>
                <c:pt idx="10">
                  <c:v>116.81</c:v>
                </c:pt>
                <c:pt idx="11">
                  <c:v>134.78</c:v>
                </c:pt>
              </c:numCache>
            </c:numRef>
          </c:val>
          <c:smooth val="0"/>
        </c:ser>
        <c:dLbls>
          <c:showLegendKey val="0"/>
          <c:showVal val="0"/>
          <c:showCatName val="0"/>
          <c:showSerName val="0"/>
          <c:showPercent val="0"/>
          <c:showBubbleSize val="0"/>
        </c:dLbls>
        <c:marker val="1"/>
        <c:smooth val="0"/>
        <c:axId val="291763712"/>
        <c:axId val="291765248"/>
      </c:lineChart>
      <c:catAx>
        <c:axId val="291763712"/>
        <c:scaling>
          <c:orientation val="minMax"/>
        </c:scaling>
        <c:delete val="0"/>
        <c:axPos val="b"/>
        <c:numFmt formatCode="General" sourceLinked="0"/>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1765248"/>
        <c:crosses val="autoZero"/>
        <c:auto val="1"/>
        <c:lblAlgn val="ctr"/>
        <c:lblOffset val="100"/>
        <c:noMultiLvlLbl val="0"/>
      </c:catAx>
      <c:valAx>
        <c:axId val="291765248"/>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176371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47"/>
    </mc:Choice>
    <mc:Fallback>
      <c:style val="47"/>
    </mc:Fallback>
  </mc:AlternateContent>
  <c:clrMapOvr bg1="lt1" tx1="dk1" bg2="lt2" tx2="dk2" accent1="accent1" accent2="accent2" accent3="accent3" accent4="accent4" accent5="accent5" accent6="accent6" hlink="hlink" folHlink="folHlink"/>
  <c:chart>
    <c:title>
      <c:tx>
        <c:rich>
          <a:bodyPr/>
          <a:lstStyle/>
          <a:p>
            <a:pPr>
              <a:defRPr/>
            </a:pPr>
            <a:r>
              <a:rPr lang="en-US"/>
              <a:t>Number of Transaction</a:t>
            </a:r>
          </a:p>
        </c:rich>
      </c:tx>
      <c:overlay val="0"/>
    </c:title>
    <c:autoTitleDeleted val="0"/>
    <c:plotArea>
      <c:layout/>
      <c:barChart>
        <c:barDir val="col"/>
        <c:grouping val="clustered"/>
        <c:varyColors val="0"/>
        <c:ser>
          <c:idx val="0"/>
          <c:order val="0"/>
          <c:invertIfNegative val="0"/>
          <c:cat>
            <c:strRef>
              <c:f>Sheet1!$A$2:$A$12</c:f>
              <c:strCache>
                <c:ptCount val="11"/>
                <c:pt idx="0">
                  <c:v>February’20</c:v>
                </c:pt>
                <c:pt idx="1">
                  <c:v>March’20</c:v>
                </c:pt>
                <c:pt idx="2">
                  <c:v>April’20</c:v>
                </c:pt>
                <c:pt idx="3">
                  <c:v>May’20</c:v>
                </c:pt>
                <c:pt idx="4">
                  <c:v>June’20</c:v>
                </c:pt>
                <c:pt idx="5">
                  <c:v>July’20</c:v>
                </c:pt>
                <c:pt idx="6">
                  <c:v>August’20</c:v>
                </c:pt>
                <c:pt idx="7">
                  <c:v>September’20</c:v>
                </c:pt>
                <c:pt idx="8">
                  <c:v>October’20</c:v>
                </c:pt>
                <c:pt idx="9">
                  <c:v>November'20</c:v>
                </c:pt>
                <c:pt idx="10">
                  <c:v>December'20</c:v>
                </c:pt>
              </c:strCache>
            </c:strRef>
          </c:cat>
          <c:val>
            <c:numRef>
              <c:f>Sheet1!$B$2:$B$12</c:f>
              <c:numCache>
                <c:formatCode>General</c:formatCode>
                <c:ptCount val="11"/>
                <c:pt idx="0">
                  <c:v>1172904</c:v>
                </c:pt>
                <c:pt idx="1">
                  <c:v>1193173</c:v>
                </c:pt>
                <c:pt idx="2">
                  <c:v>1143680</c:v>
                </c:pt>
                <c:pt idx="3">
                  <c:v>1371834</c:v>
                </c:pt>
                <c:pt idx="4">
                  <c:v>1543961</c:v>
                </c:pt>
                <c:pt idx="5">
                  <c:v>2011013</c:v>
                </c:pt>
                <c:pt idx="6">
                  <c:v>1921028</c:v>
                </c:pt>
                <c:pt idx="7">
                  <c:v>1835998</c:v>
                </c:pt>
                <c:pt idx="8">
                  <c:v>1877069</c:v>
                </c:pt>
                <c:pt idx="9">
                  <c:v>2059207</c:v>
                </c:pt>
                <c:pt idx="10">
                  <c:v>2074862</c:v>
                </c:pt>
              </c:numCache>
            </c:numRef>
          </c:val>
        </c:ser>
        <c:dLbls>
          <c:showLegendKey val="0"/>
          <c:showVal val="0"/>
          <c:showCatName val="0"/>
          <c:showSerName val="0"/>
          <c:showPercent val="0"/>
          <c:showBubbleSize val="0"/>
        </c:dLbls>
        <c:gapWidth val="150"/>
        <c:axId val="307399296"/>
        <c:axId val="307401088"/>
      </c:barChart>
      <c:catAx>
        <c:axId val="307399296"/>
        <c:scaling>
          <c:orientation val="minMax"/>
        </c:scaling>
        <c:delete val="0"/>
        <c:axPos val="b"/>
        <c:numFmt formatCode="General" sourceLinked="0"/>
        <c:majorTickMark val="none"/>
        <c:minorTickMark val="none"/>
        <c:tickLblPos val="nextTo"/>
        <c:crossAx val="307401088"/>
        <c:crosses val="autoZero"/>
        <c:auto val="1"/>
        <c:lblAlgn val="ctr"/>
        <c:lblOffset val="100"/>
        <c:noMultiLvlLbl val="0"/>
      </c:catAx>
      <c:valAx>
        <c:axId val="307401088"/>
        <c:scaling>
          <c:orientation val="minMax"/>
        </c:scaling>
        <c:delete val="0"/>
        <c:axPos val="l"/>
        <c:majorGridlines/>
        <c:numFmt formatCode="General" sourceLinked="1"/>
        <c:majorTickMark val="none"/>
        <c:minorTickMark val="none"/>
        <c:tickLblPos val="nextTo"/>
        <c:crossAx val="307399296"/>
        <c:crosses val="autoZero"/>
        <c:crossBetween val="between"/>
      </c:valAx>
    </c:plotArea>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tx>
        <c:rich>
          <a:bodyPr/>
          <a:lstStyle/>
          <a:p>
            <a:pPr>
              <a:defRPr/>
            </a:pPr>
            <a:r>
              <a:rPr lang="en-US" sz="1600"/>
              <a:t>Total</a:t>
            </a:r>
            <a:r>
              <a:rPr lang="en-US" sz="1600" baseline="0"/>
              <a:t> transaction(Amount in crore BDT)</a:t>
            </a:r>
            <a:endParaRPr lang="en-US" sz="1600"/>
          </a:p>
        </c:rich>
      </c:tx>
      <c:layout>
        <c:manualLayout>
          <c:xMode val="edge"/>
          <c:yMode val="edge"/>
          <c:x val="0.19183333333333333"/>
          <c:y val="2.3148148148148147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cat>
            <c:strRef>
              <c:f>Sheet1!$A$1:$A$12</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Sheet1!$B$1:$B$12</c:f>
              <c:numCache>
                <c:formatCode>General</c:formatCode>
                <c:ptCount val="12"/>
                <c:pt idx="0">
                  <c:v>269.3</c:v>
                </c:pt>
                <c:pt idx="1">
                  <c:v>247.1</c:v>
                </c:pt>
                <c:pt idx="2">
                  <c:v>224</c:v>
                </c:pt>
                <c:pt idx="3">
                  <c:v>254.4</c:v>
                </c:pt>
                <c:pt idx="4">
                  <c:v>449.5</c:v>
                </c:pt>
                <c:pt idx="5">
                  <c:v>491.4</c:v>
                </c:pt>
                <c:pt idx="6">
                  <c:v>640.4</c:v>
                </c:pt>
                <c:pt idx="7">
                  <c:v>488.9</c:v>
                </c:pt>
                <c:pt idx="8">
                  <c:v>406</c:v>
                </c:pt>
                <c:pt idx="9">
                  <c:v>543.1</c:v>
                </c:pt>
                <c:pt idx="10">
                  <c:v>530.6</c:v>
                </c:pt>
                <c:pt idx="11">
                  <c:v>597.5</c:v>
                </c:pt>
              </c:numCache>
            </c:numRef>
          </c:val>
        </c:ser>
        <c:dLbls>
          <c:showLegendKey val="0"/>
          <c:showVal val="0"/>
          <c:showCatName val="0"/>
          <c:showSerName val="0"/>
          <c:showPercent val="0"/>
          <c:showBubbleSize val="0"/>
        </c:dLbls>
        <c:gapWidth val="55"/>
        <c:gapDepth val="55"/>
        <c:shape val="box"/>
        <c:axId val="308195712"/>
        <c:axId val="308197248"/>
        <c:axId val="0"/>
      </c:bar3DChart>
      <c:catAx>
        <c:axId val="308195712"/>
        <c:scaling>
          <c:orientation val="minMax"/>
        </c:scaling>
        <c:delete val="0"/>
        <c:axPos val="b"/>
        <c:numFmt formatCode="General" sourceLinked="0"/>
        <c:majorTickMark val="none"/>
        <c:minorTickMark val="none"/>
        <c:tickLblPos val="nextTo"/>
        <c:crossAx val="308197248"/>
        <c:crosses val="autoZero"/>
        <c:auto val="1"/>
        <c:lblAlgn val="ctr"/>
        <c:lblOffset val="100"/>
        <c:noMultiLvlLbl val="0"/>
      </c:catAx>
      <c:valAx>
        <c:axId val="308197248"/>
        <c:scaling>
          <c:orientation val="minMax"/>
        </c:scaling>
        <c:delete val="0"/>
        <c:axPos val="l"/>
        <c:majorGridlines/>
        <c:numFmt formatCode="General" sourceLinked="1"/>
        <c:majorTickMark val="none"/>
        <c:minorTickMark val="none"/>
        <c:tickLblPos val="nextTo"/>
        <c:crossAx val="308195712"/>
        <c:crosses val="autoZero"/>
        <c:crossBetween val="between"/>
      </c:valAx>
    </c:plotArea>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Merchant Payment(Amount in Crore BDT)</a:t>
            </a:r>
          </a:p>
        </c:rich>
      </c:tx>
      <c:overlay val="0"/>
      <c:spPr>
        <a:noFill/>
        <a:ln>
          <a:noFill/>
        </a:ln>
        <a:effectLst/>
      </c:spPr>
    </c:title>
    <c:autoTitleDeleted val="0"/>
    <c:plotArea>
      <c:layout/>
      <c:lineChart>
        <c:grouping val="stacked"/>
        <c:varyColors val="0"/>
        <c:ser>
          <c:idx val="0"/>
          <c:order val="0"/>
          <c:spPr>
            <a:ln w="34925" cap="rnd">
              <a:solidFill>
                <a:schemeClr val="accent2"/>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'[Chart in Microsoft Word]Sheet1'!$A$2:$A$13</c:f>
              <c:strCache>
                <c:ptCount val="12"/>
                <c:pt idx="0">
                  <c:v>January'20</c:v>
                </c:pt>
                <c:pt idx="1">
                  <c:v>February'20</c:v>
                </c:pt>
                <c:pt idx="2">
                  <c:v>March'20</c:v>
                </c:pt>
                <c:pt idx="3">
                  <c:v>April'20</c:v>
                </c:pt>
                <c:pt idx="4">
                  <c:v>May'20</c:v>
                </c:pt>
                <c:pt idx="5">
                  <c:v>June'20</c:v>
                </c:pt>
                <c:pt idx="6">
                  <c:v>July'20</c:v>
                </c:pt>
                <c:pt idx="7">
                  <c:v>August'20</c:v>
                </c:pt>
                <c:pt idx="8">
                  <c:v>September'20</c:v>
                </c:pt>
                <c:pt idx="9">
                  <c:v>October'20</c:v>
                </c:pt>
                <c:pt idx="10">
                  <c:v>November'20</c:v>
                </c:pt>
                <c:pt idx="11">
                  <c:v>December'20</c:v>
                </c:pt>
              </c:strCache>
            </c:strRef>
          </c:cat>
          <c:val>
            <c:numRef>
              <c:f>'[Chart in Microsoft Word]Sheet1'!$B$2:$B$13</c:f>
              <c:numCache>
                <c:formatCode>General</c:formatCode>
                <c:ptCount val="12"/>
                <c:pt idx="0">
                  <c:v>627.77</c:v>
                </c:pt>
                <c:pt idx="1">
                  <c:v>581.89</c:v>
                </c:pt>
                <c:pt idx="2">
                  <c:v>476.05</c:v>
                </c:pt>
                <c:pt idx="3">
                  <c:v>233.7</c:v>
                </c:pt>
                <c:pt idx="4">
                  <c:v>467.78</c:v>
                </c:pt>
                <c:pt idx="5">
                  <c:v>811.46</c:v>
                </c:pt>
                <c:pt idx="6" formatCode="#,##0.00">
                  <c:v>1134.24</c:v>
                </c:pt>
                <c:pt idx="7" formatCode="#,##0.00">
                  <c:v>1060.27</c:v>
                </c:pt>
                <c:pt idx="8" formatCode="#,##0.00">
                  <c:v>1292.49</c:v>
                </c:pt>
                <c:pt idx="9" formatCode="#,##0.00">
                  <c:v>1746.03</c:v>
                </c:pt>
                <c:pt idx="10" formatCode="#,##0.00">
                  <c:v>1879.08</c:v>
                </c:pt>
                <c:pt idx="11" formatCode="#,##0.00">
                  <c:v>2147.2399999999998</c:v>
                </c:pt>
              </c:numCache>
            </c:numRef>
          </c:val>
          <c:smooth val="0"/>
        </c:ser>
        <c:dLbls>
          <c:dLblPos val="ctr"/>
          <c:showLegendKey val="0"/>
          <c:showVal val="1"/>
          <c:showCatName val="0"/>
          <c:showSerName val="0"/>
          <c:showPercent val="0"/>
          <c:showBubbleSize val="0"/>
        </c:dLbls>
        <c:marker val="1"/>
        <c:smooth val="0"/>
        <c:axId val="308396800"/>
        <c:axId val="308399488"/>
      </c:lineChart>
      <c:catAx>
        <c:axId val="308396800"/>
        <c:scaling>
          <c:orientation val="minMax"/>
        </c:scaling>
        <c:delete val="0"/>
        <c:axPos val="b"/>
        <c:numFmt formatCode="General" sourceLinked="0"/>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08399488"/>
        <c:crosses val="autoZero"/>
        <c:auto val="1"/>
        <c:lblAlgn val="ctr"/>
        <c:lblOffset val="100"/>
        <c:noMultiLvlLbl val="0"/>
      </c:catAx>
      <c:valAx>
        <c:axId val="308399488"/>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08396800"/>
        <c:crosses val="autoZero"/>
        <c:crossBetween val="between"/>
      </c:valAx>
      <c:spPr>
        <a:noFill/>
        <a:ln>
          <a:noFill/>
        </a:ln>
        <a:effectLst/>
      </c:spPr>
    </c:plotArea>
    <c:plotVisOnly val="1"/>
    <c:dispBlanksAs val="zero"/>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C0AC39-C9E5-4937-9367-73BEA76C2ECA}" type="doc">
      <dgm:prSet loTypeId="urn:microsoft.com/office/officeart/2005/8/layout/hierarchy1" loCatId="hierarchy" qsTypeId="urn:microsoft.com/office/officeart/2005/8/quickstyle/3d5" qsCatId="3D" csTypeId="urn:microsoft.com/office/officeart/2005/8/colors/accent1_2" csCatId="accent1" phldr="1"/>
      <dgm:spPr/>
      <dgm:t>
        <a:bodyPr/>
        <a:lstStyle/>
        <a:p>
          <a:endParaRPr lang="en-US"/>
        </a:p>
      </dgm:t>
    </dgm:pt>
    <dgm:pt modelId="{DB4AAFF2-E800-46F4-AFFF-6EF46C9EA23B}">
      <dgm:prSet phldrT="[Text]"/>
      <dgm:spPr/>
      <dgm:t>
        <a:bodyPr/>
        <a:lstStyle/>
        <a:p>
          <a:r>
            <a:rPr lang="en-US"/>
            <a:t>Objectives</a:t>
          </a:r>
        </a:p>
      </dgm:t>
    </dgm:pt>
    <dgm:pt modelId="{BACF5FA5-CCF4-4DE8-80B8-8C4BDE029A99}" type="parTrans" cxnId="{93FCEABC-5D89-47E1-A3B1-B56923EAF39A}">
      <dgm:prSet/>
      <dgm:spPr/>
      <dgm:t>
        <a:bodyPr/>
        <a:lstStyle/>
        <a:p>
          <a:endParaRPr lang="en-US"/>
        </a:p>
      </dgm:t>
    </dgm:pt>
    <dgm:pt modelId="{F321695D-1D6A-4C44-A6CC-D14EE9700919}" type="sibTrans" cxnId="{93FCEABC-5D89-47E1-A3B1-B56923EAF39A}">
      <dgm:prSet/>
      <dgm:spPr/>
      <dgm:t>
        <a:bodyPr/>
        <a:lstStyle/>
        <a:p>
          <a:endParaRPr lang="en-US"/>
        </a:p>
      </dgm:t>
    </dgm:pt>
    <dgm:pt modelId="{B7F7B388-E32C-49B2-8C5F-1D839C82414A}">
      <dgm:prSet phldrT="[Text]"/>
      <dgm:spPr/>
      <dgm:t>
        <a:bodyPr/>
        <a:lstStyle/>
        <a:p>
          <a:r>
            <a:rPr lang="en-US"/>
            <a:t>Primary</a:t>
          </a:r>
        </a:p>
      </dgm:t>
    </dgm:pt>
    <dgm:pt modelId="{C71A7DC6-419C-4B4D-A45B-565141A4F0F2}" type="parTrans" cxnId="{C64A5DEB-7EB8-4966-93F2-9932B084B4EE}">
      <dgm:prSet/>
      <dgm:spPr/>
      <dgm:t>
        <a:bodyPr/>
        <a:lstStyle/>
        <a:p>
          <a:endParaRPr lang="en-US"/>
        </a:p>
      </dgm:t>
    </dgm:pt>
    <dgm:pt modelId="{1EF1B309-770A-426F-889E-5A7BA7DDC481}" type="sibTrans" cxnId="{C64A5DEB-7EB8-4966-93F2-9932B084B4EE}">
      <dgm:prSet/>
      <dgm:spPr/>
      <dgm:t>
        <a:bodyPr/>
        <a:lstStyle/>
        <a:p>
          <a:endParaRPr lang="en-US"/>
        </a:p>
      </dgm:t>
    </dgm:pt>
    <dgm:pt modelId="{1BA80E35-60A6-442A-B701-ECD49547BF2B}">
      <dgm:prSet phldrT="[Text]"/>
      <dgm:spPr/>
      <dgm:t>
        <a:bodyPr/>
        <a:lstStyle/>
        <a:p>
          <a:r>
            <a:rPr lang="en-US"/>
            <a:t>Secondary</a:t>
          </a:r>
        </a:p>
      </dgm:t>
    </dgm:pt>
    <dgm:pt modelId="{5B61EB99-CFDB-474F-897B-8A886BEC5049}" type="parTrans" cxnId="{B846042D-5EFC-4979-98B5-C76ED7AB9226}">
      <dgm:prSet/>
      <dgm:spPr/>
      <dgm:t>
        <a:bodyPr/>
        <a:lstStyle/>
        <a:p>
          <a:endParaRPr lang="en-US"/>
        </a:p>
      </dgm:t>
    </dgm:pt>
    <dgm:pt modelId="{9B4E5289-341F-45ED-8BFD-2D495C3E52CF}" type="sibTrans" cxnId="{B846042D-5EFC-4979-98B5-C76ED7AB9226}">
      <dgm:prSet/>
      <dgm:spPr/>
      <dgm:t>
        <a:bodyPr/>
        <a:lstStyle/>
        <a:p>
          <a:endParaRPr lang="en-US"/>
        </a:p>
      </dgm:t>
    </dgm:pt>
    <dgm:pt modelId="{987C5667-0153-4D5B-87E3-17A27A79DB7D}" type="pres">
      <dgm:prSet presAssocID="{43C0AC39-C9E5-4937-9367-73BEA76C2ECA}" presName="hierChild1" presStyleCnt="0">
        <dgm:presLayoutVars>
          <dgm:chPref val="1"/>
          <dgm:dir/>
          <dgm:animOne val="branch"/>
          <dgm:animLvl val="lvl"/>
          <dgm:resizeHandles/>
        </dgm:presLayoutVars>
      </dgm:prSet>
      <dgm:spPr/>
      <dgm:t>
        <a:bodyPr/>
        <a:lstStyle/>
        <a:p>
          <a:endParaRPr lang="en-US"/>
        </a:p>
      </dgm:t>
    </dgm:pt>
    <dgm:pt modelId="{39A57216-8141-4A96-88D1-92BB6EC9AE97}" type="pres">
      <dgm:prSet presAssocID="{DB4AAFF2-E800-46F4-AFFF-6EF46C9EA23B}" presName="hierRoot1" presStyleCnt="0"/>
      <dgm:spPr/>
    </dgm:pt>
    <dgm:pt modelId="{76BA32EB-EACF-4FC3-A1E8-8A53FB57B72D}" type="pres">
      <dgm:prSet presAssocID="{DB4AAFF2-E800-46F4-AFFF-6EF46C9EA23B}" presName="composite" presStyleCnt="0"/>
      <dgm:spPr/>
    </dgm:pt>
    <dgm:pt modelId="{1CC196EE-1C10-4D6B-8477-46FCBFD33095}" type="pres">
      <dgm:prSet presAssocID="{DB4AAFF2-E800-46F4-AFFF-6EF46C9EA23B}" presName="background" presStyleLbl="node0" presStyleIdx="0" presStyleCnt="1"/>
      <dgm:spPr/>
    </dgm:pt>
    <dgm:pt modelId="{7C14271A-D615-4A93-9410-CC4B48FD41FD}" type="pres">
      <dgm:prSet presAssocID="{DB4AAFF2-E800-46F4-AFFF-6EF46C9EA23B}" presName="text" presStyleLbl="fgAcc0" presStyleIdx="0" presStyleCnt="1">
        <dgm:presLayoutVars>
          <dgm:chPref val="3"/>
        </dgm:presLayoutVars>
      </dgm:prSet>
      <dgm:spPr/>
      <dgm:t>
        <a:bodyPr/>
        <a:lstStyle/>
        <a:p>
          <a:endParaRPr lang="en-US"/>
        </a:p>
      </dgm:t>
    </dgm:pt>
    <dgm:pt modelId="{07ECBD03-46C8-4372-8DBE-9EDE1987B164}" type="pres">
      <dgm:prSet presAssocID="{DB4AAFF2-E800-46F4-AFFF-6EF46C9EA23B}" presName="hierChild2" presStyleCnt="0"/>
      <dgm:spPr/>
    </dgm:pt>
    <dgm:pt modelId="{8AC67D40-E1BB-4E8B-99F3-2D1FC6FCA307}" type="pres">
      <dgm:prSet presAssocID="{C71A7DC6-419C-4B4D-A45B-565141A4F0F2}" presName="Name10" presStyleLbl="parChTrans1D2" presStyleIdx="0" presStyleCnt="2"/>
      <dgm:spPr/>
      <dgm:t>
        <a:bodyPr/>
        <a:lstStyle/>
        <a:p>
          <a:endParaRPr lang="en-US"/>
        </a:p>
      </dgm:t>
    </dgm:pt>
    <dgm:pt modelId="{64E435C6-18A0-47B6-A7F3-AB604DC46229}" type="pres">
      <dgm:prSet presAssocID="{B7F7B388-E32C-49B2-8C5F-1D839C82414A}" presName="hierRoot2" presStyleCnt="0"/>
      <dgm:spPr/>
    </dgm:pt>
    <dgm:pt modelId="{B28F91E8-CB49-4B91-AC9B-FB89EB1DFE2D}" type="pres">
      <dgm:prSet presAssocID="{B7F7B388-E32C-49B2-8C5F-1D839C82414A}" presName="composite2" presStyleCnt="0"/>
      <dgm:spPr/>
    </dgm:pt>
    <dgm:pt modelId="{92E8EE89-538B-415E-9C8B-4BBE81EE5616}" type="pres">
      <dgm:prSet presAssocID="{B7F7B388-E32C-49B2-8C5F-1D839C82414A}" presName="background2" presStyleLbl="node2" presStyleIdx="0" presStyleCnt="2"/>
      <dgm:spPr/>
    </dgm:pt>
    <dgm:pt modelId="{7860B30B-7074-4163-AD69-A3E1D8F0EDA6}" type="pres">
      <dgm:prSet presAssocID="{B7F7B388-E32C-49B2-8C5F-1D839C82414A}" presName="text2" presStyleLbl="fgAcc2" presStyleIdx="0" presStyleCnt="2">
        <dgm:presLayoutVars>
          <dgm:chPref val="3"/>
        </dgm:presLayoutVars>
      </dgm:prSet>
      <dgm:spPr/>
      <dgm:t>
        <a:bodyPr/>
        <a:lstStyle/>
        <a:p>
          <a:endParaRPr lang="en-US"/>
        </a:p>
      </dgm:t>
    </dgm:pt>
    <dgm:pt modelId="{1C7BB2B7-4816-44B9-8420-3F6C8D13F5F2}" type="pres">
      <dgm:prSet presAssocID="{B7F7B388-E32C-49B2-8C5F-1D839C82414A}" presName="hierChild3" presStyleCnt="0"/>
      <dgm:spPr/>
    </dgm:pt>
    <dgm:pt modelId="{54098600-380C-4FF1-B83D-D4E3F159746F}" type="pres">
      <dgm:prSet presAssocID="{5B61EB99-CFDB-474F-897B-8A886BEC5049}" presName="Name10" presStyleLbl="parChTrans1D2" presStyleIdx="1" presStyleCnt="2"/>
      <dgm:spPr/>
      <dgm:t>
        <a:bodyPr/>
        <a:lstStyle/>
        <a:p>
          <a:endParaRPr lang="en-US"/>
        </a:p>
      </dgm:t>
    </dgm:pt>
    <dgm:pt modelId="{BEB61DFE-DDF4-4D5F-95DC-9ECF3A24FCDB}" type="pres">
      <dgm:prSet presAssocID="{1BA80E35-60A6-442A-B701-ECD49547BF2B}" presName="hierRoot2" presStyleCnt="0"/>
      <dgm:spPr/>
    </dgm:pt>
    <dgm:pt modelId="{3710D362-A9A9-4EAF-A9F7-369246446631}" type="pres">
      <dgm:prSet presAssocID="{1BA80E35-60A6-442A-B701-ECD49547BF2B}" presName="composite2" presStyleCnt="0"/>
      <dgm:spPr/>
    </dgm:pt>
    <dgm:pt modelId="{C12C0C48-AF5B-4D1B-AE6C-B30387A9D3C2}" type="pres">
      <dgm:prSet presAssocID="{1BA80E35-60A6-442A-B701-ECD49547BF2B}" presName="background2" presStyleLbl="node2" presStyleIdx="1" presStyleCnt="2"/>
      <dgm:spPr/>
    </dgm:pt>
    <dgm:pt modelId="{2A6B64CE-E482-430E-B7A7-B2FD780F4511}" type="pres">
      <dgm:prSet presAssocID="{1BA80E35-60A6-442A-B701-ECD49547BF2B}" presName="text2" presStyleLbl="fgAcc2" presStyleIdx="1" presStyleCnt="2">
        <dgm:presLayoutVars>
          <dgm:chPref val="3"/>
        </dgm:presLayoutVars>
      </dgm:prSet>
      <dgm:spPr/>
      <dgm:t>
        <a:bodyPr/>
        <a:lstStyle/>
        <a:p>
          <a:endParaRPr lang="en-US"/>
        </a:p>
      </dgm:t>
    </dgm:pt>
    <dgm:pt modelId="{D6DAF92B-5060-45D5-8C8C-6828B19A17AA}" type="pres">
      <dgm:prSet presAssocID="{1BA80E35-60A6-442A-B701-ECD49547BF2B}" presName="hierChild3" presStyleCnt="0"/>
      <dgm:spPr/>
    </dgm:pt>
  </dgm:ptLst>
  <dgm:cxnLst>
    <dgm:cxn modelId="{0384E832-657C-4214-889F-3F3813C9978B}" type="presOf" srcId="{43C0AC39-C9E5-4937-9367-73BEA76C2ECA}" destId="{987C5667-0153-4D5B-87E3-17A27A79DB7D}" srcOrd="0" destOrd="0" presId="urn:microsoft.com/office/officeart/2005/8/layout/hierarchy1"/>
    <dgm:cxn modelId="{B846042D-5EFC-4979-98B5-C76ED7AB9226}" srcId="{DB4AAFF2-E800-46F4-AFFF-6EF46C9EA23B}" destId="{1BA80E35-60A6-442A-B701-ECD49547BF2B}" srcOrd="1" destOrd="0" parTransId="{5B61EB99-CFDB-474F-897B-8A886BEC5049}" sibTransId="{9B4E5289-341F-45ED-8BFD-2D495C3E52CF}"/>
    <dgm:cxn modelId="{C64A5DEB-7EB8-4966-93F2-9932B084B4EE}" srcId="{DB4AAFF2-E800-46F4-AFFF-6EF46C9EA23B}" destId="{B7F7B388-E32C-49B2-8C5F-1D839C82414A}" srcOrd="0" destOrd="0" parTransId="{C71A7DC6-419C-4B4D-A45B-565141A4F0F2}" sibTransId="{1EF1B309-770A-426F-889E-5A7BA7DDC481}"/>
    <dgm:cxn modelId="{91D4487C-3C7D-481A-ACD7-55B7BE152DA0}" type="presOf" srcId="{5B61EB99-CFDB-474F-897B-8A886BEC5049}" destId="{54098600-380C-4FF1-B83D-D4E3F159746F}" srcOrd="0" destOrd="0" presId="urn:microsoft.com/office/officeart/2005/8/layout/hierarchy1"/>
    <dgm:cxn modelId="{6840C176-0A0D-4F8C-A254-E93216CB11C1}" type="presOf" srcId="{DB4AAFF2-E800-46F4-AFFF-6EF46C9EA23B}" destId="{7C14271A-D615-4A93-9410-CC4B48FD41FD}" srcOrd="0" destOrd="0" presId="urn:microsoft.com/office/officeart/2005/8/layout/hierarchy1"/>
    <dgm:cxn modelId="{E66BD3B4-1E44-4A8E-A313-7B31601144E6}" type="presOf" srcId="{1BA80E35-60A6-442A-B701-ECD49547BF2B}" destId="{2A6B64CE-E482-430E-B7A7-B2FD780F4511}" srcOrd="0" destOrd="0" presId="urn:microsoft.com/office/officeart/2005/8/layout/hierarchy1"/>
    <dgm:cxn modelId="{93FCEABC-5D89-47E1-A3B1-B56923EAF39A}" srcId="{43C0AC39-C9E5-4937-9367-73BEA76C2ECA}" destId="{DB4AAFF2-E800-46F4-AFFF-6EF46C9EA23B}" srcOrd="0" destOrd="0" parTransId="{BACF5FA5-CCF4-4DE8-80B8-8C4BDE029A99}" sibTransId="{F321695D-1D6A-4C44-A6CC-D14EE9700919}"/>
    <dgm:cxn modelId="{5E8968B8-10B9-478F-B09F-A9B50100E36B}" type="presOf" srcId="{C71A7DC6-419C-4B4D-A45B-565141A4F0F2}" destId="{8AC67D40-E1BB-4E8B-99F3-2D1FC6FCA307}" srcOrd="0" destOrd="0" presId="urn:microsoft.com/office/officeart/2005/8/layout/hierarchy1"/>
    <dgm:cxn modelId="{FD0582E7-C82F-48E3-A6CE-60D48C1B5C8D}" type="presOf" srcId="{B7F7B388-E32C-49B2-8C5F-1D839C82414A}" destId="{7860B30B-7074-4163-AD69-A3E1D8F0EDA6}" srcOrd="0" destOrd="0" presId="urn:microsoft.com/office/officeart/2005/8/layout/hierarchy1"/>
    <dgm:cxn modelId="{3A170D3B-EFF4-46A0-A210-53876333C408}" type="presParOf" srcId="{987C5667-0153-4D5B-87E3-17A27A79DB7D}" destId="{39A57216-8141-4A96-88D1-92BB6EC9AE97}" srcOrd="0" destOrd="0" presId="urn:microsoft.com/office/officeart/2005/8/layout/hierarchy1"/>
    <dgm:cxn modelId="{4C5861BD-8D80-4C0C-B837-7C72DFA5DF41}" type="presParOf" srcId="{39A57216-8141-4A96-88D1-92BB6EC9AE97}" destId="{76BA32EB-EACF-4FC3-A1E8-8A53FB57B72D}" srcOrd="0" destOrd="0" presId="urn:microsoft.com/office/officeart/2005/8/layout/hierarchy1"/>
    <dgm:cxn modelId="{882B7675-80C8-48CD-8F1F-8C2263E698D0}" type="presParOf" srcId="{76BA32EB-EACF-4FC3-A1E8-8A53FB57B72D}" destId="{1CC196EE-1C10-4D6B-8477-46FCBFD33095}" srcOrd="0" destOrd="0" presId="urn:microsoft.com/office/officeart/2005/8/layout/hierarchy1"/>
    <dgm:cxn modelId="{7A7C7017-D93E-4155-842F-95BDE0011800}" type="presParOf" srcId="{76BA32EB-EACF-4FC3-A1E8-8A53FB57B72D}" destId="{7C14271A-D615-4A93-9410-CC4B48FD41FD}" srcOrd="1" destOrd="0" presId="urn:microsoft.com/office/officeart/2005/8/layout/hierarchy1"/>
    <dgm:cxn modelId="{68D7A00A-0EEA-4E6E-96E2-533D0EEC3B10}" type="presParOf" srcId="{39A57216-8141-4A96-88D1-92BB6EC9AE97}" destId="{07ECBD03-46C8-4372-8DBE-9EDE1987B164}" srcOrd="1" destOrd="0" presId="urn:microsoft.com/office/officeart/2005/8/layout/hierarchy1"/>
    <dgm:cxn modelId="{8BC38763-7FDF-4EE0-96BF-3CF0C3DA124C}" type="presParOf" srcId="{07ECBD03-46C8-4372-8DBE-9EDE1987B164}" destId="{8AC67D40-E1BB-4E8B-99F3-2D1FC6FCA307}" srcOrd="0" destOrd="0" presId="urn:microsoft.com/office/officeart/2005/8/layout/hierarchy1"/>
    <dgm:cxn modelId="{F1EA99F9-D0BC-4714-B81D-D537D0CC0FF1}" type="presParOf" srcId="{07ECBD03-46C8-4372-8DBE-9EDE1987B164}" destId="{64E435C6-18A0-47B6-A7F3-AB604DC46229}" srcOrd="1" destOrd="0" presId="urn:microsoft.com/office/officeart/2005/8/layout/hierarchy1"/>
    <dgm:cxn modelId="{F4B25517-B66A-4C14-9A1A-36C5A056BA61}" type="presParOf" srcId="{64E435C6-18A0-47B6-A7F3-AB604DC46229}" destId="{B28F91E8-CB49-4B91-AC9B-FB89EB1DFE2D}" srcOrd="0" destOrd="0" presId="urn:microsoft.com/office/officeart/2005/8/layout/hierarchy1"/>
    <dgm:cxn modelId="{A35A609C-72A3-4525-A02C-69865F810618}" type="presParOf" srcId="{B28F91E8-CB49-4B91-AC9B-FB89EB1DFE2D}" destId="{92E8EE89-538B-415E-9C8B-4BBE81EE5616}" srcOrd="0" destOrd="0" presId="urn:microsoft.com/office/officeart/2005/8/layout/hierarchy1"/>
    <dgm:cxn modelId="{0ED77A63-A100-4856-91F1-75E11F65E867}" type="presParOf" srcId="{B28F91E8-CB49-4B91-AC9B-FB89EB1DFE2D}" destId="{7860B30B-7074-4163-AD69-A3E1D8F0EDA6}" srcOrd="1" destOrd="0" presId="urn:microsoft.com/office/officeart/2005/8/layout/hierarchy1"/>
    <dgm:cxn modelId="{BBA3B6D0-6B3F-41A3-8FE4-DCC7707B2EDC}" type="presParOf" srcId="{64E435C6-18A0-47B6-A7F3-AB604DC46229}" destId="{1C7BB2B7-4816-44B9-8420-3F6C8D13F5F2}" srcOrd="1" destOrd="0" presId="urn:microsoft.com/office/officeart/2005/8/layout/hierarchy1"/>
    <dgm:cxn modelId="{2FA4414C-F2A3-444E-8CA8-B5BB8FE865F1}" type="presParOf" srcId="{07ECBD03-46C8-4372-8DBE-9EDE1987B164}" destId="{54098600-380C-4FF1-B83D-D4E3F159746F}" srcOrd="2" destOrd="0" presId="urn:microsoft.com/office/officeart/2005/8/layout/hierarchy1"/>
    <dgm:cxn modelId="{47191A64-2173-4221-BC60-6F57F92A8A1A}" type="presParOf" srcId="{07ECBD03-46C8-4372-8DBE-9EDE1987B164}" destId="{BEB61DFE-DDF4-4D5F-95DC-9ECF3A24FCDB}" srcOrd="3" destOrd="0" presId="urn:microsoft.com/office/officeart/2005/8/layout/hierarchy1"/>
    <dgm:cxn modelId="{2D873A66-1769-4193-9F79-F1F6DBDCE08D}" type="presParOf" srcId="{BEB61DFE-DDF4-4D5F-95DC-9ECF3A24FCDB}" destId="{3710D362-A9A9-4EAF-A9F7-369246446631}" srcOrd="0" destOrd="0" presId="urn:microsoft.com/office/officeart/2005/8/layout/hierarchy1"/>
    <dgm:cxn modelId="{CEE199CB-343E-497C-B56F-BBBAEC5483AE}" type="presParOf" srcId="{3710D362-A9A9-4EAF-A9F7-369246446631}" destId="{C12C0C48-AF5B-4D1B-AE6C-B30387A9D3C2}" srcOrd="0" destOrd="0" presId="urn:microsoft.com/office/officeart/2005/8/layout/hierarchy1"/>
    <dgm:cxn modelId="{E4203D88-1646-4363-8ABF-59FCE68E6660}" type="presParOf" srcId="{3710D362-A9A9-4EAF-A9F7-369246446631}" destId="{2A6B64CE-E482-430E-B7A7-B2FD780F4511}" srcOrd="1" destOrd="0" presId="urn:microsoft.com/office/officeart/2005/8/layout/hierarchy1"/>
    <dgm:cxn modelId="{C128C543-D2A8-4B23-8F83-EE6946426AE3}" type="presParOf" srcId="{BEB61DFE-DDF4-4D5F-95DC-9ECF3A24FCDB}" destId="{D6DAF92B-5060-45D5-8C8C-6828B19A17AA}" srcOrd="1" destOrd="0" presId="urn:microsoft.com/office/officeart/2005/8/layout/hierarchy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92AFF8F-6167-4714-9F10-977B9042269F}"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04149473-F556-42E3-9416-39E46BE755D6}">
      <dgm:prSet phldrT="[Text]" custT="1"/>
      <dgm:spPr>
        <a:xfrm>
          <a:off x="2404507" y="187"/>
          <a:ext cx="1255298" cy="423016"/>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200">
              <a:solidFill>
                <a:sysClr val="windowText" lastClr="000000"/>
              </a:solidFill>
              <a:latin typeface="Times New Roman" pitchFamily="18" charset="0"/>
              <a:ea typeface="+mn-ea"/>
              <a:cs typeface="Times New Roman" pitchFamily="18" charset="0"/>
            </a:rPr>
            <a:t>Financial System of Bangladesh</a:t>
          </a:r>
        </a:p>
      </dgm:t>
    </dgm:pt>
    <dgm:pt modelId="{7079757F-B5FB-4B70-8125-0E7DE6705382}" type="parTrans" cxnId="{80A228B1-B07B-48ED-84D4-291D0ABDC49B}">
      <dgm:prSet/>
      <dgm:spPr/>
      <dgm:t>
        <a:bodyPr/>
        <a:lstStyle/>
        <a:p>
          <a:endParaRPr lang="en-US"/>
        </a:p>
      </dgm:t>
    </dgm:pt>
    <dgm:pt modelId="{8FA34254-2B2A-4844-880C-5662FF096590}" type="sibTrans" cxnId="{80A228B1-B07B-48ED-84D4-291D0ABDC49B}">
      <dgm:prSet/>
      <dgm:spPr/>
      <dgm:t>
        <a:bodyPr/>
        <a:lstStyle/>
        <a:p>
          <a:endParaRPr lang="en-US"/>
        </a:p>
      </dgm:t>
    </dgm:pt>
    <dgm:pt modelId="{014AD4D8-C08D-40EA-A16E-8EB82C756F1B}">
      <dgm:prSet phldrT="[Text]" custT="1"/>
      <dgm:spPr>
        <a:xfrm>
          <a:off x="655551" y="505568"/>
          <a:ext cx="1173248" cy="287273"/>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200">
              <a:solidFill>
                <a:sysClr val="windowText" lastClr="000000"/>
              </a:solidFill>
              <a:latin typeface="Times New Roman" pitchFamily="18" charset="0"/>
              <a:ea typeface="+mn-ea"/>
              <a:cs typeface="Times New Roman" pitchFamily="18" charset="0"/>
            </a:rPr>
            <a:t>Formal Sector</a:t>
          </a:r>
        </a:p>
      </dgm:t>
    </dgm:pt>
    <dgm:pt modelId="{6D1D08B8-F5D0-4E0D-8C78-62D716D0E0DD}" type="parTrans" cxnId="{96EB47B4-2B02-4E25-8A53-41107010678D}">
      <dgm:prSet/>
      <dgm:spPr>
        <a:xfrm>
          <a:off x="1242175" y="377484"/>
          <a:ext cx="1789980" cy="91440"/>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6E526BF0-EE8B-4042-94EC-DED6F8668997}" type="sibTrans" cxnId="{96EB47B4-2B02-4E25-8A53-41107010678D}">
      <dgm:prSet/>
      <dgm:spPr/>
      <dgm:t>
        <a:bodyPr/>
        <a:lstStyle/>
        <a:p>
          <a:endParaRPr lang="en-US"/>
        </a:p>
      </dgm:t>
    </dgm:pt>
    <dgm:pt modelId="{12519D1F-5831-44C3-9AF3-EB3D4550CAF9}">
      <dgm:prSet phldrT="[Text]" custT="1"/>
      <dgm:spPr>
        <a:xfrm>
          <a:off x="77638" y="875205"/>
          <a:ext cx="1055476" cy="399231"/>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200">
              <a:solidFill>
                <a:sysClr val="windowText" lastClr="000000"/>
              </a:solidFill>
              <a:latin typeface="Times New Roman" pitchFamily="18" charset="0"/>
              <a:ea typeface="+mn-ea"/>
              <a:cs typeface="Times New Roman" pitchFamily="18" charset="0"/>
            </a:rPr>
            <a:t>Financial Market</a:t>
          </a:r>
        </a:p>
      </dgm:t>
    </dgm:pt>
    <dgm:pt modelId="{61C1E316-5C0D-4158-90BC-208F8381A26A}" type="parTrans" cxnId="{FD262EA9-C83F-4BBB-BC1F-DDC3254A01AC}">
      <dgm:prSet/>
      <dgm:spPr>
        <a:xfrm>
          <a:off x="605376" y="747121"/>
          <a:ext cx="636799" cy="91440"/>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77CD5C2E-3B8F-40C6-BD52-24334F067AEB}" type="sibTrans" cxnId="{FD262EA9-C83F-4BBB-BC1F-DDC3254A01AC}">
      <dgm:prSet/>
      <dgm:spPr/>
      <dgm:t>
        <a:bodyPr/>
        <a:lstStyle/>
        <a:p>
          <a:endParaRPr lang="en-US"/>
        </a:p>
      </dgm:t>
    </dgm:pt>
    <dgm:pt modelId="{629DD0BD-0258-4308-81EF-D0BBF01778A5}">
      <dgm:prSet phldrT="[Text]" custT="1"/>
      <dgm:spPr>
        <a:xfrm>
          <a:off x="1218133" y="875205"/>
          <a:ext cx="1188580" cy="362351"/>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200">
              <a:solidFill>
                <a:sysClr val="windowText" lastClr="000000"/>
              </a:solidFill>
              <a:latin typeface="Times New Roman" pitchFamily="18" charset="0"/>
              <a:ea typeface="+mn-ea"/>
              <a:cs typeface="Times New Roman" pitchFamily="18" charset="0"/>
            </a:rPr>
            <a:t>Regulators &amp; Institutions</a:t>
          </a:r>
        </a:p>
      </dgm:t>
    </dgm:pt>
    <dgm:pt modelId="{6F8AC160-4526-4D64-84AC-D3C994AD3903}" type="parTrans" cxnId="{DA2406B6-40CB-464D-9A72-239311C169D9}">
      <dgm:prSet/>
      <dgm:spPr>
        <a:xfrm>
          <a:off x="1242175" y="747121"/>
          <a:ext cx="570247" cy="91440"/>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8F1CEAE0-5BAD-4A32-9AF8-C26641655B46}" type="sibTrans" cxnId="{DA2406B6-40CB-464D-9A72-239311C169D9}">
      <dgm:prSet/>
      <dgm:spPr/>
      <dgm:t>
        <a:bodyPr/>
        <a:lstStyle/>
        <a:p>
          <a:endParaRPr lang="en-US"/>
        </a:p>
      </dgm:t>
    </dgm:pt>
    <dgm:pt modelId="{C62ED304-525F-48DB-A5E8-DF26DBBBA4CA}">
      <dgm:prSet phldrT="[Text]" custT="1"/>
      <dgm:spPr>
        <a:xfrm>
          <a:off x="2830550" y="505568"/>
          <a:ext cx="1333003" cy="372237"/>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200">
              <a:solidFill>
                <a:sysClr val="windowText" lastClr="000000"/>
              </a:solidFill>
              <a:latin typeface="Times New Roman" pitchFamily="18" charset="0"/>
              <a:ea typeface="+mn-ea"/>
              <a:cs typeface="Times New Roman" pitchFamily="18" charset="0"/>
            </a:rPr>
            <a:t>Semi-Formal Sector</a:t>
          </a:r>
        </a:p>
      </dgm:t>
    </dgm:pt>
    <dgm:pt modelId="{60A397E9-D8CB-450C-894F-9008CB95F2ED}" type="parTrans" cxnId="{D9E1817F-7DE3-482A-8A21-767A6C315186}">
      <dgm:prSet/>
      <dgm:spPr>
        <a:xfrm>
          <a:off x="3032156" y="377484"/>
          <a:ext cx="464895" cy="91440"/>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E0746FBA-3505-408F-B6C4-4B861A94ADB8}" type="sibTrans" cxnId="{D9E1817F-7DE3-482A-8A21-767A6C315186}">
      <dgm:prSet/>
      <dgm:spPr/>
      <dgm:t>
        <a:bodyPr/>
        <a:lstStyle/>
        <a:p>
          <a:endParaRPr lang="en-US"/>
        </a:p>
      </dgm:t>
    </dgm:pt>
    <dgm:pt modelId="{FCFBC0EB-E08C-45BF-9C14-554AB8A01CAE}">
      <dgm:prSet custT="1"/>
      <dgm:spPr>
        <a:xfrm>
          <a:off x="4245917" y="505568"/>
          <a:ext cx="1162843" cy="398831"/>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200">
              <a:solidFill>
                <a:sysClr val="windowText" lastClr="000000"/>
              </a:solidFill>
              <a:latin typeface="Times New Roman" pitchFamily="18" charset="0"/>
              <a:ea typeface="+mn-ea"/>
              <a:cs typeface="Times New Roman" pitchFamily="18" charset="0"/>
            </a:rPr>
            <a:t>Informal Sector</a:t>
          </a:r>
        </a:p>
      </dgm:t>
    </dgm:pt>
    <dgm:pt modelId="{21741149-196E-4F2E-893D-D5F172B29997}" type="parTrans" cxnId="{E2B2AEE6-EDC7-49F1-AC3C-DD3594D7FA3F}">
      <dgm:prSet/>
      <dgm:spPr>
        <a:xfrm>
          <a:off x="3032156" y="377484"/>
          <a:ext cx="1795183" cy="91440"/>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43873977-9329-4C08-9DF2-22ED68B11222}" type="sibTrans" cxnId="{E2B2AEE6-EDC7-49F1-AC3C-DD3594D7FA3F}">
      <dgm:prSet/>
      <dgm:spPr/>
      <dgm:t>
        <a:bodyPr/>
        <a:lstStyle/>
        <a:p>
          <a:endParaRPr lang="en-US"/>
        </a:p>
      </dgm:t>
    </dgm:pt>
    <dgm:pt modelId="{5A5073B9-1339-4443-A2AA-89AF31A0AD90}">
      <dgm:prSet custT="1"/>
      <dgm:spPr>
        <a:xfrm>
          <a:off x="1349177" y="1320108"/>
          <a:ext cx="1566159" cy="1880291"/>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just"/>
          <a:r>
            <a:rPr lang="en-US" sz="1200">
              <a:solidFill>
                <a:sysClr val="windowText" lastClr="000000"/>
              </a:solidFill>
              <a:latin typeface="Times New Roman" pitchFamily="18" charset="0"/>
              <a:ea typeface="+mn-ea"/>
              <a:cs typeface="Times New Roman" pitchFamily="18" charset="0"/>
            </a:rPr>
            <a:t>1.Bangladesh </a:t>
          </a:r>
          <a:r>
            <a:rPr lang="en-US" sz="1200" b="0">
              <a:solidFill>
                <a:sysClr val="windowText" lastClr="000000"/>
              </a:solidFill>
              <a:latin typeface="Times New Roman" pitchFamily="18" charset="0"/>
              <a:ea typeface="+mn-ea"/>
              <a:cs typeface="Times New Roman" pitchFamily="18" charset="0"/>
            </a:rPr>
            <a:t>Bank</a:t>
          </a:r>
          <a:endParaRPr lang="en-US" sz="1200">
            <a:solidFill>
              <a:sysClr val="windowText" lastClr="000000"/>
            </a:solidFill>
            <a:latin typeface="Times New Roman" pitchFamily="18" charset="0"/>
            <a:ea typeface="+mn-ea"/>
            <a:cs typeface="Times New Roman" pitchFamily="18" charset="0"/>
          </a:endParaRPr>
        </a:p>
        <a:p>
          <a:pPr algn="just"/>
          <a:r>
            <a:rPr lang="en-US" sz="1200">
              <a:solidFill>
                <a:sysClr val="windowText" lastClr="000000"/>
              </a:solidFill>
              <a:latin typeface="Times New Roman" pitchFamily="18" charset="0"/>
              <a:ea typeface="+mn-ea"/>
              <a:cs typeface="Times New Roman" pitchFamily="18" charset="0"/>
            </a:rPr>
            <a:t>2.InsuranceDevelopment and regulatory Authority</a:t>
          </a:r>
        </a:p>
        <a:p>
          <a:pPr algn="just"/>
          <a:r>
            <a:rPr lang="en-US" sz="1200">
              <a:solidFill>
                <a:sysClr val="windowText" lastClr="000000"/>
              </a:solidFill>
              <a:latin typeface="Times New Roman" pitchFamily="18" charset="0"/>
              <a:ea typeface="+mn-ea"/>
              <a:cs typeface="Times New Roman" pitchFamily="18" charset="0"/>
            </a:rPr>
            <a:t>3.Securities and Exchange Commission</a:t>
          </a:r>
        </a:p>
        <a:p>
          <a:pPr algn="just"/>
          <a:r>
            <a:rPr lang="en-US" sz="1200">
              <a:solidFill>
                <a:sysClr val="windowText" lastClr="000000"/>
              </a:solidFill>
              <a:latin typeface="Times New Roman" pitchFamily="18" charset="0"/>
              <a:ea typeface="+mn-ea"/>
              <a:cs typeface="Times New Roman" pitchFamily="18" charset="0"/>
            </a:rPr>
            <a:t>4.Microcredit Regulatory Authority</a:t>
          </a:r>
        </a:p>
        <a:p>
          <a:pPr algn="ctr"/>
          <a:endParaRPr lang="en-US" sz="1200">
            <a:solidFill>
              <a:sysClr val="windowText" lastClr="000000"/>
            </a:solidFill>
            <a:latin typeface="Times New Roman" pitchFamily="18" charset="0"/>
            <a:ea typeface="+mn-ea"/>
            <a:cs typeface="Times New Roman" pitchFamily="18" charset="0"/>
          </a:endParaRPr>
        </a:p>
      </dgm:t>
    </dgm:pt>
    <dgm:pt modelId="{338C83B4-9A7D-4801-A347-1066838B90BD}" type="parTrans" cxnId="{745500A8-A819-453A-83E6-ACAE9C353977}">
      <dgm:prSet/>
      <dgm:spPr>
        <a:xfrm>
          <a:off x="1291271" y="1237557"/>
          <a:ext cx="91440" cy="1022697"/>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94F22284-F761-4211-AC6F-DCCCC3E7690B}" type="sibTrans" cxnId="{745500A8-A819-453A-83E6-ACAE9C353977}">
      <dgm:prSet/>
      <dgm:spPr/>
      <dgm:t>
        <a:bodyPr/>
        <a:lstStyle/>
        <a:p>
          <a:endParaRPr lang="en-US"/>
        </a:p>
      </dgm:t>
    </dgm:pt>
    <dgm:pt modelId="{A629F9AD-0B0D-4657-AFE7-5B36A0E59BD1}">
      <dgm:prSet custT="1"/>
      <dgm:spPr>
        <a:xfrm>
          <a:off x="119744" y="1788110"/>
          <a:ext cx="1091406" cy="1327967"/>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just"/>
          <a:r>
            <a:rPr lang="en-US" sz="1200">
              <a:solidFill>
                <a:sysClr val="windowText" lastClr="000000"/>
              </a:solidFill>
              <a:latin typeface="Times New Roman" pitchFamily="18" charset="0"/>
              <a:ea typeface="+mn-ea"/>
              <a:cs typeface="Times New Roman" pitchFamily="18" charset="0"/>
            </a:rPr>
            <a:t>1.Capital Market</a:t>
          </a:r>
        </a:p>
        <a:p>
          <a:pPr algn="just"/>
          <a:r>
            <a:rPr lang="en-US" sz="1200">
              <a:solidFill>
                <a:sysClr val="windowText" lastClr="000000"/>
              </a:solidFill>
              <a:latin typeface="Times New Roman" pitchFamily="18" charset="0"/>
              <a:ea typeface="+mn-ea"/>
              <a:cs typeface="Times New Roman" pitchFamily="18" charset="0"/>
            </a:rPr>
            <a:t>2.Money Market</a:t>
          </a:r>
        </a:p>
        <a:p>
          <a:pPr algn="just"/>
          <a:r>
            <a:rPr lang="en-US" sz="1200">
              <a:solidFill>
                <a:sysClr val="windowText" lastClr="000000"/>
              </a:solidFill>
              <a:latin typeface="Times New Roman" pitchFamily="18" charset="0"/>
              <a:ea typeface="+mn-ea"/>
              <a:cs typeface="Times New Roman" pitchFamily="18" charset="0"/>
            </a:rPr>
            <a:t>3.Foreign Exchange Market</a:t>
          </a:r>
        </a:p>
      </dgm:t>
    </dgm:pt>
    <dgm:pt modelId="{5583C5F1-1460-4242-8D88-05E61F07C832}" type="parTrans" cxnId="{03E9C253-0B16-422D-82E2-D8AD847321D2}">
      <dgm:prSet/>
      <dgm:spPr>
        <a:xfrm>
          <a:off x="74024" y="1274436"/>
          <a:ext cx="91440" cy="1177657"/>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3793D579-406D-46E5-BF6A-0EAC04FF2E0C}" type="sibTrans" cxnId="{03E9C253-0B16-422D-82E2-D8AD847321D2}">
      <dgm:prSet/>
      <dgm:spPr/>
      <dgm:t>
        <a:bodyPr/>
        <a:lstStyle/>
        <a:p>
          <a:endParaRPr lang="en-US"/>
        </a:p>
      </dgm:t>
    </dgm:pt>
    <dgm:pt modelId="{AA7E943D-557D-47AA-B1B8-45807E042238}">
      <dgm:prSet custT="1"/>
      <dgm:spPr>
        <a:xfrm>
          <a:off x="3163801" y="960169"/>
          <a:ext cx="2153770" cy="1190596"/>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just"/>
          <a:r>
            <a:rPr lang="en-US" sz="1200">
              <a:solidFill>
                <a:sysClr val="windowText" lastClr="000000"/>
              </a:solidFill>
              <a:latin typeface="Times New Roman" pitchFamily="18" charset="0"/>
              <a:ea typeface="+mn-ea"/>
              <a:cs typeface="Times New Roman" pitchFamily="18" charset="0"/>
            </a:rPr>
            <a:t>1.House Building Finance Corporation</a:t>
          </a:r>
        </a:p>
        <a:p>
          <a:pPr algn="just"/>
          <a:r>
            <a:rPr lang="en-US" sz="1200">
              <a:solidFill>
                <a:sysClr val="windowText" lastClr="000000"/>
              </a:solidFill>
              <a:latin typeface="Times New Roman" pitchFamily="18" charset="0"/>
              <a:ea typeface="+mn-ea"/>
              <a:cs typeface="Times New Roman" pitchFamily="18" charset="0"/>
            </a:rPr>
            <a:t>2.Palli Karma Sahayak Foundation</a:t>
          </a:r>
        </a:p>
        <a:p>
          <a:pPr algn="just"/>
          <a:r>
            <a:rPr lang="en-US" sz="1200">
              <a:solidFill>
                <a:sysClr val="windowText" lastClr="000000"/>
              </a:solidFill>
              <a:latin typeface="Times New Roman" pitchFamily="18" charset="0"/>
              <a:ea typeface="+mn-ea"/>
              <a:cs typeface="Times New Roman" pitchFamily="18" charset="0"/>
            </a:rPr>
            <a:t>3.Samabay Bank</a:t>
          </a:r>
        </a:p>
        <a:p>
          <a:pPr algn="just"/>
          <a:r>
            <a:rPr lang="en-US" sz="1200">
              <a:solidFill>
                <a:sysClr val="windowText" lastClr="000000"/>
              </a:solidFill>
              <a:latin typeface="Times New Roman" pitchFamily="18" charset="0"/>
              <a:ea typeface="+mn-ea"/>
              <a:cs typeface="Times New Roman" pitchFamily="18" charset="0"/>
            </a:rPr>
            <a:t>4.Grameen Bank</a:t>
          </a:r>
        </a:p>
      </dgm:t>
    </dgm:pt>
    <dgm:pt modelId="{7B3EAE97-0D2A-4E95-AB5B-4BAC55ECAD98}" type="parTrans" cxnId="{1BA8C9FA-B9F5-4D23-AF59-5DD3C9039E63}">
      <dgm:prSet/>
      <dgm:spPr>
        <a:xfrm>
          <a:off x="2963851" y="877805"/>
          <a:ext cx="199950" cy="677661"/>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BBC5A94-DE69-49DE-8BA1-EDD85AD06968}" type="sibTrans" cxnId="{1BA8C9FA-B9F5-4D23-AF59-5DD3C9039E63}">
      <dgm:prSet/>
      <dgm:spPr/>
      <dgm:t>
        <a:bodyPr/>
        <a:lstStyle/>
        <a:p>
          <a:endParaRPr lang="en-US"/>
        </a:p>
      </dgm:t>
    </dgm:pt>
    <dgm:pt modelId="{E7E8EB80-4AD8-4101-A7C8-EF2356A8EBD0}" type="pres">
      <dgm:prSet presAssocID="{192AFF8F-6167-4714-9F10-977B9042269F}" presName="hierChild1" presStyleCnt="0">
        <dgm:presLayoutVars>
          <dgm:orgChart val="1"/>
          <dgm:chPref val="1"/>
          <dgm:dir/>
          <dgm:animOne val="branch"/>
          <dgm:animLvl val="lvl"/>
          <dgm:resizeHandles/>
        </dgm:presLayoutVars>
      </dgm:prSet>
      <dgm:spPr/>
      <dgm:t>
        <a:bodyPr/>
        <a:lstStyle/>
        <a:p>
          <a:endParaRPr lang="en-US"/>
        </a:p>
      </dgm:t>
    </dgm:pt>
    <dgm:pt modelId="{E73ED284-A9E5-4872-AC13-437CB56CDFD3}" type="pres">
      <dgm:prSet presAssocID="{04149473-F556-42E3-9416-39E46BE755D6}" presName="hierRoot1" presStyleCnt="0">
        <dgm:presLayoutVars>
          <dgm:hierBranch val="init"/>
        </dgm:presLayoutVars>
      </dgm:prSet>
      <dgm:spPr/>
    </dgm:pt>
    <dgm:pt modelId="{D8640992-7ABA-44E2-8A92-B451AF229DD8}" type="pres">
      <dgm:prSet presAssocID="{04149473-F556-42E3-9416-39E46BE755D6}" presName="rootComposite1" presStyleCnt="0"/>
      <dgm:spPr/>
    </dgm:pt>
    <dgm:pt modelId="{3C2E6668-D1A2-4933-BA37-5BB0BFE12E8A}" type="pres">
      <dgm:prSet presAssocID="{04149473-F556-42E3-9416-39E46BE755D6}" presName="rootText1" presStyleLbl="node0" presStyleIdx="0" presStyleCnt="1" custScaleX="320059" custScaleY="215710">
        <dgm:presLayoutVars>
          <dgm:chPref val="3"/>
        </dgm:presLayoutVars>
      </dgm:prSet>
      <dgm:spPr>
        <a:prstGeom prst="rect">
          <a:avLst/>
        </a:prstGeom>
      </dgm:spPr>
      <dgm:t>
        <a:bodyPr/>
        <a:lstStyle/>
        <a:p>
          <a:endParaRPr lang="en-US"/>
        </a:p>
      </dgm:t>
    </dgm:pt>
    <dgm:pt modelId="{10CFF707-FD1B-45E8-9BE3-B21B48362FCC}" type="pres">
      <dgm:prSet presAssocID="{04149473-F556-42E3-9416-39E46BE755D6}" presName="rootConnector1" presStyleLbl="node1" presStyleIdx="0" presStyleCnt="0"/>
      <dgm:spPr/>
      <dgm:t>
        <a:bodyPr/>
        <a:lstStyle/>
        <a:p>
          <a:endParaRPr lang="en-US"/>
        </a:p>
      </dgm:t>
    </dgm:pt>
    <dgm:pt modelId="{E6AC5A07-EB1E-42F9-899B-1590899B9F4F}" type="pres">
      <dgm:prSet presAssocID="{04149473-F556-42E3-9416-39E46BE755D6}" presName="hierChild2" presStyleCnt="0"/>
      <dgm:spPr/>
    </dgm:pt>
    <dgm:pt modelId="{4197F836-B9EC-41DF-A23C-BBF4D9560630}" type="pres">
      <dgm:prSet presAssocID="{6D1D08B8-F5D0-4E0D-8C78-62D716D0E0DD}" presName="Name37" presStyleLbl="parChTrans1D2" presStyleIdx="0" presStyleCnt="3"/>
      <dgm:spPr>
        <a:custGeom>
          <a:avLst/>
          <a:gdLst/>
          <a:ahLst/>
          <a:cxnLst/>
          <a:rect l="0" t="0" r="0" b="0"/>
          <a:pathLst>
            <a:path>
              <a:moveTo>
                <a:pt x="1789980" y="45720"/>
              </a:moveTo>
              <a:lnTo>
                <a:pt x="1789980" y="86901"/>
              </a:lnTo>
              <a:lnTo>
                <a:pt x="0" y="86901"/>
              </a:lnTo>
              <a:lnTo>
                <a:pt x="0" y="128083"/>
              </a:lnTo>
            </a:path>
          </a:pathLst>
        </a:custGeom>
      </dgm:spPr>
      <dgm:t>
        <a:bodyPr/>
        <a:lstStyle/>
        <a:p>
          <a:endParaRPr lang="en-US"/>
        </a:p>
      </dgm:t>
    </dgm:pt>
    <dgm:pt modelId="{2D6A25AB-9B94-4BBC-9DB6-17F4349F4F70}" type="pres">
      <dgm:prSet presAssocID="{014AD4D8-C08D-40EA-A16E-8EB82C756F1B}" presName="hierRoot2" presStyleCnt="0">
        <dgm:presLayoutVars>
          <dgm:hierBranch val="init"/>
        </dgm:presLayoutVars>
      </dgm:prSet>
      <dgm:spPr/>
    </dgm:pt>
    <dgm:pt modelId="{E8BD9BE5-F306-4F5A-976A-B5F951BDA00A}" type="pres">
      <dgm:prSet presAssocID="{014AD4D8-C08D-40EA-A16E-8EB82C756F1B}" presName="rootComposite" presStyleCnt="0"/>
      <dgm:spPr/>
    </dgm:pt>
    <dgm:pt modelId="{5A77498C-7D37-4964-862A-9DE89AB2D836}" type="pres">
      <dgm:prSet presAssocID="{014AD4D8-C08D-40EA-A16E-8EB82C756F1B}" presName="rootText" presStyleLbl="node2" presStyleIdx="0" presStyleCnt="3" custScaleX="299139" custScaleY="146490">
        <dgm:presLayoutVars>
          <dgm:chPref val="3"/>
        </dgm:presLayoutVars>
      </dgm:prSet>
      <dgm:spPr>
        <a:prstGeom prst="rect">
          <a:avLst/>
        </a:prstGeom>
      </dgm:spPr>
      <dgm:t>
        <a:bodyPr/>
        <a:lstStyle/>
        <a:p>
          <a:endParaRPr lang="en-US"/>
        </a:p>
      </dgm:t>
    </dgm:pt>
    <dgm:pt modelId="{59943D85-E170-4B22-A7BC-3F220BF68A50}" type="pres">
      <dgm:prSet presAssocID="{014AD4D8-C08D-40EA-A16E-8EB82C756F1B}" presName="rootConnector" presStyleLbl="node2" presStyleIdx="0" presStyleCnt="3"/>
      <dgm:spPr/>
      <dgm:t>
        <a:bodyPr/>
        <a:lstStyle/>
        <a:p>
          <a:endParaRPr lang="en-US"/>
        </a:p>
      </dgm:t>
    </dgm:pt>
    <dgm:pt modelId="{B39FDBCD-14F7-4276-9B75-64A452B18F26}" type="pres">
      <dgm:prSet presAssocID="{014AD4D8-C08D-40EA-A16E-8EB82C756F1B}" presName="hierChild4" presStyleCnt="0"/>
      <dgm:spPr/>
    </dgm:pt>
    <dgm:pt modelId="{7EBEB594-88C8-4072-AE93-0642CB6E87CE}" type="pres">
      <dgm:prSet presAssocID="{61C1E316-5C0D-4158-90BC-208F8381A26A}" presName="Name37" presStyleLbl="parChTrans1D3" presStyleIdx="0" presStyleCnt="3"/>
      <dgm:spPr>
        <a:custGeom>
          <a:avLst/>
          <a:gdLst/>
          <a:ahLst/>
          <a:cxnLst/>
          <a:rect l="0" t="0" r="0" b="0"/>
          <a:pathLst>
            <a:path>
              <a:moveTo>
                <a:pt x="636799" y="45720"/>
              </a:moveTo>
              <a:lnTo>
                <a:pt x="636799" y="86901"/>
              </a:lnTo>
              <a:lnTo>
                <a:pt x="0" y="86901"/>
              </a:lnTo>
              <a:lnTo>
                <a:pt x="0" y="128083"/>
              </a:lnTo>
            </a:path>
          </a:pathLst>
        </a:custGeom>
      </dgm:spPr>
      <dgm:t>
        <a:bodyPr/>
        <a:lstStyle/>
        <a:p>
          <a:endParaRPr lang="en-US"/>
        </a:p>
      </dgm:t>
    </dgm:pt>
    <dgm:pt modelId="{A3996133-B6AF-4DCB-9DA2-4ED859F588C6}" type="pres">
      <dgm:prSet presAssocID="{12519D1F-5831-44C3-9AF3-EB3D4550CAF9}" presName="hierRoot2" presStyleCnt="0">
        <dgm:presLayoutVars>
          <dgm:hierBranch val="init"/>
        </dgm:presLayoutVars>
      </dgm:prSet>
      <dgm:spPr/>
    </dgm:pt>
    <dgm:pt modelId="{0CE499B2-370E-4348-A17D-C289BF7EC706}" type="pres">
      <dgm:prSet presAssocID="{12519D1F-5831-44C3-9AF3-EB3D4550CAF9}" presName="rootComposite" presStyleCnt="0"/>
      <dgm:spPr/>
    </dgm:pt>
    <dgm:pt modelId="{E53EE38B-2CC6-417C-99CD-656469915131}" type="pres">
      <dgm:prSet presAssocID="{12519D1F-5831-44C3-9AF3-EB3D4550CAF9}" presName="rootText" presStyleLbl="node3" presStyleIdx="0" presStyleCnt="3" custScaleX="269111" custScaleY="203581">
        <dgm:presLayoutVars>
          <dgm:chPref val="3"/>
        </dgm:presLayoutVars>
      </dgm:prSet>
      <dgm:spPr>
        <a:prstGeom prst="rect">
          <a:avLst/>
        </a:prstGeom>
      </dgm:spPr>
      <dgm:t>
        <a:bodyPr/>
        <a:lstStyle/>
        <a:p>
          <a:endParaRPr lang="en-US"/>
        </a:p>
      </dgm:t>
    </dgm:pt>
    <dgm:pt modelId="{1E7C84FC-E272-46DC-A1C1-8035DD9CC52A}" type="pres">
      <dgm:prSet presAssocID="{12519D1F-5831-44C3-9AF3-EB3D4550CAF9}" presName="rootConnector" presStyleLbl="node3" presStyleIdx="0" presStyleCnt="3"/>
      <dgm:spPr/>
      <dgm:t>
        <a:bodyPr/>
        <a:lstStyle/>
        <a:p>
          <a:endParaRPr lang="en-US"/>
        </a:p>
      </dgm:t>
    </dgm:pt>
    <dgm:pt modelId="{C8785696-BDAB-4771-9A6E-911F717320E0}" type="pres">
      <dgm:prSet presAssocID="{12519D1F-5831-44C3-9AF3-EB3D4550CAF9}" presName="hierChild4" presStyleCnt="0"/>
      <dgm:spPr/>
    </dgm:pt>
    <dgm:pt modelId="{FF791D11-AFE4-452B-8396-544B171F2775}" type="pres">
      <dgm:prSet presAssocID="{5583C5F1-1460-4242-8D88-05E61F07C832}" presName="Name37" presStyleLbl="parChTrans1D4" presStyleIdx="0" presStyleCnt="2"/>
      <dgm:spPr>
        <a:custGeom>
          <a:avLst/>
          <a:gdLst/>
          <a:ahLst/>
          <a:cxnLst/>
          <a:rect l="0" t="0" r="0" b="0"/>
          <a:pathLst>
            <a:path>
              <a:moveTo>
                <a:pt x="0" y="0"/>
              </a:moveTo>
              <a:lnTo>
                <a:pt x="0" y="777608"/>
              </a:lnTo>
              <a:lnTo>
                <a:pt x="127062" y="777608"/>
              </a:lnTo>
            </a:path>
          </a:pathLst>
        </a:custGeom>
      </dgm:spPr>
      <dgm:t>
        <a:bodyPr/>
        <a:lstStyle/>
        <a:p>
          <a:endParaRPr lang="en-US"/>
        </a:p>
      </dgm:t>
    </dgm:pt>
    <dgm:pt modelId="{65EEEE53-3648-4820-9DB4-B94F36453BFD}" type="pres">
      <dgm:prSet presAssocID="{A629F9AD-0B0D-4657-AFE7-5B36A0E59BD1}" presName="hierRoot2" presStyleCnt="0">
        <dgm:presLayoutVars>
          <dgm:hierBranch val="init"/>
        </dgm:presLayoutVars>
      </dgm:prSet>
      <dgm:spPr/>
    </dgm:pt>
    <dgm:pt modelId="{E0680FB9-6C0E-4C68-8F53-E9B60C363B36}" type="pres">
      <dgm:prSet presAssocID="{A629F9AD-0B0D-4657-AFE7-5B36A0E59BD1}" presName="rootComposite" presStyleCnt="0"/>
      <dgm:spPr/>
    </dgm:pt>
    <dgm:pt modelId="{3BD1B43A-D059-4AE6-A5DA-03925E55BD1C}" type="pres">
      <dgm:prSet presAssocID="{A629F9AD-0B0D-4657-AFE7-5B36A0E59BD1}" presName="rootText" presStyleLbl="node4" presStyleIdx="0" presStyleCnt="2" custScaleX="278272" custScaleY="677174" custLinFactY="100000" custLinFactNeighborX="-56542" custLinFactNeighborY="119939">
        <dgm:presLayoutVars>
          <dgm:chPref val="3"/>
        </dgm:presLayoutVars>
      </dgm:prSet>
      <dgm:spPr>
        <a:prstGeom prst="rect">
          <a:avLst/>
        </a:prstGeom>
      </dgm:spPr>
      <dgm:t>
        <a:bodyPr/>
        <a:lstStyle/>
        <a:p>
          <a:endParaRPr lang="en-US"/>
        </a:p>
      </dgm:t>
    </dgm:pt>
    <dgm:pt modelId="{932E59ED-885B-4B2E-BA22-33F0AE91B99A}" type="pres">
      <dgm:prSet presAssocID="{A629F9AD-0B0D-4657-AFE7-5B36A0E59BD1}" presName="rootConnector" presStyleLbl="node4" presStyleIdx="0" presStyleCnt="2"/>
      <dgm:spPr/>
      <dgm:t>
        <a:bodyPr/>
        <a:lstStyle/>
        <a:p>
          <a:endParaRPr lang="en-US"/>
        </a:p>
      </dgm:t>
    </dgm:pt>
    <dgm:pt modelId="{28232299-F784-424D-91A0-3F067BE80B81}" type="pres">
      <dgm:prSet presAssocID="{A629F9AD-0B0D-4657-AFE7-5B36A0E59BD1}" presName="hierChild4" presStyleCnt="0"/>
      <dgm:spPr/>
    </dgm:pt>
    <dgm:pt modelId="{00B43972-B830-4306-B62D-B4F3F74EE9C8}" type="pres">
      <dgm:prSet presAssocID="{A629F9AD-0B0D-4657-AFE7-5B36A0E59BD1}" presName="hierChild5" presStyleCnt="0"/>
      <dgm:spPr/>
    </dgm:pt>
    <dgm:pt modelId="{4FC4FAEF-D6B7-41EC-A9EF-FD38D9D36CBE}" type="pres">
      <dgm:prSet presAssocID="{12519D1F-5831-44C3-9AF3-EB3D4550CAF9}" presName="hierChild5" presStyleCnt="0"/>
      <dgm:spPr/>
    </dgm:pt>
    <dgm:pt modelId="{07FA1A58-FF74-4610-A151-C3F52079327C}" type="pres">
      <dgm:prSet presAssocID="{6F8AC160-4526-4D64-84AC-D3C994AD3903}" presName="Name37" presStyleLbl="parChTrans1D3" presStyleIdx="1" presStyleCnt="3"/>
      <dgm:spPr>
        <a:custGeom>
          <a:avLst/>
          <a:gdLst/>
          <a:ahLst/>
          <a:cxnLst/>
          <a:rect l="0" t="0" r="0" b="0"/>
          <a:pathLst>
            <a:path>
              <a:moveTo>
                <a:pt x="0" y="45720"/>
              </a:moveTo>
              <a:lnTo>
                <a:pt x="0" y="86901"/>
              </a:lnTo>
              <a:lnTo>
                <a:pt x="570247" y="86901"/>
              </a:lnTo>
              <a:lnTo>
                <a:pt x="570247" y="128083"/>
              </a:lnTo>
            </a:path>
          </a:pathLst>
        </a:custGeom>
      </dgm:spPr>
      <dgm:t>
        <a:bodyPr/>
        <a:lstStyle/>
        <a:p>
          <a:endParaRPr lang="en-US"/>
        </a:p>
      </dgm:t>
    </dgm:pt>
    <dgm:pt modelId="{8B0D411D-1D65-47CA-B668-B1EC1CA882A7}" type="pres">
      <dgm:prSet presAssocID="{629DD0BD-0258-4308-81EF-D0BBF01778A5}" presName="hierRoot2" presStyleCnt="0">
        <dgm:presLayoutVars>
          <dgm:hierBranch val="init"/>
        </dgm:presLayoutVars>
      </dgm:prSet>
      <dgm:spPr/>
    </dgm:pt>
    <dgm:pt modelId="{278C0042-08B9-4B02-82CE-4AE7AD169913}" type="pres">
      <dgm:prSet presAssocID="{629DD0BD-0258-4308-81EF-D0BBF01778A5}" presName="rootComposite" presStyleCnt="0"/>
      <dgm:spPr/>
    </dgm:pt>
    <dgm:pt modelId="{6BD15252-3289-450E-8F53-97821D14B02E}" type="pres">
      <dgm:prSet presAssocID="{629DD0BD-0258-4308-81EF-D0BBF01778A5}" presName="rootText" presStyleLbl="node3" presStyleIdx="1" presStyleCnt="3" custScaleX="303048" custScaleY="184775">
        <dgm:presLayoutVars>
          <dgm:chPref val="3"/>
        </dgm:presLayoutVars>
      </dgm:prSet>
      <dgm:spPr>
        <a:prstGeom prst="rect">
          <a:avLst/>
        </a:prstGeom>
      </dgm:spPr>
      <dgm:t>
        <a:bodyPr/>
        <a:lstStyle/>
        <a:p>
          <a:endParaRPr lang="en-US"/>
        </a:p>
      </dgm:t>
    </dgm:pt>
    <dgm:pt modelId="{778FE7DA-EDF6-49E0-8E42-2A7681B5E67F}" type="pres">
      <dgm:prSet presAssocID="{629DD0BD-0258-4308-81EF-D0BBF01778A5}" presName="rootConnector" presStyleLbl="node3" presStyleIdx="1" presStyleCnt="3"/>
      <dgm:spPr/>
      <dgm:t>
        <a:bodyPr/>
        <a:lstStyle/>
        <a:p>
          <a:endParaRPr lang="en-US"/>
        </a:p>
      </dgm:t>
    </dgm:pt>
    <dgm:pt modelId="{444556AC-E92C-49FC-BE3D-6E1837BA40CF}" type="pres">
      <dgm:prSet presAssocID="{629DD0BD-0258-4308-81EF-D0BBF01778A5}" presName="hierChild4" presStyleCnt="0"/>
      <dgm:spPr/>
    </dgm:pt>
    <dgm:pt modelId="{690A5B20-13F0-4C0C-A396-22BAF4D69C5E}" type="pres">
      <dgm:prSet presAssocID="{338C83B4-9A7D-4801-A347-1066838B90BD}" presName="Name37" presStyleLbl="parChTrans1D4" presStyleIdx="1" presStyleCnt="2"/>
      <dgm:spPr>
        <a:custGeom>
          <a:avLst/>
          <a:gdLst/>
          <a:ahLst/>
          <a:cxnLst/>
          <a:rect l="0" t="0" r="0" b="0"/>
          <a:pathLst>
            <a:path>
              <a:moveTo>
                <a:pt x="0" y="0"/>
              </a:moveTo>
              <a:lnTo>
                <a:pt x="0" y="1022697"/>
              </a:lnTo>
              <a:lnTo>
                <a:pt x="183636" y="1022697"/>
              </a:lnTo>
            </a:path>
          </a:pathLst>
        </a:custGeom>
      </dgm:spPr>
      <dgm:t>
        <a:bodyPr/>
        <a:lstStyle/>
        <a:p>
          <a:endParaRPr lang="en-US"/>
        </a:p>
      </dgm:t>
    </dgm:pt>
    <dgm:pt modelId="{F2196CA8-C75F-4913-A3DF-4702B5E02C95}" type="pres">
      <dgm:prSet presAssocID="{5A5073B9-1339-4443-A2AA-89AF31A0AD90}" presName="hierRoot2" presStyleCnt="0">
        <dgm:presLayoutVars>
          <dgm:hierBranch val="init"/>
        </dgm:presLayoutVars>
      </dgm:prSet>
      <dgm:spPr/>
    </dgm:pt>
    <dgm:pt modelId="{E3378B2B-9310-4BBF-A2CE-D8939480D039}" type="pres">
      <dgm:prSet presAssocID="{5A5073B9-1339-4443-A2AA-89AF31A0AD90}" presName="rootComposite" presStyleCnt="0"/>
      <dgm:spPr/>
    </dgm:pt>
    <dgm:pt modelId="{D8F6DDCB-68E5-4230-B274-C6F2B07392BD}" type="pres">
      <dgm:prSet presAssocID="{5A5073B9-1339-4443-A2AA-89AF31A0AD90}" presName="rootText" presStyleLbl="node4" presStyleIdx="1" presStyleCnt="2" custScaleX="399318" custScaleY="958822" custLinFactY="21524" custLinFactNeighborX="-42350" custLinFactNeighborY="100000">
        <dgm:presLayoutVars>
          <dgm:chPref val="3"/>
        </dgm:presLayoutVars>
      </dgm:prSet>
      <dgm:spPr>
        <a:prstGeom prst="rect">
          <a:avLst/>
        </a:prstGeom>
      </dgm:spPr>
      <dgm:t>
        <a:bodyPr/>
        <a:lstStyle/>
        <a:p>
          <a:endParaRPr lang="en-US"/>
        </a:p>
      </dgm:t>
    </dgm:pt>
    <dgm:pt modelId="{02601507-C374-4980-A7D0-480DAF523E62}" type="pres">
      <dgm:prSet presAssocID="{5A5073B9-1339-4443-A2AA-89AF31A0AD90}" presName="rootConnector" presStyleLbl="node4" presStyleIdx="1" presStyleCnt="2"/>
      <dgm:spPr/>
      <dgm:t>
        <a:bodyPr/>
        <a:lstStyle/>
        <a:p>
          <a:endParaRPr lang="en-US"/>
        </a:p>
      </dgm:t>
    </dgm:pt>
    <dgm:pt modelId="{9B7615D9-8254-4111-8F30-7A2587D77F77}" type="pres">
      <dgm:prSet presAssocID="{5A5073B9-1339-4443-A2AA-89AF31A0AD90}" presName="hierChild4" presStyleCnt="0"/>
      <dgm:spPr/>
    </dgm:pt>
    <dgm:pt modelId="{6DDB4B82-C48A-425C-B94D-65990ACA4A90}" type="pres">
      <dgm:prSet presAssocID="{5A5073B9-1339-4443-A2AA-89AF31A0AD90}" presName="hierChild5" presStyleCnt="0"/>
      <dgm:spPr/>
    </dgm:pt>
    <dgm:pt modelId="{CFFE3600-A90A-49C1-A4C5-A4B58C86F2FB}" type="pres">
      <dgm:prSet presAssocID="{629DD0BD-0258-4308-81EF-D0BBF01778A5}" presName="hierChild5" presStyleCnt="0"/>
      <dgm:spPr/>
    </dgm:pt>
    <dgm:pt modelId="{0AC3C109-CD04-42C4-BF39-2AD4761602FF}" type="pres">
      <dgm:prSet presAssocID="{014AD4D8-C08D-40EA-A16E-8EB82C756F1B}" presName="hierChild5" presStyleCnt="0"/>
      <dgm:spPr/>
    </dgm:pt>
    <dgm:pt modelId="{EE5B6408-3B33-4C46-A358-46BADD9C602B}" type="pres">
      <dgm:prSet presAssocID="{60A397E9-D8CB-450C-894F-9008CB95F2ED}" presName="Name37" presStyleLbl="parChTrans1D2" presStyleIdx="1" presStyleCnt="3"/>
      <dgm:spPr>
        <a:custGeom>
          <a:avLst/>
          <a:gdLst/>
          <a:ahLst/>
          <a:cxnLst/>
          <a:rect l="0" t="0" r="0" b="0"/>
          <a:pathLst>
            <a:path>
              <a:moveTo>
                <a:pt x="0" y="45720"/>
              </a:moveTo>
              <a:lnTo>
                <a:pt x="0" y="86901"/>
              </a:lnTo>
              <a:lnTo>
                <a:pt x="464895" y="86901"/>
              </a:lnTo>
              <a:lnTo>
                <a:pt x="464895" y="128083"/>
              </a:lnTo>
            </a:path>
          </a:pathLst>
        </a:custGeom>
      </dgm:spPr>
      <dgm:t>
        <a:bodyPr/>
        <a:lstStyle/>
        <a:p>
          <a:endParaRPr lang="en-US"/>
        </a:p>
      </dgm:t>
    </dgm:pt>
    <dgm:pt modelId="{9486C5CE-1A4D-4CB8-B513-F73F2247B026}" type="pres">
      <dgm:prSet presAssocID="{C62ED304-525F-48DB-A5E8-DF26DBBBA4CA}" presName="hierRoot2" presStyleCnt="0">
        <dgm:presLayoutVars>
          <dgm:hierBranch val="init"/>
        </dgm:presLayoutVars>
      </dgm:prSet>
      <dgm:spPr/>
    </dgm:pt>
    <dgm:pt modelId="{BFEC8F80-8F1B-40F2-B599-8398A00F5599}" type="pres">
      <dgm:prSet presAssocID="{C62ED304-525F-48DB-A5E8-DF26DBBBA4CA}" presName="rootComposite" presStyleCnt="0"/>
      <dgm:spPr/>
    </dgm:pt>
    <dgm:pt modelId="{B8DF52E9-7D95-4C5E-8311-9999C24D6CF2}" type="pres">
      <dgm:prSet presAssocID="{C62ED304-525F-48DB-A5E8-DF26DBBBA4CA}" presName="rootText" presStyleLbl="node2" presStyleIdx="1" presStyleCnt="3" custScaleX="339871" custScaleY="189816">
        <dgm:presLayoutVars>
          <dgm:chPref val="3"/>
        </dgm:presLayoutVars>
      </dgm:prSet>
      <dgm:spPr>
        <a:prstGeom prst="rect">
          <a:avLst/>
        </a:prstGeom>
      </dgm:spPr>
      <dgm:t>
        <a:bodyPr/>
        <a:lstStyle/>
        <a:p>
          <a:endParaRPr lang="en-US"/>
        </a:p>
      </dgm:t>
    </dgm:pt>
    <dgm:pt modelId="{41E0F374-9E8E-4CD6-8F8B-F1B48F716D05}" type="pres">
      <dgm:prSet presAssocID="{C62ED304-525F-48DB-A5E8-DF26DBBBA4CA}" presName="rootConnector" presStyleLbl="node2" presStyleIdx="1" presStyleCnt="3"/>
      <dgm:spPr/>
      <dgm:t>
        <a:bodyPr/>
        <a:lstStyle/>
        <a:p>
          <a:endParaRPr lang="en-US"/>
        </a:p>
      </dgm:t>
    </dgm:pt>
    <dgm:pt modelId="{FE72E3DC-9F8C-4212-933F-E04E5D697867}" type="pres">
      <dgm:prSet presAssocID="{C62ED304-525F-48DB-A5E8-DF26DBBBA4CA}" presName="hierChild4" presStyleCnt="0"/>
      <dgm:spPr/>
    </dgm:pt>
    <dgm:pt modelId="{C9612722-BC95-4A3D-AE3E-46E5428D3C11}" type="pres">
      <dgm:prSet presAssocID="{7B3EAE97-0D2A-4E95-AB5B-4BAC55ECAD98}" presName="Name37" presStyleLbl="parChTrans1D3" presStyleIdx="2" presStyleCnt="3"/>
      <dgm:spPr>
        <a:custGeom>
          <a:avLst/>
          <a:gdLst/>
          <a:ahLst/>
          <a:cxnLst/>
          <a:rect l="0" t="0" r="0" b="0"/>
          <a:pathLst>
            <a:path>
              <a:moveTo>
                <a:pt x="0" y="0"/>
              </a:moveTo>
              <a:lnTo>
                <a:pt x="0" y="677661"/>
              </a:lnTo>
              <a:lnTo>
                <a:pt x="199950" y="677661"/>
              </a:lnTo>
            </a:path>
          </a:pathLst>
        </a:custGeom>
      </dgm:spPr>
      <dgm:t>
        <a:bodyPr/>
        <a:lstStyle/>
        <a:p>
          <a:endParaRPr lang="en-US"/>
        </a:p>
      </dgm:t>
    </dgm:pt>
    <dgm:pt modelId="{8FFAB203-7AB4-4029-A754-61D34D954D4F}" type="pres">
      <dgm:prSet presAssocID="{AA7E943D-557D-47AA-B1B8-45807E042238}" presName="hierRoot2" presStyleCnt="0">
        <dgm:presLayoutVars>
          <dgm:hierBranch val="init"/>
        </dgm:presLayoutVars>
      </dgm:prSet>
      <dgm:spPr/>
    </dgm:pt>
    <dgm:pt modelId="{DE00FCBD-CB9A-4476-9024-BF030A3A57BD}" type="pres">
      <dgm:prSet presAssocID="{AA7E943D-557D-47AA-B1B8-45807E042238}" presName="rootComposite" presStyleCnt="0"/>
      <dgm:spPr/>
    </dgm:pt>
    <dgm:pt modelId="{B562AD24-EE49-4D89-9CA3-F4ADD34C3D83}" type="pres">
      <dgm:prSet presAssocID="{AA7E943D-557D-47AA-B1B8-45807E042238}" presName="rootText" presStyleLbl="node3" presStyleIdx="2" presStyleCnt="3" custScaleX="549139" custScaleY="607124">
        <dgm:presLayoutVars>
          <dgm:chPref val="3"/>
        </dgm:presLayoutVars>
      </dgm:prSet>
      <dgm:spPr>
        <a:prstGeom prst="rect">
          <a:avLst/>
        </a:prstGeom>
      </dgm:spPr>
      <dgm:t>
        <a:bodyPr/>
        <a:lstStyle/>
        <a:p>
          <a:endParaRPr lang="en-US"/>
        </a:p>
      </dgm:t>
    </dgm:pt>
    <dgm:pt modelId="{72B4B75D-0FF9-4BF6-8E22-A9452AC15351}" type="pres">
      <dgm:prSet presAssocID="{AA7E943D-557D-47AA-B1B8-45807E042238}" presName="rootConnector" presStyleLbl="node3" presStyleIdx="2" presStyleCnt="3"/>
      <dgm:spPr/>
      <dgm:t>
        <a:bodyPr/>
        <a:lstStyle/>
        <a:p>
          <a:endParaRPr lang="en-US"/>
        </a:p>
      </dgm:t>
    </dgm:pt>
    <dgm:pt modelId="{B828E534-9FDD-4A76-BCBE-98F83CF1542E}" type="pres">
      <dgm:prSet presAssocID="{AA7E943D-557D-47AA-B1B8-45807E042238}" presName="hierChild4" presStyleCnt="0"/>
      <dgm:spPr/>
    </dgm:pt>
    <dgm:pt modelId="{3FCD38D3-187A-48A4-AE82-4AEB4F85D35C}" type="pres">
      <dgm:prSet presAssocID="{AA7E943D-557D-47AA-B1B8-45807E042238}" presName="hierChild5" presStyleCnt="0"/>
      <dgm:spPr/>
    </dgm:pt>
    <dgm:pt modelId="{89003191-1E12-4A1D-9372-6B43C627292B}" type="pres">
      <dgm:prSet presAssocID="{C62ED304-525F-48DB-A5E8-DF26DBBBA4CA}" presName="hierChild5" presStyleCnt="0"/>
      <dgm:spPr/>
    </dgm:pt>
    <dgm:pt modelId="{2DC0D6E4-D03A-405C-BAC0-B3CA20194234}" type="pres">
      <dgm:prSet presAssocID="{21741149-196E-4F2E-893D-D5F172B29997}" presName="Name37" presStyleLbl="parChTrans1D2" presStyleIdx="2" presStyleCnt="3"/>
      <dgm:spPr>
        <a:custGeom>
          <a:avLst/>
          <a:gdLst/>
          <a:ahLst/>
          <a:cxnLst/>
          <a:rect l="0" t="0" r="0" b="0"/>
          <a:pathLst>
            <a:path>
              <a:moveTo>
                <a:pt x="0" y="45720"/>
              </a:moveTo>
              <a:lnTo>
                <a:pt x="0" y="86901"/>
              </a:lnTo>
              <a:lnTo>
                <a:pt x="1795183" y="86901"/>
              </a:lnTo>
              <a:lnTo>
                <a:pt x="1795183" y="128083"/>
              </a:lnTo>
            </a:path>
          </a:pathLst>
        </a:custGeom>
      </dgm:spPr>
      <dgm:t>
        <a:bodyPr/>
        <a:lstStyle/>
        <a:p>
          <a:endParaRPr lang="en-US"/>
        </a:p>
      </dgm:t>
    </dgm:pt>
    <dgm:pt modelId="{9EC44F6E-C2DF-44B7-8B24-2C56E21DB29A}" type="pres">
      <dgm:prSet presAssocID="{FCFBC0EB-E08C-45BF-9C14-554AB8A01CAE}" presName="hierRoot2" presStyleCnt="0">
        <dgm:presLayoutVars>
          <dgm:hierBranch val="init"/>
        </dgm:presLayoutVars>
      </dgm:prSet>
      <dgm:spPr/>
    </dgm:pt>
    <dgm:pt modelId="{E2DF2928-1209-436A-A107-290D5CE4D4DB}" type="pres">
      <dgm:prSet presAssocID="{FCFBC0EB-E08C-45BF-9C14-554AB8A01CAE}" presName="rootComposite" presStyleCnt="0"/>
      <dgm:spPr/>
    </dgm:pt>
    <dgm:pt modelId="{CB0BFE30-73CE-4DD7-965E-3592962DE77A}" type="pres">
      <dgm:prSet presAssocID="{FCFBC0EB-E08C-45BF-9C14-554AB8A01CAE}" presName="rootText" presStyleLbl="node2" presStyleIdx="2" presStyleCnt="3" custScaleX="296486" custScaleY="203377">
        <dgm:presLayoutVars>
          <dgm:chPref val="3"/>
        </dgm:presLayoutVars>
      </dgm:prSet>
      <dgm:spPr>
        <a:prstGeom prst="rect">
          <a:avLst/>
        </a:prstGeom>
      </dgm:spPr>
      <dgm:t>
        <a:bodyPr/>
        <a:lstStyle/>
        <a:p>
          <a:endParaRPr lang="en-US"/>
        </a:p>
      </dgm:t>
    </dgm:pt>
    <dgm:pt modelId="{97D31A39-3397-4982-83AA-D8A16A1ED86D}" type="pres">
      <dgm:prSet presAssocID="{FCFBC0EB-E08C-45BF-9C14-554AB8A01CAE}" presName="rootConnector" presStyleLbl="node2" presStyleIdx="2" presStyleCnt="3"/>
      <dgm:spPr/>
      <dgm:t>
        <a:bodyPr/>
        <a:lstStyle/>
        <a:p>
          <a:endParaRPr lang="en-US"/>
        </a:p>
      </dgm:t>
    </dgm:pt>
    <dgm:pt modelId="{C0F7197B-6424-4272-A107-3EC01283B27C}" type="pres">
      <dgm:prSet presAssocID="{FCFBC0EB-E08C-45BF-9C14-554AB8A01CAE}" presName="hierChild4" presStyleCnt="0"/>
      <dgm:spPr/>
    </dgm:pt>
    <dgm:pt modelId="{E3990B4C-9C7D-48BB-8812-C110A1D2CF74}" type="pres">
      <dgm:prSet presAssocID="{FCFBC0EB-E08C-45BF-9C14-554AB8A01CAE}" presName="hierChild5" presStyleCnt="0"/>
      <dgm:spPr/>
    </dgm:pt>
    <dgm:pt modelId="{071BC116-4F9C-4564-8F0E-BF4645607533}" type="pres">
      <dgm:prSet presAssocID="{04149473-F556-42E3-9416-39E46BE755D6}" presName="hierChild3" presStyleCnt="0"/>
      <dgm:spPr/>
    </dgm:pt>
  </dgm:ptLst>
  <dgm:cxnLst>
    <dgm:cxn modelId="{A9BD6650-FB3B-4509-B87C-25B9137DF80B}" type="presOf" srcId="{7B3EAE97-0D2A-4E95-AB5B-4BAC55ECAD98}" destId="{C9612722-BC95-4A3D-AE3E-46E5428D3C11}" srcOrd="0" destOrd="0" presId="urn:microsoft.com/office/officeart/2005/8/layout/orgChart1"/>
    <dgm:cxn modelId="{FD262EA9-C83F-4BBB-BC1F-DDC3254A01AC}" srcId="{014AD4D8-C08D-40EA-A16E-8EB82C756F1B}" destId="{12519D1F-5831-44C3-9AF3-EB3D4550CAF9}" srcOrd="0" destOrd="0" parTransId="{61C1E316-5C0D-4158-90BC-208F8381A26A}" sibTransId="{77CD5C2E-3B8F-40C6-BD52-24334F067AEB}"/>
    <dgm:cxn modelId="{4F9BB2A1-2CB7-47DE-A86A-0355BA79256C}" type="presOf" srcId="{A629F9AD-0B0D-4657-AFE7-5B36A0E59BD1}" destId="{3BD1B43A-D059-4AE6-A5DA-03925E55BD1C}" srcOrd="0" destOrd="0" presId="urn:microsoft.com/office/officeart/2005/8/layout/orgChart1"/>
    <dgm:cxn modelId="{373028A5-9BD9-442C-A8FD-2E36396B6836}" type="presOf" srcId="{04149473-F556-42E3-9416-39E46BE755D6}" destId="{10CFF707-FD1B-45E8-9BE3-B21B48362FCC}" srcOrd="1" destOrd="0" presId="urn:microsoft.com/office/officeart/2005/8/layout/orgChart1"/>
    <dgm:cxn modelId="{DA2406B6-40CB-464D-9A72-239311C169D9}" srcId="{014AD4D8-C08D-40EA-A16E-8EB82C756F1B}" destId="{629DD0BD-0258-4308-81EF-D0BBF01778A5}" srcOrd="1" destOrd="0" parTransId="{6F8AC160-4526-4D64-84AC-D3C994AD3903}" sibTransId="{8F1CEAE0-5BAD-4A32-9AF8-C26641655B46}"/>
    <dgm:cxn modelId="{BE258348-B00C-4DA1-AD2A-C02180918A8F}" type="presOf" srcId="{12519D1F-5831-44C3-9AF3-EB3D4550CAF9}" destId="{1E7C84FC-E272-46DC-A1C1-8035DD9CC52A}" srcOrd="1" destOrd="0" presId="urn:microsoft.com/office/officeart/2005/8/layout/orgChart1"/>
    <dgm:cxn modelId="{A2EE2028-5427-4C48-956E-10F82E786586}" type="presOf" srcId="{AA7E943D-557D-47AA-B1B8-45807E042238}" destId="{B562AD24-EE49-4D89-9CA3-F4ADD34C3D83}" srcOrd="0" destOrd="0" presId="urn:microsoft.com/office/officeart/2005/8/layout/orgChart1"/>
    <dgm:cxn modelId="{6117DAAB-CFBF-4476-A9B1-30AA9AECDFD3}" type="presOf" srcId="{6F8AC160-4526-4D64-84AC-D3C994AD3903}" destId="{07FA1A58-FF74-4610-A151-C3F52079327C}" srcOrd="0" destOrd="0" presId="urn:microsoft.com/office/officeart/2005/8/layout/orgChart1"/>
    <dgm:cxn modelId="{FDEA213A-C0EE-42E9-BF54-07301C1F5F59}" type="presOf" srcId="{014AD4D8-C08D-40EA-A16E-8EB82C756F1B}" destId="{5A77498C-7D37-4964-862A-9DE89AB2D836}" srcOrd="0" destOrd="0" presId="urn:microsoft.com/office/officeart/2005/8/layout/orgChart1"/>
    <dgm:cxn modelId="{7A38D813-8739-46FC-96FF-C64B4B6496A1}" type="presOf" srcId="{60A397E9-D8CB-450C-894F-9008CB95F2ED}" destId="{EE5B6408-3B33-4C46-A358-46BADD9C602B}" srcOrd="0" destOrd="0" presId="urn:microsoft.com/office/officeart/2005/8/layout/orgChart1"/>
    <dgm:cxn modelId="{6938B0C9-32C8-4A80-A0F8-132B72D51042}" type="presOf" srcId="{FCFBC0EB-E08C-45BF-9C14-554AB8A01CAE}" destId="{CB0BFE30-73CE-4DD7-965E-3592962DE77A}" srcOrd="0" destOrd="0" presId="urn:microsoft.com/office/officeart/2005/8/layout/orgChart1"/>
    <dgm:cxn modelId="{C5E75BFE-07D8-4A77-9B1D-ED3465E771DB}" type="presOf" srcId="{629DD0BD-0258-4308-81EF-D0BBF01778A5}" destId="{6BD15252-3289-450E-8F53-97821D14B02E}" srcOrd="0" destOrd="0" presId="urn:microsoft.com/office/officeart/2005/8/layout/orgChart1"/>
    <dgm:cxn modelId="{03E9C253-0B16-422D-82E2-D8AD847321D2}" srcId="{12519D1F-5831-44C3-9AF3-EB3D4550CAF9}" destId="{A629F9AD-0B0D-4657-AFE7-5B36A0E59BD1}" srcOrd="0" destOrd="0" parTransId="{5583C5F1-1460-4242-8D88-05E61F07C832}" sibTransId="{3793D579-406D-46E5-BF6A-0EAC04FF2E0C}"/>
    <dgm:cxn modelId="{0F0D3AE6-1781-4750-8EAD-924FDF57D738}" type="presOf" srcId="{AA7E943D-557D-47AA-B1B8-45807E042238}" destId="{72B4B75D-0FF9-4BF6-8E22-A9452AC15351}" srcOrd="1" destOrd="0" presId="urn:microsoft.com/office/officeart/2005/8/layout/orgChart1"/>
    <dgm:cxn modelId="{D9E1817F-7DE3-482A-8A21-767A6C315186}" srcId="{04149473-F556-42E3-9416-39E46BE755D6}" destId="{C62ED304-525F-48DB-A5E8-DF26DBBBA4CA}" srcOrd="1" destOrd="0" parTransId="{60A397E9-D8CB-450C-894F-9008CB95F2ED}" sibTransId="{E0746FBA-3505-408F-B6C4-4B861A94ADB8}"/>
    <dgm:cxn modelId="{96EB47B4-2B02-4E25-8A53-41107010678D}" srcId="{04149473-F556-42E3-9416-39E46BE755D6}" destId="{014AD4D8-C08D-40EA-A16E-8EB82C756F1B}" srcOrd="0" destOrd="0" parTransId="{6D1D08B8-F5D0-4E0D-8C78-62D716D0E0DD}" sibTransId="{6E526BF0-EE8B-4042-94EC-DED6F8668997}"/>
    <dgm:cxn modelId="{38AC97A6-E6A6-4853-8A53-E2BAA1A38235}" type="presOf" srcId="{192AFF8F-6167-4714-9F10-977B9042269F}" destId="{E7E8EB80-4AD8-4101-A7C8-EF2356A8EBD0}" srcOrd="0" destOrd="0" presId="urn:microsoft.com/office/officeart/2005/8/layout/orgChart1"/>
    <dgm:cxn modelId="{166F26A4-94D3-4829-826A-446945920E62}" type="presOf" srcId="{04149473-F556-42E3-9416-39E46BE755D6}" destId="{3C2E6668-D1A2-4933-BA37-5BB0BFE12E8A}" srcOrd="0" destOrd="0" presId="urn:microsoft.com/office/officeart/2005/8/layout/orgChart1"/>
    <dgm:cxn modelId="{8483DCE8-236D-42C6-AD1F-3E1B8C7C6E2B}" type="presOf" srcId="{5A5073B9-1339-4443-A2AA-89AF31A0AD90}" destId="{D8F6DDCB-68E5-4230-B274-C6F2B07392BD}" srcOrd="0" destOrd="0" presId="urn:microsoft.com/office/officeart/2005/8/layout/orgChart1"/>
    <dgm:cxn modelId="{DFB293B0-20CA-460F-9EE4-0A4A6E310A31}" type="presOf" srcId="{C62ED304-525F-48DB-A5E8-DF26DBBBA4CA}" destId="{41E0F374-9E8E-4CD6-8F8B-F1B48F716D05}" srcOrd="1" destOrd="0" presId="urn:microsoft.com/office/officeart/2005/8/layout/orgChart1"/>
    <dgm:cxn modelId="{7375DB31-5839-4F5B-A129-B8FE9F1A251F}" type="presOf" srcId="{014AD4D8-C08D-40EA-A16E-8EB82C756F1B}" destId="{59943D85-E170-4B22-A7BC-3F220BF68A50}" srcOrd="1" destOrd="0" presId="urn:microsoft.com/office/officeart/2005/8/layout/orgChart1"/>
    <dgm:cxn modelId="{745500A8-A819-453A-83E6-ACAE9C353977}" srcId="{629DD0BD-0258-4308-81EF-D0BBF01778A5}" destId="{5A5073B9-1339-4443-A2AA-89AF31A0AD90}" srcOrd="0" destOrd="0" parTransId="{338C83B4-9A7D-4801-A347-1066838B90BD}" sibTransId="{94F22284-F761-4211-AC6F-DCCCC3E7690B}"/>
    <dgm:cxn modelId="{86660FD8-3086-487B-95B6-BD61449873A2}" type="presOf" srcId="{FCFBC0EB-E08C-45BF-9C14-554AB8A01CAE}" destId="{97D31A39-3397-4982-83AA-D8A16A1ED86D}" srcOrd="1" destOrd="0" presId="urn:microsoft.com/office/officeart/2005/8/layout/orgChart1"/>
    <dgm:cxn modelId="{64F86D7B-AB7F-43F1-AE72-0C37F0C3B016}" type="presOf" srcId="{5583C5F1-1460-4242-8D88-05E61F07C832}" destId="{FF791D11-AFE4-452B-8396-544B171F2775}" srcOrd="0" destOrd="0" presId="urn:microsoft.com/office/officeart/2005/8/layout/orgChart1"/>
    <dgm:cxn modelId="{E0F53F49-15AE-4FBD-B64E-C7E43F723965}" type="presOf" srcId="{C62ED304-525F-48DB-A5E8-DF26DBBBA4CA}" destId="{B8DF52E9-7D95-4C5E-8311-9999C24D6CF2}" srcOrd="0" destOrd="0" presId="urn:microsoft.com/office/officeart/2005/8/layout/orgChart1"/>
    <dgm:cxn modelId="{6F538DF4-80D0-424B-B222-4845C1E6FA43}" type="presOf" srcId="{629DD0BD-0258-4308-81EF-D0BBF01778A5}" destId="{778FE7DA-EDF6-49E0-8E42-2A7681B5E67F}" srcOrd="1" destOrd="0" presId="urn:microsoft.com/office/officeart/2005/8/layout/orgChart1"/>
    <dgm:cxn modelId="{69693FB8-D8C4-4CD6-A9B8-62082382DBB7}" type="presOf" srcId="{12519D1F-5831-44C3-9AF3-EB3D4550CAF9}" destId="{E53EE38B-2CC6-417C-99CD-656469915131}" srcOrd="0" destOrd="0" presId="urn:microsoft.com/office/officeart/2005/8/layout/orgChart1"/>
    <dgm:cxn modelId="{C709F521-F787-4145-B1A3-A4E5ABA55911}" type="presOf" srcId="{21741149-196E-4F2E-893D-D5F172B29997}" destId="{2DC0D6E4-D03A-405C-BAC0-B3CA20194234}" srcOrd="0" destOrd="0" presId="urn:microsoft.com/office/officeart/2005/8/layout/orgChart1"/>
    <dgm:cxn modelId="{80A228B1-B07B-48ED-84D4-291D0ABDC49B}" srcId="{192AFF8F-6167-4714-9F10-977B9042269F}" destId="{04149473-F556-42E3-9416-39E46BE755D6}" srcOrd="0" destOrd="0" parTransId="{7079757F-B5FB-4B70-8125-0E7DE6705382}" sibTransId="{8FA34254-2B2A-4844-880C-5662FF096590}"/>
    <dgm:cxn modelId="{3132F00C-4DBB-4A92-A22B-ADD3F887B07F}" type="presOf" srcId="{61C1E316-5C0D-4158-90BC-208F8381A26A}" destId="{7EBEB594-88C8-4072-AE93-0642CB6E87CE}" srcOrd="0" destOrd="0" presId="urn:microsoft.com/office/officeart/2005/8/layout/orgChart1"/>
    <dgm:cxn modelId="{6543845F-00C6-4F40-ABAA-A853E48BA5A2}" type="presOf" srcId="{338C83B4-9A7D-4801-A347-1066838B90BD}" destId="{690A5B20-13F0-4C0C-A396-22BAF4D69C5E}" srcOrd="0" destOrd="0" presId="urn:microsoft.com/office/officeart/2005/8/layout/orgChart1"/>
    <dgm:cxn modelId="{E2B2AEE6-EDC7-49F1-AC3C-DD3594D7FA3F}" srcId="{04149473-F556-42E3-9416-39E46BE755D6}" destId="{FCFBC0EB-E08C-45BF-9C14-554AB8A01CAE}" srcOrd="2" destOrd="0" parTransId="{21741149-196E-4F2E-893D-D5F172B29997}" sibTransId="{43873977-9329-4C08-9DF2-22ED68B11222}"/>
    <dgm:cxn modelId="{B0B2CDA6-4407-4009-A540-AE850512DFC8}" type="presOf" srcId="{5A5073B9-1339-4443-A2AA-89AF31A0AD90}" destId="{02601507-C374-4980-A7D0-480DAF523E62}" srcOrd="1" destOrd="0" presId="urn:microsoft.com/office/officeart/2005/8/layout/orgChart1"/>
    <dgm:cxn modelId="{98BAE227-2CC6-4775-BBA5-F79440FBDA12}" type="presOf" srcId="{A629F9AD-0B0D-4657-AFE7-5B36A0E59BD1}" destId="{932E59ED-885B-4B2E-BA22-33F0AE91B99A}" srcOrd="1" destOrd="0" presId="urn:microsoft.com/office/officeart/2005/8/layout/orgChart1"/>
    <dgm:cxn modelId="{1BA8C9FA-B9F5-4D23-AF59-5DD3C9039E63}" srcId="{C62ED304-525F-48DB-A5E8-DF26DBBBA4CA}" destId="{AA7E943D-557D-47AA-B1B8-45807E042238}" srcOrd="0" destOrd="0" parTransId="{7B3EAE97-0D2A-4E95-AB5B-4BAC55ECAD98}" sibTransId="{CBBC5A94-DE69-49DE-8BA1-EDD85AD06968}"/>
    <dgm:cxn modelId="{9427C69C-AB43-4B24-BF20-280F68FEB897}" type="presOf" srcId="{6D1D08B8-F5D0-4E0D-8C78-62D716D0E0DD}" destId="{4197F836-B9EC-41DF-A23C-BBF4D9560630}" srcOrd="0" destOrd="0" presId="urn:microsoft.com/office/officeart/2005/8/layout/orgChart1"/>
    <dgm:cxn modelId="{8C308375-E794-445C-9F31-33371B67222B}" type="presParOf" srcId="{E7E8EB80-4AD8-4101-A7C8-EF2356A8EBD0}" destId="{E73ED284-A9E5-4872-AC13-437CB56CDFD3}" srcOrd="0" destOrd="0" presId="urn:microsoft.com/office/officeart/2005/8/layout/orgChart1"/>
    <dgm:cxn modelId="{F83AA4C1-C652-4639-A69E-A5EAE370D637}" type="presParOf" srcId="{E73ED284-A9E5-4872-AC13-437CB56CDFD3}" destId="{D8640992-7ABA-44E2-8A92-B451AF229DD8}" srcOrd="0" destOrd="0" presId="urn:microsoft.com/office/officeart/2005/8/layout/orgChart1"/>
    <dgm:cxn modelId="{75275CE5-C405-43A3-BAC0-89C1E67E2738}" type="presParOf" srcId="{D8640992-7ABA-44E2-8A92-B451AF229DD8}" destId="{3C2E6668-D1A2-4933-BA37-5BB0BFE12E8A}" srcOrd="0" destOrd="0" presId="urn:microsoft.com/office/officeart/2005/8/layout/orgChart1"/>
    <dgm:cxn modelId="{D45EA608-2B0F-4528-BDCE-F057E2498BF8}" type="presParOf" srcId="{D8640992-7ABA-44E2-8A92-B451AF229DD8}" destId="{10CFF707-FD1B-45E8-9BE3-B21B48362FCC}" srcOrd="1" destOrd="0" presId="urn:microsoft.com/office/officeart/2005/8/layout/orgChart1"/>
    <dgm:cxn modelId="{45DB4A14-1044-4256-8E2A-A95A7049D1AC}" type="presParOf" srcId="{E73ED284-A9E5-4872-AC13-437CB56CDFD3}" destId="{E6AC5A07-EB1E-42F9-899B-1590899B9F4F}" srcOrd="1" destOrd="0" presId="urn:microsoft.com/office/officeart/2005/8/layout/orgChart1"/>
    <dgm:cxn modelId="{03CCD65A-F97E-40CF-BE4F-49317DF65555}" type="presParOf" srcId="{E6AC5A07-EB1E-42F9-899B-1590899B9F4F}" destId="{4197F836-B9EC-41DF-A23C-BBF4D9560630}" srcOrd="0" destOrd="0" presId="urn:microsoft.com/office/officeart/2005/8/layout/orgChart1"/>
    <dgm:cxn modelId="{F995AA6B-E536-4F79-9DD6-CE202E9567B6}" type="presParOf" srcId="{E6AC5A07-EB1E-42F9-899B-1590899B9F4F}" destId="{2D6A25AB-9B94-4BBC-9DB6-17F4349F4F70}" srcOrd="1" destOrd="0" presId="urn:microsoft.com/office/officeart/2005/8/layout/orgChart1"/>
    <dgm:cxn modelId="{EC33D18C-DE57-4A00-BE41-E657DF9E900B}" type="presParOf" srcId="{2D6A25AB-9B94-4BBC-9DB6-17F4349F4F70}" destId="{E8BD9BE5-F306-4F5A-976A-B5F951BDA00A}" srcOrd="0" destOrd="0" presId="urn:microsoft.com/office/officeart/2005/8/layout/orgChart1"/>
    <dgm:cxn modelId="{659B282D-DFBF-4C3A-9A48-72F6324A9B06}" type="presParOf" srcId="{E8BD9BE5-F306-4F5A-976A-B5F951BDA00A}" destId="{5A77498C-7D37-4964-862A-9DE89AB2D836}" srcOrd="0" destOrd="0" presId="urn:microsoft.com/office/officeart/2005/8/layout/orgChart1"/>
    <dgm:cxn modelId="{8F869C97-5B27-4765-A0FF-D954161BDD21}" type="presParOf" srcId="{E8BD9BE5-F306-4F5A-976A-B5F951BDA00A}" destId="{59943D85-E170-4B22-A7BC-3F220BF68A50}" srcOrd="1" destOrd="0" presId="urn:microsoft.com/office/officeart/2005/8/layout/orgChart1"/>
    <dgm:cxn modelId="{A751B832-A8CA-4636-8870-B09D1B199FA4}" type="presParOf" srcId="{2D6A25AB-9B94-4BBC-9DB6-17F4349F4F70}" destId="{B39FDBCD-14F7-4276-9B75-64A452B18F26}" srcOrd="1" destOrd="0" presId="urn:microsoft.com/office/officeart/2005/8/layout/orgChart1"/>
    <dgm:cxn modelId="{3AF2D6E7-8BC6-49AC-90B3-1233B3A030C7}" type="presParOf" srcId="{B39FDBCD-14F7-4276-9B75-64A452B18F26}" destId="{7EBEB594-88C8-4072-AE93-0642CB6E87CE}" srcOrd="0" destOrd="0" presId="urn:microsoft.com/office/officeart/2005/8/layout/orgChart1"/>
    <dgm:cxn modelId="{EFED3DCD-65E3-4884-9D40-C3AAC32B3725}" type="presParOf" srcId="{B39FDBCD-14F7-4276-9B75-64A452B18F26}" destId="{A3996133-B6AF-4DCB-9DA2-4ED859F588C6}" srcOrd="1" destOrd="0" presId="urn:microsoft.com/office/officeart/2005/8/layout/orgChart1"/>
    <dgm:cxn modelId="{F6846955-EDC5-4CA0-A9DA-CF9EE22E0EA5}" type="presParOf" srcId="{A3996133-B6AF-4DCB-9DA2-4ED859F588C6}" destId="{0CE499B2-370E-4348-A17D-C289BF7EC706}" srcOrd="0" destOrd="0" presId="urn:microsoft.com/office/officeart/2005/8/layout/orgChart1"/>
    <dgm:cxn modelId="{28A6BD0D-CF80-49F3-A4E5-B3C4BC404A85}" type="presParOf" srcId="{0CE499B2-370E-4348-A17D-C289BF7EC706}" destId="{E53EE38B-2CC6-417C-99CD-656469915131}" srcOrd="0" destOrd="0" presId="urn:microsoft.com/office/officeart/2005/8/layout/orgChart1"/>
    <dgm:cxn modelId="{40FBCCE8-3011-4AA7-A570-F26C42E95485}" type="presParOf" srcId="{0CE499B2-370E-4348-A17D-C289BF7EC706}" destId="{1E7C84FC-E272-46DC-A1C1-8035DD9CC52A}" srcOrd="1" destOrd="0" presId="urn:microsoft.com/office/officeart/2005/8/layout/orgChart1"/>
    <dgm:cxn modelId="{33B6E70A-F282-42B9-BEF4-B3077A1943A2}" type="presParOf" srcId="{A3996133-B6AF-4DCB-9DA2-4ED859F588C6}" destId="{C8785696-BDAB-4771-9A6E-911F717320E0}" srcOrd="1" destOrd="0" presId="urn:microsoft.com/office/officeart/2005/8/layout/orgChart1"/>
    <dgm:cxn modelId="{125D58E7-C87B-4D92-BDF9-27A1AA4038BA}" type="presParOf" srcId="{C8785696-BDAB-4771-9A6E-911F717320E0}" destId="{FF791D11-AFE4-452B-8396-544B171F2775}" srcOrd="0" destOrd="0" presId="urn:microsoft.com/office/officeart/2005/8/layout/orgChart1"/>
    <dgm:cxn modelId="{A9967F56-0596-4F15-85DB-788E1A3B95E3}" type="presParOf" srcId="{C8785696-BDAB-4771-9A6E-911F717320E0}" destId="{65EEEE53-3648-4820-9DB4-B94F36453BFD}" srcOrd="1" destOrd="0" presId="urn:microsoft.com/office/officeart/2005/8/layout/orgChart1"/>
    <dgm:cxn modelId="{B9025CD6-1C4A-43C9-8163-5CC5BF45B767}" type="presParOf" srcId="{65EEEE53-3648-4820-9DB4-B94F36453BFD}" destId="{E0680FB9-6C0E-4C68-8F53-E9B60C363B36}" srcOrd="0" destOrd="0" presId="urn:microsoft.com/office/officeart/2005/8/layout/orgChart1"/>
    <dgm:cxn modelId="{565DC0CE-ADAF-4484-AE1B-571A19F211B5}" type="presParOf" srcId="{E0680FB9-6C0E-4C68-8F53-E9B60C363B36}" destId="{3BD1B43A-D059-4AE6-A5DA-03925E55BD1C}" srcOrd="0" destOrd="0" presId="urn:microsoft.com/office/officeart/2005/8/layout/orgChart1"/>
    <dgm:cxn modelId="{B16A2991-3C43-4C3B-820D-B6EEC790D6BA}" type="presParOf" srcId="{E0680FB9-6C0E-4C68-8F53-E9B60C363B36}" destId="{932E59ED-885B-4B2E-BA22-33F0AE91B99A}" srcOrd="1" destOrd="0" presId="urn:microsoft.com/office/officeart/2005/8/layout/orgChart1"/>
    <dgm:cxn modelId="{62247ADD-5754-4A68-8B73-7260E0E2730C}" type="presParOf" srcId="{65EEEE53-3648-4820-9DB4-B94F36453BFD}" destId="{28232299-F784-424D-91A0-3F067BE80B81}" srcOrd="1" destOrd="0" presId="urn:microsoft.com/office/officeart/2005/8/layout/orgChart1"/>
    <dgm:cxn modelId="{32388937-1E01-4FBA-B509-4C5360728BCF}" type="presParOf" srcId="{65EEEE53-3648-4820-9DB4-B94F36453BFD}" destId="{00B43972-B830-4306-B62D-B4F3F74EE9C8}" srcOrd="2" destOrd="0" presId="urn:microsoft.com/office/officeart/2005/8/layout/orgChart1"/>
    <dgm:cxn modelId="{58FE4C65-5A8F-49EC-8E84-4EBA8D0840BD}" type="presParOf" srcId="{A3996133-B6AF-4DCB-9DA2-4ED859F588C6}" destId="{4FC4FAEF-D6B7-41EC-A9EF-FD38D9D36CBE}" srcOrd="2" destOrd="0" presId="urn:microsoft.com/office/officeart/2005/8/layout/orgChart1"/>
    <dgm:cxn modelId="{493F723A-3AA1-4547-9EFB-E7B3D3ED013D}" type="presParOf" srcId="{B39FDBCD-14F7-4276-9B75-64A452B18F26}" destId="{07FA1A58-FF74-4610-A151-C3F52079327C}" srcOrd="2" destOrd="0" presId="urn:microsoft.com/office/officeart/2005/8/layout/orgChart1"/>
    <dgm:cxn modelId="{BD703CF6-A895-45DE-9388-68A80172D213}" type="presParOf" srcId="{B39FDBCD-14F7-4276-9B75-64A452B18F26}" destId="{8B0D411D-1D65-47CA-B668-B1EC1CA882A7}" srcOrd="3" destOrd="0" presId="urn:microsoft.com/office/officeart/2005/8/layout/orgChart1"/>
    <dgm:cxn modelId="{E6CAF9B0-52EC-44FF-A80F-8D58CC0D01C8}" type="presParOf" srcId="{8B0D411D-1D65-47CA-B668-B1EC1CA882A7}" destId="{278C0042-08B9-4B02-82CE-4AE7AD169913}" srcOrd="0" destOrd="0" presId="urn:microsoft.com/office/officeart/2005/8/layout/orgChart1"/>
    <dgm:cxn modelId="{17C7A4B6-B16D-41D4-B6BB-9F979495CFB5}" type="presParOf" srcId="{278C0042-08B9-4B02-82CE-4AE7AD169913}" destId="{6BD15252-3289-450E-8F53-97821D14B02E}" srcOrd="0" destOrd="0" presId="urn:microsoft.com/office/officeart/2005/8/layout/orgChart1"/>
    <dgm:cxn modelId="{F10FF1F4-FB0B-4579-9AA4-1A98E7E625E5}" type="presParOf" srcId="{278C0042-08B9-4B02-82CE-4AE7AD169913}" destId="{778FE7DA-EDF6-49E0-8E42-2A7681B5E67F}" srcOrd="1" destOrd="0" presId="urn:microsoft.com/office/officeart/2005/8/layout/orgChart1"/>
    <dgm:cxn modelId="{5D238669-4DB8-4E14-8050-EEB4EE11C5C4}" type="presParOf" srcId="{8B0D411D-1D65-47CA-B668-B1EC1CA882A7}" destId="{444556AC-E92C-49FC-BE3D-6E1837BA40CF}" srcOrd="1" destOrd="0" presId="urn:microsoft.com/office/officeart/2005/8/layout/orgChart1"/>
    <dgm:cxn modelId="{2CED658D-1CDD-4BB9-B72D-BDA94EDF805A}" type="presParOf" srcId="{444556AC-E92C-49FC-BE3D-6E1837BA40CF}" destId="{690A5B20-13F0-4C0C-A396-22BAF4D69C5E}" srcOrd="0" destOrd="0" presId="urn:microsoft.com/office/officeart/2005/8/layout/orgChart1"/>
    <dgm:cxn modelId="{E6DD44C3-7E56-47FB-AAF1-11A5EBD82BAF}" type="presParOf" srcId="{444556AC-E92C-49FC-BE3D-6E1837BA40CF}" destId="{F2196CA8-C75F-4913-A3DF-4702B5E02C95}" srcOrd="1" destOrd="0" presId="urn:microsoft.com/office/officeart/2005/8/layout/orgChart1"/>
    <dgm:cxn modelId="{D40E7987-9A0A-4E4B-806F-5A88DD33DF0C}" type="presParOf" srcId="{F2196CA8-C75F-4913-A3DF-4702B5E02C95}" destId="{E3378B2B-9310-4BBF-A2CE-D8939480D039}" srcOrd="0" destOrd="0" presId="urn:microsoft.com/office/officeart/2005/8/layout/orgChart1"/>
    <dgm:cxn modelId="{0F73B322-D2ED-4BE6-B670-8CC728CA09D8}" type="presParOf" srcId="{E3378B2B-9310-4BBF-A2CE-D8939480D039}" destId="{D8F6DDCB-68E5-4230-B274-C6F2B07392BD}" srcOrd="0" destOrd="0" presId="urn:microsoft.com/office/officeart/2005/8/layout/orgChart1"/>
    <dgm:cxn modelId="{3F8555C0-D859-4E72-AA86-55EE1F4C57FD}" type="presParOf" srcId="{E3378B2B-9310-4BBF-A2CE-D8939480D039}" destId="{02601507-C374-4980-A7D0-480DAF523E62}" srcOrd="1" destOrd="0" presId="urn:microsoft.com/office/officeart/2005/8/layout/orgChart1"/>
    <dgm:cxn modelId="{CC141512-6A3F-4595-B550-2C0FC67F86AD}" type="presParOf" srcId="{F2196CA8-C75F-4913-A3DF-4702B5E02C95}" destId="{9B7615D9-8254-4111-8F30-7A2587D77F77}" srcOrd="1" destOrd="0" presId="urn:microsoft.com/office/officeart/2005/8/layout/orgChart1"/>
    <dgm:cxn modelId="{67BC18D0-D378-48B7-A7D8-76B65BAA6FEE}" type="presParOf" srcId="{F2196CA8-C75F-4913-A3DF-4702B5E02C95}" destId="{6DDB4B82-C48A-425C-B94D-65990ACA4A90}" srcOrd="2" destOrd="0" presId="urn:microsoft.com/office/officeart/2005/8/layout/orgChart1"/>
    <dgm:cxn modelId="{A136E37F-458F-484F-9D8E-743F84A90351}" type="presParOf" srcId="{8B0D411D-1D65-47CA-B668-B1EC1CA882A7}" destId="{CFFE3600-A90A-49C1-A4C5-A4B58C86F2FB}" srcOrd="2" destOrd="0" presId="urn:microsoft.com/office/officeart/2005/8/layout/orgChart1"/>
    <dgm:cxn modelId="{DD32551B-D042-4447-9E31-229F40F16BAB}" type="presParOf" srcId="{2D6A25AB-9B94-4BBC-9DB6-17F4349F4F70}" destId="{0AC3C109-CD04-42C4-BF39-2AD4761602FF}" srcOrd="2" destOrd="0" presId="urn:microsoft.com/office/officeart/2005/8/layout/orgChart1"/>
    <dgm:cxn modelId="{E01148C3-FE91-4A09-86BF-12A9BA43BAC4}" type="presParOf" srcId="{E6AC5A07-EB1E-42F9-899B-1590899B9F4F}" destId="{EE5B6408-3B33-4C46-A358-46BADD9C602B}" srcOrd="2" destOrd="0" presId="urn:microsoft.com/office/officeart/2005/8/layout/orgChart1"/>
    <dgm:cxn modelId="{C48B3180-9CD2-4AF4-B92C-E4B0A75B055B}" type="presParOf" srcId="{E6AC5A07-EB1E-42F9-899B-1590899B9F4F}" destId="{9486C5CE-1A4D-4CB8-B513-F73F2247B026}" srcOrd="3" destOrd="0" presId="urn:microsoft.com/office/officeart/2005/8/layout/orgChart1"/>
    <dgm:cxn modelId="{2C1C60CC-0574-44B6-8A9A-BB951C5F38F0}" type="presParOf" srcId="{9486C5CE-1A4D-4CB8-B513-F73F2247B026}" destId="{BFEC8F80-8F1B-40F2-B599-8398A00F5599}" srcOrd="0" destOrd="0" presId="urn:microsoft.com/office/officeart/2005/8/layout/orgChart1"/>
    <dgm:cxn modelId="{4ED67508-D20F-4963-BFFA-E4853B560E9A}" type="presParOf" srcId="{BFEC8F80-8F1B-40F2-B599-8398A00F5599}" destId="{B8DF52E9-7D95-4C5E-8311-9999C24D6CF2}" srcOrd="0" destOrd="0" presId="urn:microsoft.com/office/officeart/2005/8/layout/orgChart1"/>
    <dgm:cxn modelId="{DD73D95C-CA0E-40A6-B939-B239C5DF1651}" type="presParOf" srcId="{BFEC8F80-8F1B-40F2-B599-8398A00F5599}" destId="{41E0F374-9E8E-4CD6-8F8B-F1B48F716D05}" srcOrd="1" destOrd="0" presId="urn:microsoft.com/office/officeart/2005/8/layout/orgChart1"/>
    <dgm:cxn modelId="{DBFCC69B-EC8D-416C-AE12-BDA67D9736CA}" type="presParOf" srcId="{9486C5CE-1A4D-4CB8-B513-F73F2247B026}" destId="{FE72E3DC-9F8C-4212-933F-E04E5D697867}" srcOrd="1" destOrd="0" presId="urn:microsoft.com/office/officeart/2005/8/layout/orgChart1"/>
    <dgm:cxn modelId="{298E2CFB-ED60-4171-83BC-422BB9768B5B}" type="presParOf" srcId="{FE72E3DC-9F8C-4212-933F-E04E5D697867}" destId="{C9612722-BC95-4A3D-AE3E-46E5428D3C11}" srcOrd="0" destOrd="0" presId="urn:microsoft.com/office/officeart/2005/8/layout/orgChart1"/>
    <dgm:cxn modelId="{9DC93C3F-8420-4C92-93B5-BC1D77A5A673}" type="presParOf" srcId="{FE72E3DC-9F8C-4212-933F-E04E5D697867}" destId="{8FFAB203-7AB4-4029-A754-61D34D954D4F}" srcOrd="1" destOrd="0" presId="urn:microsoft.com/office/officeart/2005/8/layout/orgChart1"/>
    <dgm:cxn modelId="{63F1D8A1-BEFC-415E-9F49-4B98AB765FEE}" type="presParOf" srcId="{8FFAB203-7AB4-4029-A754-61D34D954D4F}" destId="{DE00FCBD-CB9A-4476-9024-BF030A3A57BD}" srcOrd="0" destOrd="0" presId="urn:microsoft.com/office/officeart/2005/8/layout/orgChart1"/>
    <dgm:cxn modelId="{9DACD133-AA60-4250-9FE1-065E89E61ACD}" type="presParOf" srcId="{DE00FCBD-CB9A-4476-9024-BF030A3A57BD}" destId="{B562AD24-EE49-4D89-9CA3-F4ADD34C3D83}" srcOrd="0" destOrd="0" presId="urn:microsoft.com/office/officeart/2005/8/layout/orgChart1"/>
    <dgm:cxn modelId="{9DD664DE-6DE4-4B14-9082-919A8EEAC8AB}" type="presParOf" srcId="{DE00FCBD-CB9A-4476-9024-BF030A3A57BD}" destId="{72B4B75D-0FF9-4BF6-8E22-A9452AC15351}" srcOrd="1" destOrd="0" presId="urn:microsoft.com/office/officeart/2005/8/layout/orgChart1"/>
    <dgm:cxn modelId="{05B48BAA-41C7-4601-96E9-202130B8662A}" type="presParOf" srcId="{8FFAB203-7AB4-4029-A754-61D34D954D4F}" destId="{B828E534-9FDD-4A76-BCBE-98F83CF1542E}" srcOrd="1" destOrd="0" presId="urn:microsoft.com/office/officeart/2005/8/layout/orgChart1"/>
    <dgm:cxn modelId="{696B6359-8D60-4245-AE13-A862DF5E4E66}" type="presParOf" srcId="{8FFAB203-7AB4-4029-A754-61D34D954D4F}" destId="{3FCD38D3-187A-48A4-AE82-4AEB4F85D35C}" srcOrd="2" destOrd="0" presId="urn:microsoft.com/office/officeart/2005/8/layout/orgChart1"/>
    <dgm:cxn modelId="{73E1906B-4E53-4C2E-8CEF-C347AC9A2AAE}" type="presParOf" srcId="{9486C5CE-1A4D-4CB8-B513-F73F2247B026}" destId="{89003191-1E12-4A1D-9372-6B43C627292B}" srcOrd="2" destOrd="0" presId="urn:microsoft.com/office/officeart/2005/8/layout/orgChart1"/>
    <dgm:cxn modelId="{033D6308-BD54-4398-AB5E-2345DCEB0715}" type="presParOf" srcId="{E6AC5A07-EB1E-42F9-899B-1590899B9F4F}" destId="{2DC0D6E4-D03A-405C-BAC0-B3CA20194234}" srcOrd="4" destOrd="0" presId="urn:microsoft.com/office/officeart/2005/8/layout/orgChart1"/>
    <dgm:cxn modelId="{AD5A916E-2F08-47B4-8B6E-BEE9D8B9728A}" type="presParOf" srcId="{E6AC5A07-EB1E-42F9-899B-1590899B9F4F}" destId="{9EC44F6E-C2DF-44B7-8B24-2C56E21DB29A}" srcOrd="5" destOrd="0" presId="urn:microsoft.com/office/officeart/2005/8/layout/orgChart1"/>
    <dgm:cxn modelId="{2D83B20B-3088-4E79-8BF8-9A30FCA71313}" type="presParOf" srcId="{9EC44F6E-C2DF-44B7-8B24-2C56E21DB29A}" destId="{E2DF2928-1209-436A-A107-290D5CE4D4DB}" srcOrd="0" destOrd="0" presId="urn:microsoft.com/office/officeart/2005/8/layout/orgChart1"/>
    <dgm:cxn modelId="{B7058C22-61A5-4C25-B8BC-A1C09345212C}" type="presParOf" srcId="{E2DF2928-1209-436A-A107-290D5CE4D4DB}" destId="{CB0BFE30-73CE-4DD7-965E-3592962DE77A}" srcOrd="0" destOrd="0" presId="urn:microsoft.com/office/officeart/2005/8/layout/orgChart1"/>
    <dgm:cxn modelId="{E01AB22E-BD9F-4EF3-9DBE-E59AA9EB2E38}" type="presParOf" srcId="{E2DF2928-1209-436A-A107-290D5CE4D4DB}" destId="{97D31A39-3397-4982-83AA-D8A16A1ED86D}" srcOrd="1" destOrd="0" presId="urn:microsoft.com/office/officeart/2005/8/layout/orgChart1"/>
    <dgm:cxn modelId="{098BC968-82F7-4472-B9EF-C0C425F0FB40}" type="presParOf" srcId="{9EC44F6E-C2DF-44B7-8B24-2C56E21DB29A}" destId="{C0F7197B-6424-4272-A107-3EC01283B27C}" srcOrd="1" destOrd="0" presId="urn:microsoft.com/office/officeart/2005/8/layout/orgChart1"/>
    <dgm:cxn modelId="{62B9FE7E-7B7B-48F1-B7B8-C9EDDAF74E96}" type="presParOf" srcId="{9EC44F6E-C2DF-44B7-8B24-2C56E21DB29A}" destId="{E3990B4C-9C7D-48BB-8812-C110A1D2CF74}" srcOrd="2" destOrd="0" presId="urn:microsoft.com/office/officeart/2005/8/layout/orgChart1"/>
    <dgm:cxn modelId="{1644E01C-734A-470A-8749-5D8940D5BE93}" type="presParOf" srcId="{E73ED284-A9E5-4872-AC13-437CB56CDFD3}" destId="{071BC116-4F9C-4564-8F0E-BF4645607533}"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098600-380C-4FF1-B83D-D4E3F159746F}">
      <dsp:nvSpPr>
        <dsp:cNvPr id="0" name=""/>
        <dsp:cNvSpPr/>
      </dsp:nvSpPr>
      <dsp:spPr>
        <a:xfrm>
          <a:off x="2636579" y="1219831"/>
          <a:ext cx="1172825" cy="558158"/>
        </a:xfrm>
        <a:custGeom>
          <a:avLst/>
          <a:gdLst/>
          <a:ahLst/>
          <a:cxnLst/>
          <a:rect l="0" t="0" r="0" b="0"/>
          <a:pathLst>
            <a:path>
              <a:moveTo>
                <a:pt x="0" y="0"/>
              </a:moveTo>
              <a:lnTo>
                <a:pt x="0" y="380368"/>
              </a:lnTo>
              <a:lnTo>
                <a:pt x="1172825" y="380368"/>
              </a:lnTo>
              <a:lnTo>
                <a:pt x="1172825" y="558158"/>
              </a:lnTo>
            </a:path>
          </a:pathLst>
        </a:custGeom>
        <a:noFill/>
        <a:ln w="12700" cap="flat" cmpd="sng" algn="ctr">
          <a:solidFill>
            <a:schemeClr val="accent1">
              <a:shade val="60000"/>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8AC67D40-E1BB-4E8B-99F3-2D1FC6FCA307}">
      <dsp:nvSpPr>
        <dsp:cNvPr id="0" name=""/>
        <dsp:cNvSpPr/>
      </dsp:nvSpPr>
      <dsp:spPr>
        <a:xfrm>
          <a:off x="1463754" y="1219831"/>
          <a:ext cx="1172825" cy="558158"/>
        </a:xfrm>
        <a:custGeom>
          <a:avLst/>
          <a:gdLst/>
          <a:ahLst/>
          <a:cxnLst/>
          <a:rect l="0" t="0" r="0" b="0"/>
          <a:pathLst>
            <a:path>
              <a:moveTo>
                <a:pt x="1172825" y="0"/>
              </a:moveTo>
              <a:lnTo>
                <a:pt x="1172825" y="380368"/>
              </a:lnTo>
              <a:lnTo>
                <a:pt x="0" y="380368"/>
              </a:lnTo>
              <a:lnTo>
                <a:pt x="0" y="558158"/>
              </a:lnTo>
            </a:path>
          </a:pathLst>
        </a:custGeom>
        <a:noFill/>
        <a:ln w="12700" cap="flat" cmpd="sng" algn="ctr">
          <a:solidFill>
            <a:schemeClr val="accent1">
              <a:shade val="60000"/>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1CC196EE-1C10-4D6B-8477-46FCBFD33095}">
      <dsp:nvSpPr>
        <dsp:cNvPr id="0" name=""/>
        <dsp:cNvSpPr/>
      </dsp:nvSpPr>
      <dsp:spPr>
        <a:xfrm>
          <a:off x="1676995" y="1159"/>
          <a:ext cx="1919168" cy="121867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sp>
    <dsp:sp modelId="{7C14271A-D615-4A93-9410-CC4B48FD41FD}">
      <dsp:nvSpPr>
        <dsp:cNvPr id="0" name=""/>
        <dsp:cNvSpPr/>
      </dsp:nvSpPr>
      <dsp:spPr>
        <a:xfrm>
          <a:off x="1890236" y="203738"/>
          <a:ext cx="1919168" cy="12186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p3d z="57150" extrusionH="63500" prstMaterial="matte"/>
      </dsp:spPr>
      <dsp:style>
        <a:lnRef idx="1">
          <a:scrgbClr r="0" g="0" b="0"/>
        </a:lnRef>
        <a:fillRef idx="1">
          <a:scrgbClr r="0" g="0" b="0"/>
        </a:fillRef>
        <a:effectRef idx="0">
          <a:scrgbClr r="0" g="0" b="0"/>
        </a:effectRef>
        <a:fontRef idx="minor"/>
      </dsp:style>
      <dsp:txBody>
        <a:bodyPr spcFirstLastPara="0" vert="horz" wrap="square" lIns="114300" tIns="114300" rIns="114300" bIns="114300" numCol="1" spcCol="1270" anchor="ctr" anchorCtr="0">
          <a:noAutofit/>
        </a:bodyPr>
        <a:lstStyle/>
        <a:p>
          <a:pPr lvl="0" algn="ctr" defTabSz="1333500">
            <a:lnSpc>
              <a:spcPct val="90000"/>
            </a:lnSpc>
            <a:spcBef>
              <a:spcPct val="0"/>
            </a:spcBef>
            <a:spcAft>
              <a:spcPct val="35000"/>
            </a:spcAft>
          </a:pPr>
          <a:r>
            <a:rPr lang="en-US" sz="3000" kern="1200"/>
            <a:t>Objectives</a:t>
          </a:r>
        </a:p>
      </dsp:txBody>
      <dsp:txXfrm>
        <a:off x="1925930" y="239432"/>
        <a:ext cx="1847780" cy="1147283"/>
      </dsp:txXfrm>
    </dsp:sp>
    <dsp:sp modelId="{92E8EE89-538B-415E-9C8B-4BBE81EE5616}">
      <dsp:nvSpPr>
        <dsp:cNvPr id="0" name=""/>
        <dsp:cNvSpPr/>
      </dsp:nvSpPr>
      <dsp:spPr>
        <a:xfrm>
          <a:off x="504170" y="1777989"/>
          <a:ext cx="1919168" cy="121867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sp>
    <dsp:sp modelId="{7860B30B-7074-4163-AD69-A3E1D8F0EDA6}">
      <dsp:nvSpPr>
        <dsp:cNvPr id="0" name=""/>
        <dsp:cNvSpPr/>
      </dsp:nvSpPr>
      <dsp:spPr>
        <a:xfrm>
          <a:off x="717411" y="1980568"/>
          <a:ext cx="1919168" cy="12186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p3d z="57150" extrusionH="63500" prstMaterial="matte"/>
      </dsp:spPr>
      <dsp:style>
        <a:lnRef idx="1">
          <a:scrgbClr r="0" g="0" b="0"/>
        </a:lnRef>
        <a:fillRef idx="1">
          <a:scrgbClr r="0" g="0" b="0"/>
        </a:fillRef>
        <a:effectRef idx="0">
          <a:scrgbClr r="0" g="0" b="0"/>
        </a:effectRef>
        <a:fontRef idx="minor"/>
      </dsp:style>
      <dsp:txBody>
        <a:bodyPr spcFirstLastPara="0" vert="horz" wrap="square" lIns="114300" tIns="114300" rIns="114300" bIns="114300" numCol="1" spcCol="1270" anchor="ctr" anchorCtr="0">
          <a:noAutofit/>
        </a:bodyPr>
        <a:lstStyle/>
        <a:p>
          <a:pPr lvl="0" algn="ctr" defTabSz="1333500">
            <a:lnSpc>
              <a:spcPct val="90000"/>
            </a:lnSpc>
            <a:spcBef>
              <a:spcPct val="0"/>
            </a:spcBef>
            <a:spcAft>
              <a:spcPct val="35000"/>
            </a:spcAft>
          </a:pPr>
          <a:r>
            <a:rPr lang="en-US" sz="3000" kern="1200"/>
            <a:t>Primary</a:t>
          </a:r>
        </a:p>
      </dsp:txBody>
      <dsp:txXfrm>
        <a:off x="753105" y="2016262"/>
        <a:ext cx="1847780" cy="1147283"/>
      </dsp:txXfrm>
    </dsp:sp>
    <dsp:sp modelId="{C12C0C48-AF5B-4D1B-AE6C-B30387A9D3C2}">
      <dsp:nvSpPr>
        <dsp:cNvPr id="0" name=""/>
        <dsp:cNvSpPr/>
      </dsp:nvSpPr>
      <dsp:spPr>
        <a:xfrm>
          <a:off x="2849820" y="1777989"/>
          <a:ext cx="1919168" cy="121867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sp>
    <dsp:sp modelId="{2A6B64CE-E482-430E-B7A7-B2FD780F4511}">
      <dsp:nvSpPr>
        <dsp:cNvPr id="0" name=""/>
        <dsp:cNvSpPr/>
      </dsp:nvSpPr>
      <dsp:spPr>
        <a:xfrm>
          <a:off x="3063061" y="1980568"/>
          <a:ext cx="1919168" cy="121867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p3d z="57150" extrusionH="63500" prstMaterial="matte"/>
      </dsp:spPr>
      <dsp:style>
        <a:lnRef idx="1">
          <a:scrgbClr r="0" g="0" b="0"/>
        </a:lnRef>
        <a:fillRef idx="1">
          <a:scrgbClr r="0" g="0" b="0"/>
        </a:fillRef>
        <a:effectRef idx="0">
          <a:scrgbClr r="0" g="0" b="0"/>
        </a:effectRef>
        <a:fontRef idx="minor"/>
      </dsp:style>
      <dsp:txBody>
        <a:bodyPr spcFirstLastPara="0" vert="horz" wrap="square" lIns="114300" tIns="114300" rIns="114300" bIns="114300" numCol="1" spcCol="1270" anchor="ctr" anchorCtr="0">
          <a:noAutofit/>
        </a:bodyPr>
        <a:lstStyle/>
        <a:p>
          <a:pPr lvl="0" algn="ctr" defTabSz="1333500">
            <a:lnSpc>
              <a:spcPct val="90000"/>
            </a:lnSpc>
            <a:spcBef>
              <a:spcPct val="0"/>
            </a:spcBef>
            <a:spcAft>
              <a:spcPct val="35000"/>
            </a:spcAft>
          </a:pPr>
          <a:r>
            <a:rPr lang="en-US" sz="3000" kern="1200"/>
            <a:t>Secondary</a:t>
          </a:r>
        </a:p>
      </dsp:txBody>
      <dsp:txXfrm>
        <a:off x="3098755" y="2016262"/>
        <a:ext cx="1847780" cy="11472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C0D6E4-D03A-405C-BAC0-B3CA20194234}">
      <dsp:nvSpPr>
        <dsp:cNvPr id="0" name=""/>
        <dsp:cNvSpPr/>
      </dsp:nvSpPr>
      <dsp:spPr>
        <a:xfrm>
          <a:off x="3032156" y="377484"/>
          <a:ext cx="1795183" cy="91440"/>
        </a:xfrm>
        <a:custGeom>
          <a:avLst/>
          <a:gdLst/>
          <a:ahLst/>
          <a:cxnLst/>
          <a:rect l="0" t="0" r="0" b="0"/>
          <a:pathLst>
            <a:path>
              <a:moveTo>
                <a:pt x="0" y="45720"/>
              </a:moveTo>
              <a:lnTo>
                <a:pt x="0" y="86901"/>
              </a:lnTo>
              <a:lnTo>
                <a:pt x="1795183" y="86901"/>
              </a:lnTo>
              <a:lnTo>
                <a:pt x="1795183" y="12808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9612722-BC95-4A3D-AE3E-46E5428D3C11}">
      <dsp:nvSpPr>
        <dsp:cNvPr id="0" name=""/>
        <dsp:cNvSpPr/>
      </dsp:nvSpPr>
      <dsp:spPr>
        <a:xfrm>
          <a:off x="2963851" y="877805"/>
          <a:ext cx="199950" cy="677661"/>
        </a:xfrm>
        <a:custGeom>
          <a:avLst/>
          <a:gdLst/>
          <a:ahLst/>
          <a:cxnLst/>
          <a:rect l="0" t="0" r="0" b="0"/>
          <a:pathLst>
            <a:path>
              <a:moveTo>
                <a:pt x="0" y="0"/>
              </a:moveTo>
              <a:lnTo>
                <a:pt x="0" y="677661"/>
              </a:lnTo>
              <a:lnTo>
                <a:pt x="199950" y="677661"/>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E5B6408-3B33-4C46-A358-46BADD9C602B}">
      <dsp:nvSpPr>
        <dsp:cNvPr id="0" name=""/>
        <dsp:cNvSpPr/>
      </dsp:nvSpPr>
      <dsp:spPr>
        <a:xfrm>
          <a:off x="3032156" y="377484"/>
          <a:ext cx="464895" cy="91440"/>
        </a:xfrm>
        <a:custGeom>
          <a:avLst/>
          <a:gdLst/>
          <a:ahLst/>
          <a:cxnLst/>
          <a:rect l="0" t="0" r="0" b="0"/>
          <a:pathLst>
            <a:path>
              <a:moveTo>
                <a:pt x="0" y="45720"/>
              </a:moveTo>
              <a:lnTo>
                <a:pt x="0" y="86901"/>
              </a:lnTo>
              <a:lnTo>
                <a:pt x="464895" y="86901"/>
              </a:lnTo>
              <a:lnTo>
                <a:pt x="464895" y="12808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90A5B20-13F0-4C0C-A396-22BAF4D69C5E}">
      <dsp:nvSpPr>
        <dsp:cNvPr id="0" name=""/>
        <dsp:cNvSpPr/>
      </dsp:nvSpPr>
      <dsp:spPr>
        <a:xfrm>
          <a:off x="1291271" y="1237557"/>
          <a:ext cx="91440" cy="1022697"/>
        </a:xfrm>
        <a:custGeom>
          <a:avLst/>
          <a:gdLst/>
          <a:ahLst/>
          <a:cxnLst/>
          <a:rect l="0" t="0" r="0" b="0"/>
          <a:pathLst>
            <a:path>
              <a:moveTo>
                <a:pt x="0" y="0"/>
              </a:moveTo>
              <a:lnTo>
                <a:pt x="0" y="1022697"/>
              </a:lnTo>
              <a:lnTo>
                <a:pt x="183636" y="1022697"/>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7FA1A58-FF74-4610-A151-C3F52079327C}">
      <dsp:nvSpPr>
        <dsp:cNvPr id="0" name=""/>
        <dsp:cNvSpPr/>
      </dsp:nvSpPr>
      <dsp:spPr>
        <a:xfrm>
          <a:off x="1242175" y="747121"/>
          <a:ext cx="570247" cy="91440"/>
        </a:xfrm>
        <a:custGeom>
          <a:avLst/>
          <a:gdLst/>
          <a:ahLst/>
          <a:cxnLst/>
          <a:rect l="0" t="0" r="0" b="0"/>
          <a:pathLst>
            <a:path>
              <a:moveTo>
                <a:pt x="0" y="45720"/>
              </a:moveTo>
              <a:lnTo>
                <a:pt x="0" y="86901"/>
              </a:lnTo>
              <a:lnTo>
                <a:pt x="570247" y="86901"/>
              </a:lnTo>
              <a:lnTo>
                <a:pt x="570247" y="128083"/>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F791D11-AFE4-452B-8396-544B171F2775}">
      <dsp:nvSpPr>
        <dsp:cNvPr id="0" name=""/>
        <dsp:cNvSpPr/>
      </dsp:nvSpPr>
      <dsp:spPr>
        <a:xfrm>
          <a:off x="74024" y="1274436"/>
          <a:ext cx="91440" cy="1177657"/>
        </a:xfrm>
        <a:custGeom>
          <a:avLst/>
          <a:gdLst/>
          <a:ahLst/>
          <a:cxnLst/>
          <a:rect l="0" t="0" r="0" b="0"/>
          <a:pathLst>
            <a:path>
              <a:moveTo>
                <a:pt x="0" y="0"/>
              </a:moveTo>
              <a:lnTo>
                <a:pt x="0" y="777608"/>
              </a:lnTo>
              <a:lnTo>
                <a:pt x="127062" y="777608"/>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BEB594-88C8-4072-AE93-0642CB6E87CE}">
      <dsp:nvSpPr>
        <dsp:cNvPr id="0" name=""/>
        <dsp:cNvSpPr/>
      </dsp:nvSpPr>
      <dsp:spPr>
        <a:xfrm>
          <a:off x="605376" y="747121"/>
          <a:ext cx="636799" cy="91440"/>
        </a:xfrm>
        <a:custGeom>
          <a:avLst/>
          <a:gdLst/>
          <a:ahLst/>
          <a:cxnLst/>
          <a:rect l="0" t="0" r="0" b="0"/>
          <a:pathLst>
            <a:path>
              <a:moveTo>
                <a:pt x="636799" y="45720"/>
              </a:moveTo>
              <a:lnTo>
                <a:pt x="636799" y="86901"/>
              </a:lnTo>
              <a:lnTo>
                <a:pt x="0" y="86901"/>
              </a:lnTo>
              <a:lnTo>
                <a:pt x="0" y="128083"/>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197F836-B9EC-41DF-A23C-BBF4D9560630}">
      <dsp:nvSpPr>
        <dsp:cNvPr id="0" name=""/>
        <dsp:cNvSpPr/>
      </dsp:nvSpPr>
      <dsp:spPr>
        <a:xfrm>
          <a:off x="1242175" y="377484"/>
          <a:ext cx="1789980" cy="91440"/>
        </a:xfrm>
        <a:custGeom>
          <a:avLst/>
          <a:gdLst/>
          <a:ahLst/>
          <a:cxnLst/>
          <a:rect l="0" t="0" r="0" b="0"/>
          <a:pathLst>
            <a:path>
              <a:moveTo>
                <a:pt x="1789980" y="45720"/>
              </a:moveTo>
              <a:lnTo>
                <a:pt x="1789980" y="86901"/>
              </a:lnTo>
              <a:lnTo>
                <a:pt x="0" y="86901"/>
              </a:lnTo>
              <a:lnTo>
                <a:pt x="0" y="12808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C2E6668-D1A2-4933-BA37-5BB0BFE12E8A}">
      <dsp:nvSpPr>
        <dsp:cNvPr id="0" name=""/>
        <dsp:cNvSpPr/>
      </dsp:nvSpPr>
      <dsp:spPr>
        <a:xfrm>
          <a:off x="2404507" y="187"/>
          <a:ext cx="1255298" cy="423016"/>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Financial System of Bangladesh</a:t>
          </a:r>
        </a:p>
      </dsp:txBody>
      <dsp:txXfrm>
        <a:off x="2404507" y="187"/>
        <a:ext cx="1255298" cy="423016"/>
      </dsp:txXfrm>
    </dsp:sp>
    <dsp:sp modelId="{5A77498C-7D37-4964-862A-9DE89AB2D836}">
      <dsp:nvSpPr>
        <dsp:cNvPr id="0" name=""/>
        <dsp:cNvSpPr/>
      </dsp:nvSpPr>
      <dsp:spPr>
        <a:xfrm>
          <a:off x="655551" y="505568"/>
          <a:ext cx="1173248" cy="287273"/>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Formal Sector</a:t>
          </a:r>
        </a:p>
      </dsp:txBody>
      <dsp:txXfrm>
        <a:off x="655551" y="505568"/>
        <a:ext cx="1173248" cy="287273"/>
      </dsp:txXfrm>
    </dsp:sp>
    <dsp:sp modelId="{E53EE38B-2CC6-417C-99CD-656469915131}">
      <dsp:nvSpPr>
        <dsp:cNvPr id="0" name=""/>
        <dsp:cNvSpPr/>
      </dsp:nvSpPr>
      <dsp:spPr>
        <a:xfrm>
          <a:off x="77638" y="875205"/>
          <a:ext cx="1055476" cy="399231"/>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Financial Market</a:t>
          </a:r>
        </a:p>
      </dsp:txBody>
      <dsp:txXfrm>
        <a:off x="77638" y="875205"/>
        <a:ext cx="1055476" cy="399231"/>
      </dsp:txXfrm>
    </dsp:sp>
    <dsp:sp modelId="{3BD1B43A-D059-4AE6-A5DA-03925E55BD1C}">
      <dsp:nvSpPr>
        <dsp:cNvPr id="0" name=""/>
        <dsp:cNvSpPr/>
      </dsp:nvSpPr>
      <dsp:spPr>
        <a:xfrm>
          <a:off x="119744" y="1788110"/>
          <a:ext cx="1091406" cy="1327967"/>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1.Capital Market</a:t>
          </a:r>
        </a:p>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2.Money Market</a:t>
          </a:r>
        </a:p>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3.Foreign Exchange Market</a:t>
          </a:r>
        </a:p>
      </dsp:txBody>
      <dsp:txXfrm>
        <a:off x="119744" y="1788110"/>
        <a:ext cx="1091406" cy="1327967"/>
      </dsp:txXfrm>
    </dsp:sp>
    <dsp:sp modelId="{6BD15252-3289-450E-8F53-97821D14B02E}">
      <dsp:nvSpPr>
        <dsp:cNvPr id="0" name=""/>
        <dsp:cNvSpPr/>
      </dsp:nvSpPr>
      <dsp:spPr>
        <a:xfrm>
          <a:off x="1218133" y="875205"/>
          <a:ext cx="1188580" cy="362351"/>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Regulators &amp; Institutions</a:t>
          </a:r>
        </a:p>
      </dsp:txBody>
      <dsp:txXfrm>
        <a:off x="1218133" y="875205"/>
        <a:ext cx="1188580" cy="362351"/>
      </dsp:txXfrm>
    </dsp:sp>
    <dsp:sp modelId="{D8F6DDCB-68E5-4230-B274-C6F2B07392BD}">
      <dsp:nvSpPr>
        <dsp:cNvPr id="0" name=""/>
        <dsp:cNvSpPr/>
      </dsp:nvSpPr>
      <dsp:spPr>
        <a:xfrm>
          <a:off x="1349177" y="1320108"/>
          <a:ext cx="1566159" cy="1880291"/>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1.Bangladesh </a:t>
          </a:r>
          <a:r>
            <a:rPr lang="en-US" sz="1200" b="0" kern="1200">
              <a:solidFill>
                <a:sysClr val="windowText" lastClr="000000"/>
              </a:solidFill>
              <a:latin typeface="Times New Roman" pitchFamily="18" charset="0"/>
              <a:ea typeface="+mn-ea"/>
              <a:cs typeface="Times New Roman" pitchFamily="18" charset="0"/>
            </a:rPr>
            <a:t>Bank</a:t>
          </a:r>
          <a:endParaRPr lang="en-US" sz="1200" kern="1200">
            <a:solidFill>
              <a:sysClr val="windowText" lastClr="000000"/>
            </a:solidFill>
            <a:latin typeface="Times New Roman" pitchFamily="18" charset="0"/>
            <a:ea typeface="+mn-ea"/>
            <a:cs typeface="Times New Roman" pitchFamily="18" charset="0"/>
          </a:endParaRPr>
        </a:p>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2.InsuranceDevelopment and regulatory Authority</a:t>
          </a:r>
        </a:p>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3.Securities and Exchange Commission</a:t>
          </a:r>
        </a:p>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4.Microcredit Regulatory Authority</a:t>
          </a:r>
        </a:p>
        <a:p>
          <a:pPr lvl="0" algn="ctr" defTabSz="533400">
            <a:lnSpc>
              <a:spcPct val="90000"/>
            </a:lnSpc>
            <a:spcBef>
              <a:spcPct val="0"/>
            </a:spcBef>
            <a:spcAft>
              <a:spcPct val="35000"/>
            </a:spcAft>
          </a:pPr>
          <a:endParaRPr lang="en-US" sz="1200" kern="1200">
            <a:solidFill>
              <a:sysClr val="windowText" lastClr="000000"/>
            </a:solidFill>
            <a:latin typeface="Times New Roman" pitchFamily="18" charset="0"/>
            <a:ea typeface="+mn-ea"/>
            <a:cs typeface="Times New Roman" pitchFamily="18" charset="0"/>
          </a:endParaRPr>
        </a:p>
      </dsp:txBody>
      <dsp:txXfrm>
        <a:off x="1349177" y="1320108"/>
        <a:ext cx="1566159" cy="1880291"/>
      </dsp:txXfrm>
    </dsp:sp>
    <dsp:sp modelId="{B8DF52E9-7D95-4C5E-8311-9999C24D6CF2}">
      <dsp:nvSpPr>
        <dsp:cNvPr id="0" name=""/>
        <dsp:cNvSpPr/>
      </dsp:nvSpPr>
      <dsp:spPr>
        <a:xfrm>
          <a:off x="2830550" y="505568"/>
          <a:ext cx="1333003" cy="372237"/>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Semi-Formal Sector</a:t>
          </a:r>
        </a:p>
      </dsp:txBody>
      <dsp:txXfrm>
        <a:off x="2830550" y="505568"/>
        <a:ext cx="1333003" cy="372237"/>
      </dsp:txXfrm>
    </dsp:sp>
    <dsp:sp modelId="{B562AD24-EE49-4D89-9CA3-F4ADD34C3D83}">
      <dsp:nvSpPr>
        <dsp:cNvPr id="0" name=""/>
        <dsp:cNvSpPr/>
      </dsp:nvSpPr>
      <dsp:spPr>
        <a:xfrm>
          <a:off x="3163801" y="960169"/>
          <a:ext cx="2153770" cy="1190596"/>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1.House Building Finance Corporation</a:t>
          </a:r>
        </a:p>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2.Palli Karma Sahayak Foundation</a:t>
          </a:r>
        </a:p>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3.Samabay Bank</a:t>
          </a:r>
        </a:p>
        <a:p>
          <a:pPr lvl="0" algn="just"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4.Grameen Bank</a:t>
          </a:r>
        </a:p>
      </dsp:txBody>
      <dsp:txXfrm>
        <a:off x="3163801" y="960169"/>
        <a:ext cx="2153770" cy="1190596"/>
      </dsp:txXfrm>
    </dsp:sp>
    <dsp:sp modelId="{CB0BFE30-73CE-4DD7-965E-3592962DE77A}">
      <dsp:nvSpPr>
        <dsp:cNvPr id="0" name=""/>
        <dsp:cNvSpPr/>
      </dsp:nvSpPr>
      <dsp:spPr>
        <a:xfrm>
          <a:off x="4245917" y="505568"/>
          <a:ext cx="1162843" cy="398831"/>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itchFamily="18" charset="0"/>
              <a:ea typeface="+mn-ea"/>
              <a:cs typeface="Times New Roman" pitchFamily="18" charset="0"/>
            </a:rPr>
            <a:t>Informal Sector</a:t>
          </a:r>
        </a:p>
      </dsp:txBody>
      <dsp:txXfrm>
        <a:off x="4245917" y="505568"/>
        <a:ext cx="1162843" cy="39883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Pet09</b:Tag>
    <b:SourceType>Book</b:SourceType>
    <b:Guid>{FD331AD8-93AA-4F67-A986-25E6D717AEDB}</b:Guid>
    <b:Author>
      <b:Author>
        <b:NameList>
          <b:Person>
            <b:Last>Marquis</b:Last>
            <b:First>Peter</b:First>
            <b:Middle>Rose &amp; Milton</b:Middle>
          </b:Person>
        </b:NameList>
      </b:Author>
    </b:Author>
    <b:Title>Money Market and Capital Market,Financial Institutions and Instruments in a Global Market Place</b:Title>
    <b:Year>2009</b:Year>
    <b:City>New York</b:City>
    <b:Publisher>McGraw Hill</b:Publisher>
    <b:RefOrder>2</b:RefOrder>
  </b:Source>
  <b:Source>
    <b:Tag>Bog08</b:Tag>
    <b:SourceType>Book</b:SourceType>
    <b:Guid>{7A320DF1-C5C9-4D9D-B420-A7973687657C}</b:Guid>
    <b:Author>
      <b:Author>
        <b:NameList>
          <b:Person>
            <b:Last>Bogusław Pietrzak</b:Last>
            <b:First>Zbigniew</b:First>
            <b:Middle>Polański &amp; Barbara Woźniak</b:Middle>
          </b:Person>
        </b:NameList>
      </b:Author>
    </b:Author>
    <b:Title>System finansowy w Polsce,Vol 1</b:Title>
    <b:Year>2008</b:Year>
    <b:City>Warszawa</b:City>
    <b:Publisher>PWN</b:Publisher>
    <b:RefOrder>3</b:RefOrder>
  </b:Source>
  <b:Source>
    <b:Tag>Jos11</b:Tag>
    <b:SourceType>JournalArticle</b:SourceType>
    <b:Guid>{7B6FC52D-C5C0-4FC0-AC34-0CFAFC9C0CC3}</b:Guid>
    <b:Title>The Consequences of Financial Innovation: A Counterfactual Research Agenda</b:Title>
    <b:Year>2011</b:Year>
    <b:Author>
      <b:Author>
        <b:NameList>
          <b:Person>
            <b:Last>Lerner</b:Last>
            <b:First>Peter</b:First>
            <b:Middle>Tufano &amp; Josh</b:Middle>
          </b:Person>
        </b:NameList>
      </b:Author>
    </b:Author>
    <b:JournalName>Annual Review of Financial Economics</b:JournalName>
    <b:Pages>41-45</b:Pages>
    <b:Month>December</b:Month>
    <b:Volume>3</b:Volume>
    <b:RefOrder>4</b:RefOrder>
  </b:Source>
  <b:Source>
    <b:Tag>Fra101</b:Tag>
    <b:SourceType>Book</b:SourceType>
    <b:Guid>{96903F57-14EC-4999-A4AE-82F7DDBB9CD3}</b:Guid>
    <b:Title>Financing the Future: Market-Based Innovations for Growth</b:Title>
    <b:Year>2010</b:Year>
    <b:Author>
      <b:Author>
        <b:NameList>
          <b:Person>
            <b:Last>Yago</b:Last>
            <b:First>Franklin</b:First>
            <b:Middle>Allen &amp; Glenn</b:Middle>
          </b:Person>
        </b:NameList>
      </b:Author>
    </b:Author>
    <b:Publisher>Pearson</b:Publisher>
    <b:RefOrder>5</b:RefOrder>
  </b:Source>
  <b:Source>
    <b:Tag>Res08</b:Tag>
    <b:SourceType>Report</b:SourceType>
    <b:Guid>{C3271FF6-85E8-49C3-B435-5603CE4F1D87}</b:Guid>
    <b:Author>
      <b:Author>
        <b:Corporate>Reserve Bank of India</b:Corporate>
      </b:Author>
    </b:Author>
    <b:Title>Report of the coommittee on financial inclusion</b:Title>
    <b:Year>2008</b:Year>
    <b:RefOrder>7</b:RefOrder>
  </b:Source>
  <b:Source>
    <b:Tag>Ola16</b:Tag>
    <b:SourceType>JournalArticle</b:SourceType>
    <b:Guid>{6E6A87FB-C5C2-4C63-A49E-6B63937B7CE6}</b:Guid>
    <b:Title>Dererminents of Financial Inclusion in Africa:A dynamic panel data approach</b:Title>
    <b:Year>2016</b:Year>
    <b:Pages>310-361</b:Pages>
    <b:Author>
      <b:Author>
        <b:NameList>
          <b:Person>
            <b:Last>Adeoye</b:Last>
            <b:First>Olaniyi</b:First>
            <b:Middle>Evans &amp; Babatunde</b:Middle>
          </b:Person>
        </b:NameList>
      </b:Author>
    </b:Author>
    <b:RefOrder>8</b:RefOrder>
  </b:Source>
  <b:Source>
    <b:Tag>Kot13</b:Tag>
    <b:SourceType>JournalArticle</b:SourceType>
    <b:Guid>{20D2BA17-8628-47C7-8351-E2A1CB2480A7}</b:Guid>
    <b:Year>2013</b:Year>
    <b:Author>
      <b:Author>
        <b:Corporate>KotsemirM,AbroskinA</b:Corporate>
      </b:Author>
    </b:Author>
    <b:JournalName>)InnovationConceptandTypology-AnEvolutionaryDiscussion.SciTechnolInnovWPBRP05/STI/2013, pp.50 </b:JournalName>
    <b:RefOrder>9</b:RefOrder>
  </b:Source>
  <b:Source>
    <b:Tag>Jos12</b:Tag>
    <b:SourceType>Book</b:SourceType>
    <b:Guid>{E3D07955-9148-414F-BD8D-A509A7F66784}</b:Guid>
    <b:Author>
      <b:Author>
        <b:NameList>
          <b:Person>
            <b:Last>Schumpeter</b:Last>
            <b:First>Joseph</b:First>
          </b:Person>
        </b:NameList>
      </b:Author>
    </b:Author>
    <b:Title>Theorie der wirtschaftlichen Entwicklung</b:Title>
    <b:Year>1912</b:Year>
    <b:RefOrder>10</b:RefOrder>
  </b:Source>
  <b:Source>
    <b:Tag>Ros13</b:Tag>
    <b:SourceType>JournalArticle</b:SourceType>
    <b:Guid>{2614CF19-5351-4C9A-B09A-CD86827D676A}</b:Guid>
    <b:Year> 2013</b:Year>
    <b:Month>September </b:Month>
    <b:Day> 27</b:Day>
    <b:JournalName>Financial Innovation in East Asia</b:JournalName>
    <b:Pages>3,4</b:Pages>
    <b:Author>
      <b:Author>
        <b:NameList>
          <b:Person>
            <b:Last>Ross P. Buckley</b:Last>
            <b:First>Douglas</b:First>
            <b:Middle>W. Arner,Michael Panton</b:Middle>
          </b:Person>
        </b:NameList>
      </b:Author>
    </b:Author>
    <b:RefOrder>11</b:RefOrder>
  </b:Source>
  <b:Source>
    <b:Tag>Bea051</b:Tag>
    <b:SourceType>Book</b:SourceType>
    <b:Guid>{FBAA4C1D-A7CE-4A91-BD95-E3B6089134E7}</b:Guid>
    <b:Author>
      <b:Author>
        <b:NameList>
          <b:Person>
            <b:Last>Morduch</b:Last>
            <b:First>Beatriz</b:First>
            <b:Middle>Armendariz &amp; Jonathan</b:Middle>
          </b:Person>
        </b:NameList>
      </b:Author>
    </b:Author>
    <b:Title>The Economics of Microfinance</b:Title>
    <b:Year>2005</b:Year>
    <b:Publisher>The MIT Press</b:Publisher>
    <b:RefOrder>12</b:RefOrder>
  </b:Source>
  <b:Source>
    <b:Tag>Tuf89</b:Tag>
    <b:SourceType>JournalArticle</b:SourceType>
    <b:Guid>{97E6C1E0-4744-4E33-945D-CF3CB5C6DC40}</b:Guid>
    <b:Title>Financial innovation and first-mover advantages</b:Title>
    <b:Year>1989</b:Year>
    <b:Pages>25(2), 213-240</b:Pages>
    <b:JournalName>Journal of Financial Economics</b:JournalName>
    <b:Month>December</b:Month>
    <b:Author>
      <b:Author>
        <b:NameList>
          <b:Person>
            <b:Last>Tufano</b:Last>
            <b:First>Peter</b:First>
          </b:Person>
        </b:NameList>
      </b:Author>
    </b:Author>
    <b:RefOrder>13</b:RefOrder>
  </b:Source>
  <b:Source>
    <b:Tag>Ale16</b:Tag>
    <b:SourceType>JournalArticle</b:SourceType>
    <b:Guid>{0B29A6B6-9AFC-444D-9F12-D08BB3740169}</b:Guid>
    <b:Title>Financial innovation and economic growth: evidence from Zimbabwe</b:Title>
    <b:JournalName>Investment Management and Financial Innovations</b:JournalName>
    <b:Year>2016</b:Year>
    <b:Pages>65-75</b:Pages>
    <b:Author>
      <b:Author>
        <b:NameList>
          <b:Person>
            <b:Last>Mudzingiri</b:Last>
            <b:First>Alex</b:First>
            <b:Middle>Bara &amp; Calvin</b:Middle>
          </b:Person>
        </b:NameList>
      </b:Author>
    </b:Author>
    <b:Month>June</b:Month>
    <b:Day>03</b:Day>
    <b:Volume>13</b:Volume>
    <b:Issue>2</b:Issue>
    <b:RefOrder>14</b:RefOrder>
  </b:Source>
  <b:Source>
    <b:Tag>Cyn19</b:Tag>
    <b:SourceType>JournalArticle</b:SourceType>
    <b:Guid>{ADF181F0-725D-4ED1-B45A-80904920EACC}</b:Guid>
    <b:Title>THE IMPACT OF FINANCIAL INNOVATION ON </b:Title>
    <b:JournalName>International Journal of Economics, Commerce and Management</b:JournalName>
    <b:Year>2019</b:Year>
    <b:Author>
      <b:Author>
        <b:NameList>
          <b:Person>
            <b:Last>Charles</b:Last>
            <b:First>Cynthia</b:First>
            <b:Middle>O. Ozurumba &amp; Onyeiwu</b:Middle>
          </b:Person>
        </b:NameList>
      </b:Author>
    </b:Author>
    <b:Month>August</b:Month>
    <b:Volume>VII</b:Volume>
    <b:Issue>8</b:Issue>
    <b:RefOrder>18</b:RefOrder>
  </b:Source>
  <b:Source>
    <b:Tag>Phi19</b:Tag>
    <b:SourceType>JournalArticle</b:SourceType>
    <b:Guid>{2559D653-EA8F-44F6-A5B8-0C5A694D8A38}</b:Guid>
    <b:Title>Financial innovation and economic growth in Cameroon </b:Title>
    <b:JournalName>International Journal of Business and Finance Management Research</b:JournalName>
    <b:Year>2019</b:Year>
    <b:Author>
      <b:Author>
        <b:NameList>
          <b:Person>
            <b:Last>Okle</b:Last>
            <b:First>Philip</b:First>
            <b:Middle>Satia &amp; Richmond Afotey Nii</b:Middle>
          </b:Person>
        </b:NameList>
      </b:Author>
    </b:Author>
    <b:Month>November</b:Month>
    <b:Day>19</b:Day>
    <b:RefOrder>19</b:RefOrder>
  </b:Source>
  <b:Source>
    <b:Tag>MdQ17</b:Tag>
    <b:SourceType>JournalArticle</b:SourceType>
    <b:Guid>{09EE8F83-1320-42DE-BF9E-F498B98F8BA8}</b:Guid>
    <b:Author>
      <b:Author>
        <b:NameList>
          <b:Person>
            <b:Last>Jianguo</b:Last>
            <b:First>Md.</b:First>
            <b:Middle>Qamruzzaman &amp; Wei</b:Middle>
          </b:Person>
        </b:NameList>
      </b:Author>
    </b:Author>
    <b:Title>Financial innovation and economic growth in Bangladesh</b:Title>
    <b:Year>2017</b:Year>
    <b:RefOrder>20</b:RefOrder>
  </b:Source>
  <b:Source>
    <b:Tag>Mar14</b:Tag>
    <b:SourceType>Book</b:SourceType>
    <b:Guid>{24321EE8-ACD5-4A18-8CC7-B4D5B6FC8F7E}</b:Guid>
    <b:Title>Real Money, New Frontiers: Case studies of Financial Innovation in Africa</b:Title>
    <b:Year>2014</b:Year>
    <b:Author>
      <b:Author>
        <b:NameList>
          <b:Person>
            <b:Last>Napier</b:Last>
            <b:First>Mark</b:First>
          </b:Person>
        </b:NameList>
      </b:Author>
    </b:Author>
    <b:RefOrder>21</b:RefOrder>
  </b:Source>
  <b:Source>
    <b:Tag>MdN14</b:Tag>
    <b:SourceType>JournalArticle</b:SourceType>
    <b:Guid>{8B7AEF35-5BAE-4AF4-928A-D222F437DFFD}</b:Guid>
    <b:Title>Financial Inclusion through Mobile Banking: A Case of Bangladesh</b:Title>
    <b:Year>2014</b:Year>
    <b:JournalName>Journal of Applied Finance &amp; Banking</b:JournalName>
    <b:Author>
      <b:Author>
        <b:NameList>
          <b:Person>
            <b:Last>Md.Nur Alam Siddik</b:Last>
            <b:First>Gang</b:First>
            <b:Middle>Sun, CUI Yanjuan &amp; Sajal Kabiraj</b:Middle>
          </b:Person>
        </b:NameList>
      </b:Author>
    </b:Author>
    <b:Volume>4</b:Volume>
    <b:Issue>6</b:Issue>
    <b:RefOrder>22</b:RefOrder>
  </b:Source>
  <b:Source>
    <b:Tag>Con06</b:Tag>
    <b:SourceType>Report</b:SourceType>
    <b:Guid>{49B2774F-1B8E-456B-ADA5-7BE65717D208}</b:Guid>
    <b:Title>Mobile Phone Banking and Low-Income Customers:Evidence from South Africa</b:Title>
    <b:Year>2006</b:Year>
    <b:Author>
      <b:Author>
        <b:Corporate>Consultative Group to Assist the Poor </b:Corporate>
      </b:Author>
    </b:Author>
    <b:Publisher>https://www.cgap.org/</b:Publisher>
    <b:RefOrder>23</b:RefOrder>
  </b:Source>
  <b:Source>
    <b:Tag>Joa11</b:Tag>
    <b:SourceType>JournalArticle</b:SourceType>
    <b:Guid>{CEC415BD-57A2-4B2D-9AD2-400D947FA708}</b:Guid>
    <b:Title>FINANCIAL INNOVATIONS AND THEIR ROLE IN THE MODERN FINANCIAL SYSTEM –IDENTIFICATION AND SYSTEMATIZATIONOF THE PROBLEM</b:Title>
    <b:Year>2011</b:Year>
    <b:JournalName>Financial Internet Quarterly,,e-Finanse</b:JournalName>
    <b:Pages>13-26</b:Pages>
    <b:Author>
      <b:Author>
        <b:NameList>
          <b:Person>
            <b:Last>Błach</b:Last>
            <b:First>Joanna</b:First>
          </b:Person>
        </b:NameList>
      </b:Author>
    </b:Author>
    <b:Volume>7</b:Volume>
    <b:Issue>3</b:Issue>
    <b:RefOrder>1</b:RefOrder>
  </b:Source>
  <b:Source>
    <b:Tag>DrV15</b:Tag>
    <b:SourceType>JournalArticle</b:SourceType>
    <b:Guid>{2424E63F-4E63-4B89-B6FF-AC27DD8E6558}</b:Guid>
    <b:Title>MEASURING AND REPORTING FINANCIAL INNOVATION PERFORMANCE AND ITS IMPACT: A REVIEW OFMETHODOLOGIES</b:Title>
    <b:Year>2015</b:Year>
    <b:Author>
      <b:Author>
        <b:NameList>
          <b:Person>
            <b:Last>Ekpu</b:Last>
            <b:First>Dr.</b:First>
            <b:Middle>Victor</b:Middle>
          </b:Person>
        </b:NameList>
      </b:Author>
    </b:Author>
    <b:City>Dubai, UAE</b:City>
    <b:RefOrder>6</b:RefOrder>
  </b:Source>
  <b:Source>
    <b:Tag>Ams18</b:Tag>
    <b:SourceType>JournalArticle</b:SourceType>
    <b:Guid>{3EB25A4F-DB5B-4A21-BDF6-E953FA4211C4}</b:Guid>
    <b:Author>
      <b:Author>
        <b:NameList>
          <b:Person>
            <b:Last>Amsterdam</b:Last>
            <b:First>Kirsten</b:First>
          </b:Person>
        </b:NameList>
      </b:Author>
    </b:Author>
    <b:Year>2018</b:Year>
    <b:Month>February</b:Month>
    <b:Publisher>University of Cape Town</b:Publisher>
    <b:Title>The Effect of Financial Innovation on Economic Growth in African Countries</b:Title>
    <b:RefOrder>16</b:RefOrder>
  </b:Source>
  <b:Source>
    <b:Tag>MWI14</b:Tag>
    <b:SourceType>JournalArticle</b:SourceType>
    <b:Guid>{E742D8AE-B3DD-48F8-B95C-BEDEC17C1852}</b:Guid>
    <b:Author>
      <b:Author>
        <b:NameList>
          <b:Person>
            <b:Last>MWINZI</b:Last>
            <b:First>DICKSON</b:First>
            <b:Middle>MWANGANGI</b:Middle>
          </b:Person>
        </b:NameList>
      </b:Author>
    </b:Author>
    <b:Year>2014</b:Year>
    <b:Month>October</b:Month>
    <b:Publisher>UNIVERSITY OF NAIROBI</b:Publisher>
    <b:Title>THE EFFECT OF FINANCIAL INNOVATION ON ECONOMIC GROWTH IN KENYA</b:Title>
    <b:RefOrder>17</b:RefOrder>
  </b:Source>
  <b:Source>
    <b:Tag>Muh20</b:Tag>
    <b:SourceType>JournalArticle</b:SourceType>
    <b:Guid>{D028F665-F1B0-4A19-94FF-438F665E6B83}</b:Guid>
    <b:Year>2020</b:Year>
    <b:Author>
      <b:Author>
        <b:NameList>
          <b:Person>
            <b:Last>Tan</b:Last>
            <b:First>Muhammad</b:First>
            <b:Middle>Rizwan Nazir &amp; Yong</b:Middle>
          </b:Person>
        </b:NameList>
      </b:Author>
    </b:Author>
    <b:Month>June</b:Month>
    <b:Day>20</b:Day>
    <b:Title>Financial innovation and economic growth: Empiricalevidence from China, India and Pakistan</b:Title>
    <b:RefOrder>15</b:RefOrder>
  </b:Source>
</b:Sources>
</file>

<file path=customXml/itemProps1.xml><?xml version="1.0" encoding="utf-8"?>
<ds:datastoreItem xmlns:ds="http://schemas.openxmlformats.org/officeDocument/2006/customXml" ds:itemID="{3EB5D22B-D76C-446E-93B1-E117735E2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37</Pages>
  <Words>7705</Words>
  <Characters>43925</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Impact of COVID-19 on the Financial Innovation in Bangladesh</Company>
  <LinksUpToDate>false</LinksUpToDate>
  <CharactersWithSpaces>51527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252</cp:revision>
  <cp:lastPrinted>2021-03-23T00:14:00Z</cp:lastPrinted>
  <dcterms:created xsi:type="dcterms:W3CDTF">2021-03-22T09:28:00Z</dcterms:created>
  <dcterms:modified xsi:type="dcterms:W3CDTF">2021-03-27T16:23:00Z</dcterms:modified>
</cp:coreProperties>
</file>