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charts/chart64.xml" ContentType="application/vnd.openxmlformats-officedocument.drawingml.chart+xml"/>
  <Override PartName="/word/charts/chart65.xml" ContentType="application/vnd.openxmlformats-officedocument.drawingml.chart+xml"/>
  <Override PartName="/word/charts/chart66.xml" ContentType="application/vnd.openxmlformats-officedocument.drawingml.chart+xml"/>
  <Override PartName="/word/charts/chart67.xml" ContentType="application/vnd.openxmlformats-officedocument.drawingml.chart+xml"/>
  <Override PartName="/word/charts/chart68.xml" ContentType="application/vnd.openxmlformats-officedocument.drawingml.chart+xml"/>
  <Override PartName="/word/charts/chart69.xml" ContentType="application/vnd.openxmlformats-officedocument.drawingml.chart+xml"/>
  <Override PartName="/word/charts/chart70.xml" ContentType="application/vnd.openxmlformats-officedocument.drawingml.chart+xml"/>
  <Override PartName="/word/charts/chart71.xml" ContentType="application/vnd.openxmlformats-officedocument.drawingml.chart+xml"/>
  <Override PartName="/word/charts/chart72.xml" ContentType="application/vnd.openxmlformats-officedocument.drawingml.chart+xml"/>
  <Override PartName="/word/charts/chart73.xml" ContentType="application/vnd.openxmlformats-officedocument.drawingml.chart+xml"/>
  <Override PartName="/word/charts/chart74.xml" ContentType="application/vnd.openxmlformats-officedocument.drawingml.chart+xml"/>
  <Override PartName="/word/charts/chart75.xml" ContentType="application/vnd.openxmlformats-officedocument.drawingml.chart+xml"/>
  <Override PartName="/word/charts/chart76.xml" ContentType="application/vnd.openxmlformats-officedocument.drawingml.chart+xml"/>
  <Override PartName="/word/charts/chart77.xml" ContentType="application/vnd.openxmlformats-officedocument.drawingml.chart+xml"/>
  <Override PartName="/word/charts/chart78.xml" ContentType="application/vnd.openxmlformats-officedocument.drawingml.chart+xml"/>
  <Override PartName="/word/charts/chart79.xml" ContentType="application/vnd.openxmlformats-officedocument.drawingml.chart+xml"/>
  <Override PartName="/word/charts/chart80.xml" ContentType="application/vnd.openxmlformats-officedocument.drawingml.chart+xml"/>
  <Override PartName="/word/charts/chart81.xml" ContentType="application/vnd.openxmlformats-officedocument.drawingml.chart+xml"/>
  <Override PartName="/word/charts/chart82.xml" ContentType="application/vnd.openxmlformats-officedocument.drawingml.chart+xml"/>
  <Override PartName="/word/charts/chart83.xml" ContentType="application/vnd.openxmlformats-officedocument.drawingml.chart+xml"/>
  <Override PartName="/word/charts/chart84.xml" ContentType="application/vnd.openxmlformats-officedocument.drawingml.chart+xml"/>
  <Override PartName="/word/charts/chart85.xml" ContentType="application/vnd.openxmlformats-officedocument.drawingml.chart+xml"/>
  <Override PartName="/word/charts/chart86.xml" ContentType="application/vnd.openxmlformats-officedocument.drawingml.chart+xml"/>
  <Override PartName="/word/charts/chart87.xml" ContentType="application/vnd.openxmlformats-officedocument.drawingml.chart+xml"/>
  <Override PartName="/word/charts/chart88.xml" ContentType="application/vnd.openxmlformats-officedocument.drawingml.chart+xml"/>
  <Override PartName="/word/charts/chart89.xml" ContentType="application/vnd.openxmlformats-officedocument.drawingml.chart+xml"/>
  <Override PartName="/word/charts/chart90.xml" ContentType="application/vnd.openxmlformats-officedocument.drawingml.chart+xml"/>
  <Override PartName="/word/charts/chart91.xml" ContentType="application/vnd.openxmlformats-officedocument.drawingml.chart+xml"/>
  <Override PartName="/word/charts/chart92.xml" ContentType="application/vnd.openxmlformats-officedocument.drawingml.chart+xml"/>
  <Override PartName="/word/charts/chart93.xml" ContentType="application/vnd.openxmlformats-officedocument.drawingml.chart+xml"/>
  <Override PartName="/word/charts/chart94.xml" ContentType="application/vnd.openxmlformats-officedocument.drawingml.chart+xml"/>
  <Override PartName="/word/charts/chart95.xml" ContentType="application/vnd.openxmlformats-officedocument.drawingml.chart+xml"/>
  <Override PartName="/word/charts/chart96.xml" ContentType="application/vnd.openxmlformats-officedocument.drawingml.chart+xml"/>
  <Override PartName="/word/charts/chart97.xml" ContentType="application/vnd.openxmlformats-officedocument.drawingml.chart+xml"/>
  <Override PartName="/word/charts/chart98.xml" ContentType="application/vnd.openxmlformats-officedocument.drawingml.chart+xml"/>
  <Override PartName="/word/charts/chart9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E2E" w:rsidRPr="004D1ECD" w:rsidRDefault="00BD0E2E" w:rsidP="00BD0E2E">
      <w:pPr>
        <w:spacing w:after="200" w:line="276" w:lineRule="auto"/>
        <w:jc w:val="center"/>
        <w:rPr>
          <w:rFonts w:ascii="Times New Roman" w:eastAsia="Calibri" w:hAnsi="Times New Roman" w:cs="Times New Roman"/>
          <w:bCs/>
          <w:color w:val="002060"/>
          <w:sz w:val="24"/>
          <w:szCs w:val="24"/>
        </w:rPr>
      </w:pPr>
      <w:r w:rsidRPr="004D1ECD">
        <w:rPr>
          <w:rFonts w:ascii="Times New Roman" w:eastAsia="Calibri" w:hAnsi="Times New Roman" w:cs="Times New Roman"/>
          <w:bCs/>
          <w:color w:val="002060"/>
          <w:sz w:val="24"/>
          <w:szCs w:val="24"/>
        </w:rPr>
        <w:t>Report On</w:t>
      </w:r>
    </w:p>
    <w:p w:rsidR="00BD0E2E" w:rsidRPr="005B7EC9" w:rsidRDefault="00BD0E2E" w:rsidP="00BD0E2E">
      <w:pPr>
        <w:spacing w:before="240" w:after="60" w:line="276" w:lineRule="auto"/>
        <w:jc w:val="center"/>
        <w:rPr>
          <w:rFonts w:ascii="Times New Roman" w:eastAsia="Calibri" w:hAnsi="Times New Roman" w:cs="Times New Roman"/>
          <w:color w:val="002060"/>
          <w:sz w:val="32"/>
          <w:szCs w:val="32"/>
        </w:rPr>
      </w:pPr>
      <w:r w:rsidRPr="005B7EC9">
        <w:rPr>
          <w:rFonts w:ascii="Times New Roman" w:eastAsia="Calibri" w:hAnsi="Times New Roman" w:cs="Times New Roman"/>
          <w:color w:val="002060"/>
          <w:sz w:val="32"/>
          <w:szCs w:val="32"/>
        </w:rPr>
        <w:t>“</w:t>
      </w:r>
      <w:bookmarkStart w:id="0" w:name="_GoBack"/>
      <w:r w:rsidRPr="005B7EC9">
        <w:rPr>
          <w:rFonts w:ascii="Times New Roman" w:eastAsia="Calibri" w:hAnsi="Times New Roman" w:cs="Times New Roman"/>
          <w:color w:val="002060"/>
          <w:sz w:val="32"/>
          <w:szCs w:val="32"/>
        </w:rPr>
        <w:t>Working capital management practices of Food, Textile and Pharmaceuticals companies of Bangladesh</w:t>
      </w:r>
      <w:bookmarkEnd w:id="0"/>
      <w:r w:rsidRPr="005B7EC9">
        <w:rPr>
          <w:rFonts w:ascii="Times New Roman" w:eastAsia="Calibri" w:hAnsi="Times New Roman" w:cs="Times New Roman"/>
          <w:color w:val="002060"/>
          <w:sz w:val="32"/>
          <w:szCs w:val="32"/>
        </w:rPr>
        <w:t>”</w:t>
      </w:r>
    </w:p>
    <w:p w:rsidR="00BD0E2E" w:rsidRPr="004D1ECD" w:rsidRDefault="00BD0E2E" w:rsidP="00BD0E2E">
      <w:pPr>
        <w:spacing w:after="0" w:line="276" w:lineRule="auto"/>
        <w:jc w:val="center"/>
        <w:rPr>
          <w:rFonts w:ascii="Times New Roman" w:eastAsia="Calibri" w:hAnsi="Times New Roman" w:cs="Times New Roman"/>
          <w:color w:val="000000"/>
          <w:sz w:val="24"/>
          <w:szCs w:val="24"/>
        </w:rPr>
      </w:pPr>
    </w:p>
    <w:p w:rsidR="00BD0E2E" w:rsidRPr="004D1ECD" w:rsidRDefault="00BD0E2E" w:rsidP="00BD0E2E">
      <w:pPr>
        <w:spacing w:after="0" w:line="276" w:lineRule="auto"/>
        <w:jc w:val="center"/>
        <w:rPr>
          <w:rFonts w:ascii="Times New Roman" w:eastAsia="Calibri" w:hAnsi="Times New Roman" w:cs="Times New Roman"/>
          <w:color w:val="000000"/>
          <w:sz w:val="24"/>
          <w:szCs w:val="24"/>
        </w:rPr>
      </w:pPr>
    </w:p>
    <w:p w:rsidR="00BD0E2E" w:rsidRPr="004D1ECD" w:rsidRDefault="00BD0E2E" w:rsidP="00BD0E2E">
      <w:pPr>
        <w:spacing w:after="0" w:line="276" w:lineRule="auto"/>
        <w:jc w:val="center"/>
        <w:rPr>
          <w:rFonts w:ascii="Times New Roman" w:eastAsia="Calibri" w:hAnsi="Times New Roman" w:cs="Times New Roman"/>
          <w:bCs/>
          <w:color w:val="000000"/>
          <w:sz w:val="24"/>
          <w:szCs w:val="24"/>
        </w:rPr>
      </w:pPr>
      <w:r w:rsidRPr="004D1ECD">
        <w:rPr>
          <w:rFonts w:ascii="Times New Roman" w:eastAsia="Calibri" w:hAnsi="Times New Roman" w:cs="Times New Roman"/>
          <w:bCs/>
          <w:color w:val="000000"/>
          <w:sz w:val="24"/>
          <w:szCs w:val="24"/>
        </w:rPr>
        <w:t>Submitted to:</w:t>
      </w:r>
    </w:p>
    <w:p w:rsidR="00BD0E2E" w:rsidRPr="004D1ECD" w:rsidRDefault="00BD0E2E" w:rsidP="00BD0E2E">
      <w:pPr>
        <w:spacing w:after="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bCs/>
          <w:color w:val="000000"/>
          <w:sz w:val="24"/>
          <w:szCs w:val="24"/>
        </w:rPr>
        <w:t>Shakila Aziz</w:t>
      </w:r>
    </w:p>
    <w:p w:rsidR="00BD0E2E" w:rsidRPr="004D1ECD" w:rsidRDefault="00BD0E2E" w:rsidP="00BD0E2E">
      <w:pPr>
        <w:spacing w:after="0" w:line="276" w:lineRule="auto"/>
        <w:jc w:val="center"/>
        <w:rPr>
          <w:rFonts w:ascii="Times New Roman" w:eastAsia="Calibri" w:hAnsi="Times New Roman" w:cs="Times New Roman"/>
          <w:color w:val="000000"/>
          <w:sz w:val="24"/>
          <w:szCs w:val="24"/>
        </w:rPr>
      </w:pPr>
      <w:r w:rsidRPr="004D1ECD">
        <w:rPr>
          <w:rFonts w:ascii="Times New Roman" w:eastAsia="Calibri" w:hAnsi="Times New Roman" w:cs="Times New Roman"/>
          <w:color w:val="000000"/>
          <w:sz w:val="24"/>
          <w:szCs w:val="24"/>
        </w:rPr>
        <w:t>Assistant professor</w:t>
      </w:r>
    </w:p>
    <w:p w:rsidR="00BD0E2E" w:rsidRPr="004D1ECD" w:rsidRDefault="00BD0E2E" w:rsidP="00BD0E2E">
      <w:pPr>
        <w:spacing w:after="0" w:line="276" w:lineRule="auto"/>
        <w:jc w:val="center"/>
        <w:rPr>
          <w:rFonts w:ascii="Times New Roman" w:eastAsia="Calibri" w:hAnsi="Times New Roman" w:cs="Times New Roman"/>
          <w:color w:val="000000"/>
          <w:sz w:val="24"/>
          <w:szCs w:val="24"/>
        </w:rPr>
      </w:pPr>
      <w:r w:rsidRPr="004D1ECD">
        <w:rPr>
          <w:rFonts w:ascii="Times New Roman" w:eastAsia="Calibri" w:hAnsi="Times New Roman" w:cs="Times New Roman"/>
          <w:color w:val="000000"/>
          <w:sz w:val="24"/>
          <w:szCs w:val="24"/>
        </w:rPr>
        <w:t>School of Business and Economics</w:t>
      </w:r>
    </w:p>
    <w:p w:rsidR="00BD0E2E" w:rsidRPr="004D1ECD" w:rsidRDefault="00BD0E2E" w:rsidP="00BD0E2E">
      <w:pPr>
        <w:spacing w:after="0" w:line="276" w:lineRule="auto"/>
        <w:jc w:val="center"/>
        <w:rPr>
          <w:rFonts w:ascii="Times New Roman" w:eastAsia="Calibri" w:hAnsi="Times New Roman" w:cs="Times New Roman"/>
          <w:color w:val="000000"/>
          <w:sz w:val="24"/>
          <w:szCs w:val="24"/>
        </w:rPr>
      </w:pPr>
      <w:r w:rsidRPr="004D1ECD">
        <w:rPr>
          <w:rFonts w:ascii="Times New Roman" w:eastAsia="Calibri" w:hAnsi="Times New Roman" w:cs="Times New Roman"/>
          <w:color w:val="000000"/>
          <w:sz w:val="24"/>
          <w:szCs w:val="24"/>
        </w:rPr>
        <w:t>United International University</w:t>
      </w:r>
    </w:p>
    <w:p w:rsidR="00BD0E2E" w:rsidRPr="004D1ECD" w:rsidRDefault="00BD0E2E" w:rsidP="00BD0E2E">
      <w:pPr>
        <w:spacing w:after="0" w:line="276" w:lineRule="auto"/>
        <w:jc w:val="center"/>
        <w:rPr>
          <w:rFonts w:ascii="Times New Roman" w:eastAsia="Calibri" w:hAnsi="Times New Roman" w:cs="Times New Roman"/>
          <w:color w:val="000000"/>
          <w:sz w:val="24"/>
          <w:szCs w:val="24"/>
        </w:rPr>
      </w:pPr>
    </w:p>
    <w:p w:rsidR="00BD0E2E" w:rsidRPr="004D1ECD" w:rsidRDefault="00BD0E2E" w:rsidP="00BD0E2E">
      <w:pPr>
        <w:spacing w:after="0" w:line="276" w:lineRule="auto"/>
        <w:jc w:val="center"/>
        <w:rPr>
          <w:rFonts w:ascii="Times New Roman" w:eastAsia="Calibri" w:hAnsi="Times New Roman" w:cs="Times New Roman"/>
          <w:color w:val="000000"/>
          <w:sz w:val="24"/>
          <w:szCs w:val="24"/>
        </w:rPr>
      </w:pPr>
    </w:p>
    <w:p w:rsidR="00BD0E2E" w:rsidRDefault="00BD0E2E" w:rsidP="00BD0E2E">
      <w:pPr>
        <w:spacing w:after="0" w:line="276" w:lineRule="auto"/>
        <w:jc w:val="center"/>
        <w:rPr>
          <w:rFonts w:ascii="Times New Roman" w:eastAsia="Calibri" w:hAnsi="Times New Roman" w:cs="Times New Roman"/>
          <w:bCs/>
          <w:color w:val="000000"/>
          <w:sz w:val="24"/>
          <w:szCs w:val="24"/>
        </w:rPr>
      </w:pPr>
      <w:r w:rsidRPr="004D1ECD">
        <w:rPr>
          <w:rFonts w:ascii="Times New Roman" w:eastAsia="Calibri" w:hAnsi="Times New Roman" w:cs="Times New Roman"/>
          <w:bCs/>
          <w:color w:val="000000"/>
          <w:sz w:val="24"/>
          <w:szCs w:val="24"/>
        </w:rPr>
        <w:t>Submitted by:</w:t>
      </w:r>
    </w:p>
    <w:p w:rsidR="00BD0E2E" w:rsidRDefault="00BD0E2E" w:rsidP="00BD0E2E">
      <w:pPr>
        <w:spacing w:after="0" w:line="276" w:lineRule="auto"/>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MD. Mostafizur Rahman</w:t>
      </w:r>
    </w:p>
    <w:p w:rsidR="00BD0E2E" w:rsidRDefault="00BD0E2E" w:rsidP="00BD0E2E">
      <w:pPr>
        <w:spacing w:after="0" w:line="276" w:lineRule="auto"/>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ID: 111142019</w:t>
      </w:r>
    </w:p>
    <w:p w:rsidR="00BD0E2E" w:rsidRDefault="00BD0E2E" w:rsidP="00BD0E2E">
      <w:pPr>
        <w:spacing w:after="0" w:line="276" w:lineRule="auto"/>
        <w:jc w:val="center"/>
        <w:rPr>
          <w:rFonts w:ascii="Times New Roman" w:eastAsia="Calibri" w:hAnsi="Times New Roman" w:cs="Times New Roman"/>
          <w:bCs/>
          <w:color w:val="000000"/>
          <w:sz w:val="24"/>
          <w:szCs w:val="24"/>
        </w:rPr>
      </w:pPr>
    </w:p>
    <w:p w:rsidR="00BD0E2E" w:rsidRDefault="00BD0E2E" w:rsidP="00BD0E2E">
      <w:pPr>
        <w:spacing w:after="0" w:line="276" w:lineRule="auto"/>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Date of submission</w:t>
      </w:r>
    </w:p>
    <w:p w:rsidR="00BD0E2E" w:rsidRDefault="00BD0E2E" w:rsidP="00BD0E2E">
      <w:pPr>
        <w:spacing w:after="0" w:line="276" w:lineRule="auto"/>
        <w:jc w:val="center"/>
        <w:rPr>
          <w:rFonts w:ascii="Times New Roman" w:eastAsia="Calibri" w:hAnsi="Times New Roman" w:cs="Times New Roman"/>
          <w:bCs/>
          <w:color w:val="000000"/>
          <w:sz w:val="24"/>
          <w:szCs w:val="24"/>
        </w:rPr>
      </w:pPr>
    </w:p>
    <w:p w:rsidR="00BD0E2E" w:rsidRPr="004D1ECD" w:rsidRDefault="00BD0E2E" w:rsidP="00BD0E2E">
      <w:pPr>
        <w:spacing w:after="0" w:line="276" w:lineRule="auto"/>
        <w:jc w:val="both"/>
        <w:rPr>
          <w:rFonts w:ascii="Times New Roman" w:eastAsia="Calibri" w:hAnsi="Times New Roman" w:cs="Times New Roman"/>
          <w:bCs/>
          <w:color w:val="000000"/>
          <w:sz w:val="24"/>
          <w:szCs w:val="24"/>
        </w:rPr>
      </w:pPr>
    </w:p>
    <w:p w:rsidR="00605AEA" w:rsidRDefault="003D0E5E" w:rsidP="0082053D">
      <w:pPr>
        <w:spacing w:after="200" w:line="276" w:lineRule="auto"/>
        <w:jc w:val="center"/>
        <w:rPr>
          <w:rFonts w:ascii="Times New Roman" w:eastAsia="Times New Roman" w:hAnsi="Times New Roman" w:cs="Times New Roman"/>
          <w:color w:val="31849B" w:themeColor="accent5" w:themeShade="BF"/>
          <w:sz w:val="32"/>
          <w:szCs w:val="32"/>
        </w:rPr>
        <w:sectPr w:rsidR="00605AEA" w:rsidSect="000470E6">
          <w:footerReference w:type="default" r:id="rId9"/>
          <w:pgSz w:w="12240" w:h="15840"/>
          <w:pgMar w:top="1440" w:right="1440" w:bottom="1440" w:left="1440" w:header="720" w:footer="720" w:gutter="0"/>
          <w:cols w:space="720"/>
          <w:titlePg/>
          <w:docGrid w:linePitch="360"/>
        </w:sectPr>
      </w:pPr>
      <w:r>
        <w:rPr>
          <w:rFonts w:ascii="Times New Roman" w:eastAsia="Times New Roman" w:hAnsi="Times New Roman" w:cs="Times New Roman"/>
          <w:color w:val="31849B" w:themeColor="accent5" w:themeShade="BF"/>
          <w:sz w:val="32"/>
          <w:szCs w:val="32"/>
        </w:rPr>
        <w:t>10</w:t>
      </w:r>
      <w:r w:rsidR="00D534AD">
        <w:rPr>
          <w:rFonts w:ascii="Times New Roman" w:eastAsia="Times New Roman" w:hAnsi="Times New Roman" w:cs="Times New Roman"/>
          <w:color w:val="31849B" w:themeColor="accent5" w:themeShade="BF"/>
          <w:sz w:val="32"/>
          <w:szCs w:val="32"/>
          <w:vertAlign w:val="superscript"/>
        </w:rPr>
        <w:t>th</w:t>
      </w:r>
      <w:r w:rsidR="0082053D">
        <w:rPr>
          <w:rFonts w:ascii="Times New Roman" w:eastAsia="Times New Roman" w:hAnsi="Times New Roman" w:cs="Times New Roman"/>
          <w:color w:val="31849B" w:themeColor="accent5" w:themeShade="BF"/>
          <w:sz w:val="32"/>
          <w:szCs w:val="32"/>
        </w:rPr>
        <w:t xml:space="preserve"> September 2019</w:t>
      </w:r>
    </w:p>
    <w:p w:rsidR="00E9388F" w:rsidRPr="005B7EC9" w:rsidRDefault="00E9388F" w:rsidP="00BD0E2E">
      <w:pPr>
        <w:spacing w:after="200" w:line="276" w:lineRule="auto"/>
        <w:rPr>
          <w:rFonts w:ascii="Times New Roman" w:eastAsia="Times New Roman" w:hAnsi="Times New Roman" w:cs="Times New Roman"/>
          <w:b/>
          <w:color w:val="4F81BD" w:themeColor="accent1"/>
          <w:sz w:val="32"/>
          <w:szCs w:val="32"/>
        </w:rPr>
      </w:pPr>
      <w:r w:rsidRPr="005B7EC9">
        <w:rPr>
          <w:rFonts w:ascii="Times New Roman" w:eastAsia="Times New Roman" w:hAnsi="Times New Roman" w:cs="Times New Roman"/>
          <w:b/>
          <w:color w:val="4F81BD" w:themeColor="accent1"/>
          <w:sz w:val="32"/>
          <w:szCs w:val="32"/>
        </w:rPr>
        <w:lastRenderedPageBreak/>
        <w:t>Letter of Transmittal</w:t>
      </w:r>
    </w:p>
    <w:p w:rsidR="009B0B5F" w:rsidRDefault="009B0B5F" w:rsidP="00E9388F">
      <w:pPr>
        <w:spacing w:before="240" w:after="60" w:line="276" w:lineRule="auto"/>
        <w:jc w:val="both"/>
        <w:rPr>
          <w:rFonts w:ascii="Times New Roman" w:eastAsia="Times New Roman" w:hAnsi="Times New Roman" w:cs="Times New Roman"/>
          <w:color w:val="000000"/>
          <w:sz w:val="24"/>
          <w:szCs w:val="24"/>
        </w:rPr>
      </w:pPr>
    </w:p>
    <w:p w:rsidR="00E9388F" w:rsidRPr="004D1ECD" w:rsidRDefault="00BD0E2E" w:rsidP="00E9388F">
      <w:pPr>
        <w:spacing w:before="240" w:after="6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Date</w:t>
      </w:r>
    </w:p>
    <w:p w:rsidR="00E9388F" w:rsidRPr="004D1ECD" w:rsidRDefault="00E9388F" w:rsidP="00E9388F">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Shakila Aziz</w:t>
      </w:r>
    </w:p>
    <w:p w:rsidR="00E9388F" w:rsidRPr="004D1ECD" w:rsidRDefault="00E9388F" w:rsidP="00E9388F">
      <w:pPr>
        <w:spacing w:after="0" w:line="276" w:lineRule="auto"/>
        <w:jc w:val="both"/>
        <w:rPr>
          <w:rFonts w:ascii="Times New Roman" w:eastAsia="Times New Roman" w:hAnsi="Times New Roman" w:cs="Times New Roman"/>
          <w:color w:val="000000"/>
          <w:sz w:val="24"/>
          <w:szCs w:val="24"/>
        </w:rPr>
      </w:pPr>
      <w:r w:rsidRPr="004D1ECD">
        <w:rPr>
          <w:rFonts w:ascii="Times New Roman" w:eastAsia="Times New Roman" w:hAnsi="Times New Roman" w:cs="Times New Roman"/>
          <w:color w:val="000000"/>
          <w:sz w:val="24"/>
          <w:szCs w:val="24"/>
        </w:rPr>
        <w:t xml:space="preserve">Assistant professor </w:t>
      </w:r>
    </w:p>
    <w:p w:rsidR="00E9388F" w:rsidRPr="004D1ECD" w:rsidRDefault="00E9388F" w:rsidP="00E9388F">
      <w:pPr>
        <w:spacing w:after="0" w:line="276" w:lineRule="auto"/>
        <w:jc w:val="both"/>
        <w:rPr>
          <w:rFonts w:ascii="Times New Roman" w:eastAsia="Times New Roman" w:hAnsi="Times New Roman" w:cs="Times New Roman"/>
          <w:color w:val="000000"/>
          <w:sz w:val="24"/>
          <w:szCs w:val="24"/>
        </w:rPr>
      </w:pPr>
      <w:r w:rsidRPr="004D1ECD">
        <w:rPr>
          <w:rFonts w:ascii="Times New Roman" w:eastAsia="Times New Roman" w:hAnsi="Times New Roman" w:cs="Times New Roman"/>
          <w:color w:val="000000"/>
          <w:sz w:val="24"/>
          <w:szCs w:val="24"/>
        </w:rPr>
        <w:t>School of Business and Economics</w:t>
      </w:r>
    </w:p>
    <w:p w:rsidR="00E9388F" w:rsidRPr="004D1ECD" w:rsidRDefault="00E9388F" w:rsidP="00E9388F">
      <w:pPr>
        <w:spacing w:after="0" w:line="276" w:lineRule="auto"/>
        <w:jc w:val="both"/>
        <w:rPr>
          <w:rFonts w:ascii="Times New Roman" w:eastAsia="Times New Roman" w:hAnsi="Times New Roman" w:cs="Times New Roman"/>
          <w:color w:val="000000"/>
          <w:sz w:val="24"/>
          <w:szCs w:val="24"/>
        </w:rPr>
      </w:pPr>
      <w:r w:rsidRPr="004D1ECD">
        <w:rPr>
          <w:rFonts w:ascii="Times New Roman" w:eastAsia="Times New Roman" w:hAnsi="Times New Roman" w:cs="Times New Roman"/>
          <w:color w:val="000000"/>
          <w:sz w:val="24"/>
          <w:szCs w:val="24"/>
        </w:rPr>
        <w:t>United International University</w:t>
      </w:r>
    </w:p>
    <w:p w:rsidR="00E9388F" w:rsidRPr="004D1ECD" w:rsidRDefault="00E9388F" w:rsidP="00E9388F">
      <w:pPr>
        <w:spacing w:after="0" w:line="276" w:lineRule="auto"/>
        <w:jc w:val="both"/>
        <w:rPr>
          <w:rFonts w:ascii="Times New Roman" w:eastAsia="Times New Roman" w:hAnsi="Times New Roman" w:cs="Times New Roman"/>
          <w:color w:val="000000"/>
          <w:sz w:val="24"/>
          <w:szCs w:val="24"/>
        </w:rPr>
      </w:pPr>
    </w:p>
    <w:p w:rsidR="00E9388F" w:rsidRPr="004D1ECD" w:rsidRDefault="00E9388F" w:rsidP="00E9388F">
      <w:pPr>
        <w:spacing w:after="0" w:line="276" w:lineRule="auto"/>
        <w:jc w:val="both"/>
        <w:rPr>
          <w:rFonts w:ascii="Times New Roman" w:eastAsia="Times New Roman" w:hAnsi="Times New Roman" w:cs="Times New Roman"/>
          <w:color w:val="000000"/>
          <w:sz w:val="24"/>
          <w:szCs w:val="24"/>
          <w:u w:val="single"/>
        </w:rPr>
      </w:pPr>
      <w:r w:rsidRPr="004D1ECD">
        <w:rPr>
          <w:rFonts w:ascii="Times New Roman" w:eastAsia="Times New Roman" w:hAnsi="Times New Roman" w:cs="Times New Roman"/>
          <w:color w:val="000000"/>
          <w:sz w:val="24"/>
          <w:szCs w:val="24"/>
        </w:rPr>
        <w:t>Subject: To submit the report on “</w:t>
      </w:r>
      <w:r w:rsidRPr="004D1ECD">
        <w:rPr>
          <w:rFonts w:ascii="Times New Roman" w:eastAsia="Times New Roman" w:hAnsi="Times New Roman" w:cs="Times New Roman"/>
          <w:sz w:val="24"/>
          <w:szCs w:val="24"/>
        </w:rPr>
        <w:t xml:space="preserve">Working capital Ratio Analysis of </w:t>
      </w:r>
      <w:r>
        <w:rPr>
          <w:rFonts w:ascii="Times New Roman" w:eastAsia="Times New Roman" w:hAnsi="Times New Roman" w:cs="Times New Roman"/>
          <w:sz w:val="24"/>
          <w:szCs w:val="24"/>
        </w:rPr>
        <w:t>Food, Textiles and Pharmaceuticals companies.</w:t>
      </w:r>
    </w:p>
    <w:p w:rsidR="00E9388F" w:rsidRPr="004D1ECD" w:rsidRDefault="00E9388F" w:rsidP="00E9388F">
      <w:pPr>
        <w:spacing w:after="0" w:line="276" w:lineRule="auto"/>
        <w:jc w:val="both"/>
        <w:rPr>
          <w:rFonts w:ascii="Times New Roman" w:eastAsia="Times New Roman" w:hAnsi="Times New Roman" w:cs="Times New Roman"/>
          <w:color w:val="000000"/>
          <w:sz w:val="24"/>
          <w:szCs w:val="24"/>
        </w:rPr>
      </w:pPr>
    </w:p>
    <w:p w:rsidR="00E9388F" w:rsidRPr="004D1ECD" w:rsidRDefault="00E9388F" w:rsidP="00E9388F">
      <w:pPr>
        <w:spacing w:after="0" w:line="276" w:lineRule="auto"/>
        <w:jc w:val="both"/>
        <w:rPr>
          <w:rFonts w:ascii="Times New Roman" w:eastAsia="Times New Roman" w:hAnsi="Times New Roman" w:cs="Times New Roman"/>
          <w:color w:val="000000"/>
          <w:sz w:val="24"/>
          <w:szCs w:val="24"/>
        </w:rPr>
      </w:pPr>
      <w:r w:rsidRPr="004D1ECD">
        <w:rPr>
          <w:rFonts w:ascii="Times New Roman" w:eastAsia="Times New Roman" w:hAnsi="Times New Roman" w:cs="Times New Roman"/>
          <w:color w:val="000000"/>
          <w:sz w:val="24"/>
          <w:szCs w:val="24"/>
        </w:rPr>
        <w:t xml:space="preserve">Dear Madam, </w:t>
      </w:r>
    </w:p>
    <w:p w:rsidR="00E9388F" w:rsidRPr="00E9388F" w:rsidRDefault="00E9388F" w:rsidP="00E9388F">
      <w:pPr>
        <w:spacing w:after="0" w:line="276" w:lineRule="auto"/>
        <w:jc w:val="both"/>
        <w:rPr>
          <w:rFonts w:ascii="Times New Roman" w:eastAsia="Times New Roman" w:hAnsi="Times New Roman" w:cs="Times New Roman"/>
          <w:color w:val="000000"/>
          <w:sz w:val="24"/>
          <w:szCs w:val="24"/>
          <w:u w:val="single"/>
        </w:rPr>
      </w:pPr>
      <w:r w:rsidRPr="004D1ECD">
        <w:rPr>
          <w:rFonts w:ascii="Times New Roman" w:eastAsia="Times New Roman" w:hAnsi="Times New Roman" w:cs="Times New Roman"/>
          <w:color w:val="000000"/>
          <w:sz w:val="24"/>
          <w:szCs w:val="24"/>
        </w:rPr>
        <w:t>With great pleasure we submit our report on “</w:t>
      </w:r>
      <w:r w:rsidRPr="004D1ECD">
        <w:rPr>
          <w:rFonts w:ascii="Times New Roman" w:eastAsia="Times New Roman" w:hAnsi="Times New Roman" w:cs="Times New Roman"/>
          <w:sz w:val="24"/>
          <w:szCs w:val="24"/>
        </w:rPr>
        <w:t>Working capital Ratio Analysis of</w:t>
      </w:r>
      <w:r w:rsidR="007910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Food, Textiles and Pharmaceuticals companies</w:t>
      </w:r>
      <w:r w:rsidRPr="004D1ECD">
        <w:rPr>
          <w:rFonts w:ascii="Times New Roman" w:eastAsia="Times New Roman" w:hAnsi="Times New Roman" w:cs="Times New Roman"/>
          <w:color w:val="000000"/>
          <w:sz w:val="24"/>
          <w:szCs w:val="24"/>
        </w:rPr>
        <w:t xml:space="preserve">” that you have assigned to </w:t>
      </w:r>
      <w:r>
        <w:rPr>
          <w:rFonts w:ascii="Times New Roman" w:eastAsia="Times New Roman" w:hAnsi="Times New Roman" w:cs="Times New Roman"/>
          <w:color w:val="000000"/>
          <w:sz w:val="24"/>
          <w:szCs w:val="24"/>
        </w:rPr>
        <w:t>me</w:t>
      </w:r>
      <w:r w:rsidRPr="004D1ECD">
        <w:rPr>
          <w:rFonts w:ascii="Times New Roman" w:eastAsia="Times New Roman" w:hAnsi="Times New Roman" w:cs="Times New Roman"/>
          <w:color w:val="000000"/>
          <w:sz w:val="24"/>
          <w:szCs w:val="24"/>
        </w:rPr>
        <w:t xml:space="preserve">. </w:t>
      </w:r>
      <w:r w:rsidR="00FA42DB">
        <w:rPr>
          <w:rFonts w:ascii="Times New Roman" w:eastAsia="Times New Roman" w:hAnsi="Times New Roman" w:cs="Times New Roman"/>
          <w:color w:val="000000"/>
          <w:sz w:val="24"/>
          <w:szCs w:val="24"/>
        </w:rPr>
        <w:t>This</w:t>
      </w:r>
      <w:r w:rsidRPr="004D1ECD">
        <w:rPr>
          <w:rFonts w:ascii="Times New Roman" w:eastAsia="Times New Roman" w:hAnsi="Times New Roman" w:cs="Times New Roman"/>
          <w:color w:val="000000"/>
          <w:sz w:val="24"/>
          <w:szCs w:val="24"/>
        </w:rPr>
        <w:t xml:space="preserve"> study </w:t>
      </w:r>
      <w:r w:rsidR="00C15CC7">
        <w:rPr>
          <w:rFonts w:ascii="Times New Roman" w:eastAsia="Times New Roman" w:hAnsi="Times New Roman" w:cs="Times New Roman"/>
          <w:color w:val="000000"/>
          <w:sz w:val="24"/>
          <w:szCs w:val="24"/>
        </w:rPr>
        <w:t>is</w:t>
      </w:r>
      <w:r w:rsidRPr="004D1ECD">
        <w:rPr>
          <w:rFonts w:ascii="Times New Roman" w:eastAsia="Times New Roman" w:hAnsi="Times New Roman" w:cs="Times New Roman"/>
          <w:color w:val="000000"/>
          <w:sz w:val="24"/>
          <w:szCs w:val="24"/>
        </w:rPr>
        <w:t xml:space="preserve"> quite </w:t>
      </w:r>
      <w:r w:rsidR="00FA42DB">
        <w:rPr>
          <w:rFonts w:ascii="Times New Roman" w:eastAsia="Times New Roman" w:hAnsi="Times New Roman" w:cs="Times New Roman"/>
          <w:color w:val="000000"/>
          <w:sz w:val="24"/>
          <w:szCs w:val="24"/>
        </w:rPr>
        <w:t>enjoyable and</w:t>
      </w:r>
      <w:r w:rsidRPr="004D1ECD">
        <w:rPr>
          <w:rFonts w:ascii="Times New Roman" w:eastAsia="Times New Roman" w:hAnsi="Times New Roman" w:cs="Times New Roman"/>
          <w:color w:val="000000"/>
          <w:sz w:val="24"/>
          <w:szCs w:val="24"/>
        </w:rPr>
        <w:t xml:space="preserve"> </w:t>
      </w:r>
      <w:r w:rsidR="00FA42DB">
        <w:rPr>
          <w:rFonts w:ascii="Times New Roman" w:eastAsia="Times New Roman" w:hAnsi="Times New Roman" w:cs="Times New Roman"/>
          <w:color w:val="000000"/>
          <w:sz w:val="24"/>
          <w:szCs w:val="24"/>
        </w:rPr>
        <w:t>helpful</w:t>
      </w:r>
      <w:r w:rsidRPr="004D1ECD">
        <w:rPr>
          <w:rFonts w:ascii="Times New Roman" w:eastAsia="Times New Roman" w:hAnsi="Times New Roman" w:cs="Times New Roman"/>
          <w:color w:val="000000"/>
          <w:sz w:val="24"/>
          <w:szCs w:val="24"/>
        </w:rPr>
        <w:t xml:space="preserve">. </w:t>
      </w:r>
      <w:r w:rsidR="00FA42DB">
        <w:rPr>
          <w:rFonts w:ascii="Times New Roman" w:eastAsia="Times New Roman" w:hAnsi="Times New Roman" w:cs="Times New Roman"/>
          <w:color w:val="000000"/>
          <w:sz w:val="24"/>
          <w:szCs w:val="24"/>
        </w:rPr>
        <w:t xml:space="preserve">I have tried in </w:t>
      </w:r>
      <w:r w:rsidR="00C15CC7">
        <w:rPr>
          <w:rFonts w:ascii="Times New Roman" w:eastAsia="Times New Roman" w:hAnsi="Times New Roman" w:cs="Times New Roman"/>
          <w:color w:val="000000"/>
          <w:sz w:val="24"/>
          <w:szCs w:val="24"/>
        </w:rPr>
        <w:t>my</w:t>
      </w:r>
      <w:r w:rsidR="00FA42DB">
        <w:rPr>
          <w:rFonts w:ascii="Times New Roman" w:eastAsia="Times New Roman" w:hAnsi="Times New Roman" w:cs="Times New Roman"/>
          <w:color w:val="000000"/>
          <w:sz w:val="24"/>
          <w:szCs w:val="24"/>
        </w:rPr>
        <w:t xml:space="preserve"> way to prepare the</w:t>
      </w:r>
      <w:r w:rsidRPr="004D1ECD">
        <w:rPr>
          <w:rFonts w:ascii="Times New Roman" w:eastAsia="Times New Roman" w:hAnsi="Times New Roman" w:cs="Times New Roman"/>
          <w:color w:val="000000"/>
          <w:sz w:val="24"/>
          <w:szCs w:val="24"/>
        </w:rPr>
        <w:t xml:space="preserve"> best </w:t>
      </w:r>
      <w:r w:rsidR="00FA42DB">
        <w:rPr>
          <w:rFonts w:ascii="Times New Roman" w:eastAsia="Times New Roman" w:hAnsi="Times New Roman" w:cs="Times New Roman"/>
          <w:color w:val="000000"/>
          <w:sz w:val="24"/>
          <w:szCs w:val="24"/>
        </w:rPr>
        <w:t xml:space="preserve">outcome </w:t>
      </w:r>
      <w:r w:rsidRPr="004D1ECD">
        <w:rPr>
          <w:rFonts w:ascii="Times New Roman" w:eastAsia="Times New Roman" w:hAnsi="Times New Roman" w:cs="Times New Roman"/>
          <w:color w:val="000000"/>
          <w:sz w:val="24"/>
          <w:szCs w:val="24"/>
        </w:rPr>
        <w:t xml:space="preserve">report. </w:t>
      </w:r>
    </w:p>
    <w:p w:rsidR="00E9388F" w:rsidRPr="004D1ECD" w:rsidRDefault="00FA42DB" w:rsidP="00E9388F">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w:t>
      </w:r>
      <w:r w:rsidR="00E9388F" w:rsidRPr="004D1EC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project report</w:t>
      </w:r>
      <w:r w:rsidR="00E9388F" w:rsidRPr="004D1EC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includes</w:t>
      </w:r>
      <w:r w:rsidR="00E9388F" w:rsidRPr="004D1ECD">
        <w:rPr>
          <w:rFonts w:ascii="Times New Roman" w:eastAsia="Times New Roman" w:hAnsi="Times New Roman" w:cs="Times New Roman"/>
          <w:color w:val="000000"/>
          <w:sz w:val="24"/>
          <w:szCs w:val="24"/>
        </w:rPr>
        <w:t xml:space="preserve"> a </w:t>
      </w:r>
      <w:r>
        <w:rPr>
          <w:rFonts w:ascii="Times New Roman" w:eastAsia="Times New Roman" w:hAnsi="Times New Roman" w:cs="Times New Roman"/>
          <w:color w:val="000000"/>
          <w:sz w:val="24"/>
          <w:szCs w:val="24"/>
        </w:rPr>
        <w:t>elaborated</w:t>
      </w:r>
      <w:r w:rsidR="00E9388F" w:rsidRPr="004D1ECD">
        <w:rPr>
          <w:rFonts w:ascii="Times New Roman" w:eastAsia="Times New Roman" w:hAnsi="Times New Roman" w:cs="Times New Roman"/>
          <w:color w:val="000000"/>
          <w:sz w:val="24"/>
          <w:szCs w:val="24"/>
        </w:rPr>
        <w:t xml:space="preserve"> study </w:t>
      </w:r>
      <w:r>
        <w:rPr>
          <w:rFonts w:ascii="Times New Roman" w:eastAsia="Times New Roman" w:hAnsi="Times New Roman" w:cs="Times New Roman"/>
          <w:color w:val="000000"/>
          <w:sz w:val="24"/>
          <w:szCs w:val="24"/>
        </w:rPr>
        <w:t xml:space="preserve">of </w:t>
      </w:r>
      <w:r w:rsidR="00E9388F" w:rsidRPr="004D1ECD">
        <w:rPr>
          <w:rFonts w:ascii="Times New Roman" w:eastAsia="Times New Roman" w:hAnsi="Times New Roman" w:cs="Times New Roman"/>
          <w:sz w:val="24"/>
          <w:szCs w:val="24"/>
        </w:rPr>
        <w:t xml:space="preserve">Working capital Ratio Analysis </w:t>
      </w:r>
      <w:r w:rsidR="00E9388F" w:rsidRPr="004D1ECD">
        <w:rPr>
          <w:rFonts w:ascii="Times New Roman" w:eastAsia="Times New Roman" w:hAnsi="Times New Roman" w:cs="Times New Roman"/>
          <w:color w:val="000000"/>
          <w:sz w:val="24"/>
          <w:szCs w:val="24"/>
        </w:rPr>
        <w:t xml:space="preserve">and related information regarding several things. </w:t>
      </w:r>
    </w:p>
    <w:p w:rsidR="00E9388F" w:rsidRPr="004D1ECD" w:rsidRDefault="00E9388F" w:rsidP="00E9388F">
      <w:pPr>
        <w:spacing w:after="0" w:line="276" w:lineRule="auto"/>
        <w:jc w:val="both"/>
        <w:rPr>
          <w:rFonts w:ascii="Times New Roman" w:eastAsia="Times New Roman" w:hAnsi="Times New Roman" w:cs="Times New Roman"/>
          <w:color w:val="000000"/>
          <w:sz w:val="24"/>
          <w:szCs w:val="24"/>
        </w:rPr>
      </w:pPr>
    </w:p>
    <w:p w:rsidR="00E9388F" w:rsidRPr="004D1ECD" w:rsidRDefault="00E9388F" w:rsidP="00E9388F">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sidRPr="004D1ECD">
        <w:rPr>
          <w:rFonts w:ascii="Times New Roman" w:eastAsia="Times New Roman" w:hAnsi="Times New Roman" w:cs="Times New Roman"/>
          <w:color w:val="000000"/>
          <w:sz w:val="24"/>
          <w:szCs w:val="24"/>
        </w:rPr>
        <w:t xml:space="preserve"> want to thank you for support</w:t>
      </w:r>
      <w:r w:rsidR="00FA42DB">
        <w:rPr>
          <w:rFonts w:ascii="Times New Roman" w:eastAsia="Times New Roman" w:hAnsi="Times New Roman" w:cs="Times New Roman"/>
          <w:color w:val="000000"/>
          <w:sz w:val="24"/>
          <w:szCs w:val="24"/>
        </w:rPr>
        <w:t>ing me</w:t>
      </w:r>
      <w:r w:rsidRPr="004D1ECD">
        <w:rPr>
          <w:rFonts w:ascii="Times New Roman" w:eastAsia="Times New Roman" w:hAnsi="Times New Roman" w:cs="Times New Roman"/>
          <w:color w:val="000000"/>
          <w:sz w:val="24"/>
          <w:szCs w:val="24"/>
        </w:rPr>
        <w:t xml:space="preserve"> </w:t>
      </w:r>
      <w:r w:rsidR="00FA42DB">
        <w:rPr>
          <w:rFonts w:ascii="Times New Roman" w:eastAsia="Times New Roman" w:hAnsi="Times New Roman" w:cs="Times New Roman"/>
          <w:color w:val="000000"/>
          <w:sz w:val="24"/>
          <w:szCs w:val="24"/>
        </w:rPr>
        <w:t xml:space="preserve">with </w:t>
      </w:r>
      <w:r w:rsidRPr="004D1ECD">
        <w:rPr>
          <w:rFonts w:ascii="Times New Roman" w:eastAsia="Times New Roman" w:hAnsi="Times New Roman" w:cs="Times New Roman"/>
          <w:color w:val="000000"/>
          <w:sz w:val="24"/>
          <w:szCs w:val="24"/>
        </w:rPr>
        <w:t xml:space="preserve">patience and </w:t>
      </w:r>
      <w:r>
        <w:rPr>
          <w:rFonts w:ascii="Times New Roman" w:eastAsia="Times New Roman" w:hAnsi="Times New Roman" w:cs="Times New Roman"/>
          <w:color w:val="000000"/>
          <w:sz w:val="24"/>
          <w:szCs w:val="24"/>
        </w:rPr>
        <w:t>I</w:t>
      </w:r>
      <w:r w:rsidRPr="004D1ECD">
        <w:rPr>
          <w:rFonts w:ascii="Times New Roman" w:eastAsia="Times New Roman" w:hAnsi="Times New Roman" w:cs="Times New Roman"/>
          <w:color w:val="000000"/>
          <w:sz w:val="24"/>
          <w:szCs w:val="24"/>
        </w:rPr>
        <w:t xml:space="preserve"> appreciate </w:t>
      </w:r>
      <w:r w:rsidR="00FA42DB">
        <w:rPr>
          <w:rFonts w:ascii="Times New Roman" w:eastAsia="Times New Roman" w:hAnsi="Times New Roman" w:cs="Times New Roman"/>
          <w:color w:val="000000"/>
          <w:sz w:val="24"/>
          <w:szCs w:val="24"/>
        </w:rPr>
        <w:t>your</w:t>
      </w:r>
      <w:r w:rsidRPr="004D1ECD">
        <w:rPr>
          <w:rFonts w:ascii="Times New Roman" w:eastAsia="Times New Roman" w:hAnsi="Times New Roman" w:cs="Times New Roman"/>
          <w:color w:val="000000"/>
          <w:sz w:val="24"/>
          <w:szCs w:val="24"/>
        </w:rPr>
        <w:t xml:space="preserve"> opportunity assigning me to work in this project. </w:t>
      </w:r>
    </w:p>
    <w:p w:rsidR="00E9388F" w:rsidRPr="004D1ECD" w:rsidRDefault="00E9388F" w:rsidP="00E9388F">
      <w:pPr>
        <w:spacing w:after="0" w:line="276" w:lineRule="auto"/>
        <w:jc w:val="both"/>
        <w:rPr>
          <w:rFonts w:ascii="Times New Roman" w:eastAsia="Times New Roman" w:hAnsi="Times New Roman" w:cs="Times New Roman"/>
          <w:color w:val="000000"/>
          <w:sz w:val="24"/>
          <w:szCs w:val="24"/>
        </w:rPr>
      </w:pPr>
    </w:p>
    <w:p w:rsidR="00E9388F" w:rsidRPr="004D1ECD" w:rsidRDefault="00E9388F" w:rsidP="00E9388F">
      <w:pPr>
        <w:spacing w:after="0" w:line="276" w:lineRule="auto"/>
        <w:jc w:val="both"/>
        <w:rPr>
          <w:rFonts w:ascii="Times New Roman" w:eastAsia="Times New Roman" w:hAnsi="Times New Roman" w:cs="Times New Roman"/>
          <w:color w:val="000000"/>
          <w:sz w:val="24"/>
          <w:szCs w:val="24"/>
        </w:rPr>
      </w:pPr>
    </w:p>
    <w:p w:rsidR="00E9388F" w:rsidRPr="004D1ECD" w:rsidRDefault="00E9388F" w:rsidP="00E9388F">
      <w:pPr>
        <w:spacing w:after="0" w:line="276" w:lineRule="auto"/>
        <w:jc w:val="both"/>
        <w:rPr>
          <w:rFonts w:ascii="Times New Roman" w:eastAsia="Times New Roman" w:hAnsi="Times New Roman" w:cs="Times New Roman"/>
          <w:color w:val="000000"/>
          <w:sz w:val="24"/>
          <w:szCs w:val="24"/>
        </w:rPr>
      </w:pPr>
      <w:r w:rsidRPr="004D1ECD">
        <w:rPr>
          <w:rFonts w:ascii="Times New Roman" w:eastAsia="Times New Roman" w:hAnsi="Times New Roman" w:cs="Times New Roman"/>
          <w:color w:val="000000"/>
          <w:sz w:val="24"/>
          <w:szCs w:val="24"/>
        </w:rPr>
        <w:t>Yours sincerely,</w:t>
      </w:r>
    </w:p>
    <w:p w:rsidR="00E9388F" w:rsidRDefault="00E9388F" w:rsidP="00E9388F">
      <w:pPr>
        <w:spacing w:after="200" w:line="276" w:lineRule="auto"/>
        <w:jc w:val="both"/>
        <w:rPr>
          <w:rFonts w:ascii="Times New Roman" w:eastAsia="Times New Roman" w:hAnsi="Times New Roman" w:cs="Times New Roman"/>
          <w:sz w:val="24"/>
          <w:szCs w:val="24"/>
        </w:rPr>
      </w:pPr>
      <w:r w:rsidRPr="004D1ECD">
        <w:rPr>
          <w:rFonts w:ascii="Times New Roman" w:eastAsia="Times New Roman" w:hAnsi="Times New Roman" w:cs="Times New Roman"/>
          <w:sz w:val="24"/>
          <w:szCs w:val="24"/>
        </w:rPr>
        <w:t>MD. Mostafizur Rahman</w:t>
      </w:r>
    </w:p>
    <w:p w:rsidR="00E9388F" w:rsidRPr="004D1ECD" w:rsidRDefault="00E9388F" w:rsidP="00E9388F">
      <w:pPr>
        <w:spacing w:after="200" w:line="276" w:lineRule="auto"/>
        <w:jc w:val="both"/>
        <w:rPr>
          <w:rFonts w:ascii="Times New Roman" w:eastAsia="Times New Roman" w:hAnsi="Times New Roman" w:cs="Times New Roman"/>
          <w:sz w:val="24"/>
          <w:szCs w:val="24"/>
        </w:rPr>
      </w:pPr>
    </w:p>
    <w:p w:rsidR="00E9388F" w:rsidRPr="004D1ECD" w:rsidRDefault="00E9388F" w:rsidP="00E9388F">
      <w:pPr>
        <w:spacing w:after="200" w:line="276" w:lineRule="auto"/>
        <w:jc w:val="both"/>
        <w:rPr>
          <w:rFonts w:ascii="Times New Roman" w:eastAsia="Times New Roman" w:hAnsi="Times New Roman" w:cs="Times New Roman"/>
          <w:sz w:val="24"/>
          <w:szCs w:val="24"/>
        </w:rPr>
      </w:pPr>
    </w:p>
    <w:p w:rsidR="009B0B5F" w:rsidRDefault="009B0B5F" w:rsidP="009B0B5F">
      <w:pPr>
        <w:spacing w:after="200" w:line="276" w:lineRule="auto"/>
        <w:rPr>
          <w:rFonts w:ascii="Times New Roman" w:eastAsia="Times New Roman" w:hAnsi="Times New Roman" w:cs="Times New Roman"/>
          <w:sz w:val="24"/>
          <w:szCs w:val="24"/>
        </w:rPr>
      </w:pPr>
    </w:p>
    <w:p w:rsidR="009B0B5F" w:rsidRDefault="009B0B5F" w:rsidP="009B0B5F">
      <w:pPr>
        <w:spacing w:after="200" w:line="276" w:lineRule="auto"/>
        <w:rPr>
          <w:rFonts w:ascii="Times New Roman" w:eastAsia="Times New Roman" w:hAnsi="Times New Roman" w:cs="Times New Roman"/>
          <w:sz w:val="24"/>
          <w:szCs w:val="24"/>
        </w:rPr>
      </w:pPr>
    </w:p>
    <w:p w:rsidR="00BD0E2E" w:rsidRDefault="00BD0E2E" w:rsidP="009B0B5F">
      <w:pPr>
        <w:spacing w:after="200" w:line="276" w:lineRule="auto"/>
        <w:jc w:val="center"/>
        <w:rPr>
          <w:rFonts w:ascii="Times New Roman" w:eastAsia="Times New Roman" w:hAnsi="Times New Roman" w:cs="Times New Roman"/>
          <w:b/>
          <w:bCs/>
          <w:color w:val="4F81BD" w:themeColor="accent1"/>
          <w:sz w:val="32"/>
          <w:szCs w:val="32"/>
        </w:rPr>
      </w:pPr>
    </w:p>
    <w:p w:rsidR="00BD0E2E" w:rsidRDefault="00BD0E2E" w:rsidP="009B0B5F">
      <w:pPr>
        <w:spacing w:after="200" w:line="276" w:lineRule="auto"/>
        <w:jc w:val="center"/>
        <w:rPr>
          <w:rFonts w:ascii="Times New Roman" w:eastAsia="Times New Roman" w:hAnsi="Times New Roman" w:cs="Times New Roman"/>
          <w:b/>
          <w:bCs/>
          <w:color w:val="4F81BD" w:themeColor="accent1"/>
          <w:sz w:val="32"/>
          <w:szCs w:val="32"/>
        </w:rPr>
      </w:pPr>
    </w:p>
    <w:p w:rsidR="00BD0E2E" w:rsidRDefault="00BD0E2E" w:rsidP="009B0B5F">
      <w:pPr>
        <w:spacing w:after="200" w:line="276" w:lineRule="auto"/>
        <w:jc w:val="center"/>
        <w:rPr>
          <w:rFonts w:ascii="Times New Roman" w:eastAsia="Times New Roman" w:hAnsi="Times New Roman" w:cs="Times New Roman"/>
          <w:b/>
          <w:bCs/>
          <w:color w:val="4F81BD" w:themeColor="accent1"/>
          <w:sz w:val="32"/>
          <w:szCs w:val="32"/>
        </w:rPr>
      </w:pPr>
    </w:p>
    <w:p w:rsidR="004B4B53" w:rsidRDefault="004B4B53" w:rsidP="009B0B5F">
      <w:pPr>
        <w:spacing w:after="200" w:line="276" w:lineRule="auto"/>
        <w:jc w:val="center"/>
        <w:rPr>
          <w:rFonts w:ascii="Times New Roman" w:eastAsia="Times New Roman" w:hAnsi="Times New Roman" w:cs="Times New Roman"/>
          <w:b/>
          <w:bCs/>
          <w:color w:val="4F81BD" w:themeColor="accent1"/>
          <w:sz w:val="32"/>
          <w:szCs w:val="32"/>
        </w:rPr>
      </w:pPr>
    </w:p>
    <w:p w:rsidR="00E9388F" w:rsidRPr="009B0B5F" w:rsidRDefault="00E9388F" w:rsidP="009B0B5F">
      <w:pPr>
        <w:spacing w:after="200" w:line="276" w:lineRule="auto"/>
        <w:jc w:val="center"/>
        <w:rPr>
          <w:rFonts w:ascii="Times New Roman" w:eastAsia="Times New Roman" w:hAnsi="Times New Roman" w:cs="Times New Roman"/>
          <w:sz w:val="24"/>
          <w:szCs w:val="24"/>
        </w:rPr>
      </w:pPr>
      <w:r w:rsidRPr="005B7EC9">
        <w:rPr>
          <w:rFonts w:ascii="Times New Roman" w:eastAsia="Times New Roman" w:hAnsi="Times New Roman" w:cs="Times New Roman"/>
          <w:b/>
          <w:bCs/>
          <w:color w:val="4F81BD" w:themeColor="accent1"/>
          <w:sz w:val="32"/>
          <w:szCs w:val="32"/>
        </w:rPr>
        <w:lastRenderedPageBreak/>
        <w:t>Acknowledgement</w:t>
      </w:r>
    </w:p>
    <w:p w:rsidR="009B0B5F" w:rsidRDefault="009B0B5F" w:rsidP="00E9388F">
      <w:pPr>
        <w:spacing w:after="200" w:line="276" w:lineRule="auto"/>
        <w:jc w:val="both"/>
        <w:rPr>
          <w:rFonts w:ascii="Times New Roman" w:eastAsia="Times New Roman" w:hAnsi="Times New Roman" w:cs="Times New Roman"/>
          <w:color w:val="000000"/>
          <w:spacing w:val="-3"/>
          <w:sz w:val="24"/>
          <w:szCs w:val="24"/>
        </w:rPr>
      </w:pPr>
    </w:p>
    <w:p w:rsidR="009B0B5F" w:rsidRDefault="009B0B5F" w:rsidP="00E9388F">
      <w:pPr>
        <w:spacing w:after="200" w:line="276" w:lineRule="auto"/>
        <w:jc w:val="both"/>
        <w:rPr>
          <w:rFonts w:ascii="Times New Roman" w:eastAsia="Times New Roman" w:hAnsi="Times New Roman" w:cs="Times New Roman"/>
          <w:color w:val="000000"/>
          <w:spacing w:val="-3"/>
          <w:sz w:val="24"/>
          <w:szCs w:val="24"/>
        </w:rPr>
      </w:pPr>
    </w:p>
    <w:p w:rsidR="00E9388F" w:rsidRPr="004D1ECD" w:rsidRDefault="00E9388F" w:rsidP="00E9388F">
      <w:pPr>
        <w:spacing w:after="200" w:line="276" w:lineRule="auto"/>
        <w:jc w:val="both"/>
        <w:rPr>
          <w:rFonts w:ascii="Times New Roman" w:eastAsia="Times New Roman" w:hAnsi="Times New Roman" w:cs="Times New Roman"/>
          <w:color w:val="000000"/>
          <w:spacing w:val="-3"/>
          <w:sz w:val="24"/>
          <w:szCs w:val="24"/>
        </w:rPr>
      </w:pPr>
      <w:r w:rsidRPr="004D1ECD">
        <w:rPr>
          <w:rFonts w:ascii="Times New Roman" w:eastAsia="Times New Roman" w:hAnsi="Times New Roman" w:cs="Times New Roman"/>
          <w:color w:val="000000"/>
          <w:spacing w:val="-3"/>
          <w:sz w:val="24"/>
          <w:szCs w:val="24"/>
        </w:rPr>
        <w:t xml:space="preserve">The whole report was based on working capital management practices of </w:t>
      </w:r>
      <w:r>
        <w:rPr>
          <w:rFonts w:ascii="Times New Roman" w:eastAsia="Times New Roman" w:hAnsi="Times New Roman" w:cs="Times New Roman"/>
          <w:color w:val="000000"/>
          <w:spacing w:val="-3"/>
          <w:sz w:val="24"/>
          <w:szCs w:val="24"/>
        </w:rPr>
        <w:t>Three types of</w:t>
      </w:r>
      <w:r w:rsidRPr="004D1ECD">
        <w:rPr>
          <w:rFonts w:ascii="Times New Roman" w:eastAsia="Times New Roman" w:hAnsi="Times New Roman" w:cs="Times New Roman"/>
          <w:color w:val="000000"/>
          <w:spacing w:val="-3"/>
          <w:sz w:val="24"/>
          <w:szCs w:val="24"/>
        </w:rPr>
        <w:t xml:space="preserve"> company</w:t>
      </w:r>
      <w:r>
        <w:rPr>
          <w:rFonts w:ascii="Times New Roman" w:eastAsia="Times New Roman" w:hAnsi="Times New Roman" w:cs="Times New Roman"/>
          <w:color w:val="000000"/>
          <w:spacing w:val="-3"/>
          <w:sz w:val="24"/>
          <w:szCs w:val="24"/>
        </w:rPr>
        <w:t xml:space="preserve"> (Food, textile and pharmaceuticals).</w:t>
      </w:r>
    </w:p>
    <w:p w:rsidR="00E9388F" w:rsidRPr="004D1ECD" w:rsidRDefault="00E9388F" w:rsidP="00E9388F">
      <w:pPr>
        <w:spacing w:after="200" w:line="276" w:lineRule="auto"/>
        <w:jc w:val="both"/>
        <w:rPr>
          <w:rFonts w:ascii="Times New Roman" w:eastAsia="Times New Roman" w:hAnsi="Times New Roman" w:cs="Times New Roman"/>
          <w:color w:val="000000"/>
          <w:spacing w:val="-3"/>
          <w:sz w:val="24"/>
          <w:szCs w:val="24"/>
        </w:rPr>
      </w:pPr>
      <w:r w:rsidRPr="004D1ECD">
        <w:rPr>
          <w:rFonts w:ascii="Times New Roman" w:eastAsia="Times New Roman" w:hAnsi="Times New Roman" w:cs="Times New Roman"/>
          <w:color w:val="000000"/>
          <w:spacing w:val="-3"/>
          <w:sz w:val="24"/>
          <w:szCs w:val="24"/>
        </w:rPr>
        <w:t xml:space="preserve">First of all, </w:t>
      </w:r>
      <w:r>
        <w:rPr>
          <w:rFonts w:ascii="Times New Roman" w:eastAsia="Times New Roman" w:hAnsi="Times New Roman" w:cs="Times New Roman"/>
          <w:color w:val="000000"/>
          <w:spacing w:val="-3"/>
          <w:sz w:val="24"/>
          <w:szCs w:val="24"/>
        </w:rPr>
        <w:t>I</w:t>
      </w:r>
      <w:r w:rsidRPr="004D1ECD">
        <w:rPr>
          <w:rFonts w:ascii="Times New Roman" w:eastAsia="Times New Roman" w:hAnsi="Times New Roman" w:cs="Times New Roman"/>
          <w:color w:val="000000"/>
          <w:spacing w:val="-3"/>
          <w:sz w:val="24"/>
          <w:szCs w:val="24"/>
        </w:rPr>
        <w:t xml:space="preserve"> like to</w:t>
      </w:r>
      <w:r w:rsidR="004B4B53">
        <w:rPr>
          <w:rFonts w:ascii="Times New Roman" w:eastAsia="Times New Roman" w:hAnsi="Times New Roman" w:cs="Times New Roman"/>
          <w:color w:val="000000"/>
          <w:spacing w:val="-3"/>
          <w:sz w:val="24"/>
          <w:szCs w:val="24"/>
        </w:rPr>
        <w:t xml:space="preserve"> thank our honorable Instructor</w:t>
      </w:r>
      <w:r w:rsidRPr="004D1ECD">
        <w:rPr>
          <w:rFonts w:ascii="Times New Roman" w:eastAsia="Times New Roman" w:hAnsi="Times New Roman" w:cs="Times New Roman"/>
          <w:color w:val="000000"/>
          <w:spacing w:val="-3"/>
          <w:sz w:val="24"/>
          <w:szCs w:val="24"/>
        </w:rPr>
        <w:t xml:space="preserve"> </w:t>
      </w:r>
      <w:r w:rsidR="004B4B53">
        <w:rPr>
          <w:rFonts w:ascii="Times New Roman" w:eastAsia="Times New Roman" w:hAnsi="Times New Roman" w:cs="Times New Roman"/>
          <w:color w:val="000000"/>
          <w:spacing w:val="-3"/>
          <w:sz w:val="24"/>
          <w:szCs w:val="24"/>
        </w:rPr>
        <w:t xml:space="preserve">Shakila Aziz </w:t>
      </w:r>
      <w:r w:rsidRPr="004D1ECD">
        <w:rPr>
          <w:rFonts w:ascii="Times New Roman" w:eastAsia="Times New Roman" w:hAnsi="Times New Roman" w:cs="Times New Roman"/>
          <w:color w:val="000000"/>
          <w:spacing w:val="-3"/>
          <w:sz w:val="24"/>
          <w:szCs w:val="24"/>
        </w:rPr>
        <w:t xml:space="preserve"> for guiding</w:t>
      </w:r>
      <w:r>
        <w:rPr>
          <w:rFonts w:ascii="Times New Roman" w:eastAsia="Times New Roman" w:hAnsi="Times New Roman" w:cs="Times New Roman"/>
          <w:color w:val="000000"/>
          <w:spacing w:val="-3"/>
          <w:sz w:val="24"/>
          <w:szCs w:val="24"/>
        </w:rPr>
        <w:t xml:space="preserve"> me</w:t>
      </w:r>
      <w:r w:rsidRPr="004D1ECD">
        <w:rPr>
          <w:rFonts w:ascii="Times New Roman" w:eastAsia="Times New Roman" w:hAnsi="Times New Roman" w:cs="Times New Roman"/>
          <w:color w:val="000000"/>
          <w:spacing w:val="-3"/>
          <w:sz w:val="24"/>
          <w:szCs w:val="24"/>
        </w:rPr>
        <w:t xml:space="preserve"> to prepare the report from starting point to finishing end. </w:t>
      </w:r>
      <w:r w:rsidR="004B4B53">
        <w:rPr>
          <w:rFonts w:ascii="Times New Roman" w:eastAsia="Times New Roman" w:hAnsi="Times New Roman" w:cs="Times New Roman"/>
          <w:color w:val="000000"/>
          <w:spacing w:val="-3"/>
          <w:sz w:val="24"/>
          <w:szCs w:val="24"/>
        </w:rPr>
        <w:t>She directly guided me in many steps</w:t>
      </w:r>
      <w:r w:rsidRPr="004D1ECD">
        <w:rPr>
          <w:rFonts w:ascii="Times New Roman" w:eastAsia="Times New Roman" w:hAnsi="Times New Roman" w:cs="Times New Roman"/>
          <w:color w:val="000000"/>
          <w:spacing w:val="-3"/>
          <w:sz w:val="24"/>
          <w:szCs w:val="24"/>
        </w:rPr>
        <w:t xml:space="preserve">. </w:t>
      </w:r>
      <w:r w:rsidR="004B4B53">
        <w:rPr>
          <w:rFonts w:ascii="Times New Roman" w:eastAsia="Times New Roman" w:hAnsi="Times New Roman" w:cs="Times New Roman"/>
          <w:color w:val="000000"/>
          <w:spacing w:val="-3"/>
          <w:sz w:val="24"/>
          <w:szCs w:val="24"/>
        </w:rPr>
        <w:t>Her</w:t>
      </w:r>
      <w:r w:rsidRPr="004D1ECD">
        <w:rPr>
          <w:rFonts w:ascii="Times New Roman" w:eastAsia="Times New Roman" w:hAnsi="Times New Roman" w:cs="Times New Roman"/>
          <w:color w:val="000000"/>
          <w:spacing w:val="-3"/>
          <w:sz w:val="24"/>
          <w:szCs w:val="24"/>
        </w:rPr>
        <w:t xml:space="preserve"> </w:t>
      </w:r>
      <w:r w:rsidR="004B4B53">
        <w:rPr>
          <w:rFonts w:ascii="Times New Roman" w:eastAsia="Times New Roman" w:hAnsi="Times New Roman" w:cs="Times New Roman"/>
          <w:color w:val="000000"/>
          <w:spacing w:val="-3"/>
          <w:sz w:val="24"/>
          <w:szCs w:val="24"/>
        </w:rPr>
        <w:t xml:space="preserve">amazing </w:t>
      </w:r>
      <w:r w:rsidRPr="004D1ECD">
        <w:rPr>
          <w:rFonts w:ascii="Times New Roman" w:eastAsia="Times New Roman" w:hAnsi="Times New Roman" w:cs="Times New Roman"/>
          <w:color w:val="000000"/>
          <w:spacing w:val="-3"/>
          <w:sz w:val="24"/>
          <w:szCs w:val="24"/>
        </w:rPr>
        <w:t xml:space="preserve">personality, </w:t>
      </w:r>
      <w:r>
        <w:rPr>
          <w:rFonts w:ascii="Times New Roman" w:eastAsia="Times New Roman" w:hAnsi="Times New Roman" w:cs="Times New Roman"/>
          <w:color w:val="000000"/>
          <w:spacing w:val="-3"/>
          <w:sz w:val="24"/>
          <w:szCs w:val="24"/>
        </w:rPr>
        <w:t>Shakila Aziz</w:t>
      </w:r>
      <w:r w:rsidRPr="004D1ECD">
        <w:rPr>
          <w:rFonts w:ascii="Times New Roman" w:eastAsia="Times New Roman" w:hAnsi="Times New Roman" w:cs="Times New Roman"/>
          <w:color w:val="000000"/>
          <w:spacing w:val="-3"/>
          <w:sz w:val="24"/>
          <w:szCs w:val="24"/>
        </w:rPr>
        <w:t xml:space="preserve"> </w:t>
      </w:r>
      <w:r w:rsidR="004B4B53">
        <w:rPr>
          <w:rFonts w:ascii="Times New Roman" w:eastAsia="Times New Roman" w:hAnsi="Times New Roman" w:cs="Times New Roman"/>
          <w:color w:val="000000"/>
          <w:spacing w:val="-3"/>
          <w:sz w:val="24"/>
          <w:szCs w:val="24"/>
        </w:rPr>
        <w:t>continuously</w:t>
      </w:r>
      <w:r w:rsidRPr="004D1ECD">
        <w:rPr>
          <w:rFonts w:ascii="Times New Roman" w:eastAsia="Times New Roman" w:hAnsi="Times New Roman" w:cs="Times New Roman"/>
          <w:color w:val="000000"/>
          <w:spacing w:val="-3"/>
          <w:sz w:val="24"/>
          <w:szCs w:val="24"/>
        </w:rPr>
        <w:t xml:space="preserve"> inspired </w:t>
      </w:r>
      <w:r>
        <w:rPr>
          <w:rFonts w:ascii="Times New Roman" w:eastAsia="Times New Roman" w:hAnsi="Times New Roman" w:cs="Times New Roman"/>
          <w:color w:val="000000"/>
          <w:spacing w:val="-3"/>
          <w:sz w:val="24"/>
          <w:szCs w:val="24"/>
        </w:rPr>
        <w:t>me</w:t>
      </w:r>
      <w:r w:rsidRPr="004D1ECD">
        <w:rPr>
          <w:rFonts w:ascii="Times New Roman" w:eastAsia="Times New Roman" w:hAnsi="Times New Roman" w:cs="Times New Roman"/>
          <w:color w:val="000000"/>
          <w:spacing w:val="-3"/>
          <w:sz w:val="24"/>
          <w:szCs w:val="24"/>
        </w:rPr>
        <w:t xml:space="preserve"> </w:t>
      </w:r>
      <w:r w:rsidR="004B4B53">
        <w:rPr>
          <w:rFonts w:ascii="Times New Roman" w:eastAsia="Times New Roman" w:hAnsi="Times New Roman" w:cs="Times New Roman"/>
          <w:color w:val="000000"/>
          <w:spacing w:val="-3"/>
          <w:sz w:val="24"/>
          <w:szCs w:val="24"/>
        </w:rPr>
        <w:t>every</w:t>
      </w:r>
      <w:r w:rsidRPr="004D1ECD">
        <w:rPr>
          <w:rFonts w:ascii="Times New Roman" w:eastAsia="Times New Roman" w:hAnsi="Times New Roman" w:cs="Times New Roman"/>
          <w:color w:val="000000"/>
          <w:spacing w:val="-3"/>
          <w:sz w:val="24"/>
          <w:szCs w:val="24"/>
        </w:rPr>
        <w:t xml:space="preserve"> time to </w:t>
      </w:r>
      <w:r w:rsidR="004B4B53">
        <w:rPr>
          <w:rFonts w:ascii="Times New Roman" w:eastAsia="Times New Roman" w:hAnsi="Times New Roman" w:cs="Times New Roman"/>
          <w:color w:val="000000"/>
          <w:spacing w:val="-3"/>
          <w:sz w:val="24"/>
          <w:szCs w:val="24"/>
        </w:rPr>
        <w:t>flourish</w:t>
      </w:r>
      <w:r w:rsidRPr="004D1ECD">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my</w:t>
      </w:r>
      <w:r w:rsidRPr="004D1ECD">
        <w:rPr>
          <w:rFonts w:ascii="Times New Roman" w:eastAsia="Times New Roman" w:hAnsi="Times New Roman" w:cs="Times New Roman"/>
          <w:color w:val="000000"/>
          <w:spacing w:val="-3"/>
          <w:sz w:val="24"/>
          <w:szCs w:val="24"/>
        </w:rPr>
        <w:t xml:space="preserve"> </w:t>
      </w:r>
      <w:r w:rsidR="004B4B53">
        <w:rPr>
          <w:rFonts w:ascii="Times New Roman" w:eastAsia="Times New Roman" w:hAnsi="Times New Roman" w:cs="Times New Roman"/>
          <w:color w:val="000000"/>
          <w:spacing w:val="-3"/>
          <w:sz w:val="24"/>
          <w:szCs w:val="24"/>
        </w:rPr>
        <w:t>future path</w:t>
      </w:r>
      <w:r w:rsidRPr="004D1ECD">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 xml:space="preserve">I </w:t>
      </w:r>
      <w:r w:rsidR="004B4B53">
        <w:rPr>
          <w:rFonts w:ascii="Times New Roman" w:eastAsia="Times New Roman" w:hAnsi="Times New Roman" w:cs="Times New Roman"/>
          <w:color w:val="000000"/>
          <w:spacing w:val="-3"/>
          <w:sz w:val="24"/>
          <w:szCs w:val="24"/>
        </w:rPr>
        <w:t xml:space="preserve">will </w:t>
      </w:r>
      <w:r w:rsidRPr="004D1ECD">
        <w:rPr>
          <w:rFonts w:ascii="Times New Roman" w:eastAsia="Times New Roman" w:hAnsi="Times New Roman" w:cs="Times New Roman"/>
          <w:color w:val="000000"/>
          <w:spacing w:val="-3"/>
          <w:sz w:val="24"/>
          <w:szCs w:val="24"/>
        </w:rPr>
        <w:t xml:space="preserve">remain </w:t>
      </w:r>
      <w:r w:rsidR="004B4B53">
        <w:rPr>
          <w:rFonts w:ascii="Times New Roman" w:eastAsia="Times New Roman" w:hAnsi="Times New Roman" w:cs="Times New Roman"/>
          <w:color w:val="000000"/>
          <w:spacing w:val="-3"/>
          <w:sz w:val="24"/>
          <w:szCs w:val="24"/>
        </w:rPr>
        <w:t>thankful</w:t>
      </w:r>
      <w:r w:rsidRPr="004D1ECD">
        <w:rPr>
          <w:rFonts w:ascii="Times New Roman" w:eastAsia="Times New Roman" w:hAnsi="Times New Roman" w:cs="Times New Roman"/>
          <w:color w:val="000000"/>
          <w:spacing w:val="-3"/>
          <w:sz w:val="24"/>
          <w:szCs w:val="24"/>
        </w:rPr>
        <w:t xml:space="preserve"> to </w:t>
      </w:r>
      <w:r w:rsidR="005B7EC9">
        <w:rPr>
          <w:rFonts w:ascii="Times New Roman" w:eastAsia="Times New Roman" w:hAnsi="Times New Roman" w:cs="Times New Roman"/>
          <w:color w:val="000000"/>
          <w:spacing w:val="-3"/>
          <w:sz w:val="24"/>
          <w:szCs w:val="24"/>
        </w:rPr>
        <w:t>Shakila Aziz</w:t>
      </w:r>
      <w:r w:rsidR="004B4B53">
        <w:rPr>
          <w:rFonts w:ascii="Times New Roman" w:eastAsia="Times New Roman" w:hAnsi="Times New Roman" w:cs="Times New Roman"/>
          <w:color w:val="000000"/>
          <w:spacing w:val="-3"/>
          <w:sz w:val="24"/>
          <w:szCs w:val="24"/>
        </w:rPr>
        <w:t xml:space="preserve"> ever for her</w:t>
      </w:r>
      <w:r w:rsidRPr="004D1ECD">
        <w:rPr>
          <w:rFonts w:ascii="Times New Roman" w:eastAsia="Times New Roman" w:hAnsi="Times New Roman" w:cs="Times New Roman"/>
          <w:color w:val="000000"/>
          <w:spacing w:val="-3"/>
          <w:sz w:val="24"/>
          <w:szCs w:val="24"/>
        </w:rPr>
        <w:t xml:space="preserve"> </w:t>
      </w:r>
      <w:r w:rsidR="004B4B53" w:rsidRPr="004D1ECD">
        <w:rPr>
          <w:rFonts w:ascii="Times New Roman" w:eastAsia="Times New Roman" w:hAnsi="Times New Roman" w:cs="Times New Roman"/>
          <w:color w:val="000000"/>
          <w:spacing w:val="-3"/>
          <w:sz w:val="24"/>
          <w:szCs w:val="24"/>
        </w:rPr>
        <w:t>ex</w:t>
      </w:r>
      <w:r w:rsidR="004B4B53">
        <w:rPr>
          <w:rFonts w:ascii="Times New Roman" w:eastAsia="Times New Roman" w:hAnsi="Times New Roman" w:cs="Times New Roman"/>
          <w:color w:val="000000"/>
          <w:spacing w:val="-3"/>
          <w:sz w:val="24"/>
          <w:szCs w:val="24"/>
        </w:rPr>
        <w:t xml:space="preserve">cellent </w:t>
      </w:r>
      <w:r w:rsidRPr="004D1ECD">
        <w:rPr>
          <w:rFonts w:ascii="Times New Roman" w:eastAsia="Times New Roman" w:hAnsi="Times New Roman" w:cs="Times New Roman"/>
          <w:color w:val="000000"/>
          <w:spacing w:val="-3"/>
          <w:sz w:val="24"/>
          <w:szCs w:val="24"/>
        </w:rPr>
        <w:t xml:space="preserve">gesture and </w:t>
      </w:r>
      <w:r w:rsidR="004B4B53">
        <w:rPr>
          <w:rFonts w:ascii="Times New Roman" w:eastAsia="Times New Roman" w:hAnsi="Times New Roman" w:cs="Times New Roman"/>
          <w:color w:val="000000"/>
          <w:spacing w:val="-3"/>
          <w:sz w:val="24"/>
          <w:szCs w:val="24"/>
        </w:rPr>
        <w:t>non-stop</w:t>
      </w:r>
      <w:r w:rsidRPr="004D1ECD">
        <w:rPr>
          <w:rFonts w:ascii="Times New Roman" w:eastAsia="Times New Roman" w:hAnsi="Times New Roman" w:cs="Times New Roman"/>
          <w:color w:val="000000"/>
          <w:spacing w:val="-3"/>
          <w:sz w:val="24"/>
          <w:szCs w:val="24"/>
        </w:rPr>
        <w:t xml:space="preserve"> effort.</w:t>
      </w:r>
    </w:p>
    <w:p w:rsidR="00E9388F" w:rsidRPr="004D1ECD" w:rsidRDefault="00E9388F" w:rsidP="00E9388F">
      <w:pPr>
        <w:spacing w:after="200" w:line="276" w:lineRule="auto"/>
        <w:jc w:val="both"/>
        <w:rPr>
          <w:rFonts w:ascii="Times New Roman" w:eastAsia="Times New Roman" w:hAnsi="Times New Roman" w:cs="Times New Roman"/>
          <w:color w:val="000000"/>
          <w:spacing w:val="-3"/>
          <w:sz w:val="24"/>
          <w:szCs w:val="24"/>
        </w:rPr>
      </w:pPr>
      <w:r w:rsidRPr="004D1ECD">
        <w:rPr>
          <w:rFonts w:ascii="Times New Roman" w:eastAsia="Times New Roman" w:hAnsi="Times New Roman" w:cs="Times New Roman"/>
          <w:color w:val="000000"/>
          <w:spacing w:val="-3"/>
          <w:sz w:val="24"/>
          <w:szCs w:val="24"/>
        </w:rPr>
        <w:t xml:space="preserve"> At last </w:t>
      </w:r>
      <w:r w:rsidR="005B7EC9">
        <w:rPr>
          <w:rFonts w:ascii="Times New Roman" w:eastAsia="Times New Roman" w:hAnsi="Times New Roman" w:cs="Times New Roman"/>
          <w:color w:val="000000"/>
          <w:spacing w:val="-3"/>
          <w:sz w:val="24"/>
          <w:szCs w:val="24"/>
        </w:rPr>
        <w:t>I</w:t>
      </w:r>
      <w:r w:rsidRPr="004D1ECD">
        <w:rPr>
          <w:rFonts w:ascii="Times New Roman" w:eastAsia="Times New Roman" w:hAnsi="Times New Roman" w:cs="Times New Roman"/>
          <w:color w:val="000000"/>
          <w:spacing w:val="-3"/>
          <w:sz w:val="24"/>
          <w:szCs w:val="24"/>
        </w:rPr>
        <w:t xml:space="preserve"> </w:t>
      </w:r>
      <w:r w:rsidR="00E212EF">
        <w:rPr>
          <w:rFonts w:ascii="Times New Roman" w:eastAsia="Times New Roman" w:hAnsi="Times New Roman" w:cs="Times New Roman"/>
          <w:color w:val="000000"/>
          <w:spacing w:val="-3"/>
          <w:sz w:val="24"/>
          <w:szCs w:val="24"/>
        </w:rPr>
        <w:t>want</w:t>
      </w:r>
      <w:r w:rsidRPr="004D1ECD">
        <w:rPr>
          <w:rFonts w:ascii="Times New Roman" w:eastAsia="Times New Roman" w:hAnsi="Times New Roman" w:cs="Times New Roman"/>
          <w:color w:val="000000"/>
          <w:spacing w:val="-3"/>
          <w:sz w:val="24"/>
          <w:szCs w:val="24"/>
        </w:rPr>
        <w:t xml:space="preserve"> to remember </w:t>
      </w:r>
      <w:r w:rsidR="00E212EF">
        <w:rPr>
          <w:rFonts w:ascii="Times New Roman" w:eastAsia="Times New Roman" w:hAnsi="Times New Roman" w:cs="Times New Roman"/>
          <w:color w:val="000000"/>
          <w:spacing w:val="-3"/>
          <w:sz w:val="24"/>
          <w:szCs w:val="24"/>
        </w:rPr>
        <w:t>the</w:t>
      </w:r>
      <w:r w:rsidRPr="004D1ECD">
        <w:rPr>
          <w:rFonts w:ascii="Times New Roman" w:eastAsia="Times New Roman" w:hAnsi="Times New Roman" w:cs="Times New Roman"/>
          <w:color w:val="000000"/>
          <w:spacing w:val="-3"/>
          <w:sz w:val="24"/>
          <w:szCs w:val="24"/>
        </w:rPr>
        <w:t xml:space="preserve"> almighty Allah for blessing </w:t>
      </w:r>
      <w:r w:rsidR="005B7EC9">
        <w:rPr>
          <w:rFonts w:ascii="Times New Roman" w:eastAsia="Times New Roman" w:hAnsi="Times New Roman" w:cs="Times New Roman"/>
          <w:color w:val="000000"/>
          <w:spacing w:val="-3"/>
          <w:sz w:val="24"/>
          <w:szCs w:val="24"/>
        </w:rPr>
        <w:t>me</w:t>
      </w:r>
      <w:r w:rsidRPr="004D1ECD">
        <w:rPr>
          <w:rFonts w:ascii="Times New Roman" w:eastAsia="Times New Roman" w:hAnsi="Times New Roman" w:cs="Times New Roman"/>
          <w:color w:val="000000"/>
          <w:spacing w:val="-3"/>
          <w:sz w:val="24"/>
          <w:szCs w:val="24"/>
        </w:rPr>
        <w:t xml:space="preserve"> with the strength, ability and patience to do this task.</w:t>
      </w:r>
    </w:p>
    <w:p w:rsidR="00E9388F" w:rsidRPr="004D1ECD" w:rsidRDefault="00E9388F" w:rsidP="00E9388F">
      <w:pPr>
        <w:spacing w:after="200" w:line="276" w:lineRule="auto"/>
        <w:jc w:val="both"/>
        <w:rPr>
          <w:rFonts w:ascii="Times New Roman" w:eastAsia="Times New Roman" w:hAnsi="Times New Roman" w:cs="Times New Roman"/>
          <w:color w:val="000000"/>
          <w:spacing w:val="-3"/>
          <w:sz w:val="24"/>
          <w:szCs w:val="24"/>
        </w:rPr>
      </w:pPr>
    </w:p>
    <w:p w:rsidR="00E9388F" w:rsidRPr="004D1ECD" w:rsidRDefault="00E9388F" w:rsidP="00E9388F">
      <w:pPr>
        <w:spacing w:after="0" w:line="276" w:lineRule="auto"/>
        <w:jc w:val="both"/>
        <w:rPr>
          <w:rFonts w:ascii="Times New Roman" w:eastAsia="Times New Roman" w:hAnsi="Times New Roman" w:cs="Times New Roman"/>
          <w:color w:val="000000"/>
          <w:sz w:val="24"/>
          <w:szCs w:val="24"/>
        </w:rPr>
      </w:pPr>
    </w:p>
    <w:p w:rsidR="00E9388F" w:rsidRPr="004D1ECD" w:rsidRDefault="00E9388F" w:rsidP="00E9388F">
      <w:pPr>
        <w:spacing w:after="0" w:line="276" w:lineRule="auto"/>
        <w:jc w:val="both"/>
        <w:rPr>
          <w:rFonts w:ascii="Times New Roman" w:eastAsia="Times New Roman" w:hAnsi="Times New Roman" w:cs="Times New Roman"/>
          <w:color w:val="000000"/>
          <w:sz w:val="24"/>
          <w:szCs w:val="24"/>
        </w:rPr>
      </w:pPr>
    </w:p>
    <w:p w:rsidR="00E9388F" w:rsidRPr="004D1ECD" w:rsidRDefault="00E9388F" w:rsidP="00E9388F">
      <w:pPr>
        <w:spacing w:after="0" w:line="276" w:lineRule="auto"/>
        <w:jc w:val="both"/>
        <w:rPr>
          <w:rFonts w:ascii="Times New Roman" w:eastAsia="Times New Roman" w:hAnsi="Times New Roman" w:cs="Times New Roman"/>
          <w:color w:val="000000"/>
          <w:sz w:val="24"/>
          <w:szCs w:val="24"/>
        </w:rPr>
      </w:pPr>
    </w:p>
    <w:p w:rsidR="00E9388F" w:rsidRPr="004D1ECD" w:rsidRDefault="00E9388F" w:rsidP="00E9388F">
      <w:pPr>
        <w:spacing w:after="0" w:line="276" w:lineRule="auto"/>
        <w:jc w:val="both"/>
        <w:rPr>
          <w:rFonts w:ascii="Times New Roman" w:eastAsia="Times New Roman" w:hAnsi="Times New Roman" w:cs="Times New Roman"/>
          <w:color w:val="000000"/>
          <w:sz w:val="24"/>
          <w:szCs w:val="24"/>
        </w:rPr>
      </w:pPr>
    </w:p>
    <w:p w:rsidR="00E9388F" w:rsidRPr="004D1ECD" w:rsidRDefault="00E9388F" w:rsidP="00E9388F">
      <w:pPr>
        <w:spacing w:after="0" w:line="276" w:lineRule="auto"/>
        <w:jc w:val="both"/>
        <w:rPr>
          <w:rFonts w:ascii="Times New Roman" w:eastAsia="Times New Roman" w:hAnsi="Times New Roman" w:cs="Times New Roman"/>
          <w:color w:val="000000"/>
          <w:sz w:val="24"/>
          <w:szCs w:val="24"/>
        </w:rPr>
      </w:pPr>
    </w:p>
    <w:p w:rsidR="00E9388F" w:rsidRPr="004D1ECD" w:rsidRDefault="00E9388F" w:rsidP="00E9388F">
      <w:pPr>
        <w:spacing w:after="0" w:line="276" w:lineRule="auto"/>
        <w:jc w:val="both"/>
        <w:rPr>
          <w:rFonts w:ascii="Times New Roman" w:eastAsia="Times New Roman" w:hAnsi="Times New Roman" w:cs="Times New Roman"/>
          <w:color w:val="000000"/>
          <w:sz w:val="24"/>
          <w:szCs w:val="24"/>
        </w:rPr>
      </w:pPr>
    </w:p>
    <w:p w:rsidR="00E9388F" w:rsidRPr="004D1ECD" w:rsidRDefault="00E9388F" w:rsidP="00E9388F">
      <w:pPr>
        <w:spacing w:after="200" w:line="276" w:lineRule="auto"/>
        <w:jc w:val="both"/>
        <w:rPr>
          <w:rFonts w:ascii="Times New Roman" w:eastAsia="Times New Roman" w:hAnsi="Times New Roman" w:cs="Times New Roman"/>
          <w:sz w:val="24"/>
          <w:szCs w:val="24"/>
        </w:rPr>
      </w:pPr>
    </w:p>
    <w:p w:rsidR="00E9388F" w:rsidRPr="004D1ECD" w:rsidRDefault="00E9388F" w:rsidP="00E9388F">
      <w:pPr>
        <w:spacing w:after="200" w:line="276" w:lineRule="auto"/>
        <w:jc w:val="both"/>
        <w:rPr>
          <w:rFonts w:ascii="Times New Roman" w:eastAsia="Times New Roman" w:hAnsi="Times New Roman" w:cs="Times New Roman"/>
          <w:sz w:val="24"/>
          <w:szCs w:val="24"/>
        </w:rPr>
      </w:pPr>
    </w:p>
    <w:p w:rsidR="00E9388F" w:rsidRPr="004D1ECD" w:rsidRDefault="00E9388F" w:rsidP="00E9388F">
      <w:pPr>
        <w:spacing w:before="240" w:after="60" w:line="276" w:lineRule="auto"/>
        <w:jc w:val="both"/>
        <w:rPr>
          <w:rFonts w:ascii="Times New Roman" w:eastAsia="Calibri" w:hAnsi="Times New Roman" w:cs="Times New Roman"/>
          <w:color w:val="000000"/>
          <w:sz w:val="24"/>
          <w:szCs w:val="24"/>
        </w:rPr>
      </w:pPr>
    </w:p>
    <w:p w:rsidR="00E9388F" w:rsidRPr="004D1ECD" w:rsidRDefault="00E9388F" w:rsidP="00E9388F">
      <w:pPr>
        <w:spacing w:before="240" w:after="60" w:line="276" w:lineRule="auto"/>
        <w:jc w:val="both"/>
        <w:rPr>
          <w:rFonts w:ascii="Times New Roman" w:eastAsia="Calibri" w:hAnsi="Times New Roman" w:cs="Times New Roman"/>
          <w:color w:val="000000"/>
          <w:sz w:val="24"/>
          <w:szCs w:val="24"/>
        </w:rPr>
      </w:pPr>
    </w:p>
    <w:p w:rsidR="00E9388F" w:rsidRPr="004D1ECD" w:rsidRDefault="00E9388F" w:rsidP="00E9388F">
      <w:pPr>
        <w:spacing w:before="240" w:after="60" w:line="276" w:lineRule="auto"/>
        <w:jc w:val="both"/>
        <w:rPr>
          <w:rFonts w:ascii="Times New Roman" w:eastAsia="Calibri" w:hAnsi="Times New Roman" w:cs="Times New Roman"/>
          <w:color w:val="000000"/>
          <w:sz w:val="24"/>
          <w:szCs w:val="24"/>
        </w:rPr>
      </w:pPr>
    </w:p>
    <w:p w:rsidR="00E9388F" w:rsidRPr="004D1ECD" w:rsidRDefault="00E9388F" w:rsidP="00E9388F">
      <w:pPr>
        <w:spacing w:before="240" w:after="60" w:line="276" w:lineRule="auto"/>
        <w:jc w:val="both"/>
        <w:rPr>
          <w:rFonts w:ascii="Times New Roman" w:eastAsia="Calibri" w:hAnsi="Times New Roman" w:cs="Times New Roman"/>
          <w:color w:val="000000"/>
          <w:sz w:val="24"/>
          <w:szCs w:val="24"/>
        </w:rPr>
      </w:pPr>
    </w:p>
    <w:p w:rsidR="00E9388F" w:rsidRPr="004D1ECD" w:rsidRDefault="00E9388F" w:rsidP="00E9388F">
      <w:pPr>
        <w:spacing w:before="240" w:after="60" w:line="276" w:lineRule="auto"/>
        <w:jc w:val="both"/>
        <w:rPr>
          <w:rFonts w:ascii="Times New Roman" w:eastAsia="Calibri" w:hAnsi="Times New Roman" w:cs="Times New Roman"/>
          <w:color w:val="000000"/>
          <w:sz w:val="24"/>
          <w:szCs w:val="24"/>
        </w:rPr>
      </w:pPr>
    </w:p>
    <w:p w:rsidR="00E9388F" w:rsidRPr="004D1ECD" w:rsidRDefault="00E9388F" w:rsidP="00E9388F">
      <w:pPr>
        <w:spacing w:before="240" w:after="60" w:line="276" w:lineRule="auto"/>
        <w:jc w:val="both"/>
        <w:rPr>
          <w:rFonts w:ascii="Times New Roman" w:eastAsia="Calibri" w:hAnsi="Times New Roman" w:cs="Times New Roman"/>
          <w:color w:val="000000"/>
          <w:sz w:val="24"/>
          <w:szCs w:val="24"/>
        </w:rPr>
      </w:pPr>
    </w:p>
    <w:p w:rsidR="00E9388F" w:rsidRPr="004D1ECD" w:rsidRDefault="00E9388F" w:rsidP="00E9388F">
      <w:pPr>
        <w:spacing w:before="240" w:after="60" w:line="276" w:lineRule="auto"/>
        <w:jc w:val="both"/>
        <w:rPr>
          <w:rFonts w:ascii="Times New Roman" w:eastAsia="Calibri" w:hAnsi="Times New Roman" w:cs="Times New Roman"/>
          <w:color w:val="000000"/>
          <w:sz w:val="24"/>
          <w:szCs w:val="24"/>
        </w:rPr>
      </w:pPr>
    </w:p>
    <w:p w:rsidR="00060B07" w:rsidRDefault="00060B07" w:rsidP="009A1432">
      <w:pPr>
        <w:spacing w:before="240" w:after="60" w:line="276" w:lineRule="auto"/>
        <w:jc w:val="center"/>
        <w:rPr>
          <w:rFonts w:ascii="Times New Roman" w:eastAsia="Calibri" w:hAnsi="Times New Roman" w:cs="Times New Roman"/>
          <w:b/>
          <w:color w:val="4F81BD" w:themeColor="accent1"/>
          <w:sz w:val="32"/>
          <w:szCs w:val="32"/>
        </w:rPr>
      </w:pPr>
    </w:p>
    <w:p w:rsidR="00E9388F" w:rsidRPr="009A1432" w:rsidRDefault="009A1432" w:rsidP="009A1432">
      <w:pPr>
        <w:spacing w:before="240" w:after="60" w:line="276" w:lineRule="auto"/>
        <w:jc w:val="center"/>
        <w:rPr>
          <w:rFonts w:ascii="Times New Roman" w:eastAsia="Calibri" w:hAnsi="Times New Roman" w:cs="Times New Roman"/>
          <w:b/>
          <w:color w:val="4F81BD" w:themeColor="accent1"/>
          <w:sz w:val="32"/>
          <w:szCs w:val="32"/>
        </w:rPr>
      </w:pPr>
      <w:r w:rsidRPr="009A1432">
        <w:rPr>
          <w:rFonts w:ascii="Times New Roman" w:eastAsia="Calibri" w:hAnsi="Times New Roman" w:cs="Times New Roman"/>
          <w:b/>
          <w:color w:val="4F81BD" w:themeColor="accent1"/>
          <w:sz w:val="32"/>
          <w:szCs w:val="32"/>
        </w:rPr>
        <w:lastRenderedPageBreak/>
        <w:t>Declaration</w:t>
      </w:r>
    </w:p>
    <w:p w:rsidR="00D43D64" w:rsidRDefault="00D43D64" w:rsidP="00D43D64">
      <w:pPr>
        <w:spacing w:before="240" w:after="60" w:line="276" w:lineRule="auto"/>
        <w:jc w:val="both"/>
        <w:rPr>
          <w:rFonts w:ascii="Times New Roman" w:eastAsia="Calibri" w:hAnsi="Times New Roman" w:cs="Times New Roman"/>
          <w:sz w:val="24"/>
          <w:szCs w:val="24"/>
        </w:rPr>
      </w:pPr>
      <w:r w:rsidRPr="00D43D64">
        <w:rPr>
          <w:rFonts w:ascii="Times New Roman" w:eastAsia="Calibri" w:hAnsi="Times New Roman" w:cs="Times New Roman"/>
          <w:sz w:val="24"/>
          <w:szCs w:val="24"/>
        </w:rPr>
        <w:t>I am MD. Mostafizur Rahman, a student of School of Business and Economics (major: Finance), United International University. I hereby declare that the project report on “Working capital management practices of Food, Textile and Pharmaceuticals companies of Bangladesh”</w:t>
      </w:r>
      <w:r>
        <w:rPr>
          <w:rFonts w:ascii="Times New Roman" w:eastAsia="Calibri" w:hAnsi="Times New Roman" w:cs="Times New Roman"/>
          <w:sz w:val="24"/>
          <w:szCs w:val="24"/>
        </w:rPr>
        <w:t xml:space="preserve"> is and </w:t>
      </w:r>
      <w:r w:rsidR="0079106E">
        <w:rPr>
          <w:rFonts w:ascii="Times New Roman" w:eastAsia="Calibri" w:hAnsi="Times New Roman" w:cs="Times New Roman"/>
          <w:sz w:val="24"/>
          <w:szCs w:val="24"/>
        </w:rPr>
        <w:t>original</w:t>
      </w:r>
      <w:r>
        <w:rPr>
          <w:rFonts w:ascii="Times New Roman" w:eastAsia="Calibri" w:hAnsi="Times New Roman" w:cs="Times New Roman"/>
          <w:sz w:val="24"/>
          <w:szCs w:val="24"/>
        </w:rPr>
        <w:t xml:space="preserve"> work and has not been previously submitted for any degree, diploma, title or recognition.</w:t>
      </w:r>
    </w:p>
    <w:p w:rsidR="00D43D64" w:rsidRDefault="00D43D64" w:rsidP="00D43D64">
      <w:pPr>
        <w:spacing w:before="240" w:after="60" w:line="276" w:lineRule="auto"/>
        <w:jc w:val="both"/>
        <w:rPr>
          <w:rFonts w:ascii="Times New Roman" w:eastAsia="Calibri" w:hAnsi="Times New Roman" w:cs="Times New Roman"/>
          <w:sz w:val="24"/>
          <w:szCs w:val="24"/>
        </w:rPr>
      </w:pPr>
    </w:p>
    <w:p w:rsidR="00D43D64" w:rsidRDefault="00D43D64" w:rsidP="00D43D64">
      <w:pPr>
        <w:spacing w:before="240" w:after="60" w:line="276" w:lineRule="auto"/>
        <w:jc w:val="both"/>
        <w:rPr>
          <w:rFonts w:ascii="Times New Roman" w:eastAsia="Calibri" w:hAnsi="Times New Roman" w:cs="Times New Roman"/>
          <w:sz w:val="24"/>
          <w:szCs w:val="24"/>
        </w:rPr>
      </w:pPr>
    </w:p>
    <w:p w:rsidR="00D43D64" w:rsidRDefault="00D43D64" w:rsidP="00D43D64">
      <w:pPr>
        <w:spacing w:before="240" w:after="60" w:line="276" w:lineRule="auto"/>
        <w:jc w:val="both"/>
        <w:rPr>
          <w:rFonts w:ascii="Times New Roman" w:eastAsia="Calibri" w:hAnsi="Times New Roman" w:cs="Times New Roman"/>
          <w:sz w:val="24"/>
          <w:szCs w:val="24"/>
        </w:rPr>
      </w:pPr>
    </w:p>
    <w:p w:rsidR="00D43D64" w:rsidRDefault="00D43D64" w:rsidP="00D43D64">
      <w:pPr>
        <w:spacing w:before="240" w:after="60" w:line="276" w:lineRule="auto"/>
        <w:jc w:val="both"/>
        <w:rPr>
          <w:rFonts w:ascii="Times New Roman" w:eastAsia="Calibri" w:hAnsi="Times New Roman" w:cs="Times New Roman"/>
          <w:sz w:val="24"/>
          <w:szCs w:val="24"/>
        </w:rPr>
      </w:pPr>
    </w:p>
    <w:p w:rsidR="00D43D64" w:rsidRDefault="00D43D64" w:rsidP="00D43D64">
      <w:pPr>
        <w:spacing w:before="240" w:after="60" w:line="276" w:lineRule="auto"/>
        <w:jc w:val="both"/>
        <w:rPr>
          <w:rFonts w:ascii="Times New Roman" w:eastAsia="Calibri" w:hAnsi="Times New Roman" w:cs="Times New Roman"/>
          <w:sz w:val="24"/>
          <w:szCs w:val="24"/>
        </w:rPr>
      </w:pPr>
    </w:p>
    <w:p w:rsidR="00D43D64" w:rsidRDefault="00D43D64" w:rsidP="00D43D64">
      <w:pPr>
        <w:spacing w:before="240" w:after="60" w:line="276" w:lineRule="auto"/>
        <w:jc w:val="both"/>
        <w:rPr>
          <w:rFonts w:ascii="Times New Roman" w:eastAsia="Calibri" w:hAnsi="Times New Roman" w:cs="Times New Roman"/>
          <w:sz w:val="24"/>
          <w:szCs w:val="24"/>
        </w:rPr>
      </w:pPr>
    </w:p>
    <w:p w:rsidR="00D43D64" w:rsidRDefault="00D43D64" w:rsidP="00D43D64">
      <w:pPr>
        <w:spacing w:before="240" w:after="60" w:line="276" w:lineRule="auto"/>
        <w:jc w:val="both"/>
        <w:rPr>
          <w:rFonts w:ascii="Times New Roman" w:eastAsia="Calibri" w:hAnsi="Times New Roman" w:cs="Times New Roman"/>
          <w:sz w:val="24"/>
          <w:szCs w:val="24"/>
        </w:rPr>
      </w:pPr>
    </w:p>
    <w:p w:rsidR="00D43D64" w:rsidRDefault="00D43D64" w:rsidP="00D43D64">
      <w:pPr>
        <w:spacing w:before="240" w:after="60" w:line="276" w:lineRule="auto"/>
        <w:jc w:val="both"/>
        <w:rPr>
          <w:rFonts w:ascii="Times New Roman" w:eastAsia="Calibri" w:hAnsi="Times New Roman" w:cs="Times New Roman"/>
          <w:sz w:val="24"/>
          <w:szCs w:val="24"/>
        </w:rPr>
      </w:pPr>
    </w:p>
    <w:p w:rsidR="00D43D64" w:rsidRDefault="00D43D64" w:rsidP="00D43D64">
      <w:pPr>
        <w:spacing w:before="240" w:after="60" w:line="276" w:lineRule="auto"/>
        <w:jc w:val="both"/>
        <w:rPr>
          <w:rFonts w:ascii="Times New Roman" w:eastAsia="Calibri" w:hAnsi="Times New Roman" w:cs="Times New Roman"/>
          <w:sz w:val="24"/>
          <w:szCs w:val="24"/>
        </w:rPr>
      </w:pPr>
    </w:p>
    <w:p w:rsidR="00D43D64" w:rsidRDefault="00D43D64" w:rsidP="00D43D64">
      <w:pPr>
        <w:spacing w:before="240" w:after="60" w:line="276" w:lineRule="auto"/>
        <w:jc w:val="both"/>
        <w:rPr>
          <w:rFonts w:ascii="Times New Roman" w:eastAsia="Calibri" w:hAnsi="Times New Roman" w:cs="Times New Roman"/>
          <w:sz w:val="24"/>
          <w:szCs w:val="24"/>
        </w:rPr>
      </w:pPr>
    </w:p>
    <w:p w:rsidR="00D43D64" w:rsidRDefault="00D43D64" w:rsidP="00D43D64">
      <w:pPr>
        <w:spacing w:before="240" w:after="60" w:line="276" w:lineRule="auto"/>
        <w:jc w:val="both"/>
        <w:rPr>
          <w:rFonts w:ascii="Times New Roman" w:eastAsia="Calibri" w:hAnsi="Times New Roman" w:cs="Times New Roman"/>
          <w:sz w:val="24"/>
          <w:szCs w:val="24"/>
        </w:rPr>
      </w:pPr>
    </w:p>
    <w:p w:rsidR="00D43D64" w:rsidRDefault="00D43D64" w:rsidP="00D43D64">
      <w:pPr>
        <w:spacing w:before="240" w:after="60" w:line="276" w:lineRule="auto"/>
        <w:jc w:val="both"/>
        <w:rPr>
          <w:rFonts w:ascii="Times New Roman" w:eastAsia="Calibri" w:hAnsi="Times New Roman" w:cs="Times New Roman"/>
          <w:sz w:val="24"/>
          <w:szCs w:val="24"/>
        </w:rPr>
      </w:pPr>
    </w:p>
    <w:p w:rsidR="00D43D64" w:rsidRDefault="00D43D64" w:rsidP="00D43D64">
      <w:pPr>
        <w:spacing w:before="240" w:after="60" w:line="276" w:lineRule="auto"/>
        <w:jc w:val="both"/>
        <w:rPr>
          <w:rFonts w:ascii="Times New Roman" w:eastAsia="Calibri" w:hAnsi="Times New Roman" w:cs="Times New Roman"/>
          <w:sz w:val="24"/>
          <w:szCs w:val="24"/>
        </w:rPr>
      </w:pPr>
    </w:p>
    <w:p w:rsidR="00D43D64" w:rsidRDefault="00B30891" w:rsidP="00D43D64">
      <w:pPr>
        <w:spacing w:before="240" w:after="60" w:line="276"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rPr>
        <mc:AlternateContent>
          <mc:Choice Requires="wps">
            <w:drawing>
              <wp:anchor distT="4294967295" distB="4294967295" distL="114300" distR="114300" simplePos="0" relativeHeight="251660288" behindDoc="0" locked="0" layoutInCell="1" allowOverlap="1">
                <wp:simplePos x="0" y="0"/>
                <wp:positionH relativeFrom="column">
                  <wp:posOffset>0</wp:posOffset>
                </wp:positionH>
                <wp:positionV relativeFrom="paragraph">
                  <wp:posOffset>208914</wp:posOffset>
                </wp:positionV>
                <wp:extent cx="1771650" cy="0"/>
                <wp:effectExtent l="0" t="0" r="19050" b="1905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1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0;margin-top:16.45pt;width:139.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Zin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"/>
            </w:pict>
          </mc:Fallback>
        </mc:AlternateContent>
      </w:r>
    </w:p>
    <w:p w:rsidR="00D43D64" w:rsidRDefault="00D43D64" w:rsidP="00D43D64">
      <w:pPr>
        <w:spacing w:before="240" w:after="6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MD. Mostafizur Rahman</w:t>
      </w:r>
    </w:p>
    <w:p w:rsidR="00D43D64" w:rsidRDefault="00D43D64" w:rsidP="00D43D64">
      <w:pPr>
        <w:spacing w:before="240" w:after="6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ID: 111 142 019</w:t>
      </w:r>
    </w:p>
    <w:p w:rsidR="00D43D64" w:rsidRDefault="00D43D64" w:rsidP="00D43D64">
      <w:pPr>
        <w:spacing w:before="240" w:after="6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School of Business and Economics</w:t>
      </w:r>
    </w:p>
    <w:p w:rsidR="00D43D64" w:rsidRDefault="00D43D64" w:rsidP="00D43D64">
      <w:pPr>
        <w:spacing w:before="240" w:after="6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United International University</w:t>
      </w:r>
    </w:p>
    <w:p w:rsidR="00D43D64" w:rsidRDefault="00D43D64" w:rsidP="00D43D64">
      <w:pPr>
        <w:spacing w:before="240" w:after="60" w:line="276" w:lineRule="auto"/>
        <w:jc w:val="both"/>
        <w:rPr>
          <w:rFonts w:ascii="Times New Roman" w:eastAsia="Calibri" w:hAnsi="Times New Roman" w:cs="Times New Roman"/>
          <w:sz w:val="24"/>
          <w:szCs w:val="24"/>
        </w:rPr>
      </w:pPr>
    </w:p>
    <w:p w:rsidR="00D43D64" w:rsidRPr="00D43D64" w:rsidRDefault="00D43D64" w:rsidP="00D43D64">
      <w:pPr>
        <w:spacing w:before="240" w:after="60" w:line="276" w:lineRule="auto"/>
        <w:jc w:val="both"/>
        <w:rPr>
          <w:rFonts w:ascii="Times New Roman" w:eastAsia="Calibri" w:hAnsi="Times New Roman" w:cs="Times New Roman"/>
          <w:sz w:val="24"/>
          <w:szCs w:val="24"/>
        </w:rPr>
      </w:pPr>
    </w:p>
    <w:p w:rsidR="009A1432" w:rsidRPr="004D1ECD" w:rsidRDefault="009A1432" w:rsidP="00E9388F">
      <w:pPr>
        <w:spacing w:before="240" w:after="60" w:line="276" w:lineRule="auto"/>
        <w:jc w:val="both"/>
        <w:rPr>
          <w:rFonts w:ascii="Times New Roman" w:eastAsia="Calibri" w:hAnsi="Times New Roman" w:cs="Times New Roman"/>
          <w:color w:val="000000"/>
          <w:sz w:val="24"/>
          <w:szCs w:val="24"/>
        </w:rPr>
      </w:pPr>
    </w:p>
    <w:p w:rsidR="00E9388F" w:rsidRPr="004D1ECD" w:rsidRDefault="00E9388F" w:rsidP="00E9388F">
      <w:pPr>
        <w:spacing w:before="240" w:after="60" w:line="276" w:lineRule="auto"/>
        <w:jc w:val="both"/>
        <w:rPr>
          <w:rFonts w:ascii="Times New Roman" w:eastAsia="Calibri" w:hAnsi="Times New Roman" w:cs="Times New Roman"/>
          <w:color w:val="000000"/>
          <w:sz w:val="24"/>
          <w:szCs w:val="24"/>
        </w:rPr>
      </w:pPr>
      <w:r w:rsidRPr="004D1ECD">
        <w:rPr>
          <w:rFonts w:ascii="Times New Roman" w:eastAsia="Calibri" w:hAnsi="Times New Roman" w:cs="Times New Roman"/>
          <w:color w:val="000000"/>
          <w:sz w:val="24"/>
          <w:szCs w:val="24"/>
        </w:rPr>
        <w:tab/>
      </w:r>
      <w:r w:rsidRPr="004D1ECD">
        <w:rPr>
          <w:rFonts w:ascii="Times New Roman" w:eastAsia="Calibri" w:hAnsi="Times New Roman" w:cs="Times New Roman"/>
          <w:color w:val="000000"/>
          <w:sz w:val="24"/>
          <w:szCs w:val="24"/>
        </w:rPr>
        <w:tab/>
      </w:r>
      <w:r w:rsidRPr="004D1ECD">
        <w:rPr>
          <w:rFonts w:ascii="Times New Roman" w:eastAsia="Calibri" w:hAnsi="Times New Roman" w:cs="Times New Roman"/>
          <w:color w:val="000000"/>
          <w:sz w:val="24"/>
          <w:szCs w:val="24"/>
        </w:rPr>
        <w:tab/>
      </w:r>
    </w:p>
    <w:p w:rsidR="00E9388F" w:rsidRPr="005B7EC9" w:rsidRDefault="00E9388F" w:rsidP="009A1432">
      <w:pPr>
        <w:spacing w:after="200" w:line="276" w:lineRule="auto"/>
        <w:jc w:val="center"/>
        <w:rPr>
          <w:rFonts w:ascii="Times New Roman" w:eastAsia="Times New Roman" w:hAnsi="Times New Roman" w:cs="Times New Roman"/>
          <w:b/>
          <w:bCs/>
          <w:color w:val="4F81BD" w:themeColor="accent1"/>
          <w:spacing w:val="-3"/>
          <w:sz w:val="32"/>
          <w:szCs w:val="32"/>
        </w:rPr>
      </w:pPr>
      <w:r w:rsidRPr="005B7EC9">
        <w:rPr>
          <w:rFonts w:ascii="Times New Roman" w:eastAsia="Times New Roman" w:hAnsi="Times New Roman" w:cs="Times New Roman"/>
          <w:b/>
          <w:bCs/>
          <w:color w:val="4F81BD" w:themeColor="accent1"/>
          <w:spacing w:val="-3"/>
          <w:sz w:val="32"/>
          <w:szCs w:val="32"/>
        </w:rPr>
        <w:t>EXECUTIVE SUMMERY:</w:t>
      </w:r>
    </w:p>
    <w:p w:rsidR="00E9388F" w:rsidRPr="00010D06" w:rsidRDefault="00E9388F" w:rsidP="00010D06">
      <w:pPr>
        <w:spacing w:after="200" w:line="276" w:lineRule="auto"/>
        <w:jc w:val="both"/>
        <w:rPr>
          <w:rFonts w:ascii="Times New Roman" w:eastAsia="Times New Roman" w:hAnsi="Times New Roman" w:cs="Times New Roman"/>
          <w:bCs/>
          <w:color w:val="000000"/>
          <w:spacing w:val="-3"/>
          <w:sz w:val="24"/>
          <w:szCs w:val="24"/>
        </w:rPr>
      </w:pPr>
      <w:r w:rsidRPr="00010D06">
        <w:rPr>
          <w:rFonts w:ascii="Times New Roman" w:eastAsia="Times New Roman" w:hAnsi="Times New Roman" w:cs="Times New Roman"/>
          <w:bCs/>
          <w:color w:val="000000"/>
          <w:spacing w:val="-3"/>
          <w:sz w:val="24"/>
          <w:szCs w:val="24"/>
        </w:rPr>
        <w:t>According to the requirements of the BBA program, we chose to prepare financial report on</w:t>
      </w:r>
      <w:r w:rsidR="005B7EC9" w:rsidRPr="00010D06">
        <w:rPr>
          <w:rFonts w:ascii="Times New Roman" w:eastAsia="Times New Roman" w:hAnsi="Times New Roman" w:cs="Times New Roman"/>
          <w:bCs/>
          <w:color w:val="000000"/>
          <w:spacing w:val="-3"/>
          <w:sz w:val="24"/>
          <w:szCs w:val="24"/>
        </w:rPr>
        <w:t xml:space="preserve"> six companies.</w:t>
      </w:r>
    </w:p>
    <w:p w:rsidR="00E9388F" w:rsidRPr="00010D06" w:rsidRDefault="00E9388F" w:rsidP="00010D06">
      <w:pPr>
        <w:spacing w:after="200" w:line="276" w:lineRule="auto"/>
        <w:jc w:val="both"/>
        <w:rPr>
          <w:rFonts w:ascii="Times New Roman" w:eastAsia="Times New Roman" w:hAnsi="Times New Roman" w:cs="Times New Roman"/>
          <w:bCs/>
          <w:color w:val="000000"/>
          <w:spacing w:val="-3"/>
          <w:sz w:val="24"/>
          <w:szCs w:val="24"/>
        </w:rPr>
      </w:pPr>
      <w:r w:rsidRPr="00010D06">
        <w:rPr>
          <w:rFonts w:ascii="Times New Roman" w:eastAsia="Times New Roman" w:hAnsi="Times New Roman" w:cs="Times New Roman"/>
          <w:bCs/>
          <w:color w:val="000000"/>
          <w:spacing w:val="-3"/>
          <w:sz w:val="24"/>
          <w:szCs w:val="24"/>
        </w:rPr>
        <w:t xml:space="preserve">The report is based on the working capital management practices of </w:t>
      </w:r>
      <w:r w:rsidR="005B7EC9" w:rsidRPr="00010D06">
        <w:rPr>
          <w:rFonts w:ascii="Times New Roman" w:eastAsia="Times New Roman" w:hAnsi="Times New Roman" w:cs="Times New Roman"/>
          <w:bCs/>
          <w:color w:val="000000"/>
          <w:spacing w:val="-3"/>
          <w:sz w:val="24"/>
          <w:szCs w:val="24"/>
        </w:rPr>
        <w:t>Six Individual companies.</w:t>
      </w:r>
      <w:r w:rsidRPr="00010D06">
        <w:rPr>
          <w:rFonts w:ascii="Times New Roman" w:eastAsia="Times New Roman" w:hAnsi="Times New Roman" w:cs="Times New Roman"/>
          <w:bCs/>
          <w:color w:val="000000"/>
          <w:spacing w:val="-3"/>
          <w:sz w:val="24"/>
          <w:szCs w:val="24"/>
        </w:rPr>
        <w:t xml:space="preserve"> Anyone can easily understand the capital management condition of</w:t>
      </w:r>
      <w:r w:rsidR="005B7EC9" w:rsidRPr="00010D06">
        <w:rPr>
          <w:rFonts w:ascii="Times New Roman" w:eastAsia="Times New Roman" w:hAnsi="Times New Roman" w:cs="Times New Roman"/>
          <w:bCs/>
          <w:color w:val="000000"/>
          <w:spacing w:val="-3"/>
          <w:sz w:val="24"/>
          <w:szCs w:val="24"/>
        </w:rPr>
        <w:t xml:space="preserve"> these </w:t>
      </w:r>
      <w:r w:rsidRPr="00010D06">
        <w:rPr>
          <w:rFonts w:ascii="Times New Roman" w:eastAsia="Times New Roman" w:hAnsi="Times New Roman" w:cs="Times New Roman"/>
          <w:bCs/>
          <w:color w:val="000000"/>
          <w:spacing w:val="-3"/>
          <w:sz w:val="24"/>
          <w:szCs w:val="24"/>
        </w:rPr>
        <w:t xml:space="preserve">from </w:t>
      </w:r>
      <w:r w:rsidR="005B7EC9" w:rsidRPr="00010D06">
        <w:rPr>
          <w:rFonts w:ascii="Times New Roman" w:eastAsia="Times New Roman" w:hAnsi="Times New Roman" w:cs="Times New Roman"/>
          <w:bCs/>
          <w:color w:val="000000"/>
          <w:spacing w:val="-3"/>
          <w:sz w:val="24"/>
          <w:szCs w:val="24"/>
        </w:rPr>
        <w:t>2014 to 2016</w:t>
      </w:r>
      <w:r w:rsidRPr="00010D06">
        <w:rPr>
          <w:rFonts w:ascii="Times New Roman" w:eastAsia="Times New Roman" w:hAnsi="Times New Roman" w:cs="Times New Roman"/>
          <w:bCs/>
          <w:color w:val="000000"/>
          <w:spacing w:val="-3"/>
          <w:sz w:val="24"/>
          <w:szCs w:val="24"/>
        </w:rPr>
        <w:t xml:space="preserve"> from here. At first, we ar</w:t>
      </w:r>
      <w:r w:rsidR="005B7EC9" w:rsidRPr="00010D06">
        <w:rPr>
          <w:rFonts w:ascii="Times New Roman" w:eastAsia="Times New Roman" w:hAnsi="Times New Roman" w:cs="Times New Roman"/>
          <w:bCs/>
          <w:color w:val="000000"/>
          <w:spacing w:val="-3"/>
          <w:sz w:val="24"/>
          <w:szCs w:val="24"/>
        </w:rPr>
        <w:t>e doing the ratio analysis for three years</w:t>
      </w:r>
      <w:r w:rsidR="000A6E7D">
        <w:rPr>
          <w:rFonts w:ascii="Times New Roman" w:eastAsia="Times New Roman" w:hAnsi="Times New Roman" w:cs="Times New Roman"/>
          <w:bCs/>
          <w:color w:val="000000"/>
          <w:spacing w:val="-3"/>
          <w:sz w:val="24"/>
          <w:szCs w:val="24"/>
        </w:rPr>
        <w:t xml:space="preserve"> </w:t>
      </w:r>
      <w:r w:rsidR="005B7EC9" w:rsidRPr="00010D06">
        <w:rPr>
          <w:rFonts w:ascii="Times New Roman" w:eastAsia="Times New Roman" w:hAnsi="Times New Roman" w:cs="Times New Roman"/>
          <w:bCs/>
          <w:color w:val="000000"/>
          <w:spacing w:val="-3"/>
          <w:sz w:val="24"/>
          <w:szCs w:val="24"/>
        </w:rPr>
        <w:t>(2014-2016)</w:t>
      </w:r>
      <w:r w:rsidRPr="00010D06">
        <w:rPr>
          <w:rFonts w:ascii="Times New Roman" w:eastAsia="Times New Roman" w:hAnsi="Times New Roman" w:cs="Times New Roman"/>
          <w:bCs/>
          <w:color w:val="000000"/>
          <w:spacing w:val="-3"/>
          <w:sz w:val="24"/>
          <w:szCs w:val="24"/>
        </w:rPr>
        <w:t xml:space="preserve"> where we find out the liquidity ratio (Square’s ability to meet short-term obligations), working capital turnover ratio, raw material turnover ratio also the other ratios that is necessary to understand about the capital management practices of </w:t>
      </w:r>
      <w:r w:rsidR="005B7EC9" w:rsidRPr="00010D06">
        <w:rPr>
          <w:rFonts w:ascii="Times New Roman" w:eastAsia="Times New Roman" w:hAnsi="Times New Roman" w:cs="Times New Roman"/>
          <w:bCs/>
          <w:color w:val="000000"/>
          <w:spacing w:val="-3"/>
          <w:sz w:val="24"/>
          <w:szCs w:val="24"/>
        </w:rPr>
        <w:t>six companies</w:t>
      </w:r>
      <w:r w:rsidRPr="00010D06">
        <w:rPr>
          <w:rFonts w:ascii="Times New Roman" w:eastAsia="Times New Roman" w:hAnsi="Times New Roman" w:cs="Times New Roman"/>
          <w:bCs/>
          <w:color w:val="000000"/>
          <w:spacing w:val="-3"/>
          <w:sz w:val="24"/>
          <w:szCs w:val="24"/>
        </w:rPr>
        <w:t xml:space="preserve"> in </w:t>
      </w:r>
      <w:r w:rsidR="005B7EC9" w:rsidRPr="00010D06">
        <w:rPr>
          <w:rFonts w:ascii="Times New Roman" w:eastAsia="Times New Roman" w:hAnsi="Times New Roman" w:cs="Times New Roman"/>
          <w:bCs/>
          <w:color w:val="000000"/>
          <w:spacing w:val="-3"/>
          <w:sz w:val="24"/>
          <w:szCs w:val="24"/>
        </w:rPr>
        <w:t>2014 to 2016</w:t>
      </w:r>
      <w:r w:rsidRPr="00010D06">
        <w:rPr>
          <w:rFonts w:ascii="Times New Roman" w:eastAsia="Times New Roman" w:hAnsi="Times New Roman" w:cs="Times New Roman"/>
          <w:bCs/>
          <w:color w:val="000000"/>
          <w:spacing w:val="-3"/>
          <w:sz w:val="24"/>
          <w:szCs w:val="24"/>
        </w:rPr>
        <w:t xml:space="preserve">. </w:t>
      </w:r>
      <w:r w:rsidR="005B7EC9" w:rsidRPr="00010D06">
        <w:rPr>
          <w:rFonts w:ascii="Times New Roman" w:eastAsia="Times New Roman" w:hAnsi="Times New Roman" w:cs="Times New Roman"/>
          <w:bCs/>
          <w:color w:val="000000"/>
          <w:spacing w:val="-3"/>
          <w:sz w:val="24"/>
          <w:szCs w:val="24"/>
        </w:rPr>
        <w:t>I</w:t>
      </w:r>
      <w:r w:rsidRPr="00010D06">
        <w:rPr>
          <w:rFonts w:ascii="Times New Roman" w:eastAsia="Times New Roman" w:hAnsi="Times New Roman" w:cs="Times New Roman"/>
          <w:bCs/>
          <w:color w:val="000000"/>
          <w:spacing w:val="-3"/>
          <w:sz w:val="24"/>
          <w:szCs w:val="24"/>
        </w:rPr>
        <w:t xml:space="preserve"> also find out company cash conversion cycle</w:t>
      </w:r>
      <w:r w:rsidR="002B597A">
        <w:rPr>
          <w:rFonts w:ascii="Times New Roman" w:eastAsia="Times New Roman" w:hAnsi="Times New Roman" w:cs="Times New Roman"/>
          <w:bCs/>
          <w:color w:val="000000"/>
          <w:spacing w:val="-3"/>
          <w:sz w:val="24"/>
          <w:szCs w:val="24"/>
        </w:rPr>
        <w:t xml:space="preserve"> also</w:t>
      </w:r>
      <w:r w:rsidRPr="00010D06">
        <w:rPr>
          <w:rFonts w:ascii="Times New Roman" w:eastAsia="Times New Roman" w:hAnsi="Times New Roman" w:cs="Times New Roman"/>
          <w:bCs/>
          <w:color w:val="000000"/>
          <w:spacing w:val="-3"/>
          <w:sz w:val="24"/>
          <w:szCs w:val="24"/>
        </w:rPr>
        <w:t xml:space="preserve">. </w:t>
      </w:r>
      <w:r w:rsidR="005B7EC9" w:rsidRPr="00010D06">
        <w:rPr>
          <w:rFonts w:ascii="Times New Roman" w:eastAsia="Times New Roman" w:hAnsi="Times New Roman" w:cs="Times New Roman"/>
          <w:bCs/>
          <w:color w:val="000000"/>
          <w:spacing w:val="-3"/>
          <w:sz w:val="24"/>
          <w:szCs w:val="24"/>
        </w:rPr>
        <w:t>I</w:t>
      </w:r>
      <w:r w:rsidRPr="00010D06">
        <w:rPr>
          <w:rFonts w:ascii="Times New Roman" w:eastAsia="Times New Roman" w:hAnsi="Times New Roman" w:cs="Times New Roman"/>
          <w:bCs/>
          <w:color w:val="000000"/>
          <w:spacing w:val="-3"/>
          <w:sz w:val="24"/>
          <w:szCs w:val="24"/>
        </w:rPr>
        <w:t xml:space="preserve"> compare this </w:t>
      </w:r>
      <w:r w:rsidR="005B7EC9" w:rsidRPr="00010D06">
        <w:rPr>
          <w:rFonts w:ascii="Times New Roman" w:eastAsia="Times New Roman" w:hAnsi="Times New Roman" w:cs="Times New Roman"/>
          <w:bCs/>
          <w:color w:val="000000"/>
          <w:spacing w:val="-3"/>
          <w:sz w:val="24"/>
          <w:szCs w:val="24"/>
        </w:rPr>
        <w:t>3</w:t>
      </w:r>
      <w:r w:rsidRPr="00010D06">
        <w:rPr>
          <w:rFonts w:ascii="Times New Roman" w:eastAsia="Times New Roman" w:hAnsi="Times New Roman" w:cs="Times New Roman"/>
          <w:bCs/>
          <w:color w:val="000000"/>
          <w:spacing w:val="-3"/>
          <w:sz w:val="24"/>
          <w:szCs w:val="24"/>
        </w:rPr>
        <w:t xml:space="preserve"> year</w:t>
      </w:r>
      <w:r w:rsidR="005B7EC9" w:rsidRPr="00010D06">
        <w:rPr>
          <w:rFonts w:ascii="Times New Roman" w:eastAsia="Times New Roman" w:hAnsi="Times New Roman" w:cs="Times New Roman"/>
          <w:bCs/>
          <w:color w:val="000000"/>
          <w:spacing w:val="-3"/>
          <w:sz w:val="24"/>
          <w:szCs w:val="24"/>
        </w:rPr>
        <w:t>s</w:t>
      </w:r>
      <w:r w:rsidRPr="00010D06">
        <w:rPr>
          <w:rFonts w:ascii="Times New Roman" w:eastAsia="Times New Roman" w:hAnsi="Times New Roman" w:cs="Times New Roman"/>
          <w:bCs/>
          <w:color w:val="000000"/>
          <w:spacing w:val="-3"/>
          <w:sz w:val="24"/>
          <w:szCs w:val="24"/>
        </w:rPr>
        <w:t xml:space="preserve"> ratio part and find out that company manages its working capital </w:t>
      </w:r>
      <w:r w:rsidR="005B7EC9" w:rsidRPr="00010D06">
        <w:rPr>
          <w:rFonts w:ascii="Times New Roman" w:eastAsia="Times New Roman" w:hAnsi="Times New Roman" w:cs="Times New Roman"/>
          <w:bCs/>
          <w:color w:val="000000"/>
          <w:spacing w:val="-3"/>
          <w:sz w:val="24"/>
          <w:szCs w:val="24"/>
        </w:rPr>
        <w:t>through these years efficiently or not.</w:t>
      </w:r>
    </w:p>
    <w:p w:rsidR="00010D06" w:rsidRPr="00010D06" w:rsidRDefault="00010D06" w:rsidP="00010D06">
      <w:pPr>
        <w:spacing w:after="200" w:line="276" w:lineRule="auto"/>
        <w:jc w:val="both"/>
        <w:rPr>
          <w:rFonts w:ascii="Times New Roman" w:hAnsi="Times New Roman" w:cs="Times New Roman"/>
          <w:sz w:val="24"/>
          <w:szCs w:val="24"/>
        </w:rPr>
      </w:pPr>
      <w:r w:rsidRPr="00010D06">
        <w:rPr>
          <w:rFonts w:ascii="Times New Roman" w:hAnsi="Times New Roman" w:cs="Times New Roman"/>
          <w:sz w:val="24"/>
          <w:szCs w:val="24"/>
        </w:rPr>
        <w:t xml:space="preserve">This study tries to explore the impact of working capital management on profitability of three sectors in Bangladesh. </w:t>
      </w:r>
      <w:r w:rsidR="001112A0">
        <w:rPr>
          <w:rFonts w:ascii="Times New Roman" w:hAnsi="Times New Roman" w:cs="Times New Roman"/>
          <w:sz w:val="24"/>
          <w:szCs w:val="24"/>
        </w:rPr>
        <w:t>WCM describes</w:t>
      </w:r>
      <w:r w:rsidRPr="00010D06">
        <w:rPr>
          <w:rFonts w:ascii="Times New Roman" w:hAnsi="Times New Roman" w:cs="Times New Roman"/>
          <w:sz w:val="24"/>
          <w:szCs w:val="24"/>
        </w:rPr>
        <w:t xml:space="preserve"> the amount </w:t>
      </w:r>
      <w:r w:rsidR="001112A0">
        <w:rPr>
          <w:rFonts w:ascii="Times New Roman" w:hAnsi="Times New Roman" w:cs="Times New Roman"/>
          <w:sz w:val="24"/>
          <w:szCs w:val="24"/>
        </w:rPr>
        <w:t>of</w:t>
      </w:r>
      <w:r w:rsidRPr="00010D06">
        <w:rPr>
          <w:rFonts w:ascii="Times New Roman" w:hAnsi="Times New Roman" w:cs="Times New Roman"/>
          <w:sz w:val="24"/>
          <w:szCs w:val="24"/>
        </w:rPr>
        <w:t xml:space="preserve"> current asset is </w:t>
      </w:r>
      <w:r w:rsidR="001112A0">
        <w:rPr>
          <w:rFonts w:ascii="Times New Roman" w:hAnsi="Times New Roman" w:cs="Times New Roman"/>
          <w:sz w:val="24"/>
          <w:szCs w:val="24"/>
        </w:rPr>
        <w:t xml:space="preserve">over current liabilities. I want show through this report how a company </w:t>
      </w:r>
      <w:r w:rsidR="00C03275">
        <w:rPr>
          <w:rFonts w:ascii="Times New Roman" w:hAnsi="Times New Roman" w:cs="Times New Roman"/>
          <w:sz w:val="24"/>
          <w:szCs w:val="24"/>
        </w:rPr>
        <w:t>control its working capital based on cash, period of inventory, receivable period and payable time to suppliers and how to profit get influenced through working capital management.</w:t>
      </w:r>
    </w:p>
    <w:p w:rsidR="00010D06" w:rsidRPr="00010D06" w:rsidRDefault="000A6E7D" w:rsidP="00010D06">
      <w:pPr>
        <w:pStyle w:val="Default"/>
        <w:spacing w:line="276" w:lineRule="auto"/>
        <w:jc w:val="both"/>
      </w:pPr>
      <w:r>
        <w:t xml:space="preserve">In </w:t>
      </w:r>
      <w:r w:rsidR="00010D06" w:rsidRPr="00010D06">
        <w:t xml:space="preserve">company </w:t>
      </w:r>
      <w:r>
        <w:t>profile includes</w:t>
      </w:r>
      <w:r w:rsidR="00010D06" w:rsidRPr="00010D06">
        <w:t xml:space="preserve"> </w:t>
      </w:r>
      <w:r>
        <w:t>background,</w:t>
      </w:r>
      <w:r w:rsidR="00010D06" w:rsidRPr="00010D06">
        <w:t xml:space="preserve"> products</w:t>
      </w:r>
      <w:r>
        <w:t xml:space="preserve"> or services, mission, vision and type of organization</w:t>
      </w:r>
      <w:r w:rsidR="00010D06" w:rsidRPr="00010D06">
        <w:t xml:space="preserve"> is </w:t>
      </w:r>
      <w:r>
        <w:t>mentioned</w:t>
      </w:r>
      <w:r w:rsidR="00010D06" w:rsidRPr="00010D06">
        <w:t xml:space="preserve"> in int</w:t>
      </w:r>
      <w:r>
        <w:t>roductory part of each company.</w:t>
      </w:r>
      <w:r w:rsidR="00010D06" w:rsidRPr="00010D06">
        <w:t xml:space="preserve"> WCM policies for six companies are discussed elaborately in this chapter as well. Analysis of the collected data is presented through companies’ profile and ratio analysis part. Finally comparing three sectors findings are included and conclusion </w:t>
      </w:r>
      <w:r>
        <w:t>contains</w:t>
      </w:r>
      <w:r w:rsidR="00010D06" w:rsidRPr="00010D06">
        <w:t xml:space="preserve"> a summary of the </w:t>
      </w:r>
      <w:r>
        <w:t>founding’s</w:t>
      </w:r>
      <w:r w:rsidR="00010D06" w:rsidRPr="00010D06">
        <w:t xml:space="preserve"> in the analysis </w:t>
      </w:r>
      <w:r>
        <w:t>part through report.</w:t>
      </w:r>
      <w:r w:rsidR="00010D06" w:rsidRPr="00010D06">
        <w:t xml:space="preserve"> </w:t>
      </w:r>
    </w:p>
    <w:p w:rsidR="00DF279A" w:rsidRDefault="00DF279A" w:rsidP="00E9388F">
      <w:pPr>
        <w:spacing w:after="200" w:line="276" w:lineRule="auto"/>
        <w:jc w:val="both"/>
        <w:rPr>
          <w:rFonts w:ascii="Times New Roman" w:eastAsia="Times New Roman" w:hAnsi="Times New Roman" w:cs="Times New Roman"/>
          <w:bCs/>
          <w:color w:val="000000"/>
          <w:spacing w:val="-3"/>
          <w:sz w:val="24"/>
          <w:szCs w:val="24"/>
        </w:rPr>
      </w:pPr>
    </w:p>
    <w:p w:rsidR="00DF279A" w:rsidRDefault="00DF279A" w:rsidP="00E9388F">
      <w:pPr>
        <w:spacing w:after="200" w:line="276" w:lineRule="auto"/>
        <w:jc w:val="both"/>
        <w:rPr>
          <w:rFonts w:ascii="Times New Roman" w:eastAsia="Times New Roman" w:hAnsi="Times New Roman" w:cs="Times New Roman"/>
          <w:bCs/>
          <w:color w:val="000000"/>
          <w:spacing w:val="-3"/>
          <w:sz w:val="24"/>
          <w:szCs w:val="24"/>
        </w:rPr>
      </w:pPr>
    </w:p>
    <w:p w:rsidR="00E9388F" w:rsidRDefault="00E9388F" w:rsidP="00E9388F">
      <w:pPr>
        <w:spacing w:after="200" w:line="276" w:lineRule="auto"/>
        <w:jc w:val="both"/>
        <w:rPr>
          <w:rFonts w:ascii="Times New Roman" w:eastAsia="Times New Roman" w:hAnsi="Times New Roman" w:cs="Times New Roman"/>
          <w:bCs/>
          <w:color w:val="000000"/>
          <w:spacing w:val="-3"/>
          <w:sz w:val="24"/>
          <w:szCs w:val="24"/>
        </w:rPr>
      </w:pPr>
    </w:p>
    <w:p w:rsidR="00E9388F" w:rsidRDefault="00E9388F" w:rsidP="00E9388F">
      <w:pPr>
        <w:spacing w:after="200" w:line="276" w:lineRule="auto"/>
        <w:jc w:val="both"/>
        <w:rPr>
          <w:rFonts w:ascii="Times New Roman" w:eastAsia="Times New Roman" w:hAnsi="Times New Roman" w:cs="Times New Roman"/>
          <w:bCs/>
          <w:color w:val="000000"/>
          <w:spacing w:val="-3"/>
          <w:sz w:val="24"/>
          <w:szCs w:val="24"/>
        </w:rPr>
      </w:pPr>
    </w:p>
    <w:p w:rsidR="00E9388F" w:rsidRDefault="00E9388F" w:rsidP="00E9388F">
      <w:pPr>
        <w:spacing w:after="200" w:line="276" w:lineRule="auto"/>
        <w:jc w:val="both"/>
        <w:rPr>
          <w:rFonts w:ascii="Times New Roman" w:eastAsia="Times New Roman" w:hAnsi="Times New Roman" w:cs="Times New Roman"/>
          <w:bCs/>
          <w:color w:val="000000"/>
          <w:spacing w:val="-3"/>
          <w:sz w:val="24"/>
          <w:szCs w:val="24"/>
        </w:rPr>
      </w:pPr>
    </w:p>
    <w:p w:rsidR="00E9388F" w:rsidRDefault="00E9388F" w:rsidP="00E9388F">
      <w:pPr>
        <w:spacing w:after="200" w:line="276" w:lineRule="auto"/>
        <w:jc w:val="both"/>
        <w:rPr>
          <w:rFonts w:ascii="Times New Roman" w:eastAsia="Times New Roman" w:hAnsi="Times New Roman" w:cs="Times New Roman"/>
          <w:bCs/>
          <w:color w:val="000000"/>
          <w:spacing w:val="-3"/>
          <w:sz w:val="24"/>
          <w:szCs w:val="24"/>
        </w:rPr>
      </w:pPr>
    </w:p>
    <w:p w:rsidR="00E9388F" w:rsidRDefault="00E9388F" w:rsidP="00E9388F">
      <w:pPr>
        <w:spacing w:after="200" w:line="276" w:lineRule="auto"/>
        <w:jc w:val="both"/>
        <w:rPr>
          <w:rFonts w:ascii="Times New Roman" w:eastAsia="Times New Roman" w:hAnsi="Times New Roman" w:cs="Times New Roman"/>
          <w:bCs/>
          <w:color w:val="000000"/>
          <w:spacing w:val="-3"/>
          <w:sz w:val="24"/>
          <w:szCs w:val="24"/>
        </w:rPr>
      </w:pPr>
    </w:p>
    <w:p w:rsidR="00E9388F" w:rsidRDefault="00E9388F" w:rsidP="00E9388F">
      <w:pPr>
        <w:jc w:val="both"/>
        <w:rPr>
          <w:rFonts w:ascii="Times New Roman" w:eastAsia="Times New Roman" w:hAnsi="Times New Roman" w:cs="Times New Roman"/>
          <w:bCs/>
          <w:color w:val="000000"/>
          <w:spacing w:val="-3"/>
          <w:sz w:val="24"/>
          <w:szCs w:val="24"/>
        </w:rPr>
      </w:pPr>
    </w:p>
    <w:sdt>
      <w:sdtPr>
        <w:rPr>
          <w:rFonts w:asciiTheme="minorHAnsi" w:eastAsiaTheme="minorHAnsi" w:hAnsiTheme="minorHAnsi" w:cstheme="minorBidi"/>
          <w:b w:val="0"/>
          <w:bCs w:val="0"/>
          <w:color w:val="auto"/>
          <w:sz w:val="22"/>
          <w:szCs w:val="22"/>
        </w:rPr>
        <w:id w:val="487660"/>
        <w:docPartObj>
          <w:docPartGallery w:val="Table of Contents"/>
          <w:docPartUnique/>
        </w:docPartObj>
      </w:sdtPr>
      <w:sdtEndPr/>
      <w:sdtContent>
        <w:p w:rsidR="001E12CA" w:rsidRDefault="001E12CA">
          <w:pPr>
            <w:pStyle w:val="TOCHeading"/>
          </w:pPr>
          <w:r>
            <w:t>Contents</w:t>
          </w:r>
        </w:p>
        <w:p w:rsidR="00D74B0E" w:rsidRDefault="00C31EB1">
          <w:pPr>
            <w:pStyle w:val="TOC1"/>
            <w:tabs>
              <w:tab w:val="right" w:leader="dot" w:pos="9350"/>
            </w:tabs>
            <w:rPr>
              <w:rFonts w:eastAsiaTheme="minorEastAsia"/>
              <w:noProof/>
            </w:rPr>
          </w:pPr>
          <w:r>
            <w:fldChar w:fldCharType="begin"/>
          </w:r>
          <w:r w:rsidR="001E12CA">
            <w:instrText xml:space="preserve"> TOC \o "1-3" \h \z \u </w:instrText>
          </w:r>
          <w:r>
            <w:fldChar w:fldCharType="separate"/>
          </w:r>
          <w:hyperlink w:anchor="_Toc18627787" w:history="1">
            <w:r w:rsidR="00D74B0E" w:rsidRPr="00F2187A">
              <w:rPr>
                <w:rStyle w:val="Hyperlink"/>
                <w:rFonts w:eastAsia="Times New Roman"/>
                <w:noProof/>
              </w:rPr>
              <w:t xml:space="preserve">Theoretical </w:t>
            </w:r>
            <w:r w:rsidR="00D74B0E" w:rsidRPr="00F2187A">
              <w:rPr>
                <w:rStyle w:val="Hyperlink"/>
                <w:noProof/>
              </w:rPr>
              <w:t>Framework</w:t>
            </w:r>
            <w:r w:rsidR="00D74B0E">
              <w:rPr>
                <w:noProof/>
                <w:webHidden/>
              </w:rPr>
              <w:tab/>
            </w:r>
            <w:r>
              <w:rPr>
                <w:noProof/>
                <w:webHidden/>
              </w:rPr>
              <w:fldChar w:fldCharType="begin"/>
            </w:r>
            <w:r w:rsidR="00D74B0E">
              <w:rPr>
                <w:noProof/>
                <w:webHidden/>
              </w:rPr>
              <w:instrText xml:space="preserve"> PAGEREF _Toc18627787 \h </w:instrText>
            </w:r>
            <w:r>
              <w:rPr>
                <w:noProof/>
                <w:webHidden/>
              </w:rPr>
            </w:r>
            <w:r>
              <w:rPr>
                <w:noProof/>
                <w:webHidden/>
              </w:rPr>
              <w:fldChar w:fldCharType="separate"/>
            </w:r>
            <w:r w:rsidR="00D74B0E">
              <w:rPr>
                <w:noProof/>
                <w:webHidden/>
              </w:rPr>
              <w:t>1</w:t>
            </w:r>
            <w:r>
              <w:rPr>
                <w:noProof/>
                <w:webHidden/>
              </w:rPr>
              <w:fldChar w:fldCharType="end"/>
            </w:r>
          </w:hyperlink>
        </w:p>
        <w:p w:rsidR="00D74B0E" w:rsidRDefault="004E3947">
          <w:pPr>
            <w:pStyle w:val="TOC2"/>
            <w:tabs>
              <w:tab w:val="right" w:leader="dot" w:pos="9350"/>
            </w:tabs>
            <w:rPr>
              <w:rFonts w:eastAsiaTheme="minorEastAsia"/>
              <w:noProof/>
            </w:rPr>
          </w:pPr>
          <w:hyperlink w:anchor="_Toc18627788" w:history="1">
            <w:r w:rsidR="00D74B0E" w:rsidRPr="00F2187A">
              <w:rPr>
                <w:rStyle w:val="Hyperlink"/>
                <w:rFonts w:ascii="Times New Roman" w:eastAsia="Times New Roman" w:hAnsi="Times New Roman" w:cs="Times New Roman"/>
                <w:noProof/>
              </w:rPr>
              <w:t>Working Capital Definition</w:t>
            </w:r>
            <w:r w:rsidR="00D74B0E">
              <w:rPr>
                <w:noProof/>
                <w:webHidden/>
              </w:rPr>
              <w:tab/>
            </w:r>
            <w:r w:rsidR="00C31EB1">
              <w:rPr>
                <w:noProof/>
                <w:webHidden/>
              </w:rPr>
              <w:fldChar w:fldCharType="begin"/>
            </w:r>
            <w:r w:rsidR="00D74B0E">
              <w:rPr>
                <w:noProof/>
                <w:webHidden/>
              </w:rPr>
              <w:instrText xml:space="preserve"> PAGEREF _Toc18627788 \h </w:instrText>
            </w:r>
            <w:r w:rsidR="00C31EB1">
              <w:rPr>
                <w:noProof/>
                <w:webHidden/>
              </w:rPr>
            </w:r>
            <w:r w:rsidR="00C31EB1">
              <w:rPr>
                <w:noProof/>
                <w:webHidden/>
              </w:rPr>
              <w:fldChar w:fldCharType="separate"/>
            </w:r>
            <w:r w:rsidR="00D74B0E">
              <w:rPr>
                <w:noProof/>
                <w:webHidden/>
              </w:rPr>
              <w:t>1</w:t>
            </w:r>
            <w:r w:rsidR="00C31EB1">
              <w:rPr>
                <w:noProof/>
                <w:webHidden/>
              </w:rPr>
              <w:fldChar w:fldCharType="end"/>
            </w:r>
          </w:hyperlink>
        </w:p>
        <w:p w:rsidR="00D74B0E" w:rsidRDefault="004E3947">
          <w:pPr>
            <w:pStyle w:val="TOC2"/>
            <w:tabs>
              <w:tab w:val="right" w:leader="dot" w:pos="9350"/>
            </w:tabs>
            <w:rPr>
              <w:rFonts w:eastAsiaTheme="minorEastAsia"/>
              <w:noProof/>
            </w:rPr>
          </w:pPr>
          <w:hyperlink w:anchor="_Toc18627789" w:history="1">
            <w:r w:rsidR="00D74B0E" w:rsidRPr="00F2187A">
              <w:rPr>
                <w:rStyle w:val="Hyperlink"/>
                <w:rFonts w:ascii="Times New Roman" w:eastAsia="Times New Roman" w:hAnsi="Times New Roman" w:cs="Times New Roman"/>
                <w:noProof/>
              </w:rPr>
              <w:t>Nature and importance of good working capital management</w:t>
            </w:r>
            <w:r w:rsidR="00D74B0E">
              <w:rPr>
                <w:noProof/>
                <w:webHidden/>
              </w:rPr>
              <w:tab/>
            </w:r>
            <w:r w:rsidR="00C31EB1">
              <w:rPr>
                <w:noProof/>
                <w:webHidden/>
              </w:rPr>
              <w:fldChar w:fldCharType="begin"/>
            </w:r>
            <w:r w:rsidR="00D74B0E">
              <w:rPr>
                <w:noProof/>
                <w:webHidden/>
              </w:rPr>
              <w:instrText xml:space="preserve"> PAGEREF _Toc18627789 \h </w:instrText>
            </w:r>
            <w:r w:rsidR="00C31EB1">
              <w:rPr>
                <w:noProof/>
                <w:webHidden/>
              </w:rPr>
            </w:r>
            <w:r w:rsidR="00C31EB1">
              <w:rPr>
                <w:noProof/>
                <w:webHidden/>
              </w:rPr>
              <w:fldChar w:fldCharType="separate"/>
            </w:r>
            <w:r w:rsidR="00D74B0E">
              <w:rPr>
                <w:noProof/>
                <w:webHidden/>
              </w:rPr>
              <w:t>1</w:t>
            </w:r>
            <w:r w:rsidR="00C31EB1">
              <w:rPr>
                <w:noProof/>
                <w:webHidden/>
              </w:rPr>
              <w:fldChar w:fldCharType="end"/>
            </w:r>
          </w:hyperlink>
        </w:p>
        <w:p w:rsidR="00D74B0E" w:rsidRDefault="004E3947">
          <w:pPr>
            <w:pStyle w:val="TOC2"/>
            <w:tabs>
              <w:tab w:val="right" w:leader="dot" w:pos="9350"/>
            </w:tabs>
            <w:rPr>
              <w:rFonts w:eastAsiaTheme="minorEastAsia"/>
              <w:noProof/>
            </w:rPr>
          </w:pPr>
          <w:hyperlink w:anchor="_Toc18627790" w:history="1">
            <w:r w:rsidR="00D74B0E" w:rsidRPr="00F2187A">
              <w:rPr>
                <w:rStyle w:val="Hyperlink"/>
                <w:rFonts w:ascii="Times New Roman" w:eastAsia="Times New Roman" w:hAnsi="Times New Roman" w:cs="Times New Roman"/>
                <w:noProof/>
              </w:rPr>
              <w:t>Importance of good working capital management</w:t>
            </w:r>
            <w:r w:rsidR="00D74B0E">
              <w:rPr>
                <w:noProof/>
                <w:webHidden/>
              </w:rPr>
              <w:tab/>
            </w:r>
            <w:r w:rsidR="00C31EB1">
              <w:rPr>
                <w:noProof/>
                <w:webHidden/>
              </w:rPr>
              <w:fldChar w:fldCharType="begin"/>
            </w:r>
            <w:r w:rsidR="00D74B0E">
              <w:rPr>
                <w:noProof/>
                <w:webHidden/>
              </w:rPr>
              <w:instrText xml:space="preserve"> PAGEREF _Toc18627790 \h </w:instrText>
            </w:r>
            <w:r w:rsidR="00C31EB1">
              <w:rPr>
                <w:noProof/>
                <w:webHidden/>
              </w:rPr>
            </w:r>
            <w:r w:rsidR="00C31EB1">
              <w:rPr>
                <w:noProof/>
                <w:webHidden/>
              </w:rPr>
              <w:fldChar w:fldCharType="separate"/>
            </w:r>
            <w:r w:rsidR="00D74B0E">
              <w:rPr>
                <w:noProof/>
                <w:webHidden/>
              </w:rPr>
              <w:t>1</w:t>
            </w:r>
            <w:r w:rsidR="00C31EB1">
              <w:rPr>
                <w:noProof/>
                <w:webHidden/>
              </w:rPr>
              <w:fldChar w:fldCharType="end"/>
            </w:r>
          </w:hyperlink>
        </w:p>
        <w:p w:rsidR="00D74B0E" w:rsidRDefault="004E3947">
          <w:pPr>
            <w:pStyle w:val="TOC2"/>
            <w:tabs>
              <w:tab w:val="right" w:leader="dot" w:pos="9350"/>
            </w:tabs>
            <w:rPr>
              <w:rFonts w:eastAsiaTheme="minorEastAsia"/>
              <w:noProof/>
            </w:rPr>
          </w:pPr>
          <w:hyperlink w:anchor="_Toc18627791" w:history="1">
            <w:r w:rsidR="00D74B0E" w:rsidRPr="00F2187A">
              <w:rPr>
                <w:rStyle w:val="Hyperlink"/>
                <w:rFonts w:ascii="Times New Roman" w:eastAsia="Times New Roman" w:hAnsi="Times New Roman" w:cs="Times New Roman"/>
                <w:noProof/>
              </w:rPr>
              <w:t>Problems with adequate working capital</w:t>
            </w:r>
            <w:r w:rsidR="00D74B0E">
              <w:rPr>
                <w:noProof/>
                <w:webHidden/>
              </w:rPr>
              <w:tab/>
            </w:r>
            <w:r w:rsidR="00C31EB1">
              <w:rPr>
                <w:noProof/>
                <w:webHidden/>
              </w:rPr>
              <w:fldChar w:fldCharType="begin"/>
            </w:r>
            <w:r w:rsidR="00D74B0E">
              <w:rPr>
                <w:noProof/>
                <w:webHidden/>
              </w:rPr>
              <w:instrText xml:space="preserve"> PAGEREF _Toc18627791 \h </w:instrText>
            </w:r>
            <w:r w:rsidR="00C31EB1">
              <w:rPr>
                <w:noProof/>
                <w:webHidden/>
              </w:rPr>
            </w:r>
            <w:r w:rsidR="00C31EB1">
              <w:rPr>
                <w:noProof/>
                <w:webHidden/>
              </w:rPr>
              <w:fldChar w:fldCharType="separate"/>
            </w:r>
            <w:r w:rsidR="00D74B0E">
              <w:rPr>
                <w:noProof/>
                <w:webHidden/>
              </w:rPr>
              <w:t>1</w:t>
            </w:r>
            <w:r w:rsidR="00C31EB1">
              <w:rPr>
                <w:noProof/>
                <w:webHidden/>
              </w:rPr>
              <w:fldChar w:fldCharType="end"/>
            </w:r>
          </w:hyperlink>
        </w:p>
        <w:p w:rsidR="00D74B0E" w:rsidRDefault="004E3947">
          <w:pPr>
            <w:pStyle w:val="TOC2"/>
            <w:tabs>
              <w:tab w:val="right" w:leader="dot" w:pos="9350"/>
            </w:tabs>
            <w:rPr>
              <w:rFonts w:eastAsiaTheme="minorEastAsia"/>
              <w:noProof/>
            </w:rPr>
          </w:pPr>
          <w:hyperlink w:anchor="_Toc18627792" w:history="1">
            <w:r w:rsidR="00D74B0E" w:rsidRPr="00F2187A">
              <w:rPr>
                <w:rStyle w:val="Hyperlink"/>
                <w:rFonts w:ascii="Times New Roman" w:eastAsia="Times New Roman" w:hAnsi="Times New Roman" w:cs="Times New Roman"/>
                <w:noProof/>
              </w:rPr>
              <w:t>Cash Management Process</w:t>
            </w:r>
            <w:r w:rsidR="00D74B0E">
              <w:rPr>
                <w:noProof/>
                <w:webHidden/>
              </w:rPr>
              <w:tab/>
            </w:r>
            <w:r w:rsidR="00C31EB1">
              <w:rPr>
                <w:noProof/>
                <w:webHidden/>
              </w:rPr>
              <w:fldChar w:fldCharType="begin"/>
            </w:r>
            <w:r w:rsidR="00D74B0E">
              <w:rPr>
                <w:noProof/>
                <w:webHidden/>
              </w:rPr>
              <w:instrText xml:space="preserve"> PAGEREF _Toc18627792 \h </w:instrText>
            </w:r>
            <w:r w:rsidR="00C31EB1">
              <w:rPr>
                <w:noProof/>
                <w:webHidden/>
              </w:rPr>
            </w:r>
            <w:r w:rsidR="00C31EB1">
              <w:rPr>
                <w:noProof/>
                <w:webHidden/>
              </w:rPr>
              <w:fldChar w:fldCharType="separate"/>
            </w:r>
            <w:r w:rsidR="00D74B0E">
              <w:rPr>
                <w:noProof/>
                <w:webHidden/>
              </w:rPr>
              <w:t>2</w:t>
            </w:r>
            <w:r w:rsidR="00C31EB1">
              <w:rPr>
                <w:noProof/>
                <w:webHidden/>
              </w:rPr>
              <w:fldChar w:fldCharType="end"/>
            </w:r>
          </w:hyperlink>
        </w:p>
        <w:p w:rsidR="00D74B0E" w:rsidRDefault="004E3947">
          <w:pPr>
            <w:pStyle w:val="TOC2"/>
            <w:tabs>
              <w:tab w:val="right" w:leader="dot" w:pos="9350"/>
            </w:tabs>
            <w:rPr>
              <w:rFonts w:eastAsiaTheme="minorEastAsia"/>
              <w:noProof/>
            </w:rPr>
          </w:pPr>
          <w:hyperlink w:anchor="_Toc18627793" w:history="1">
            <w:r w:rsidR="00D74B0E" w:rsidRPr="00F2187A">
              <w:rPr>
                <w:rStyle w:val="Hyperlink"/>
                <w:noProof/>
              </w:rPr>
              <w:t>Analysis</w:t>
            </w:r>
            <w:r w:rsidR="00D74B0E">
              <w:rPr>
                <w:noProof/>
                <w:webHidden/>
              </w:rPr>
              <w:tab/>
            </w:r>
            <w:r w:rsidR="00C31EB1">
              <w:rPr>
                <w:noProof/>
                <w:webHidden/>
              </w:rPr>
              <w:fldChar w:fldCharType="begin"/>
            </w:r>
            <w:r w:rsidR="00D74B0E">
              <w:rPr>
                <w:noProof/>
                <w:webHidden/>
              </w:rPr>
              <w:instrText xml:space="preserve"> PAGEREF _Toc18627793 \h </w:instrText>
            </w:r>
            <w:r w:rsidR="00C31EB1">
              <w:rPr>
                <w:noProof/>
                <w:webHidden/>
              </w:rPr>
            </w:r>
            <w:r w:rsidR="00C31EB1">
              <w:rPr>
                <w:noProof/>
                <w:webHidden/>
              </w:rPr>
              <w:fldChar w:fldCharType="separate"/>
            </w:r>
            <w:r w:rsidR="00D74B0E">
              <w:rPr>
                <w:noProof/>
                <w:webHidden/>
              </w:rPr>
              <w:t>2</w:t>
            </w:r>
            <w:r w:rsidR="00C31EB1">
              <w:rPr>
                <w:noProof/>
                <w:webHidden/>
              </w:rPr>
              <w:fldChar w:fldCharType="end"/>
            </w:r>
          </w:hyperlink>
        </w:p>
        <w:p w:rsidR="00D74B0E" w:rsidRDefault="004E3947">
          <w:pPr>
            <w:pStyle w:val="TOC2"/>
            <w:tabs>
              <w:tab w:val="right" w:leader="dot" w:pos="9350"/>
            </w:tabs>
            <w:rPr>
              <w:rFonts w:eastAsiaTheme="minorEastAsia"/>
              <w:noProof/>
            </w:rPr>
          </w:pPr>
          <w:hyperlink w:anchor="_Toc18627794" w:history="1">
            <w:r w:rsidR="00D74B0E" w:rsidRPr="00F2187A">
              <w:rPr>
                <w:rStyle w:val="Hyperlink"/>
                <w:rFonts w:ascii="Times New Roman" w:eastAsia="Times New Roman" w:hAnsi="Times New Roman" w:cs="Times New Roman"/>
                <w:noProof/>
              </w:rPr>
              <w:t>Policies in working capital management</w:t>
            </w:r>
            <w:r w:rsidR="00D74B0E">
              <w:rPr>
                <w:noProof/>
                <w:webHidden/>
              </w:rPr>
              <w:tab/>
            </w:r>
            <w:r w:rsidR="00C31EB1">
              <w:rPr>
                <w:noProof/>
                <w:webHidden/>
              </w:rPr>
              <w:fldChar w:fldCharType="begin"/>
            </w:r>
            <w:r w:rsidR="00D74B0E">
              <w:rPr>
                <w:noProof/>
                <w:webHidden/>
              </w:rPr>
              <w:instrText xml:space="preserve"> PAGEREF _Toc18627794 \h </w:instrText>
            </w:r>
            <w:r w:rsidR="00C31EB1">
              <w:rPr>
                <w:noProof/>
                <w:webHidden/>
              </w:rPr>
            </w:r>
            <w:r w:rsidR="00C31EB1">
              <w:rPr>
                <w:noProof/>
                <w:webHidden/>
              </w:rPr>
              <w:fldChar w:fldCharType="separate"/>
            </w:r>
            <w:r w:rsidR="00D74B0E">
              <w:rPr>
                <w:noProof/>
                <w:webHidden/>
              </w:rPr>
              <w:t>2</w:t>
            </w:r>
            <w:r w:rsidR="00C31EB1">
              <w:rPr>
                <w:noProof/>
                <w:webHidden/>
              </w:rPr>
              <w:fldChar w:fldCharType="end"/>
            </w:r>
          </w:hyperlink>
        </w:p>
        <w:p w:rsidR="00D74B0E" w:rsidRDefault="004E3947">
          <w:pPr>
            <w:pStyle w:val="TOC1"/>
            <w:tabs>
              <w:tab w:val="right" w:leader="dot" w:pos="9350"/>
            </w:tabs>
            <w:rPr>
              <w:rFonts w:eastAsiaTheme="minorEastAsia"/>
              <w:noProof/>
            </w:rPr>
          </w:pPr>
          <w:hyperlink w:anchor="_Toc18627795" w:history="1">
            <w:r w:rsidR="00D74B0E" w:rsidRPr="00F2187A">
              <w:rPr>
                <w:rStyle w:val="Hyperlink"/>
                <w:b/>
                <w:noProof/>
              </w:rPr>
              <w:t>Methodology</w:t>
            </w:r>
            <w:r w:rsidR="00D74B0E">
              <w:rPr>
                <w:noProof/>
                <w:webHidden/>
              </w:rPr>
              <w:tab/>
            </w:r>
            <w:r w:rsidR="00C31EB1">
              <w:rPr>
                <w:noProof/>
                <w:webHidden/>
              </w:rPr>
              <w:fldChar w:fldCharType="begin"/>
            </w:r>
            <w:r w:rsidR="00D74B0E">
              <w:rPr>
                <w:noProof/>
                <w:webHidden/>
              </w:rPr>
              <w:instrText xml:space="preserve"> PAGEREF _Toc18627795 \h </w:instrText>
            </w:r>
            <w:r w:rsidR="00C31EB1">
              <w:rPr>
                <w:noProof/>
                <w:webHidden/>
              </w:rPr>
            </w:r>
            <w:r w:rsidR="00C31EB1">
              <w:rPr>
                <w:noProof/>
                <w:webHidden/>
              </w:rPr>
              <w:fldChar w:fldCharType="separate"/>
            </w:r>
            <w:r w:rsidR="00D74B0E">
              <w:rPr>
                <w:noProof/>
                <w:webHidden/>
              </w:rPr>
              <w:t>3</w:t>
            </w:r>
            <w:r w:rsidR="00C31EB1">
              <w:rPr>
                <w:noProof/>
                <w:webHidden/>
              </w:rPr>
              <w:fldChar w:fldCharType="end"/>
            </w:r>
          </w:hyperlink>
        </w:p>
        <w:p w:rsidR="00D74B0E" w:rsidRDefault="004E3947">
          <w:pPr>
            <w:pStyle w:val="TOC1"/>
            <w:tabs>
              <w:tab w:val="right" w:leader="dot" w:pos="9350"/>
            </w:tabs>
            <w:rPr>
              <w:rFonts w:eastAsiaTheme="minorEastAsia"/>
              <w:noProof/>
            </w:rPr>
          </w:pPr>
          <w:hyperlink w:anchor="_Toc18627797" w:history="1">
            <w:r w:rsidR="00D74B0E" w:rsidRPr="00F2187A">
              <w:rPr>
                <w:rStyle w:val="Hyperlink"/>
                <w:b/>
                <w:noProof/>
              </w:rPr>
              <w:t>Textile Companies</w:t>
            </w:r>
            <w:r w:rsidR="00D74B0E">
              <w:rPr>
                <w:noProof/>
                <w:webHidden/>
              </w:rPr>
              <w:tab/>
            </w:r>
            <w:r w:rsidR="00C31EB1">
              <w:rPr>
                <w:noProof/>
                <w:webHidden/>
              </w:rPr>
              <w:fldChar w:fldCharType="begin"/>
            </w:r>
            <w:r w:rsidR="00D74B0E">
              <w:rPr>
                <w:noProof/>
                <w:webHidden/>
              </w:rPr>
              <w:instrText xml:space="preserve"> PAGEREF _Toc18627797 \h </w:instrText>
            </w:r>
            <w:r w:rsidR="00C31EB1">
              <w:rPr>
                <w:noProof/>
                <w:webHidden/>
              </w:rPr>
            </w:r>
            <w:r w:rsidR="00C31EB1">
              <w:rPr>
                <w:noProof/>
                <w:webHidden/>
              </w:rPr>
              <w:fldChar w:fldCharType="separate"/>
            </w:r>
            <w:r w:rsidR="00D74B0E">
              <w:rPr>
                <w:noProof/>
                <w:webHidden/>
              </w:rPr>
              <w:t>4</w:t>
            </w:r>
            <w:r w:rsidR="00C31EB1">
              <w:rPr>
                <w:noProof/>
                <w:webHidden/>
              </w:rPr>
              <w:fldChar w:fldCharType="end"/>
            </w:r>
          </w:hyperlink>
        </w:p>
        <w:p w:rsidR="00D74B0E" w:rsidRDefault="004E3947">
          <w:pPr>
            <w:pStyle w:val="TOC2"/>
            <w:tabs>
              <w:tab w:val="right" w:leader="dot" w:pos="9350"/>
            </w:tabs>
            <w:rPr>
              <w:rFonts w:eastAsiaTheme="minorEastAsia"/>
              <w:noProof/>
            </w:rPr>
          </w:pPr>
          <w:hyperlink w:anchor="_Toc18627798" w:history="1">
            <w:r w:rsidR="00D74B0E" w:rsidRPr="00F2187A">
              <w:rPr>
                <w:rStyle w:val="Hyperlink"/>
                <w:noProof/>
              </w:rPr>
              <w:t>Square Textile Limited</w:t>
            </w:r>
            <w:r w:rsidR="00D74B0E">
              <w:rPr>
                <w:noProof/>
                <w:webHidden/>
              </w:rPr>
              <w:tab/>
            </w:r>
            <w:r w:rsidR="00C31EB1">
              <w:rPr>
                <w:noProof/>
                <w:webHidden/>
              </w:rPr>
              <w:fldChar w:fldCharType="begin"/>
            </w:r>
            <w:r w:rsidR="00D74B0E">
              <w:rPr>
                <w:noProof/>
                <w:webHidden/>
              </w:rPr>
              <w:instrText xml:space="preserve"> PAGEREF _Toc18627798 \h </w:instrText>
            </w:r>
            <w:r w:rsidR="00C31EB1">
              <w:rPr>
                <w:noProof/>
                <w:webHidden/>
              </w:rPr>
            </w:r>
            <w:r w:rsidR="00C31EB1">
              <w:rPr>
                <w:noProof/>
                <w:webHidden/>
              </w:rPr>
              <w:fldChar w:fldCharType="separate"/>
            </w:r>
            <w:r w:rsidR="00D74B0E">
              <w:rPr>
                <w:noProof/>
                <w:webHidden/>
              </w:rPr>
              <w:t>4</w:t>
            </w:r>
            <w:r w:rsidR="00C31EB1">
              <w:rPr>
                <w:noProof/>
                <w:webHidden/>
              </w:rPr>
              <w:fldChar w:fldCharType="end"/>
            </w:r>
          </w:hyperlink>
        </w:p>
        <w:p w:rsidR="00D74B0E" w:rsidRDefault="004E3947">
          <w:pPr>
            <w:pStyle w:val="TOC3"/>
            <w:tabs>
              <w:tab w:val="right" w:leader="dot" w:pos="9350"/>
            </w:tabs>
            <w:rPr>
              <w:rFonts w:eastAsiaTheme="minorEastAsia"/>
              <w:noProof/>
            </w:rPr>
          </w:pPr>
          <w:hyperlink w:anchor="_Toc18627799" w:history="1">
            <w:r w:rsidR="00D74B0E" w:rsidRPr="00F2187A">
              <w:rPr>
                <w:rStyle w:val="Hyperlink"/>
                <w:noProof/>
              </w:rPr>
              <w:t>Company profile</w:t>
            </w:r>
            <w:r w:rsidR="00D74B0E">
              <w:rPr>
                <w:noProof/>
                <w:webHidden/>
              </w:rPr>
              <w:tab/>
            </w:r>
            <w:r w:rsidR="00C31EB1">
              <w:rPr>
                <w:noProof/>
                <w:webHidden/>
              </w:rPr>
              <w:fldChar w:fldCharType="begin"/>
            </w:r>
            <w:r w:rsidR="00D74B0E">
              <w:rPr>
                <w:noProof/>
                <w:webHidden/>
              </w:rPr>
              <w:instrText xml:space="preserve"> PAGEREF _Toc18627799 \h </w:instrText>
            </w:r>
            <w:r w:rsidR="00C31EB1">
              <w:rPr>
                <w:noProof/>
                <w:webHidden/>
              </w:rPr>
            </w:r>
            <w:r w:rsidR="00C31EB1">
              <w:rPr>
                <w:noProof/>
                <w:webHidden/>
              </w:rPr>
              <w:fldChar w:fldCharType="separate"/>
            </w:r>
            <w:r w:rsidR="00D74B0E">
              <w:rPr>
                <w:noProof/>
                <w:webHidden/>
              </w:rPr>
              <w:t>4</w:t>
            </w:r>
            <w:r w:rsidR="00C31EB1">
              <w:rPr>
                <w:noProof/>
                <w:webHidden/>
              </w:rPr>
              <w:fldChar w:fldCharType="end"/>
            </w:r>
          </w:hyperlink>
        </w:p>
        <w:p w:rsidR="00D74B0E" w:rsidRDefault="004E3947">
          <w:pPr>
            <w:pStyle w:val="TOC3"/>
            <w:tabs>
              <w:tab w:val="right" w:leader="dot" w:pos="9350"/>
            </w:tabs>
            <w:rPr>
              <w:rFonts w:eastAsiaTheme="minorEastAsia"/>
              <w:noProof/>
            </w:rPr>
          </w:pPr>
          <w:hyperlink w:anchor="_Toc18627800" w:history="1">
            <w:r w:rsidR="00D74B0E" w:rsidRPr="00F2187A">
              <w:rPr>
                <w:rStyle w:val="Hyperlink"/>
                <w:rFonts w:eastAsia="Times New Roman"/>
                <w:noProof/>
              </w:rPr>
              <w:t>Analysis of Cash Conversion Cycle</w:t>
            </w:r>
            <w:r w:rsidR="00D74B0E">
              <w:rPr>
                <w:noProof/>
                <w:webHidden/>
              </w:rPr>
              <w:tab/>
            </w:r>
            <w:r w:rsidR="00C31EB1">
              <w:rPr>
                <w:noProof/>
                <w:webHidden/>
              </w:rPr>
              <w:fldChar w:fldCharType="begin"/>
            </w:r>
            <w:r w:rsidR="00D74B0E">
              <w:rPr>
                <w:noProof/>
                <w:webHidden/>
              </w:rPr>
              <w:instrText xml:space="preserve"> PAGEREF _Toc18627800 \h </w:instrText>
            </w:r>
            <w:r w:rsidR="00C31EB1">
              <w:rPr>
                <w:noProof/>
                <w:webHidden/>
              </w:rPr>
            </w:r>
            <w:r w:rsidR="00C31EB1">
              <w:rPr>
                <w:noProof/>
                <w:webHidden/>
              </w:rPr>
              <w:fldChar w:fldCharType="separate"/>
            </w:r>
            <w:r w:rsidR="00D74B0E">
              <w:rPr>
                <w:noProof/>
                <w:webHidden/>
              </w:rPr>
              <w:t>4</w:t>
            </w:r>
            <w:r w:rsidR="00C31EB1">
              <w:rPr>
                <w:noProof/>
                <w:webHidden/>
              </w:rPr>
              <w:fldChar w:fldCharType="end"/>
            </w:r>
          </w:hyperlink>
        </w:p>
        <w:p w:rsidR="00D74B0E" w:rsidRDefault="004E3947">
          <w:pPr>
            <w:pStyle w:val="TOC3"/>
            <w:tabs>
              <w:tab w:val="right" w:leader="dot" w:pos="9350"/>
            </w:tabs>
            <w:rPr>
              <w:rFonts w:eastAsiaTheme="minorEastAsia"/>
              <w:noProof/>
            </w:rPr>
          </w:pPr>
          <w:hyperlink w:anchor="_Toc18627801" w:history="1">
            <w:r w:rsidR="00D74B0E" w:rsidRPr="00F2187A">
              <w:rPr>
                <w:rStyle w:val="Hyperlink"/>
                <w:noProof/>
              </w:rPr>
              <w:t>Ratio analysis</w:t>
            </w:r>
            <w:r w:rsidR="00D74B0E">
              <w:rPr>
                <w:noProof/>
                <w:webHidden/>
              </w:rPr>
              <w:tab/>
            </w:r>
            <w:r w:rsidR="00C31EB1">
              <w:rPr>
                <w:noProof/>
                <w:webHidden/>
              </w:rPr>
              <w:fldChar w:fldCharType="begin"/>
            </w:r>
            <w:r w:rsidR="00D74B0E">
              <w:rPr>
                <w:noProof/>
                <w:webHidden/>
              </w:rPr>
              <w:instrText xml:space="preserve"> PAGEREF _Toc18627801 \h </w:instrText>
            </w:r>
            <w:r w:rsidR="00C31EB1">
              <w:rPr>
                <w:noProof/>
                <w:webHidden/>
              </w:rPr>
            </w:r>
            <w:r w:rsidR="00C31EB1">
              <w:rPr>
                <w:noProof/>
                <w:webHidden/>
              </w:rPr>
              <w:fldChar w:fldCharType="separate"/>
            </w:r>
            <w:r w:rsidR="00D74B0E">
              <w:rPr>
                <w:noProof/>
                <w:webHidden/>
              </w:rPr>
              <w:t>4</w:t>
            </w:r>
            <w:r w:rsidR="00C31EB1">
              <w:rPr>
                <w:noProof/>
                <w:webHidden/>
              </w:rPr>
              <w:fldChar w:fldCharType="end"/>
            </w:r>
          </w:hyperlink>
        </w:p>
        <w:p w:rsidR="00D74B0E" w:rsidRDefault="004E3947">
          <w:pPr>
            <w:pStyle w:val="TOC2"/>
            <w:tabs>
              <w:tab w:val="right" w:leader="dot" w:pos="9350"/>
            </w:tabs>
            <w:rPr>
              <w:rFonts w:eastAsiaTheme="minorEastAsia"/>
              <w:noProof/>
            </w:rPr>
          </w:pPr>
          <w:hyperlink w:anchor="_Toc18627802" w:history="1">
            <w:r w:rsidR="00D74B0E" w:rsidRPr="00F2187A">
              <w:rPr>
                <w:rStyle w:val="Hyperlink"/>
                <w:rFonts w:eastAsia="Times New Roman"/>
                <w:noProof/>
              </w:rPr>
              <w:t>Appex Textile Limited</w:t>
            </w:r>
            <w:r w:rsidR="00D74B0E">
              <w:rPr>
                <w:noProof/>
                <w:webHidden/>
              </w:rPr>
              <w:tab/>
            </w:r>
            <w:r w:rsidR="00C31EB1">
              <w:rPr>
                <w:noProof/>
                <w:webHidden/>
              </w:rPr>
              <w:fldChar w:fldCharType="begin"/>
            </w:r>
            <w:r w:rsidR="00D74B0E">
              <w:rPr>
                <w:noProof/>
                <w:webHidden/>
              </w:rPr>
              <w:instrText xml:space="preserve"> PAGEREF _Toc18627802 \h </w:instrText>
            </w:r>
            <w:r w:rsidR="00C31EB1">
              <w:rPr>
                <w:noProof/>
                <w:webHidden/>
              </w:rPr>
            </w:r>
            <w:r w:rsidR="00C31EB1">
              <w:rPr>
                <w:noProof/>
                <w:webHidden/>
              </w:rPr>
              <w:fldChar w:fldCharType="separate"/>
            </w:r>
            <w:r w:rsidR="00D74B0E">
              <w:rPr>
                <w:noProof/>
                <w:webHidden/>
              </w:rPr>
              <w:t>14</w:t>
            </w:r>
            <w:r w:rsidR="00C31EB1">
              <w:rPr>
                <w:noProof/>
                <w:webHidden/>
              </w:rPr>
              <w:fldChar w:fldCharType="end"/>
            </w:r>
          </w:hyperlink>
        </w:p>
        <w:p w:rsidR="00D74B0E" w:rsidRDefault="004E3947">
          <w:pPr>
            <w:pStyle w:val="TOC3"/>
            <w:tabs>
              <w:tab w:val="right" w:leader="dot" w:pos="9350"/>
            </w:tabs>
            <w:rPr>
              <w:rFonts w:eastAsiaTheme="minorEastAsia"/>
              <w:noProof/>
            </w:rPr>
          </w:pPr>
          <w:hyperlink w:anchor="_Toc18627803" w:history="1">
            <w:r w:rsidR="00D74B0E" w:rsidRPr="00F2187A">
              <w:rPr>
                <w:rStyle w:val="Hyperlink"/>
                <w:noProof/>
              </w:rPr>
              <w:t>Company profile</w:t>
            </w:r>
            <w:r w:rsidR="00D74B0E">
              <w:rPr>
                <w:noProof/>
                <w:webHidden/>
              </w:rPr>
              <w:tab/>
            </w:r>
            <w:r w:rsidR="00C31EB1">
              <w:rPr>
                <w:noProof/>
                <w:webHidden/>
              </w:rPr>
              <w:fldChar w:fldCharType="begin"/>
            </w:r>
            <w:r w:rsidR="00D74B0E">
              <w:rPr>
                <w:noProof/>
                <w:webHidden/>
              </w:rPr>
              <w:instrText xml:space="preserve"> PAGEREF _Toc18627803 \h </w:instrText>
            </w:r>
            <w:r w:rsidR="00C31EB1">
              <w:rPr>
                <w:noProof/>
                <w:webHidden/>
              </w:rPr>
            </w:r>
            <w:r w:rsidR="00C31EB1">
              <w:rPr>
                <w:noProof/>
                <w:webHidden/>
              </w:rPr>
              <w:fldChar w:fldCharType="separate"/>
            </w:r>
            <w:r w:rsidR="00D74B0E">
              <w:rPr>
                <w:noProof/>
                <w:webHidden/>
              </w:rPr>
              <w:t>14</w:t>
            </w:r>
            <w:r w:rsidR="00C31EB1">
              <w:rPr>
                <w:noProof/>
                <w:webHidden/>
              </w:rPr>
              <w:fldChar w:fldCharType="end"/>
            </w:r>
          </w:hyperlink>
        </w:p>
        <w:p w:rsidR="00D74B0E" w:rsidRDefault="004E3947">
          <w:pPr>
            <w:pStyle w:val="TOC3"/>
            <w:tabs>
              <w:tab w:val="right" w:leader="dot" w:pos="9350"/>
            </w:tabs>
            <w:rPr>
              <w:rFonts w:eastAsiaTheme="minorEastAsia"/>
              <w:noProof/>
            </w:rPr>
          </w:pPr>
          <w:hyperlink w:anchor="_Toc18627804" w:history="1">
            <w:r w:rsidR="00D74B0E" w:rsidRPr="00F2187A">
              <w:rPr>
                <w:rStyle w:val="Hyperlink"/>
                <w:rFonts w:eastAsia="Times New Roman"/>
                <w:noProof/>
              </w:rPr>
              <w:t xml:space="preserve">Analysis of Cash </w:t>
            </w:r>
            <w:r w:rsidR="00D74B0E" w:rsidRPr="00F2187A">
              <w:rPr>
                <w:rStyle w:val="Hyperlink"/>
                <w:noProof/>
              </w:rPr>
              <w:t>Conversion</w:t>
            </w:r>
            <w:r w:rsidR="00D74B0E" w:rsidRPr="00F2187A">
              <w:rPr>
                <w:rStyle w:val="Hyperlink"/>
                <w:rFonts w:eastAsia="Times New Roman"/>
                <w:noProof/>
              </w:rPr>
              <w:t xml:space="preserve"> Cycle</w:t>
            </w:r>
            <w:r w:rsidR="00D74B0E">
              <w:rPr>
                <w:noProof/>
                <w:webHidden/>
              </w:rPr>
              <w:tab/>
            </w:r>
            <w:r w:rsidR="00C31EB1">
              <w:rPr>
                <w:noProof/>
                <w:webHidden/>
              </w:rPr>
              <w:fldChar w:fldCharType="begin"/>
            </w:r>
            <w:r w:rsidR="00D74B0E">
              <w:rPr>
                <w:noProof/>
                <w:webHidden/>
              </w:rPr>
              <w:instrText xml:space="preserve"> PAGEREF _Toc18627804 \h </w:instrText>
            </w:r>
            <w:r w:rsidR="00C31EB1">
              <w:rPr>
                <w:noProof/>
                <w:webHidden/>
              </w:rPr>
            </w:r>
            <w:r w:rsidR="00C31EB1">
              <w:rPr>
                <w:noProof/>
                <w:webHidden/>
              </w:rPr>
              <w:fldChar w:fldCharType="separate"/>
            </w:r>
            <w:r w:rsidR="00D74B0E">
              <w:rPr>
                <w:noProof/>
                <w:webHidden/>
              </w:rPr>
              <w:t>14</w:t>
            </w:r>
            <w:r w:rsidR="00C31EB1">
              <w:rPr>
                <w:noProof/>
                <w:webHidden/>
              </w:rPr>
              <w:fldChar w:fldCharType="end"/>
            </w:r>
          </w:hyperlink>
        </w:p>
        <w:p w:rsidR="00D74B0E" w:rsidRDefault="004E3947">
          <w:pPr>
            <w:pStyle w:val="TOC3"/>
            <w:tabs>
              <w:tab w:val="right" w:leader="dot" w:pos="9350"/>
            </w:tabs>
            <w:rPr>
              <w:rFonts w:eastAsiaTheme="minorEastAsia"/>
              <w:noProof/>
            </w:rPr>
          </w:pPr>
          <w:hyperlink w:anchor="_Toc18627805" w:history="1">
            <w:r w:rsidR="00D74B0E" w:rsidRPr="00F2187A">
              <w:rPr>
                <w:rStyle w:val="Hyperlink"/>
                <w:rFonts w:eastAsia="Times New Roman"/>
                <w:noProof/>
              </w:rPr>
              <w:t>Ratio Analysis</w:t>
            </w:r>
            <w:r w:rsidR="00D74B0E">
              <w:rPr>
                <w:noProof/>
                <w:webHidden/>
              </w:rPr>
              <w:tab/>
            </w:r>
            <w:r w:rsidR="00C31EB1">
              <w:rPr>
                <w:noProof/>
                <w:webHidden/>
              </w:rPr>
              <w:fldChar w:fldCharType="begin"/>
            </w:r>
            <w:r w:rsidR="00D74B0E">
              <w:rPr>
                <w:noProof/>
                <w:webHidden/>
              </w:rPr>
              <w:instrText xml:space="preserve"> PAGEREF _Toc18627805 \h </w:instrText>
            </w:r>
            <w:r w:rsidR="00C31EB1">
              <w:rPr>
                <w:noProof/>
                <w:webHidden/>
              </w:rPr>
            </w:r>
            <w:r w:rsidR="00C31EB1">
              <w:rPr>
                <w:noProof/>
                <w:webHidden/>
              </w:rPr>
              <w:fldChar w:fldCharType="separate"/>
            </w:r>
            <w:r w:rsidR="00D74B0E">
              <w:rPr>
                <w:noProof/>
                <w:webHidden/>
              </w:rPr>
              <w:t>14</w:t>
            </w:r>
            <w:r w:rsidR="00C31EB1">
              <w:rPr>
                <w:noProof/>
                <w:webHidden/>
              </w:rPr>
              <w:fldChar w:fldCharType="end"/>
            </w:r>
          </w:hyperlink>
        </w:p>
        <w:p w:rsidR="00D74B0E" w:rsidRDefault="004E3947">
          <w:pPr>
            <w:pStyle w:val="TOC1"/>
            <w:tabs>
              <w:tab w:val="right" w:leader="dot" w:pos="9350"/>
            </w:tabs>
            <w:rPr>
              <w:rFonts w:eastAsiaTheme="minorEastAsia"/>
              <w:noProof/>
            </w:rPr>
          </w:pPr>
          <w:hyperlink w:anchor="_Toc18627807" w:history="1">
            <w:r w:rsidR="00D74B0E" w:rsidRPr="00F2187A">
              <w:rPr>
                <w:rStyle w:val="Hyperlink"/>
                <w:b/>
                <w:noProof/>
              </w:rPr>
              <w:t>Food Companies</w:t>
            </w:r>
            <w:r w:rsidR="00D74B0E">
              <w:rPr>
                <w:noProof/>
                <w:webHidden/>
              </w:rPr>
              <w:tab/>
            </w:r>
            <w:r w:rsidR="00C31EB1">
              <w:rPr>
                <w:noProof/>
                <w:webHidden/>
              </w:rPr>
              <w:fldChar w:fldCharType="begin"/>
            </w:r>
            <w:r w:rsidR="00D74B0E">
              <w:rPr>
                <w:noProof/>
                <w:webHidden/>
              </w:rPr>
              <w:instrText xml:space="preserve"> PAGEREF _Toc18627807 \h </w:instrText>
            </w:r>
            <w:r w:rsidR="00C31EB1">
              <w:rPr>
                <w:noProof/>
                <w:webHidden/>
              </w:rPr>
            </w:r>
            <w:r w:rsidR="00C31EB1">
              <w:rPr>
                <w:noProof/>
                <w:webHidden/>
              </w:rPr>
              <w:fldChar w:fldCharType="separate"/>
            </w:r>
            <w:r w:rsidR="00D74B0E">
              <w:rPr>
                <w:noProof/>
                <w:webHidden/>
              </w:rPr>
              <w:t>23</w:t>
            </w:r>
            <w:r w:rsidR="00C31EB1">
              <w:rPr>
                <w:noProof/>
                <w:webHidden/>
              </w:rPr>
              <w:fldChar w:fldCharType="end"/>
            </w:r>
          </w:hyperlink>
        </w:p>
        <w:p w:rsidR="00D74B0E" w:rsidRDefault="004E3947">
          <w:pPr>
            <w:pStyle w:val="TOC2"/>
            <w:tabs>
              <w:tab w:val="right" w:leader="dot" w:pos="9350"/>
            </w:tabs>
            <w:rPr>
              <w:rFonts w:eastAsiaTheme="minorEastAsia"/>
              <w:noProof/>
            </w:rPr>
          </w:pPr>
          <w:hyperlink w:anchor="_Toc18627808" w:history="1">
            <w:r w:rsidR="00D74B0E" w:rsidRPr="00F2187A">
              <w:rPr>
                <w:rStyle w:val="Hyperlink"/>
                <w:noProof/>
              </w:rPr>
              <w:t>ACI FOOD LIMIED</w:t>
            </w:r>
            <w:r w:rsidR="00D74B0E">
              <w:rPr>
                <w:noProof/>
                <w:webHidden/>
              </w:rPr>
              <w:tab/>
            </w:r>
            <w:r w:rsidR="00C31EB1">
              <w:rPr>
                <w:noProof/>
                <w:webHidden/>
              </w:rPr>
              <w:fldChar w:fldCharType="begin"/>
            </w:r>
            <w:r w:rsidR="00D74B0E">
              <w:rPr>
                <w:noProof/>
                <w:webHidden/>
              </w:rPr>
              <w:instrText xml:space="preserve"> PAGEREF _Toc18627808 \h </w:instrText>
            </w:r>
            <w:r w:rsidR="00C31EB1">
              <w:rPr>
                <w:noProof/>
                <w:webHidden/>
              </w:rPr>
            </w:r>
            <w:r w:rsidR="00C31EB1">
              <w:rPr>
                <w:noProof/>
                <w:webHidden/>
              </w:rPr>
              <w:fldChar w:fldCharType="separate"/>
            </w:r>
            <w:r w:rsidR="00D74B0E">
              <w:rPr>
                <w:noProof/>
                <w:webHidden/>
              </w:rPr>
              <w:t>23</w:t>
            </w:r>
            <w:r w:rsidR="00C31EB1">
              <w:rPr>
                <w:noProof/>
                <w:webHidden/>
              </w:rPr>
              <w:fldChar w:fldCharType="end"/>
            </w:r>
          </w:hyperlink>
        </w:p>
        <w:p w:rsidR="00D74B0E" w:rsidRDefault="004E3947">
          <w:pPr>
            <w:pStyle w:val="TOC3"/>
            <w:tabs>
              <w:tab w:val="right" w:leader="dot" w:pos="9350"/>
            </w:tabs>
            <w:rPr>
              <w:rFonts w:eastAsiaTheme="minorEastAsia"/>
              <w:noProof/>
            </w:rPr>
          </w:pPr>
          <w:hyperlink w:anchor="_Toc18627809" w:history="1">
            <w:r w:rsidR="00D74B0E" w:rsidRPr="00F2187A">
              <w:rPr>
                <w:rStyle w:val="Hyperlink"/>
                <w:rFonts w:eastAsia="Times New Roman"/>
                <w:noProof/>
              </w:rPr>
              <w:t>Company Profile</w:t>
            </w:r>
            <w:r w:rsidR="00D74B0E">
              <w:rPr>
                <w:noProof/>
                <w:webHidden/>
              </w:rPr>
              <w:tab/>
            </w:r>
            <w:r w:rsidR="00C31EB1">
              <w:rPr>
                <w:noProof/>
                <w:webHidden/>
              </w:rPr>
              <w:fldChar w:fldCharType="begin"/>
            </w:r>
            <w:r w:rsidR="00D74B0E">
              <w:rPr>
                <w:noProof/>
                <w:webHidden/>
              </w:rPr>
              <w:instrText xml:space="preserve"> PAGEREF _Toc18627809 \h </w:instrText>
            </w:r>
            <w:r w:rsidR="00C31EB1">
              <w:rPr>
                <w:noProof/>
                <w:webHidden/>
              </w:rPr>
            </w:r>
            <w:r w:rsidR="00C31EB1">
              <w:rPr>
                <w:noProof/>
                <w:webHidden/>
              </w:rPr>
              <w:fldChar w:fldCharType="separate"/>
            </w:r>
            <w:r w:rsidR="00D74B0E">
              <w:rPr>
                <w:noProof/>
                <w:webHidden/>
              </w:rPr>
              <w:t>23</w:t>
            </w:r>
            <w:r w:rsidR="00C31EB1">
              <w:rPr>
                <w:noProof/>
                <w:webHidden/>
              </w:rPr>
              <w:fldChar w:fldCharType="end"/>
            </w:r>
          </w:hyperlink>
        </w:p>
        <w:p w:rsidR="00D74B0E" w:rsidRDefault="004E3947">
          <w:pPr>
            <w:pStyle w:val="TOC3"/>
            <w:tabs>
              <w:tab w:val="right" w:leader="dot" w:pos="9350"/>
            </w:tabs>
            <w:rPr>
              <w:rFonts w:eastAsiaTheme="minorEastAsia"/>
              <w:noProof/>
            </w:rPr>
          </w:pPr>
          <w:hyperlink w:anchor="_Toc18627810" w:history="1">
            <w:r w:rsidR="00D74B0E" w:rsidRPr="00F2187A">
              <w:rPr>
                <w:rStyle w:val="Hyperlink"/>
                <w:rFonts w:eastAsia="Times New Roman"/>
                <w:noProof/>
              </w:rPr>
              <w:t>Analysis of Cash Conversion Cycle</w:t>
            </w:r>
            <w:r w:rsidR="00D74B0E">
              <w:rPr>
                <w:noProof/>
                <w:webHidden/>
              </w:rPr>
              <w:tab/>
            </w:r>
            <w:r w:rsidR="00C31EB1">
              <w:rPr>
                <w:noProof/>
                <w:webHidden/>
              </w:rPr>
              <w:fldChar w:fldCharType="begin"/>
            </w:r>
            <w:r w:rsidR="00D74B0E">
              <w:rPr>
                <w:noProof/>
                <w:webHidden/>
              </w:rPr>
              <w:instrText xml:space="preserve"> PAGEREF _Toc18627810 \h </w:instrText>
            </w:r>
            <w:r w:rsidR="00C31EB1">
              <w:rPr>
                <w:noProof/>
                <w:webHidden/>
              </w:rPr>
            </w:r>
            <w:r w:rsidR="00C31EB1">
              <w:rPr>
                <w:noProof/>
                <w:webHidden/>
              </w:rPr>
              <w:fldChar w:fldCharType="separate"/>
            </w:r>
            <w:r w:rsidR="00D74B0E">
              <w:rPr>
                <w:noProof/>
                <w:webHidden/>
              </w:rPr>
              <w:t>24</w:t>
            </w:r>
            <w:r w:rsidR="00C31EB1">
              <w:rPr>
                <w:noProof/>
                <w:webHidden/>
              </w:rPr>
              <w:fldChar w:fldCharType="end"/>
            </w:r>
          </w:hyperlink>
        </w:p>
        <w:p w:rsidR="00D74B0E" w:rsidRDefault="004E3947">
          <w:pPr>
            <w:pStyle w:val="TOC3"/>
            <w:tabs>
              <w:tab w:val="right" w:leader="dot" w:pos="9350"/>
            </w:tabs>
            <w:rPr>
              <w:rFonts w:eastAsiaTheme="minorEastAsia"/>
              <w:noProof/>
            </w:rPr>
          </w:pPr>
          <w:hyperlink w:anchor="_Toc18627811" w:history="1">
            <w:r w:rsidR="00D74B0E" w:rsidRPr="00F2187A">
              <w:rPr>
                <w:rStyle w:val="Hyperlink"/>
                <w:noProof/>
              </w:rPr>
              <w:t>Ratio Analysis</w:t>
            </w:r>
            <w:r w:rsidR="00D74B0E">
              <w:rPr>
                <w:noProof/>
                <w:webHidden/>
              </w:rPr>
              <w:tab/>
            </w:r>
            <w:r w:rsidR="00C31EB1">
              <w:rPr>
                <w:noProof/>
                <w:webHidden/>
              </w:rPr>
              <w:fldChar w:fldCharType="begin"/>
            </w:r>
            <w:r w:rsidR="00D74B0E">
              <w:rPr>
                <w:noProof/>
                <w:webHidden/>
              </w:rPr>
              <w:instrText xml:space="preserve"> PAGEREF _Toc18627811 \h </w:instrText>
            </w:r>
            <w:r w:rsidR="00C31EB1">
              <w:rPr>
                <w:noProof/>
                <w:webHidden/>
              </w:rPr>
            </w:r>
            <w:r w:rsidR="00C31EB1">
              <w:rPr>
                <w:noProof/>
                <w:webHidden/>
              </w:rPr>
              <w:fldChar w:fldCharType="separate"/>
            </w:r>
            <w:r w:rsidR="00D74B0E">
              <w:rPr>
                <w:noProof/>
                <w:webHidden/>
              </w:rPr>
              <w:t>24</w:t>
            </w:r>
            <w:r w:rsidR="00C31EB1">
              <w:rPr>
                <w:noProof/>
                <w:webHidden/>
              </w:rPr>
              <w:fldChar w:fldCharType="end"/>
            </w:r>
          </w:hyperlink>
        </w:p>
        <w:p w:rsidR="00D74B0E" w:rsidRDefault="004E3947">
          <w:pPr>
            <w:pStyle w:val="TOC2"/>
            <w:tabs>
              <w:tab w:val="right" w:leader="dot" w:pos="9350"/>
            </w:tabs>
            <w:rPr>
              <w:rFonts w:eastAsiaTheme="minorEastAsia"/>
              <w:noProof/>
            </w:rPr>
          </w:pPr>
          <w:hyperlink w:anchor="_Toc18627812" w:history="1">
            <w:r w:rsidR="00D74B0E" w:rsidRPr="00F2187A">
              <w:rPr>
                <w:rStyle w:val="Hyperlink"/>
                <w:rFonts w:eastAsia="Times New Roman"/>
                <w:noProof/>
              </w:rPr>
              <w:t>Appex Food Limited</w:t>
            </w:r>
            <w:r w:rsidR="00D74B0E">
              <w:rPr>
                <w:noProof/>
                <w:webHidden/>
              </w:rPr>
              <w:tab/>
            </w:r>
            <w:r w:rsidR="00C31EB1">
              <w:rPr>
                <w:noProof/>
                <w:webHidden/>
              </w:rPr>
              <w:fldChar w:fldCharType="begin"/>
            </w:r>
            <w:r w:rsidR="00D74B0E">
              <w:rPr>
                <w:noProof/>
                <w:webHidden/>
              </w:rPr>
              <w:instrText xml:space="preserve"> PAGEREF _Toc18627812 \h </w:instrText>
            </w:r>
            <w:r w:rsidR="00C31EB1">
              <w:rPr>
                <w:noProof/>
                <w:webHidden/>
              </w:rPr>
            </w:r>
            <w:r w:rsidR="00C31EB1">
              <w:rPr>
                <w:noProof/>
                <w:webHidden/>
              </w:rPr>
              <w:fldChar w:fldCharType="separate"/>
            </w:r>
            <w:r w:rsidR="00D74B0E">
              <w:rPr>
                <w:noProof/>
                <w:webHidden/>
              </w:rPr>
              <w:t>33</w:t>
            </w:r>
            <w:r w:rsidR="00C31EB1">
              <w:rPr>
                <w:noProof/>
                <w:webHidden/>
              </w:rPr>
              <w:fldChar w:fldCharType="end"/>
            </w:r>
          </w:hyperlink>
        </w:p>
        <w:p w:rsidR="00D74B0E" w:rsidRDefault="004E3947">
          <w:pPr>
            <w:pStyle w:val="TOC3"/>
            <w:tabs>
              <w:tab w:val="right" w:leader="dot" w:pos="9350"/>
            </w:tabs>
            <w:rPr>
              <w:rFonts w:eastAsiaTheme="minorEastAsia"/>
              <w:noProof/>
            </w:rPr>
          </w:pPr>
          <w:hyperlink w:anchor="_Toc18627813" w:history="1">
            <w:r w:rsidR="00D74B0E" w:rsidRPr="00F2187A">
              <w:rPr>
                <w:rStyle w:val="Hyperlink"/>
                <w:rFonts w:eastAsia="Times New Roman"/>
                <w:noProof/>
              </w:rPr>
              <w:t>Company profile</w:t>
            </w:r>
            <w:r w:rsidR="00D74B0E">
              <w:rPr>
                <w:noProof/>
                <w:webHidden/>
              </w:rPr>
              <w:tab/>
            </w:r>
            <w:r w:rsidR="00C31EB1">
              <w:rPr>
                <w:noProof/>
                <w:webHidden/>
              </w:rPr>
              <w:fldChar w:fldCharType="begin"/>
            </w:r>
            <w:r w:rsidR="00D74B0E">
              <w:rPr>
                <w:noProof/>
                <w:webHidden/>
              </w:rPr>
              <w:instrText xml:space="preserve"> PAGEREF _Toc18627813 \h </w:instrText>
            </w:r>
            <w:r w:rsidR="00C31EB1">
              <w:rPr>
                <w:noProof/>
                <w:webHidden/>
              </w:rPr>
            </w:r>
            <w:r w:rsidR="00C31EB1">
              <w:rPr>
                <w:noProof/>
                <w:webHidden/>
              </w:rPr>
              <w:fldChar w:fldCharType="separate"/>
            </w:r>
            <w:r w:rsidR="00D74B0E">
              <w:rPr>
                <w:noProof/>
                <w:webHidden/>
              </w:rPr>
              <w:t>33</w:t>
            </w:r>
            <w:r w:rsidR="00C31EB1">
              <w:rPr>
                <w:noProof/>
                <w:webHidden/>
              </w:rPr>
              <w:fldChar w:fldCharType="end"/>
            </w:r>
          </w:hyperlink>
        </w:p>
        <w:p w:rsidR="00D74B0E" w:rsidRDefault="004E3947">
          <w:pPr>
            <w:pStyle w:val="TOC3"/>
            <w:tabs>
              <w:tab w:val="right" w:leader="dot" w:pos="9350"/>
            </w:tabs>
            <w:rPr>
              <w:rFonts w:eastAsiaTheme="minorEastAsia"/>
              <w:noProof/>
            </w:rPr>
          </w:pPr>
          <w:hyperlink w:anchor="_Toc18627814" w:history="1">
            <w:r w:rsidR="00D74B0E" w:rsidRPr="00F2187A">
              <w:rPr>
                <w:rStyle w:val="Hyperlink"/>
                <w:rFonts w:eastAsia="Times New Roman"/>
                <w:noProof/>
              </w:rPr>
              <w:t xml:space="preserve">Analysis of Cash </w:t>
            </w:r>
            <w:r w:rsidR="00D74B0E" w:rsidRPr="00F2187A">
              <w:rPr>
                <w:rStyle w:val="Hyperlink"/>
                <w:noProof/>
              </w:rPr>
              <w:t>Conversion</w:t>
            </w:r>
            <w:r w:rsidR="00D74B0E" w:rsidRPr="00F2187A">
              <w:rPr>
                <w:rStyle w:val="Hyperlink"/>
                <w:rFonts w:eastAsia="Times New Roman"/>
                <w:noProof/>
              </w:rPr>
              <w:t xml:space="preserve"> Cycle</w:t>
            </w:r>
            <w:r w:rsidR="00D74B0E">
              <w:rPr>
                <w:noProof/>
                <w:webHidden/>
              </w:rPr>
              <w:tab/>
            </w:r>
            <w:r w:rsidR="00C31EB1">
              <w:rPr>
                <w:noProof/>
                <w:webHidden/>
              </w:rPr>
              <w:fldChar w:fldCharType="begin"/>
            </w:r>
            <w:r w:rsidR="00D74B0E">
              <w:rPr>
                <w:noProof/>
                <w:webHidden/>
              </w:rPr>
              <w:instrText xml:space="preserve"> PAGEREF _Toc18627814 \h </w:instrText>
            </w:r>
            <w:r w:rsidR="00C31EB1">
              <w:rPr>
                <w:noProof/>
                <w:webHidden/>
              </w:rPr>
            </w:r>
            <w:r w:rsidR="00C31EB1">
              <w:rPr>
                <w:noProof/>
                <w:webHidden/>
              </w:rPr>
              <w:fldChar w:fldCharType="separate"/>
            </w:r>
            <w:r w:rsidR="00D74B0E">
              <w:rPr>
                <w:noProof/>
                <w:webHidden/>
              </w:rPr>
              <w:t>34</w:t>
            </w:r>
            <w:r w:rsidR="00C31EB1">
              <w:rPr>
                <w:noProof/>
                <w:webHidden/>
              </w:rPr>
              <w:fldChar w:fldCharType="end"/>
            </w:r>
          </w:hyperlink>
        </w:p>
        <w:p w:rsidR="00D74B0E" w:rsidRDefault="004E3947">
          <w:pPr>
            <w:pStyle w:val="TOC3"/>
            <w:tabs>
              <w:tab w:val="right" w:leader="dot" w:pos="9350"/>
            </w:tabs>
            <w:rPr>
              <w:rFonts w:eastAsiaTheme="minorEastAsia"/>
              <w:noProof/>
            </w:rPr>
          </w:pPr>
          <w:hyperlink w:anchor="_Toc18627815" w:history="1">
            <w:r w:rsidR="00D74B0E" w:rsidRPr="00F2187A">
              <w:rPr>
                <w:rStyle w:val="Hyperlink"/>
                <w:noProof/>
              </w:rPr>
              <w:t>Ratio Analysis</w:t>
            </w:r>
            <w:r w:rsidR="00D74B0E">
              <w:rPr>
                <w:noProof/>
                <w:webHidden/>
              </w:rPr>
              <w:tab/>
            </w:r>
            <w:r w:rsidR="00C31EB1">
              <w:rPr>
                <w:noProof/>
                <w:webHidden/>
              </w:rPr>
              <w:fldChar w:fldCharType="begin"/>
            </w:r>
            <w:r w:rsidR="00D74B0E">
              <w:rPr>
                <w:noProof/>
                <w:webHidden/>
              </w:rPr>
              <w:instrText xml:space="preserve"> PAGEREF _Toc18627815 \h </w:instrText>
            </w:r>
            <w:r w:rsidR="00C31EB1">
              <w:rPr>
                <w:noProof/>
                <w:webHidden/>
              </w:rPr>
            </w:r>
            <w:r w:rsidR="00C31EB1">
              <w:rPr>
                <w:noProof/>
                <w:webHidden/>
              </w:rPr>
              <w:fldChar w:fldCharType="separate"/>
            </w:r>
            <w:r w:rsidR="00D74B0E">
              <w:rPr>
                <w:noProof/>
                <w:webHidden/>
              </w:rPr>
              <w:t>34</w:t>
            </w:r>
            <w:r w:rsidR="00C31EB1">
              <w:rPr>
                <w:noProof/>
                <w:webHidden/>
              </w:rPr>
              <w:fldChar w:fldCharType="end"/>
            </w:r>
          </w:hyperlink>
        </w:p>
        <w:p w:rsidR="00D74B0E" w:rsidRDefault="004E3947">
          <w:pPr>
            <w:pStyle w:val="TOC1"/>
            <w:tabs>
              <w:tab w:val="right" w:leader="dot" w:pos="9350"/>
            </w:tabs>
            <w:rPr>
              <w:rFonts w:eastAsiaTheme="minorEastAsia"/>
              <w:noProof/>
            </w:rPr>
          </w:pPr>
          <w:hyperlink w:anchor="_Toc18627816" w:history="1">
            <w:r w:rsidR="00D74B0E" w:rsidRPr="00F2187A">
              <w:rPr>
                <w:rStyle w:val="Hyperlink"/>
                <w:b/>
                <w:noProof/>
              </w:rPr>
              <w:t>Pharmaceuticals Companies</w:t>
            </w:r>
            <w:r w:rsidR="00D74B0E">
              <w:rPr>
                <w:noProof/>
                <w:webHidden/>
              </w:rPr>
              <w:tab/>
            </w:r>
            <w:r w:rsidR="00C31EB1">
              <w:rPr>
                <w:noProof/>
                <w:webHidden/>
              </w:rPr>
              <w:fldChar w:fldCharType="begin"/>
            </w:r>
            <w:r w:rsidR="00D74B0E">
              <w:rPr>
                <w:noProof/>
                <w:webHidden/>
              </w:rPr>
              <w:instrText xml:space="preserve"> PAGEREF _Toc18627816 \h </w:instrText>
            </w:r>
            <w:r w:rsidR="00C31EB1">
              <w:rPr>
                <w:noProof/>
                <w:webHidden/>
              </w:rPr>
            </w:r>
            <w:r w:rsidR="00C31EB1">
              <w:rPr>
                <w:noProof/>
                <w:webHidden/>
              </w:rPr>
              <w:fldChar w:fldCharType="separate"/>
            </w:r>
            <w:r w:rsidR="00D74B0E">
              <w:rPr>
                <w:noProof/>
                <w:webHidden/>
              </w:rPr>
              <w:t>42</w:t>
            </w:r>
            <w:r w:rsidR="00C31EB1">
              <w:rPr>
                <w:noProof/>
                <w:webHidden/>
              </w:rPr>
              <w:fldChar w:fldCharType="end"/>
            </w:r>
          </w:hyperlink>
        </w:p>
        <w:p w:rsidR="00D74B0E" w:rsidRDefault="004E3947">
          <w:pPr>
            <w:pStyle w:val="TOC2"/>
            <w:tabs>
              <w:tab w:val="right" w:leader="dot" w:pos="9350"/>
            </w:tabs>
            <w:rPr>
              <w:rFonts w:eastAsiaTheme="minorEastAsia"/>
              <w:noProof/>
            </w:rPr>
          </w:pPr>
          <w:hyperlink w:anchor="_Toc18627817" w:history="1">
            <w:r w:rsidR="00D74B0E" w:rsidRPr="00F2187A">
              <w:rPr>
                <w:rStyle w:val="Hyperlink"/>
                <w:rFonts w:cs="Times New Roman"/>
                <w:noProof/>
              </w:rPr>
              <w:t>Beximco</w:t>
            </w:r>
            <w:r w:rsidR="00D74B0E" w:rsidRPr="00F2187A">
              <w:rPr>
                <w:rStyle w:val="Hyperlink"/>
                <w:noProof/>
              </w:rPr>
              <w:t xml:space="preserve"> Pharmaceutical Limited</w:t>
            </w:r>
            <w:r w:rsidR="00D74B0E">
              <w:rPr>
                <w:noProof/>
                <w:webHidden/>
              </w:rPr>
              <w:tab/>
            </w:r>
            <w:r w:rsidR="00C31EB1">
              <w:rPr>
                <w:noProof/>
                <w:webHidden/>
              </w:rPr>
              <w:fldChar w:fldCharType="begin"/>
            </w:r>
            <w:r w:rsidR="00D74B0E">
              <w:rPr>
                <w:noProof/>
                <w:webHidden/>
              </w:rPr>
              <w:instrText xml:space="preserve"> PAGEREF _Toc18627817 \h </w:instrText>
            </w:r>
            <w:r w:rsidR="00C31EB1">
              <w:rPr>
                <w:noProof/>
                <w:webHidden/>
              </w:rPr>
            </w:r>
            <w:r w:rsidR="00C31EB1">
              <w:rPr>
                <w:noProof/>
                <w:webHidden/>
              </w:rPr>
              <w:fldChar w:fldCharType="separate"/>
            </w:r>
            <w:r w:rsidR="00D74B0E">
              <w:rPr>
                <w:noProof/>
                <w:webHidden/>
              </w:rPr>
              <w:t>42</w:t>
            </w:r>
            <w:r w:rsidR="00C31EB1">
              <w:rPr>
                <w:noProof/>
                <w:webHidden/>
              </w:rPr>
              <w:fldChar w:fldCharType="end"/>
            </w:r>
          </w:hyperlink>
        </w:p>
        <w:p w:rsidR="00D74B0E" w:rsidRDefault="004E3947">
          <w:pPr>
            <w:pStyle w:val="TOC3"/>
            <w:tabs>
              <w:tab w:val="right" w:leader="dot" w:pos="9350"/>
            </w:tabs>
            <w:rPr>
              <w:rFonts w:eastAsiaTheme="minorEastAsia"/>
              <w:noProof/>
            </w:rPr>
          </w:pPr>
          <w:hyperlink w:anchor="_Toc18627818" w:history="1">
            <w:r w:rsidR="00D74B0E" w:rsidRPr="00F2187A">
              <w:rPr>
                <w:rStyle w:val="Hyperlink"/>
                <w:rFonts w:eastAsia="Times New Roman"/>
                <w:noProof/>
              </w:rPr>
              <w:t>Company Profile</w:t>
            </w:r>
            <w:r w:rsidR="00D74B0E">
              <w:rPr>
                <w:noProof/>
                <w:webHidden/>
              </w:rPr>
              <w:tab/>
            </w:r>
            <w:r w:rsidR="00C31EB1">
              <w:rPr>
                <w:noProof/>
                <w:webHidden/>
              </w:rPr>
              <w:fldChar w:fldCharType="begin"/>
            </w:r>
            <w:r w:rsidR="00D74B0E">
              <w:rPr>
                <w:noProof/>
                <w:webHidden/>
              </w:rPr>
              <w:instrText xml:space="preserve"> PAGEREF _Toc18627818 \h </w:instrText>
            </w:r>
            <w:r w:rsidR="00C31EB1">
              <w:rPr>
                <w:noProof/>
                <w:webHidden/>
              </w:rPr>
            </w:r>
            <w:r w:rsidR="00C31EB1">
              <w:rPr>
                <w:noProof/>
                <w:webHidden/>
              </w:rPr>
              <w:fldChar w:fldCharType="separate"/>
            </w:r>
            <w:r w:rsidR="00D74B0E">
              <w:rPr>
                <w:noProof/>
                <w:webHidden/>
              </w:rPr>
              <w:t>42</w:t>
            </w:r>
            <w:r w:rsidR="00C31EB1">
              <w:rPr>
                <w:noProof/>
                <w:webHidden/>
              </w:rPr>
              <w:fldChar w:fldCharType="end"/>
            </w:r>
          </w:hyperlink>
        </w:p>
        <w:p w:rsidR="00D74B0E" w:rsidRDefault="004E3947">
          <w:pPr>
            <w:pStyle w:val="TOC3"/>
            <w:tabs>
              <w:tab w:val="right" w:leader="dot" w:pos="9350"/>
            </w:tabs>
            <w:rPr>
              <w:rFonts w:eastAsiaTheme="minorEastAsia"/>
              <w:noProof/>
            </w:rPr>
          </w:pPr>
          <w:hyperlink w:anchor="_Toc18627819" w:history="1">
            <w:r w:rsidR="00D74B0E" w:rsidRPr="00F2187A">
              <w:rPr>
                <w:rStyle w:val="Hyperlink"/>
                <w:rFonts w:eastAsia="Times New Roman"/>
                <w:noProof/>
              </w:rPr>
              <w:t>Analysis of Cash Conversion Cycle</w:t>
            </w:r>
            <w:r w:rsidR="00D74B0E">
              <w:rPr>
                <w:noProof/>
                <w:webHidden/>
              </w:rPr>
              <w:tab/>
            </w:r>
            <w:r w:rsidR="00C31EB1">
              <w:rPr>
                <w:noProof/>
                <w:webHidden/>
              </w:rPr>
              <w:fldChar w:fldCharType="begin"/>
            </w:r>
            <w:r w:rsidR="00D74B0E">
              <w:rPr>
                <w:noProof/>
                <w:webHidden/>
              </w:rPr>
              <w:instrText xml:space="preserve"> PAGEREF _Toc18627819 \h </w:instrText>
            </w:r>
            <w:r w:rsidR="00C31EB1">
              <w:rPr>
                <w:noProof/>
                <w:webHidden/>
              </w:rPr>
            </w:r>
            <w:r w:rsidR="00C31EB1">
              <w:rPr>
                <w:noProof/>
                <w:webHidden/>
              </w:rPr>
              <w:fldChar w:fldCharType="separate"/>
            </w:r>
            <w:r w:rsidR="00D74B0E">
              <w:rPr>
                <w:noProof/>
                <w:webHidden/>
              </w:rPr>
              <w:t>43</w:t>
            </w:r>
            <w:r w:rsidR="00C31EB1">
              <w:rPr>
                <w:noProof/>
                <w:webHidden/>
              </w:rPr>
              <w:fldChar w:fldCharType="end"/>
            </w:r>
          </w:hyperlink>
        </w:p>
        <w:p w:rsidR="00D74B0E" w:rsidRDefault="004E3947">
          <w:pPr>
            <w:pStyle w:val="TOC3"/>
            <w:tabs>
              <w:tab w:val="right" w:leader="dot" w:pos="9350"/>
            </w:tabs>
            <w:rPr>
              <w:rFonts w:eastAsiaTheme="minorEastAsia"/>
              <w:noProof/>
            </w:rPr>
          </w:pPr>
          <w:hyperlink w:anchor="_Toc18627820" w:history="1">
            <w:r w:rsidR="00D74B0E" w:rsidRPr="00F2187A">
              <w:rPr>
                <w:rStyle w:val="Hyperlink"/>
                <w:rFonts w:eastAsia="Times New Roman"/>
                <w:noProof/>
              </w:rPr>
              <w:t>Ratio Analysis</w:t>
            </w:r>
            <w:r w:rsidR="00D74B0E">
              <w:rPr>
                <w:noProof/>
                <w:webHidden/>
              </w:rPr>
              <w:tab/>
            </w:r>
            <w:r w:rsidR="00C31EB1">
              <w:rPr>
                <w:noProof/>
                <w:webHidden/>
              </w:rPr>
              <w:fldChar w:fldCharType="begin"/>
            </w:r>
            <w:r w:rsidR="00D74B0E">
              <w:rPr>
                <w:noProof/>
                <w:webHidden/>
              </w:rPr>
              <w:instrText xml:space="preserve"> PAGEREF _Toc18627820 \h </w:instrText>
            </w:r>
            <w:r w:rsidR="00C31EB1">
              <w:rPr>
                <w:noProof/>
                <w:webHidden/>
              </w:rPr>
            </w:r>
            <w:r w:rsidR="00C31EB1">
              <w:rPr>
                <w:noProof/>
                <w:webHidden/>
              </w:rPr>
              <w:fldChar w:fldCharType="separate"/>
            </w:r>
            <w:r w:rsidR="00D74B0E">
              <w:rPr>
                <w:noProof/>
                <w:webHidden/>
              </w:rPr>
              <w:t>43</w:t>
            </w:r>
            <w:r w:rsidR="00C31EB1">
              <w:rPr>
                <w:noProof/>
                <w:webHidden/>
              </w:rPr>
              <w:fldChar w:fldCharType="end"/>
            </w:r>
          </w:hyperlink>
        </w:p>
        <w:p w:rsidR="00D74B0E" w:rsidRDefault="004E3947">
          <w:pPr>
            <w:pStyle w:val="TOC2"/>
            <w:tabs>
              <w:tab w:val="right" w:leader="dot" w:pos="9350"/>
            </w:tabs>
            <w:rPr>
              <w:rFonts w:eastAsiaTheme="minorEastAsia"/>
              <w:noProof/>
            </w:rPr>
          </w:pPr>
          <w:hyperlink w:anchor="_Toc18627822" w:history="1">
            <w:r w:rsidR="00D74B0E" w:rsidRPr="00F2187A">
              <w:rPr>
                <w:rStyle w:val="Hyperlink"/>
                <w:noProof/>
              </w:rPr>
              <w:t>Square Pharmaceuticals Ltd</w:t>
            </w:r>
            <w:r w:rsidR="00D74B0E">
              <w:rPr>
                <w:noProof/>
                <w:webHidden/>
              </w:rPr>
              <w:tab/>
            </w:r>
            <w:r w:rsidR="00C31EB1">
              <w:rPr>
                <w:noProof/>
                <w:webHidden/>
              </w:rPr>
              <w:fldChar w:fldCharType="begin"/>
            </w:r>
            <w:r w:rsidR="00D74B0E">
              <w:rPr>
                <w:noProof/>
                <w:webHidden/>
              </w:rPr>
              <w:instrText xml:space="preserve"> PAGEREF _Toc18627822 \h </w:instrText>
            </w:r>
            <w:r w:rsidR="00C31EB1">
              <w:rPr>
                <w:noProof/>
                <w:webHidden/>
              </w:rPr>
            </w:r>
            <w:r w:rsidR="00C31EB1">
              <w:rPr>
                <w:noProof/>
                <w:webHidden/>
              </w:rPr>
              <w:fldChar w:fldCharType="separate"/>
            </w:r>
            <w:r w:rsidR="00D74B0E">
              <w:rPr>
                <w:noProof/>
                <w:webHidden/>
              </w:rPr>
              <w:t>52</w:t>
            </w:r>
            <w:r w:rsidR="00C31EB1">
              <w:rPr>
                <w:noProof/>
                <w:webHidden/>
              </w:rPr>
              <w:fldChar w:fldCharType="end"/>
            </w:r>
          </w:hyperlink>
        </w:p>
        <w:p w:rsidR="00D74B0E" w:rsidRDefault="004E3947">
          <w:pPr>
            <w:pStyle w:val="TOC3"/>
            <w:tabs>
              <w:tab w:val="right" w:leader="dot" w:pos="9350"/>
            </w:tabs>
            <w:rPr>
              <w:rFonts w:eastAsiaTheme="minorEastAsia"/>
              <w:noProof/>
            </w:rPr>
          </w:pPr>
          <w:hyperlink w:anchor="_Toc18627823" w:history="1">
            <w:r w:rsidR="00D74B0E" w:rsidRPr="00F2187A">
              <w:rPr>
                <w:rStyle w:val="Hyperlink"/>
                <w:rFonts w:eastAsia="Times New Roman"/>
                <w:noProof/>
              </w:rPr>
              <w:t>Company Profile</w:t>
            </w:r>
            <w:r w:rsidR="00D74B0E">
              <w:rPr>
                <w:noProof/>
                <w:webHidden/>
              </w:rPr>
              <w:tab/>
            </w:r>
            <w:r w:rsidR="00C31EB1">
              <w:rPr>
                <w:noProof/>
                <w:webHidden/>
              </w:rPr>
              <w:fldChar w:fldCharType="begin"/>
            </w:r>
            <w:r w:rsidR="00D74B0E">
              <w:rPr>
                <w:noProof/>
                <w:webHidden/>
              </w:rPr>
              <w:instrText xml:space="preserve"> PAGEREF _Toc18627823 \h </w:instrText>
            </w:r>
            <w:r w:rsidR="00C31EB1">
              <w:rPr>
                <w:noProof/>
                <w:webHidden/>
              </w:rPr>
            </w:r>
            <w:r w:rsidR="00C31EB1">
              <w:rPr>
                <w:noProof/>
                <w:webHidden/>
              </w:rPr>
              <w:fldChar w:fldCharType="separate"/>
            </w:r>
            <w:r w:rsidR="00D74B0E">
              <w:rPr>
                <w:noProof/>
                <w:webHidden/>
              </w:rPr>
              <w:t>52</w:t>
            </w:r>
            <w:r w:rsidR="00C31EB1">
              <w:rPr>
                <w:noProof/>
                <w:webHidden/>
              </w:rPr>
              <w:fldChar w:fldCharType="end"/>
            </w:r>
          </w:hyperlink>
        </w:p>
        <w:p w:rsidR="00D74B0E" w:rsidRDefault="004E3947">
          <w:pPr>
            <w:pStyle w:val="TOC3"/>
            <w:tabs>
              <w:tab w:val="right" w:leader="dot" w:pos="9350"/>
            </w:tabs>
            <w:rPr>
              <w:rFonts w:eastAsiaTheme="minorEastAsia"/>
              <w:noProof/>
            </w:rPr>
          </w:pPr>
          <w:hyperlink w:anchor="_Toc18627824" w:history="1">
            <w:r w:rsidR="00D74B0E" w:rsidRPr="00F2187A">
              <w:rPr>
                <w:rStyle w:val="Hyperlink"/>
                <w:rFonts w:eastAsia="Times New Roman"/>
                <w:noProof/>
              </w:rPr>
              <w:t>Ratio Analysis</w:t>
            </w:r>
            <w:r w:rsidR="00D74B0E">
              <w:rPr>
                <w:noProof/>
                <w:webHidden/>
              </w:rPr>
              <w:tab/>
            </w:r>
            <w:r w:rsidR="00C31EB1">
              <w:rPr>
                <w:noProof/>
                <w:webHidden/>
              </w:rPr>
              <w:fldChar w:fldCharType="begin"/>
            </w:r>
            <w:r w:rsidR="00D74B0E">
              <w:rPr>
                <w:noProof/>
                <w:webHidden/>
              </w:rPr>
              <w:instrText xml:space="preserve"> PAGEREF _Toc18627824 \h </w:instrText>
            </w:r>
            <w:r w:rsidR="00C31EB1">
              <w:rPr>
                <w:noProof/>
                <w:webHidden/>
              </w:rPr>
            </w:r>
            <w:r w:rsidR="00C31EB1">
              <w:rPr>
                <w:noProof/>
                <w:webHidden/>
              </w:rPr>
              <w:fldChar w:fldCharType="separate"/>
            </w:r>
            <w:r w:rsidR="00D74B0E">
              <w:rPr>
                <w:noProof/>
                <w:webHidden/>
              </w:rPr>
              <w:t>53</w:t>
            </w:r>
            <w:r w:rsidR="00C31EB1">
              <w:rPr>
                <w:noProof/>
                <w:webHidden/>
              </w:rPr>
              <w:fldChar w:fldCharType="end"/>
            </w:r>
          </w:hyperlink>
        </w:p>
        <w:p w:rsidR="00D74B0E" w:rsidRDefault="004E3947">
          <w:pPr>
            <w:pStyle w:val="TOC1"/>
            <w:tabs>
              <w:tab w:val="right" w:leader="dot" w:pos="9350"/>
            </w:tabs>
            <w:rPr>
              <w:rFonts w:eastAsiaTheme="minorEastAsia"/>
              <w:noProof/>
            </w:rPr>
          </w:pPr>
          <w:hyperlink w:anchor="_Toc18627826" w:history="1">
            <w:r w:rsidR="00D74B0E" w:rsidRPr="00F2187A">
              <w:rPr>
                <w:rStyle w:val="Hyperlink"/>
                <w:b/>
                <w:noProof/>
              </w:rPr>
              <w:t>Comparing three types of companies Ratios</w:t>
            </w:r>
            <w:r w:rsidR="00D74B0E">
              <w:rPr>
                <w:noProof/>
                <w:webHidden/>
              </w:rPr>
              <w:tab/>
            </w:r>
            <w:r w:rsidR="00C31EB1">
              <w:rPr>
                <w:noProof/>
                <w:webHidden/>
              </w:rPr>
              <w:fldChar w:fldCharType="begin"/>
            </w:r>
            <w:r w:rsidR="00D74B0E">
              <w:rPr>
                <w:noProof/>
                <w:webHidden/>
              </w:rPr>
              <w:instrText xml:space="preserve"> PAGEREF _Toc18627826 \h </w:instrText>
            </w:r>
            <w:r w:rsidR="00C31EB1">
              <w:rPr>
                <w:noProof/>
                <w:webHidden/>
              </w:rPr>
            </w:r>
            <w:r w:rsidR="00C31EB1">
              <w:rPr>
                <w:noProof/>
                <w:webHidden/>
              </w:rPr>
              <w:fldChar w:fldCharType="separate"/>
            </w:r>
            <w:r w:rsidR="00D74B0E">
              <w:rPr>
                <w:noProof/>
                <w:webHidden/>
              </w:rPr>
              <w:t>63</w:t>
            </w:r>
            <w:r w:rsidR="00C31EB1">
              <w:rPr>
                <w:noProof/>
                <w:webHidden/>
              </w:rPr>
              <w:fldChar w:fldCharType="end"/>
            </w:r>
          </w:hyperlink>
        </w:p>
        <w:p w:rsidR="00D74B0E" w:rsidRDefault="004E3947">
          <w:pPr>
            <w:pStyle w:val="TOC2"/>
            <w:tabs>
              <w:tab w:val="right" w:leader="dot" w:pos="9350"/>
            </w:tabs>
            <w:rPr>
              <w:rFonts w:eastAsiaTheme="minorEastAsia"/>
              <w:noProof/>
            </w:rPr>
          </w:pPr>
          <w:hyperlink w:anchor="_Toc18627827" w:history="1">
            <w:r w:rsidR="00D74B0E" w:rsidRPr="00F2187A">
              <w:rPr>
                <w:rStyle w:val="Hyperlink"/>
                <w:noProof/>
              </w:rPr>
              <w:t>Findings and Comments after analyzing the companies</w:t>
            </w:r>
            <w:r w:rsidR="00D74B0E">
              <w:rPr>
                <w:noProof/>
                <w:webHidden/>
              </w:rPr>
              <w:tab/>
            </w:r>
            <w:r w:rsidR="00C31EB1">
              <w:rPr>
                <w:noProof/>
                <w:webHidden/>
              </w:rPr>
              <w:fldChar w:fldCharType="begin"/>
            </w:r>
            <w:r w:rsidR="00D74B0E">
              <w:rPr>
                <w:noProof/>
                <w:webHidden/>
              </w:rPr>
              <w:instrText xml:space="preserve"> PAGEREF _Toc18627827 \h </w:instrText>
            </w:r>
            <w:r w:rsidR="00C31EB1">
              <w:rPr>
                <w:noProof/>
                <w:webHidden/>
              </w:rPr>
            </w:r>
            <w:r w:rsidR="00C31EB1">
              <w:rPr>
                <w:noProof/>
                <w:webHidden/>
              </w:rPr>
              <w:fldChar w:fldCharType="separate"/>
            </w:r>
            <w:r w:rsidR="00D74B0E">
              <w:rPr>
                <w:noProof/>
                <w:webHidden/>
              </w:rPr>
              <w:t>65</w:t>
            </w:r>
            <w:r w:rsidR="00C31EB1">
              <w:rPr>
                <w:noProof/>
                <w:webHidden/>
              </w:rPr>
              <w:fldChar w:fldCharType="end"/>
            </w:r>
          </w:hyperlink>
        </w:p>
        <w:p w:rsidR="00D74B0E" w:rsidRDefault="004E3947">
          <w:pPr>
            <w:pStyle w:val="TOC1"/>
            <w:tabs>
              <w:tab w:val="right" w:leader="dot" w:pos="9350"/>
            </w:tabs>
            <w:rPr>
              <w:rFonts w:eastAsiaTheme="minorEastAsia"/>
              <w:noProof/>
            </w:rPr>
          </w:pPr>
          <w:hyperlink w:anchor="_Toc18627828" w:history="1">
            <w:r w:rsidR="00D74B0E" w:rsidRPr="00F2187A">
              <w:rPr>
                <w:rStyle w:val="Hyperlink"/>
                <w:noProof/>
              </w:rPr>
              <w:t>Conclusion</w:t>
            </w:r>
            <w:r w:rsidR="00D74B0E">
              <w:rPr>
                <w:noProof/>
                <w:webHidden/>
              </w:rPr>
              <w:tab/>
            </w:r>
            <w:r w:rsidR="00C31EB1">
              <w:rPr>
                <w:noProof/>
                <w:webHidden/>
              </w:rPr>
              <w:fldChar w:fldCharType="begin"/>
            </w:r>
            <w:r w:rsidR="00D74B0E">
              <w:rPr>
                <w:noProof/>
                <w:webHidden/>
              </w:rPr>
              <w:instrText xml:space="preserve"> PAGEREF _Toc18627828 \h </w:instrText>
            </w:r>
            <w:r w:rsidR="00C31EB1">
              <w:rPr>
                <w:noProof/>
                <w:webHidden/>
              </w:rPr>
            </w:r>
            <w:r w:rsidR="00C31EB1">
              <w:rPr>
                <w:noProof/>
                <w:webHidden/>
              </w:rPr>
              <w:fldChar w:fldCharType="separate"/>
            </w:r>
            <w:r w:rsidR="00D74B0E">
              <w:rPr>
                <w:noProof/>
                <w:webHidden/>
              </w:rPr>
              <w:t>66</w:t>
            </w:r>
            <w:r w:rsidR="00C31EB1">
              <w:rPr>
                <w:noProof/>
                <w:webHidden/>
              </w:rPr>
              <w:fldChar w:fldCharType="end"/>
            </w:r>
          </w:hyperlink>
        </w:p>
        <w:p w:rsidR="00D74B0E" w:rsidRDefault="004E3947">
          <w:pPr>
            <w:pStyle w:val="TOC1"/>
            <w:tabs>
              <w:tab w:val="right" w:leader="dot" w:pos="9350"/>
            </w:tabs>
            <w:rPr>
              <w:rFonts w:eastAsiaTheme="minorEastAsia"/>
              <w:noProof/>
            </w:rPr>
          </w:pPr>
          <w:hyperlink w:anchor="_Toc18627832" w:history="1">
            <w:r w:rsidR="00D74B0E" w:rsidRPr="00F2187A">
              <w:rPr>
                <w:rStyle w:val="Hyperlink"/>
                <w:noProof/>
              </w:rPr>
              <w:t>Bibliography</w:t>
            </w:r>
            <w:r w:rsidR="00D74B0E">
              <w:rPr>
                <w:noProof/>
                <w:webHidden/>
              </w:rPr>
              <w:tab/>
            </w:r>
            <w:r w:rsidR="00C31EB1">
              <w:rPr>
                <w:noProof/>
                <w:webHidden/>
              </w:rPr>
              <w:fldChar w:fldCharType="begin"/>
            </w:r>
            <w:r w:rsidR="00D74B0E">
              <w:rPr>
                <w:noProof/>
                <w:webHidden/>
              </w:rPr>
              <w:instrText xml:space="preserve"> PAGEREF _Toc18627832 \h </w:instrText>
            </w:r>
            <w:r w:rsidR="00C31EB1">
              <w:rPr>
                <w:noProof/>
                <w:webHidden/>
              </w:rPr>
            </w:r>
            <w:r w:rsidR="00C31EB1">
              <w:rPr>
                <w:noProof/>
                <w:webHidden/>
              </w:rPr>
              <w:fldChar w:fldCharType="separate"/>
            </w:r>
            <w:r w:rsidR="00D74B0E">
              <w:rPr>
                <w:noProof/>
                <w:webHidden/>
              </w:rPr>
              <w:t>67</w:t>
            </w:r>
            <w:r w:rsidR="00C31EB1">
              <w:rPr>
                <w:noProof/>
                <w:webHidden/>
              </w:rPr>
              <w:fldChar w:fldCharType="end"/>
            </w:r>
          </w:hyperlink>
        </w:p>
        <w:p w:rsidR="001E12CA" w:rsidRDefault="00C31EB1">
          <w:r>
            <w:fldChar w:fldCharType="end"/>
          </w:r>
        </w:p>
      </w:sdtContent>
    </w:sdt>
    <w:p w:rsidR="00E9388F" w:rsidRDefault="00E9388F" w:rsidP="0051679F">
      <w:pPr>
        <w:pStyle w:val="Heading1"/>
        <w:spacing w:line="276" w:lineRule="auto"/>
        <w:jc w:val="both"/>
        <w:rPr>
          <w:rFonts w:ascii="Times New Roman" w:eastAsia="Times New Roman" w:hAnsi="Times New Roman" w:cs="Times New Roman"/>
          <w:b/>
          <w:color w:val="002060"/>
          <w:sz w:val="24"/>
          <w:szCs w:val="24"/>
          <w:u w:val="single"/>
        </w:rPr>
      </w:pPr>
    </w:p>
    <w:p w:rsidR="001E12CA" w:rsidRDefault="001E12CA" w:rsidP="001E12CA"/>
    <w:p w:rsidR="001E12CA" w:rsidRDefault="001E12CA" w:rsidP="001E12CA"/>
    <w:p w:rsidR="001E12CA" w:rsidRDefault="001E12CA" w:rsidP="001E12CA"/>
    <w:p w:rsidR="001E12CA" w:rsidRDefault="001E12CA" w:rsidP="001E12CA"/>
    <w:p w:rsidR="001E12CA" w:rsidRDefault="001E12CA" w:rsidP="001E12CA"/>
    <w:p w:rsidR="001E12CA" w:rsidRDefault="001E12CA" w:rsidP="001E12CA"/>
    <w:p w:rsidR="001E12CA" w:rsidRDefault="001E12CA" w:rsidP="001E12CA"/>
    <w:p w:rsidR="001E12CA" w:rsidRDefault="001E12CA" w:rsidP="001E12CA"/>
    <w:p w:rsidR="001E12CA" w:rsidRDefault="001E12CA" w:rsidP="001E12CA"/>
    <w:p w:rsidR="001E12CA" w:rsidRDefault="001E12CA" w:rsidP="001E12CA"/>
    <w:p w:rsidR="001E12CA" w:rsidRDefault="001E12CA" w:rsidP="001E12CA"/>
    <w:p w:rsidR="001E12CA" w:rsidRDefault="001E12CA" w:rsidP="001E12CA"/>
    <w:p w:rsidR="00252E30" w:rsidRDefault="00252E30" w:rsidP="001E12CA">
      <w:pPr>
        <w:sectPr w:rsidR="00252E30" w:rsidSect="009B0B5F">
          <w:pgSz w:w="12240" w:h="15840"/>
          <w:pgMar w:top="1440" w:right="1440" w:bottom="1440" w:left="1440" w:header="720" w:footer="720" w:gutter="0"/>
          <w:pgNumType w:fmt="lowerRoman" w:start="1"/>
          <w:cols w:space="720"/>
          <w:docGrid w:linePitch="360"/>
        </w:sectPr>
      </w:pPr>
    </w:p>
    <w:p w:rsidR="001E12CA" w:rsidRPr="001E12CA" w:rsidRDefault="001E12CA" w:rsidP="001E12CA"/>
    <w:p w:rsidR="0051679F" w:rsidRPr="005B7EC9" w:rsidRDefault="0051679F" w:rsidP="00B823E5">
      <w:pPr>
        <w:pStyle w:val="Heading1"/>
      </w:pPr>
      <w:bookmarkStart w:id="1" w:name="_Toc18627787"/>
      <w:r w:rsidRPr="005B7EC9">
        <w:rPr>
          <w:rFonts w:eastAsia="Times New Roman"/>
        </w:rPr>
        <w:t xml:space="preserve">Theoretical </w:t>
      </w:r>
      <w:r w:rsidRPr="00B823E5">
        <w:t>Framework</w:t>
      </w:r>
      <w:bookmarkEnd w:id="1"/>
    </w:p>
    <w:p w:rsidR="0051679F" w:rsidRPr="005B7EC9" w:rsidRDefault="0051679F" w:rsidP="0051679F">
      <w:pPr>
        <w:spacing w:line="276" w:lineRule="auto"/>
        <w:jc w:val="both"/>
        <w:rPr>
          <w:rFonts w:ascii="Times New Roman" w:hAnsi="Times New Roman" w:cs="Times New Roman"/>
          <w:sz w:val="24"/>
          <w:szCs w:val="24"/>
        </w:rPr>
      </w:pPr>
    </w:p>
    <w:p w:rsidR="0051679F" w:rsidRPr="005B7EC9" w:rsidRDefault="0051679F" w:rsidP="0051679F">
      <w:pPr>
        <w:pStyle w:val="Heading2"/>
        <w:spacing w:line="276" w:lineRule="auto"/>
        <w:jc w:val="both"/>
        <w:rPr>
          <w:rFonts w:ascii="Times New Roman" w:eastAsia="Times New Roman" w:hAnsi="Times New Roman" w:cs="Times New Roman"/>
          <w:sz w:val="24"/>
          <w:szCs w:val="24"/>
        </w:rPr>
      </w:pPr>
      <w:bookmarkStart w:id="2" w:name="_Toc18627788"/>
      <w:r w:rsidRPr="005B7EC9">
        <w:rPr>
          <w:rFonts w:ascii="Times New Roman" w:eastAsia="Times New Roman" w:hAnsi="Times New Roman" w:cs="Times New Roman"/>
          <w:sz w:val="24"/>
          <w:szCs w:val="24"/>
        </w:rPr>
        <w:t>Working Capital Definition</w:t>
      </w:r>
      <w:bookmarkEnd w:id="2"/>
    </w:p>
    <w:p w:rsidR="0051679F" w:rsidRPr="004D1ECD" w:rsidRDefault="0051679F" w:rsidP="0051679F">
      <w:pPr>
        <w:spacing w:after="200" w:line="276" w:lineRule="auto"/>
        <w:jc w:val="both"/>
        <w:rPr>
          <w:rFonts w:ascii="Times New Roman" w:eastAsia="Calibri" w:hAnsi="Times New Roman" w:cs="Times New Roman"/>
          <w:color w:val="000000"/>
          <w:sz w:val="24"/>
          <w:szCs w:val="24"/>
        </w:rPr>
      </w:pPr>
      <w:r w:rsidRPr="004D1ECD">
        <w:rPr>
          <w:rFonts w:ascii="Times New Roman" w:eastAsia="Calibri" w:hAnsi="Times New Roman" w:cs="Times New Roman"/>
          <w:color w:val="000000"/>
          <w:sz w:val="24"/>
          <w:szCs w:val="24"/>
        </w:rPr>
        <w:t>Working Capital Management is the set of day to day activities that are invested in current assets which is adequate for meeting short term debt &amp; upcoming operational expenses.</w:t>
      </w:r>
      <w:r w:rsidR="000A6E7D">
        <w:rPr>
          <w:rFonts w:ascii="Times New Roman" w:eastAsia="Calibri" w:hAnsi="Times New Roman" w:cs="Times New Roman"/>
          <w:color w:val="000000"/>
          <w:sz w:val="24"/>
          <w:szCs w:val="24"/>
        </w:rPr>
        <w:t xml:space="preserve"> Working capital</w:t>
      </w:r>
      <w:r w:rsidR="00A75C86">
        <w:rPr>
          <w:rFonts w:ascii="Times New Roman" w:eastAsia="Calibri" w:hAnsi="Times New Roman" w:cs="Times New Roman"/>
          <w:color w:val="000000"/>
          <w:sz w:val="24"/>
          <w:szCs w:val="24"/>
        </w:rPr>
        <w:t xml:space="preserve"> is</w:t>
      </w:r>
      <w:r w:rsidRPr="004D1ECD">
        <w:rPr>
          <w:rFonts w:ascii="Times New Roman" w:eastAsia="Calibri" w:hAnsi="Times New Roman" w:cs="Times New Roman"/>
          <w:color w:val="000000"/>
          <w:sz w:val="24"/>
          <w:szCs w:val="24"/>
        </w:rPr>
        <w:t xml:space="preserve"> known as resolving </w:t>
      </w:r>
      <w:r w:rsidR="000A6E7D">
        <w:rPr>
          <w:rFonts w:ascii="Times New Roman" w:eastAsia="Calibri" w:hAnsi="Times New Roman" w:cs="Times New Roman"/>
          <w:color w:val="000000"/>
          <w:sz w:val="24"/>
          <w:szCs w:val="24"/>
        </w:rPr>
        <w:t xml:space="preserve">money </w:t>
      </w:r>
      <w:r w:rsidRPr="004D1ECD">
        <w:rPr>
          <w:rFonts w:ascii="Times New Roman" w:eastAsia="Calibri" w:hAnsi="Times New Roman" w:cs="Times New Roman"/>
          <w:color w:val="000000"/>
          <w:sz w:val="24"/>
          <w:szCs w:val="24"/>
        </w:rPr>
        <w:t xml:space="preserve">which measure of efficiency, liquidity and </w:t>
      </w:r>
      <w:r w:rsidR="00A75C86">
        <w:rPr>
          <w:rFonts w:ascii="Times New Roman" w:eastAsia="Calibri" w:hAnsi="Times New Roman" w:cs="Times New Roman"/>
          <w:color w:val="000000"/>
          <w:sz w:val="24"/>
          <w:szCs w:val="24"/>
        </w:rPr>
        <w:t>solvency in short period.</w:t>
      </w:r>
    </w:p>
    <w:p w:rsidR="0051679F" w:rsidRPr="005B7EC9" w:rsidRDefault="0051679F" w:rsidP="0051679F">
      <w:pPr>
        <w:pStyle w:val="Heading2"/>
        <w:spacing w:line="276" w:lineRule="auto"/>
        <w:jc w:val="both"/>
        <w:rPr>
          <w:rFonts w:ascii="Times New Roman" w:eastAsia="Times New Roman" w:hAnsi="Times New Roman" w:cs="Times New Roman"/>
          <w:sz w:val="24"/>
          <w:szCs w:val="24"/>
        </w:rPr>
      </w:pPr>
      <w:bookmarkStart w:id="3" w:name="_Toc18627789"/>
      <w:r w:rsidRPr="005B7EC9">
        <w:rPr>
          <w:rFonts w:ascii="Times New Roman" w:eastAsia="Times New Roman" w:hAnsi="Times New Roman" w:cs="Times New Roman"/>
          <w:sz w:val="24"/>
          <w:szCs w:val="24"/>
        </w:rPr>
        <w:t>Nature and importance of good working capital management</w:t>
      </w:r>
      <w:bookmarkEnd w:id="3"/>
    </w:p>
    <w:p w:rsidR="0051679F" w:rsidRPr="004D1ECD" w:rsidRDefault="0051679F" w:rsidP="0051679F">
      <w:pPr>
        <w:spacing w:after="0" w:line="276" w:lineRule="auto"/>
        <w:jc w:val="both"/>
        <w:rPr>
          <w:rFonts w:ascii="Times New Roman" w:eastAsia="Calibri" w:hAnsi="Times New Roman" w:cs="Times New Roman"/>
          <w:color w:val="000000"/>
          <w:sz w:val="24"/>
          <w:szCs w:val="24"/>
        </w:rPr>
      </w:pPr>
      <w:r w:rsidRPr="004D1ECD">
        <w:rPr>
          <w:rFonts w:ascii="Times New Roman" w:eastAsia="Calibri" w:hAnsi="Times New Roman" w:cs="Times New Roman"/>
          <w:color w:val="000000"/>
          <w:sz w:val="24"/>
          <w:szCs w:val="24"/>
        </w:rPr>
        <w:t>Working capital management is based on 2 concepts.</w:t>
      </w:r>
    </w:p>
    <w:p w:rsidR="0051679F" w:rsidRPr="004D1ECD" w:rsidRDefault="0051679F" w:rsidP="0051679F">
      <w:pPr>
        <w:numPr>
          <w:ilvl w:val="0"/>
          <w:numId w:val="2"/>
        </w:numPr>
        <w:spacing w:after="0" w:line="276" w:lineRule="auto"/>
        <w:contextualSpacing/>
        <w:jc w:val="both"/>
        <w:rPr>
          <w:rFonts w:ascii="Times New Roman" w:eastAsia="Calibri" w:hAnsi="Times New Roman" w:cs="Times New Roman"/>
          <w:b/>
          <w:color w:val="000000"/>
          <w:sz w:val="24"/>
          <w:szCs w:val="24"/>
        </w:rPr>
      </w:pPr>
      <w:r w:rsidRPr="004D1ECD">
        <w:rPr>
          <w:rFonts w:ascii="Times New Roman" w:eastAsia="Calibri" w:hAnsi="Times New Roman" w:cs="Times New Roman"/>
          <w:b/>
          <w:color w:val="000000"/>
          <w:sz w:val="24"/>
          <w:szCs w:val="24"/>
        </w:rPr>
        <w:t>Gross Working Capital</w:t>
      </w:r>
    </w:p>
    <w:p w:rsidR="0051679F" w:rsidRPr="004D1ECD" w:rsidRDefault="0051679F" w:rsidP="0051679F">
      <w:pPr>
        <w:spacing w:after="200" w:line="276" w:lineRule="auto"/>
        <w:ind w:left="720"/>
        <w:contextualSpacing/>
        <w:jc w:val="both"/>
        <w:rPr>
          <w:rFonts w:ascii="Times New Roman" w:eastAsia="Calibri" w:hAnsi="Times New Roman" w:cs="Times New Roman"/>
          <w:color w:val="000000"/>
          <w:sz w:val="24"/>
          <w:szCs w:val="24"/>
        </w:rPr>
      </w:pPr>
      <w:r w:rsidRPr="004D1ECD">
        <w:rPr>
          <w:rFonts w:ascii="Times New Roman" w:eastAsia="Calibri" w:hAnsi="Times New Roman" w:cs="Times New Roman"/>
          <w:color w:val="000000"/>
          <w:sz w:val="24"/>
          <w:szCs w:val="24"/>
        </w:rPr>
        <w:t>Gross working capital means the firm’s investment in current assets which is converted into cash within an accounting period or one year.</w:t>
      </w:r>
    </w:p>
    <w:p w:rsidR="0051679F" w:rsidRPr="004D1ECD" w:rsidRDefault="0051679F" w:rsidP="0051679F">
      <w:pPr>
        <w:spacing w:after="200" w:line="276" w:lineRule="auto"/>
        <w:contextualSpacing/>
        <w:jc w:val="both"/>
        <w:rPr>
          <w:rFonts w:ascii="Times New Roman" w:eastAsia="Calibri" w:hAnsi="Times New Roman" w:cs="Times New Roman"/>
          <w:color w:val="000000"/>
          <w:sz w:val="24"/>
          <w:szCs w:val="24"/>
        </w:rPr>
      </w:pPr>
    </w:p>
    <w:p w:rsidR="0051679F" w:rsidRPr="004D1ECD" w:rsidRDefault="0051679F" w:rsidP="0051679F">
      <w:pPr>
        <w:numPr>
          <w:ilvl w:val="0"/>
          <w:numId w:val="2"/>
        </w:numPr>
        <w:spacing w:after="200" w:line="276" w:lineRule="auto"/>
        <w:contextualSpacing/>
        <w:jc w:val="both"/>
        <w:rPr>
          <w:rFonts w:ascii="Times New Roman" w:eastAsia="Calibri" w:hAnsi="Times New Roman" w:cs="Times New Roman"/>
          <w:b/>
          <w:color w:val="000000"/>
          <w:sz w:val="24"/>
          <w:szCs w:val="24"/>
        </w:rPr>
      </w:pPr>
      <w:r w:rsidRPr="004D1ECD">
        <w:rPr>
          <w:rFonts w:ascii="Times New Roman" w:eastAsia="Calibri" w:hAnsi="Times New Roman" w:cs="Times New Roman"/>
          <w:b/>
          <w:color w:val="000000"/>
          <w:sz w:val="24"/>
          <w:szCs w:val="24"/>
        </w:rPr>
        <w:t>Net Working Capital</w:t>
      </w:r>
    </w:p>
    <w:p w:rsidR="0051679F" w:rsidRPr="004D1ECD" w:rsidRDefault="0051679F" w:rsidP="0051679F">
      <w:pPr>
        <w:spacing w:after="200" w:line="276" w:lineRule="auto"/>
        <w:ind w:left="720"/>
        <w:contextualSpacing/>
        <w:jc w:val="both"/>
        <w:rPr>
          <w:rFonts w:ascii="Times New Roman" w:eastAsia="Calibri" w:hAnsi="Times New Roman" w:cs="Times New Roman"/>
          <w:color w:val="000000"/>
          <w:sz w:val="24"/>
          <w:szCs w:val="24"/>
        </w:rPr>
      </w:pPr>
      <w:r w:rsidRPr="004D1ECD">
        <w:rPr>
          <w:rFonts w:ascii="Times New Roman" w:eastAsia="Calibri" w:hAnsi="Times New Roman" w:cs="Times New Roman"/>
          <w:color w:val="000000"/>
          <w:sz w:val="24"/>
          <w:szCs w:val="24"/>
        </w:rPr>
        <w:t>Net working capital means the difference between the current assets and the current liabilities which has to be paid within the one year.</w:t>
      </w:r>
    </w:p>
    <w:p w:rsidR="0051679F" w:rsidRPr="005B7EC9" w:rsidRDefault="0051679F" w:rsidP="0051679F">
      <w:pPr>
        <w:spacing w:after="200" w:line="276" w:lineRule="auto"/>
        <w:contextualSpacing/>
        <w:jc w:val="both"/>
        <w:rPr>
          <w:rFonts w:ascii="Times New Roman" w:eastAsia="Calibri" w:hAnsi="Times New Roman" w:cs="Times New Roman"/>
          <w:color w:val="000000"/>
          <w:sz w:val="24"/>
          <w:szCs w:val="24"/>
        </w:rPr>
      </w:pPr>
    </w:p>
    <w:p w:rsidR="0051679F" w:rsidRPr="005B7EC9" w:rsidRDefault="0051679F" w:rsidP="0051679F">
      <w:pPr>
        <w:pStyle w:val="Heading2"/>
        <w:spacing w:line="276" w:lineRule="auto"/>
        <w:jc w:val="both"/>
        <w:rPr>
          <w:rFonts w:ascii="Times New Roman" w:eastAsia="Times New Roman" w:hAnsi="Times New Roman" w:cs="Times New Roman"/>
          <w:sz w:val="24"/>
          <w:szCs w:val="24"/>
        </w:rPr>
      </w:pPr>
      <w:bookmarkStart w:id="4" w:name="_Toc18627790"/>
      <w:r w:rsidRPr="005B7EC9">
        <w:rPr>
          <w:rFonts w:ascii="Times New Roman" w:eastAsia="Times New Roman" w:hAnsi="Times New Roman" w:cs="Times New Roman"/>
          <w:sz w:val="24"/>
          <w:szCs w:val="24"/>
        </w:rPr>
        <w:t>Importance of good working capital management</w:t>
      </w:r>
      <w:bookmarkEnd w:id="4"/>
    </w:p>
    <w:p w:rsidR="0051679F" w:rsidRPr="004D1ECD" w:rsidRDefault="0051679F" w:rsidP="0051679F">
      <w:pPr>
        <w:spacing w:after="200" w:line="276" w:lineRule="auto"/>
        <w:jc w:val="both"/>
        <w:rPr>
          <w:rFonts w:ascii="Times New Roman" w:eastAsia="Calibri" w:hAnsi="Times New Roman" w:cs="Times New Roman"/>
          <w:color w:val="000000"/>
          <w:sz w:val="24"/>
          <w:szCs w:val="24"/>
        </w:rPr>
      </w:pPr>
      <w:r w:rsidRPr="004D1ECD">
        <w:rPr>
          <w:rFonts w:ascii="Times New Roman" w:eastAsia="Calibri" w:hAnsi="Times New Roman" w:cs="Times New Roman"/>
          <w:color w:val="000000"/>
          <w:sz w:val="24"/>
          <w:szCs w:val="24"/>
        </w:rPr>
        <w:t>The importance of good working capital management like the following-</w:t>
      </w:r>
    </w:p>
    <w:p w:rsidR="0051679F" w:rsidRPr="004D1ECD" w:rsidRDefault="0051679F" w:rsidP="0051679F">
      <w:pPr>
        <w:numPr>
          <w:ilvl w:val="0"/>
          <w:numId w:val="1"/>
        </w:numPr>
        <w:spacing w:after="200" w:line="276" w:lineRule="auto"/>
        <w:contextualSpacing/>
        <w:jc w:val="both"/>
        <w:rPr>
          <w:rFonts w:ascii="Times New Roman" w:eastAsia="Calibri" w:hAnsi="Times New Roman" w:cs="Times New Roman"/>
          <w:color w:val="000000"/>
          <w:sz w:val="24"/>
          <w:szCs w:val="24"/>
        </w:rPr>
      </w:pPr>
      <w:r w:rsidRPr="004D1ECD">
        <w:rPr>
          <w:rFonts w:ascii="Times New Roman" w:eastAsia="Calibri" w:hAnsi="Times New Roman" w:cs="Times New Roman"/>
          <w:color w:val="000000"/>
          <w:sz w:val="24"/>
          <w:szCs w:val="24"/>
        </w:rPr>
        <w:t>It balances short term as</w:t>
      </w:r>
      <w:r w:rsidR="00D26E8D">
        <w:rPr>
          <w:rFonts w:ascii="Times New Roman" w:eastAsia="Calibri" w:hAnsi="Times New Roman" w:cs="Times New Roman"/>
          <w:color w:val="000000"/>
          <w:sz w:val="24"/>
          <w:szCs w:val="24"/>
        </w:rPr>
        <w:t>sets and liabilities.</w:t>
      </w:r>
    </w:p>
    <w:p w:rsidR="0051679F" w:rsidRPr="004D1ECD" w:rsidRDefault="0051679F" w:rsidP="0051679F">
      <w:pPr>
        <w:numPr>
          <w:ilvl w:val="0"/>
          <w:numId w:val="1"/>
        </w:numPr>
        <w:spacing w:after="200" w:line="276" w:lineRule="auto"/>
        <w:contextualSpacing/>
        <w:jc w:val="both"/>
        <w:rPr>
          <w:rFonts w:ascii="Times New Roman" w:eastAsia="Calibri" w:hAnsi="Times New Roman" w:cs="Times New Roman"/>
          <w:color w:val="000000"/>
          <w:sz w:val="24"/>
          <w:szCs w:val="24"/>
        </w:rPr>
      </w:pPr>
      <w:r w:rsidRPr="004D1ECD">
        <w:rPr>
          <w:rFonts w:ascii="Times New Roman" w:eastAsia="Calibri" w:hAnsi="Times New Roman" w:cs="Times New Roman"/>
          <w:color w:val="000000"/>
          <w:sz w:val="24"/>
          <w:szCs w:val="24"/>
        </w:rPr>
        <w:t>I</w:t>
      </w:r>
      <w:r w:rsidR="00D26E8D">
        <w:rPr>
          <w:rFonts w:ascii="Times New Roman" w:eastAsia="Calibri" w:hAnsi="Times New Roman" w:cs="Times New Roman"/>
          <w:color w:val="000000"/>
          <w:sz w:val="24"/>
          <w:szCs w:val="24"/>
        </w:rPr>
        <w:t>t i</w:t>
      </w:r>
      <w:r w:rsidRPr="004D1ECD">
        <w:rPr>
          <w:rFonts w:ascii="Times New Roman" w:eastAsia="Calibri" w:hAnsi="Times New Roman" w:cs="Times New Roman"/>
          <w:color w:val="000000"/>
          <w:sz w:val="24"/>
          <w:szCs w:val="24"/>
        </w:rPr>
        <w:t>mprov</w:t>
      </w:r>
      <w:r w:rsidR="00D26E8D">
        <w:rPr>
          <w:rFonts w:ascii="Times New Roman" w:eastAsia="Calibri" w:hAnsi="Times New Roman" w:cs="Times New Roman"/>
          <w:color w:val="000000"/>
          <w:sz w:val="24"/>
          <w:szCs w:val="24"/>
        </w:rPr>
        <w:t>es</w:t>
      </w:r>
      <w:r w:rsidRPr="004D1ECD">
        <w:rPr>
          <w:rFonts w:ascii="Times New Roman" w:eastAsia="Calibri" w:hAnsi="Times New Roman" w:cs="Times New Roman"/>
          <w:color w:val="000000"/>
          <w:sz w:val="24"/>
          <w:szCs w:val="24"/>
        </w:rPr>
        <w:t xml:space="preserve"> credit profile and solvency.</w:t>
      </w:r>
    </w:p>
    <w:p w:rsidR="0051679F" w:rsidRPr="004D1ECD" w:rsidRDefault="0051679F" w:rsidP="0051679F">
      <w:pPr>
        <w:numPr>
          <w:ilvl w:val="0"/>
          <w:numId w:val="1"/>
        </w:numPr>
        <w:spacing w:after="200" w:line="276" w:lineRule="auto"/>
        <w:contextualSpacing/>
        <w:jc w:val="both"/>
        <w:rPr>
          <w:rFonts w:ascii="Times New Roman" w:eastAsia="Calibri" w:hAnsi="Times New Roman" w:cs="Times New Roman"/>
          <w:color w:val="000000"/>
          <w:sz w:val="24"/>
          <w:szCs w:val="24"/>
        </w:rPr>
      </w:pPr>
      <w:r w:rsidRPr="004D1ECD">
        <w:rPr>
          <w:rFonts w:ascii="Times New Roman" w:eastAsia="Calibri" w:hAnsi="Times New Roman" w:cs="Times New Roman"/>
          <w:color w:val="000000"/>
          <w:sz w:val="24"/>
          <w:szCs w:val="24"/>
        </w:rPr>
        <w:t>I</w:t>
      </w:r>
      <w:r w:rsidR="00D26E8D">
        <w:rPr>
          <w:rFonts w:ascii="Times New Roman" w:eastAsia="Calibri" w:hAnsi="Times New Roman" w:cs="Times New Roman"/>
          <w:color w:val="000000"/>
          <w:sz w:val="24"/>
          <w:szCs w:val="24"/>
        </w:rPr>
        <w:t>t i</w:t>
      </w:r>
      <w:r w:rsidRPr="004D1ECD">
        <w:rPr>
          <w:rFonts w:ascii="Times New Roman" w:eastAsia="Calibri" w:hAnsi="Times New Roman" w:cs="Times New Roman"/>
          <w:color w:val="000000"/>
          <w:sz w:val="24"/>
          <w:szCs w:val="24"/>
        </w:rPr>
        <w:t>ncreas</w:t>
      </w:r>
      <w:r w:rsidR="00D26E8D">
        <w:rPr>
          <w:rFonts w:ascii="Times New Roman" w:eastAsia="Calibri" w:hAnsi="Times New Roman" w:cs="Times New Roman"/>
          <w:color w:val="000000"/>
          <w:sz w:val="24"/>
          <w:szCs w:val="24"/>
        </w:rPr>
        <w:t>es</w:t>
      </w:r>
      <w:r w:rsidRPr="004D1ECD">
        <w:rPr>
          <w:rFonts w:ascii="Times New Roman" w:eastAsia="Calibri" w:hAnsi="Times New Roman" w:cs="Times New Roman"/>
          <w:color w:val="000000"/>
          <w:sz w:val="24"/>
          <w:szCs w:val="24"/>
        </w:rPr>
        <w:t xml:space="preserve"> profit and business value.</w:t>
      </w:r>
    </w:p>
    <w:p w:rsidR="0051679F" w:rsidRPr="004D1ECD" w:rsidRDefault="0051679F" w:rsidP="0051679F">
      <w:pPr>
        <w:numPr>
          <w:ilvl w:val="0"/>
          <w:numId w:val="1"/>
        </w:numPr>
        <w:spacing w:after="200" w:line="276" w:lineRule="auto"/>
        <w:contextualSpacing/>
        <w:jc w:val="both"/>
        <w:rPr>
          <w:rFonts w:ascii="Times New Roman" w:eastAsia="Calibri" w:hAnsi="Times New Roman" w:cs="Times New Roman"/>
          <w:color w:val="000000"/>
          <w:sz w:val="24"/>
          <w:szCs w:val="24"/>
        </w:rPr>
      </w:pPr>
      <w:r w:rsidRPr="004D1ECD">
        <w:rPr>
          <w:rFonts w:ascii="Times New Roman" w:eastAsia="Calibri" w:hAnsi="Times New Roman" w:cs="Times New Roman"/>
          <w:color w:val="000000"/>
          <w:sz w:val="24"/>
          <w:szCs w:val="24"/>
        </w:rPr>
        <w:t xml:space="preserve">Ability to </w:t>
      </w:r>
      <w:r w:rsidR="00D26E8D">
        <w:rPr>
          <w:rFonts w:ascii="Times New Roman" w:eastAsia="Calibri" w:hAnsi="Times New Roman" w:cs="Times New Roman"/>
          <w:color w:val="000000"/>
          <w:sz w:val="24"/>
          <w:szCs w:val="24"/>
        </w:rPr>
        <w:t>handle</w:t>
      </w:r>
      <w:r w:rsidRPr="004D1ECD">
        <w:rPr>
          <w:rFonts w:ascii="Times New Roman" w:eastAsia="Calibri" w:hAnsi="Times New Roman" w:cs="Times New Roman"/>
          <w:color w:val="000000"/>
          <w:sz w:val="24"/>
          <w:szCs w:val="24"/>
        </w:rPr>
        <w:t xml:space="preserve"> unwanted circumstances.</w:t>
      </w:r>
    </w:p>
    <w:p w:rsidR="0051679F" w:rsidRPr="004D1ECD" w:rsidRDefault="0051679F" w:rsidP="0051679F">
      <w:pPr>
        <w:numPr>
          <w:ilvl w:val="0"/>
          <w:numId w:val="1"/>
        </w:numPr>
        <w:spacing w:after="200" w:line="276" w:lineRule="auto"/>
        <w:contextualSpacing/>
        <w:jc w:val="both"/>
        <w:rPr>
          <w:rFonts w:ascii="Times New Roman" w:eastAsia="Calibri" w:hAnsi="Times New Roman" w:cs="Times New Roman"/>
          <w:color w:val="000000"/>
          <w:sz w:val="24"/>
          <w:szCs w:val="24"/>
        </w:rPr>
      </w:pPr>
      <w:r w:rsidRPr="004D1ECD">
        <w:rPr>
          <w:rFonts w:ascii="Times New Roman" w:eastAsia="Calibri" w:hAnsi="Times New Roman" w:cs="Times New Roman"/>
          <w:color w:val="000000"/>
          <w:sz w:val="24"/>
          <w:szCs w:val="24"/>
        </w:rPr>
        <w:t>Competitive advantages.</w:t>
      </w:r>
    </w:p>
    <w:p w:rsidR="0051679F" w:rsidRPr="004D1ECD" w:rsidRDefault="0051679F" w:rsidP="0051679F">
      <w:pPr>
        <w:numPr>
          <w:ilvl w:val="0"/>
          <w:numId w:val="1"/>
        </w:numPr>
        <w:spacing w:after="200" w:line="276" w:lineRule="auto"/>
        <w:contextualSpacing/>
        <w:jc w:val="both"/>
        <w:rPr>
          <w:rFonts w:ascii="Times New Roman" w:eastAsia="Calibri" w:hAnsi="Times New Roman" w:cs="Times New Roman"/>
          <w:color w:val="000000"/>
          <w:sz w:val="24"/>
          <w:szCs w:val="24"/>
        </w:rPr>
      </w:pPr>
      <w:r w:rsidRPr="004D1ECD">
        <w:rPr>
          <w:rFonts w:ascii="Times New Roman" w:eastAsia="Calibri" w:hAnsi="Times New Roman" w:cs="Times New Roman"/>
          <w:color w:val="000000"/>
          <w:sz w:val="24"/>
          <w:szCs w:val="24"/>
        </w:rPr>
        <w:t>Proper use of current assets.</w:t>
      </w:r>
    </w:p>
    <w:p w:rsidR="0051679F" w:rsidRPr="004D1ECD" w:rsidRDefault="0051679F" w:rsidP="0051679F">
      <w:pPr>
        <w:spacing w:after="200" w:line="276" w:lineRule="auto"/>
        <w:ind w:left="720"/>
        <w:contextualSpacing/>
        <w:jc w:val="both"/>
        <w:rPr>
          <w:rFonts w:ascii="Times New Roman" w:eastAsia="Calibri" w:hAnsi="Times New Roman" w:cs="Times New Roman"/>
          <w:color w:val="000000"/>
          <w:sz w:val="24"/>
          <w:szCs w:val="24"/>
        </w:rPr>
      </w:pPr>
    </w:p>
    <w:p w:rsidR="0051679F" w:rsidRPr="005B7EC9" w:rsidRDefault="0051679F" w:rsidP="0051679F">
      <w:pPr>
        <w:pStyle w:val="Heading2"/>
        <w:spacing w:line="276" w:lineRule="auto"/>
        <w:jc w:val="both"/>
        <w:rPr>
          <w:rFonts w:ascii="Times New Roman" w:eastAsia="Times New Roman" w:hAnsi="Times New Roman" w:cs="Times New Roman"/>
          <w:sz w:val="24"/>
          <w:szCs w:val="24"/>
        </w:rPr>
      </w:pPr>
      <w:bookmarkStart w:id="5" w:name="_Toc18627791"/>
      <w:r w:rsidRPr="005B7EC9">
        <w:rPr>
          <w:rFonts w:ascii="Times New Roman" w:eastAsia="Times New Roman" w:hAnsi="Times New Roman" w:cs="Times New Roman"/>
          <w:sz w:val="24"/>
          <w:szCs w:val="24"/>
        </w:rPr>
        <w:t>Problems with adequate working capital</w:t>
      </w:r>
      <w:bookmarkEnd w:id="5"/>
    </w:p>
    <w:p w:rsidR="0051679F" w:rsidRPr="004D1ECD" w:rsidRDefault="00A75C86" w:rsidP="0051679F">
      <w:pPr>
        <w:spacing w:after="200" w:line="276"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Inadequate working capital may cause of </w:t>
      </w:r>
      <w:r w:rsidRPr="004D1ECD">
        <w:rPr>
          <w:rFonts w:ascii="Times New Roman" w:eastAsia="Calibri" w:hAnsi="Times New Roman" w:cs="Times New Roman"/>
          <w:color w:val="000000"/>
          <w:sz w:val="24"/>
          <w:szCs w:val="24"/>
        </w:rPr>
        <w:t>difficulties</w:t>
      </w:r>
      <w:r>
        <w:rPr>
          <w:rFonts w:ascii="Times New Roman" w:eastAsia="Calibri" w:hAnsi="Times New Roman" w:cs="Times New Roman"/>
          <w:color w:val="000000"/>
          <w:sz w:val="24"/>
          <w:szCs w:val="24"/>
        </w:rPr>
        <w:t xml:space="preserve"> for an organization,</w:t>
      </w:r>
      <w:r w:rsidR="0051679F" w:rsidRPr="004D1ECD">
        <w:rPr>
          <w:rFonts w:ascii="Times New Roman" w:eastAsia="Calibri" w:hAnsi="Times New Roman" w:cs="Times New Roman"/>
          <w:color w:val="000000"/>
          <w:sz w:val="24"/>
          <w:szCs w:val="24"/>
        </w:rPr>
        <w:t xml:space="preserve"> like the following:</w:t>
      </w:r>
    </w:p>
    <w:p w:rsidR="0051679F" w:rsidRPr="004D1ECD" w:rsidRDefault="0051679F" w:rsidP="0051679F">
      <w:pPr>
        <w:numPr>
          <w:ilvl w:val="0"/>
          <w:numId w:val="3"/>
        </w:numPr>
        <w:spacing w:after="200" w:line="276" w:lineRule="auto"/>
        <w:contextualSpacing/>
        <w:jc w:val="both"/>
        <w:rPr>
          <w:rFonts w:ascii="Times New Roman" w:eastAsia="Calibri" w:hAnsi="Times New Roman" w:cs="Times New Roman"/>
          <w:color w:val="000000"/>
          <w:sz w:val="24"/>
          <w:szCs w:val="24"/>
        </w:rPr>
      </w:pPr>
      <w:r w:rsidRPr="004D1ECD">
        <w:rPr>
          <w:rFonts w:ascii="Times New Roman" w:eastAsia="Calibri" w:hAnsi="Times New Roman" w:cs="Times New Roman"/>
          <w:color w:val="000000"/>
          <w:sz w:val="24"/>
          <w:szCs w:val="24"/>
        </w:rPr>
        <w:t>in</w:t>
      </w:r>
      <w:r w:rsidR="00FF75A3">
        <w:rPr>
          <w:rFonts w:ascii="Times New Roman" w:eastAsia="Calibri" w:hAnsi="Times New Roman" w:cs="Times New Roman"/>
          <w:color w:val="000000"/>
          <w:sz w:val="24"/>
          <w:szCs w:val="24"/>
        </w:rPr>
        <w:t>sufficient</w:t>
      </w:r>
      <w:r w:rsidR="00A75C86">
        <w:rPr>
          <w:rFonts w:ascii="Times New Roman" w:eastAsia="Calibri" w:hAnsi="Times New Roman" w:cs="Times New Roman"/>
          <w:color w:val="000000"/>
          <w:sz w:val="24"/>
          <w:szCs w:val="24"/>
        </w:rPr>
        <w:t xml:space="preserve"> working capital may cause of end of the business.</w:t>
      </w:r>
    </w:p>
    <w:p w:rsidR="00A75C86" w:rsidRDefault="00A75C86" w:rsidP="0051679F">
      <w:pPr>
        <w:numPr>
          <w:ilvl w:val="0"/>
          <w:numId w:val="3"/>
        </w:numPr>
        <w:spacing w:after="200" w:line="276"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Firm faces problem in maintains fixed asset.</w:t>
      </w:r>
    </w:p>
    <w:p w:rsidR="0051679F" w:rsidRPr="004D1ECD" w:rsidRDefault="00A75C86" w:rsidP="0051679F">
      <w:pPr>
        <w:numPr>
          <w:ilvl w:val="0"/>
          <w:numId w:val="3"/>
        </w:numPr>
        <w:spacing w:after="200" w:line="276"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Sellers provide discount on sudden so, insufficient working capital makes fail to catch the opportunities.</w:t>
      </w:r>
    </w:p>
    <w:p w:rsidR="0051679F" w:rsidRPr="004D1ECD" w:rsidRDefault="00A75C86" w:rsidP="0051679F">
      <w:pPr>
        <w:numPr>
          <w:ilvl w:val="0"/>
          <w:numId w:val="3"/>
        </w:numPr>
        <w:spacing w:after="200" w:line="276"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Firm growth remains slow.</w:t>
      </w:r>
    </w:p>
    <w:p w:rsidR="0051679F" w:rsidRPr="004D1ECD" w:rsidRDefault="0051679F" w:rsidP="0051679F">
      <w:pPr>
        <w:numPr>
          <w:ilvl w:val="0"/>
          <w:numId w:val="3"/>
        </w:numPr>
        <w:spacing w:after="200" w:line="276" w:lineRule="auto"/>
        <w:contextualSpacing/>
        <w:jc w:val="both"/>
        <w:rPr>
          <w:rFonts w:ascii="Times New Roman" w:eastAsia="Calibri" w:hAnsi="Times New Roman" w:cs="Times New Roman"/>
          <w:color w:val="000000"/>
          <w:sz w:val="24"/>
          <w:szCs w:val="24"/>
        </w:rPr>
      </w:pPr>
      <w:r w:rsidRPr="004D1ECD">
        <w:rPr>
          <w:rFonts w:ascii="Times New Roman" w:eastAsia="Calibri" w:hAnsi="Times New Roman" w:cs="Times New Roman"/>
          <w:color w:val="000000"/>
          <w:sz w:val="24"/>
          <w:szCs w:val="24"/>
        </w:rPr>
        <w:t>Liquidity</w:t>
      </w:r>
      <w:r w:rsidR="00A75C86">
        <w:rPr>
          <w:rFonts w:ascii="Times New Roman" w:eastAsia="Calibri" w:hAnsi="Times New Roman" w:cs="Times New Roman"/>
          <w:color w:val="000000"/>
          <w:sz w:val="24"/>
          <w:szCs w:val="24"/>
        </w:rPr>
        <w:t xml:space="preserve"> remains small amount </w:t>
      </w:r>
      <w:r w:rsidR="00FF75A3">
        <w:rPr>
          <w:rFonts w:ascii="Times New Roman" w:eastAsia="Calibri" w:hAnsi="Times New Roman" w:cs="Times New Roman"/>
          <w:color w:val="000000"/>
          <w:sz w:val="24"/>
          <w:szCs w:val="24"/>
        </w:rPr>
        <w:t>cause of</w:t>
      </w:r>
      <w:r w:rsidRPr="004D1ECD">
        <w:rPr>
          <w:rFonts w:ascii="Times New Roman" w:eastAsia="Calibri" w:hAnsi="Times New Roman" w:cs="Times New Roman"/>
          <w:color w:val="000000"/>
          <w:sz w:val="24"/>
          <w:szCs w:val="24"/>
        </w:rPr>
        <w:t xml:space="preserve"> inadequate capital</w:t>
      </w:r>
      <w:r w:rsidR="00AD2713">
        <w:rPr>
          <w:rFonts w:ascii="Times New Roman" w:eastAsia="Calibri" w:hAnsi="Times New Roman" w:cs="Times New Roman"/>
          <w:color w:val="000000"/>
          <w:sz w:val="24"/>
          <w:szCs w:val="24"/>
        </w:rPr>
        <w:t>.</w:t>
      </w:r>
    </w:p>
    <w:p w:rsidR="0051679F" w:rsidRPr="004D1ECD" w:rsidRDefault="00AD2713" w:rsidP="0051679F">
      <w:pPr>
        <w:numPr>
          <w:ilvl w:val="0"/>
          <w:numId w:val="3"/>
        </w:numPr>
        <w:spacing w:after="200" w:line="276"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If the firm fails to repay their liabilities reputation may affected.</w:t>
      </w:r>
    </w:p>
    <w:p w:rsidR="0051679F" w:rsidRPr="004D1ECD" w:rsidRDefault="00AD2713" w:rsidP="0051679F">
      <w:pPr>
        <w:numPr>
          <w:ilvl w:val="0"/>
          <w:numId w:val="3"/>
        </w:numPr>
        <w:spacing w:after="200" w:line="276"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In adequate working capital may cause of failure of dividend payment.</w:t>
      </w:r>
    </w:p>
    <w:p w:rsidR="0051679F" w:rsidRPr="004D1ECD" w:rsidRDefault="00AD2713" w:rsidP="0051679F">
      <w:pPr>
        <w:numPr>
          <w:ilvl w:val="0"/>
          <w:numId w:val="3"/>
        </w:numPr>
        <w:spacing w:after="200" w:line="276"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Daily works got difficulties.</w:t>
      </w:r>
    </w:p>
    <w:p w:rsidR="0051679F" w:rsidRPr="004D1ECD" w:rsidRDefault="0051679F" w:rsidP="0051679F">
      <w:pPr>
        <w:spacing w:after="200" w:line="276" w:lineRule="auto"/>
        <w:ind w:left="720"/>
        <w:contextualSpacing/>
        <w:jc w:val="both"/>
        <w:rPr>
          <w:rFonts w:ascii="Times New Roman" w:eastAsia="Calibri" w:hAnsi="Times New Roman" w:cs="Times New Roman"/>
          <w:color w:val="000000"/>
          <w:sz w:val="24"/>
          <w:szCs w:val="24"/>
        </w:rPr>
      </w:pPr>
    </w:p>
    <w:p w:rsidR="0051679F" w:rsidRPr="005B7EC9" w:rsidRDefault="0051679F" w:rsidP="0051679F">
      <w:pPr>
        <w:pStyle w:val="Heading2"/>
        <w:spacing w:line="276" w:lineRule="auto"/>
        <w:jc w:val="both"/>
        <w:rPr>
          <w:rFonts w:ascii="Times New Roman" w:eastAsia="Times New Roman" w:hAnsi="Times New Roman" w:cs="Times New Roman"/>
          <w:sz w:val="24"/>
          <w:szCs w:val="24"/>
        </w:rPr>
      </w:pPr>
      <w:bookmarkStart w:id="6" w:name="_Toc18627792"/>
      <w:r w:rsidRPr="005B7EC9">
        <w:rPr>
          <w:rFonts w:ascii="Times New Roman" w:eastAsia="Times New Roman" w:hAnsi="Times New Roman" w:cs="Times New Roman"/>
          <w:sz w:val="24"/>
          <w:szCs w:val="24"/>
        </w:rPr>
        <w:t>Cash Management Process</w:t>
      </w:r>
      <w:bookmarkEnd w:id="6"/>
    </w:p>
    <w:p w:rsidR="0051679F" w:rsidRPr="00870082" w:rsidRDefault="0051679F" w:rsidP="0051679F">
      <w:pPr>
        <w:spacing w:after="200" w:line="276" w:lineRule="auto"/>
        <w:jc w:val="both"/>
        <w:rPr>
          <w:rFonts w:ascii="Times New Roman" w:eastAsia="Calibri" w:hAnsi="Times New Roman" w:cs="Times New Roman"/>
          <w:color w:val="000000"/>
          <w:sz w:val="24"/>
          <w:szCs w:val="24"/>
        </w:rPr>
      </w:pPr>
      <w:r w:rsidRPr="004D1ECD">
        <w:rPr>
          <w:rFonts w:ascii="Times New Roman" w:eastAsia="Calibri" w:hAnsi="Times New Roman" w:cs="Times New Roman"/>
          <w:color w:val="000000"/>
          <w:sz w:val="24"/>
          <w:szCs w:val="24"/>
        </w:rPr>
        <w:t>The cash management process is the flow that includes the total time interval beginning with the first phase of operating cycle at the time of purchasing resources until the last step of collecting receipts.</w:t>
      </w:r>
    </w:p>
    <w:p w:rsidR="0051679F" w:rsidRPr="005B7EC9" w:rsidRDefault="0051679F" w:rsidP="005B7EC9">
      <w:pPr>
        <w:pStyle w:val="Heading2"/>
        <w:rPr>
          <w:szCs w:val="24"/>
        </w:rPr>
      </w:pPr>
      <w:bookmarkStart w:id="7" w:name="_Toc18627793"/>
      <w:r w:rsidRPr="005B7EC9">
        <w:rPr>
          <w:szCs w:val="24"/>
        </w:rPr>
        <w:t>Analysis</w:t>
      </w:r>
      <w:bookmarkEnd w:id="7"/>
    </w:p>
    <w:p w:rsidR="0051679F" w:rsidRPr="00870082" w:rsidRDefault="0051679F" w:rsidP="00870082">
      <w:pPr>
        <w:spacing w:after="200" w:line="276" w:lineRule="auto"/>
        <w:jc w:val="both"/>
        <w:rPr>
          <w:rFonts w:ascii="Times New Roman" w:eastAsia="Times New Roman" w:hAnsi="Times New Roman" w:cs="Times New Roman"/>
          <w:color w:val="000000"/>
          <w:sz w:val="24"/>
          <w:szCs w:val="24"/>
        </w:rPr>
      </w:pPr>
      <w:r w:rsidRPr="004D1ECD">
        <w:rPr>
          <w:rFonts w:ascii="Times New Roman" w:eastAsia="Times New Roman" w:hAnsi="Times New Roman" w:cs="Times New Roman"/>
          <w:color w:val="000000"/>
          <w:sz w:val="24"/>
          <w:szCs w:val="24"/>
        </w:rPr>
        <w:t>The working capital cycle is the continual flow of purchasing and using resources through the various working capital accounts.  It measures the time amount which elapses among the moment when a firm begins investing cash in a product or service and the moment of the payment for that product or service.</w:t>
      </w:r>
    </w:p>
    <w:p w:rsidR="0051679F" w:rsidRPr="005B7EC9" w:rsidRDefault="0051679F" w:rsidP="0051679F">
      <w:pPr>
        <w:pStyle w:val="Heading2"/>
        <w:spacing w:line="276" w:lineRule="auto"/>
        <w:jc w:val="both"/>
        <w:rPr>
          <w:rFonts w:ascii="Times New Roman" w:eastAsia="Times New Roman" w:hAnsi="Times New Roman" w:cs="Times New Roman"/>
          <w:sz w:val="24"/>
          <w:szCs w:val="24"/>
        </w:rPr>
      </w:pPr>
      <w:bookmarkStart w:id="8" w:name="_Toc18627794"/>
      <w:r w:rsidRPr="005B7EC9">
        <w:rPr>
          <w:rFonts w:ascii="Times New Roman" w:eastAsia="Times New Roman" w:hAnsi="Times New Roman" w:cs="Times New Roman"/>
          <w:sz w:val="24"/>
          <w:szCs w:val="24"/>
        </w:rPr>
        <w:t>Policies in working capital management</w:t>
      </w:r>
      <w:bookmarkEnd w:id="8"/>
    </w:p>
    <w:p w:rsidR="0051679F" w:rsidRPr="004D1ECD" w:rsidRDefault="0051679F" w:rsidP="0051679F">
      <w:pPr>
        <w:tabs>
          <w:tab w:val="left" w:pos="6168"/>
        </w:tabs>
        <w:spacing w:after="200" w:line="276" w:lineRule="auto"/>
        <w:jc w:val="both"/>
        <w:rPr>
          <w:rFonts w:ascii="Times New Roman" w:eastAsia="Times New Roman" w:hAnsi="Times New Roman" w:cs="Times New Roman"/>
          <w:color w:val="000000"/>
          <w:sz w:val="24"/>
          <w:szCs w:val="24"/>
        </w:rPr>
      </w:pPr>
      <w:r w:rsidRPr="004D1ECD">
        <w:rPr>
          <w:rFonts w:ascii="Times New Roman" w:eastAsia="Times New Roman" w:hAnsi="Times New Roman" w:cs="Times New Roman"/>
          <w:color w:val="000000"/>
          <w:sz w:val="24"/>
          <w:szCs w:val="24"/>
        </w:rPr>
        <w:t>There are three approaches of current asset financing policies.</w:t>
      </w:r>
    </w:p>
    <w:p w:rsidR="0051679F" w:rsidRPr="004D1ECD" w:rsidRDefault="0051679F" w:rsidP="0051679F">
      <w:pPr>
        <w:tabs>
          <w:tab w:val="left" w:pos="6168"/>
        </w:tabs>
        <w:spacing w:after="200" w:line="276" w:lineRule="auto"/>
        <w:jc w:val="both"/>
        <w:rPr>
          <w:rFonts w:ascii="Times New Roman" w:eastAsia="Times New Roman" w:hAnsi="Times New Roman" w:cs="Times New Roman"/>
          <w:color w:val="000000"/>
          <w:sz w:val="24"/>
          <w:szCs w:val="24"/>
        </w:rPr>
      </w:pPr>
      <w:r w:rsidRPr="004D1ECD">
        <w:rPr>
          <w:rFonts w:ascii="Times New Roman" w:eastAsia="Times New Roman" w:hAnsi="Times New Roman" w:cs="Times New Roman"/>
          <w:color w:val="000000"/>
          <w:sz w:val="24"/>
          <w:szCs w:val="24"/>
        </w:rPr>
        <w:t>(1) Traditional approach (2) Aggressive approach (3) Conservative approach.</w:t>
      </w:r>
    </w:p>
    <w:p w:rsidR="0051679F" w:rsidRPr="004D1ECD" w:rsidRDefault="0051679F" w:rsidP="0051679F">
      <w:pPr>
        <w:tabs>
          <w:tab w:val="left" w:pos="6168"/>
        </w:tabs>
        <w:spacing w:after="200" w:line="276" w:lineRule="auto"/>
        <w:jc w:val="both"/>
        <w:rPr>
          <w:rFonts w:ascii="Times New Roman" w:eastAsia="Times New Roman" w:hAnsi="Times New Roman" w:cs="Times New Roman"/>
          <w:color w:val="000000"/>
          <w:sz w:val="24"/>
          <w:szCs w:val="24"/>
        </w:rPr>
      </w:pPr>
      <w:r w:rsidRPr="004D1ECD">
        <w:rPr>
          <w:rFonts w:ascii="Times New Roman" w:eastAsia="Times New Roman" w:hAnsi="Times New Roman" w:cs="Times New Roman"/>
          <w:color w:val="000000"/>
          <w:sz w:val="24"/>
          <w:szCs w:val="24"/>
        </w:rPr>
        <w:t xml:space="preserve">Square Textiles Limited follows aggressive approach because they are more risk taker. They observe the volume of current liability is in excess of the volume of current assets. </w:t>
      </w:r>
    </w:p>
    <w:p w:rsidR="0051679F" w:rsidRDefault="0051679F" w:rsidP="0051679F">
      <w:pPr>
        <w:tabs>
          <w:tab w:val="left" w:pos="6168"/>
        </w:tabs>
        <w:spacing w:after="200" w:line="276" w:lineRule="auto"/>
        <w:jc w:val="both"/>
        <w:rPr>
          <w:rFonts w:ascii="Times New Roman" w:eastAsia="Times New Roman" w:hAnsi="Times New Roman" w:cs="Times New Roman"/>
          <w:color w:val="000000"/>
          <w:sz w:val="24"/>
          <w:szCs w:val="24"/>
        </w:rPr>
      </w:pPr>
    </w:p>
    <w:p w:rsidR="0051679F" w:rsidRDefault="0051679F" w:rsidP="0051679F">
      <w:pPr>
        <w:tabs>
          <w:tab w:val="left" w:pos="6168"/>
        </w:tabs>
        <w:spacing w:after="200" w:line="276" w:lineRule="auto"/>
        <w:jc w:val="both"/>
        <w:rPr>
          <w:rFonts w:ascii="Times New Roman" w:eastAsia="Times New Roman" w:hAnsi="Times New Roman" w:cs="Times New Roman"/>
          <w:color w:val="000000"/>
          <w:sz w:val="24"/>
          <w:szCs w:val="24"/>
        </w:rPr>
      </w:pPr>
    </w:p>
    <w:p w:rsidR="0051679F" w:rsidRPr="004D1ECD" w:rsidRDefault="0051679F" w:rsidP="0051679F">
      <w:pPr>
        <w:tabs>
          <w:tab w:val="left" w:pos="6168"/>
        </w:tabs>
        <w:spacing w:after="200" w:line="276" w:lineRule="auto"/>
        <w:jc w:val="both"/>
        <w:rPr>
          <w:rFonts w:ascii="Times New Roman" w:eastAsia="Times New Roman" w:hAnsi="Times New Roman" w:cs="Times New Roman"/>
          <w:color w:val="000000"/>
          <w:sz w:val="24"/>
          <w:szCs w:val="24"/>
        </w:rPr>
      </w:pPr>
    </w:p>
    <w:p w:rsidR="000C4D7B" w:rsidRDefault="000C4D7B"/>
    <w:p w:rsidR="0051679F" w:rsidRDefault="0051679F"/>
    <w:p w:rsidR="00AA07C9" w:rsidRDefault="00AA07C9" w:rsidP="00142596">
      <w:pPr>
        <w:pStyle w:val="Heading1"/>
        <w:jc w:val="center"/>
        <w:rPr>
          <w:b/>
          <w:color w:val="4F6228" w:themeColor="accent3" w:themeShade="80"/>
          <w:sz w:val="56"/>
          <w:szCs w:val="56"/>
        </w:rPr>
      </w:pPr>
      <w:bookmarkStart w:id="9" w:name="_Toc18627795"/>
      <w:r>
        <w:rPr>
          <w:b/>
          <w:color w:val="4F6228" w:themeColor="accent3" w:themeShade="80"/>
          <w:sz w:val="56"/>
          <w:szCs w:val="56"/>
        </w:rPr>
        <w:lastRenderedPageBreak/>
        <w:t>Methodology</w:t>
      </w:r>
      <w:bookmarkEnd w:id="9"/>
    </w:p>
    <w:p w:rsidR="00AA07C9" w:rsidRPr="00AA07C9" w:rsidRDefault="00FF50D8" w:rsidP="00AA07C9">
      <w:pPr>
        <w:pStyle w:val="Heading1"/>
        <w:jc w:val="both"/>
        <w:rPr>
          <w:rFonts w:ascii="Times New Roman" w:hAnsi="Times New Roman" w:cs="Times New Roman"/>
          <w:color w:val="auto"/>
          <w:sz w:val="24"/>
          <w:szCs w:val="24"/>
        </w:rPr>
      </w:pPr>
      <w:bookmarkStart w:id="10" w:name="_Toc15731448"/>
      <w:bookmarkStart w:id="11" w:name="_Toc15941290"/>
      <w:bookmarkStart w:id="12" w:name="_Toc17270392"/>
      <w:bookmarkStart w:id="13" w:name="_Toc18627796"/>
      <w:r>
        <w:rPr>
          <w:rFonts w:ascii="Times New Roman" w:hAnsi="Times New Roman" w:cs="Times New Roman"/>
          <w:color w:val="auto"/>
          <w:sz w:val="24"/>
          <w:szCs w:val="24"/>
        </w:rPr>
        <w:t>I have used some</w:t>
      </w:r>
      <w:r w:rsidR="00AA07C9" w:rsidRPr="00AA07C9">
        <w:rPr>
          <w:rFonts w:ascii="Times New Roman" w:hAnsi="Times New Roman" w:cs="Times New Roman"/>
          <w:color w:val="auto"/>
          <w:sz w:val="24"/>
          <w:szCs w:val="24"/>
        </w:rPr>
        <w:t xml:space="preserve"> technique</w:t>
      </w:r>
      <w:r>
        <w:rPr>
          <w:rFonts w:ascii="Times New Roman" w:hAnsi="Times New Roman" w:cs="Times New Roman"/>
          <w:color w:val="auto"/>
          <w:sz w:val="24"/>
          <w:szCs w:val="24"/>
        </w:rPr>
        <w:t>s</w:t>
      </w:r>
      <w:r w:rsidR="00AA07C9" w:rsidRPr="00AA07C9">
        <w:rPr>
          <w:rFonts w:ascii="Times New Roman" w:hAnsi="Times New Roman" w:cs="Times New Roman"/>
          <w:color w:val="auto"/>
          <w:sz w:val="24"/>
          <w:szCs w:val="24"/>
        </w:rPr>
        <w:t xml:space="preserve"> through the research </w:t>
      </w:r>
      <w:r>
        <w:rPr>
          <w:rFonts w:ascii="Times New Roman" w:hAnsi="Times New Roman" w:cs="Times New Roman"/>
          <w:color w:val="auto"/>
          <w:sz w:val="24"/>
          <w:szCs w:val="24"/>
        </w:rPr>
        <w:t>is</w:t>
      </w:r>
      <w:r w:rsidR="00AA07C9" w:rsidRPr="00AA07C9">
        <w:rPr>
          <w:rFonts w:ascii="Times New Roman" w:hAnsi="Times New Roman" w:cs="Times New Roman"/>
          <w:color w:val="auto"/>
          <w:sz w:val="24"/>
          <w:szCs w:val="24"/>
        </w:rPr>
        <w:t xml:space="preserve"> done.</w:t>
      </w:r>
      <w:r>
        <w:rPr>
          <w:rFonts w:ascii="Times New Roman" w:hAnsi="Times New Roman" w:cs="Times New Roman"/>
          <w:color w:val="auto"/>
          <w:sz w:val="24"/>
          <w:szCs w:val="24"/>
        </w:rPr>
        <w:t xml:space="preserve"> I used mostly secondary data to do this research like company’s annual report and company profile through their websites and stock exchange websites in Bangladesh</w:t>
      </w:r>
      <w:r w:rsidR="00AA07C9" w:rsidRPr="00AA07C9">
        <w:rPr>
          <w:rFonts w:ascii="Times New Roman" w:hAnsi="Times New Roman" w:cs="Times New Roman"/>
          <w:color w:val="auto"/>
          <w:sz w:val="24"/>
          <w:szCs w:val="24"/>
        </w:rPr>
        <w:t xml:space="preserve">. </w:t>
      </w:r>
      <w:r w:rsidR="00AA07C9">
        <w:rPr>
          <w:rFonts w:ascii="Times New Roman" w:hAnsi="Times New Roman" w:cs="Times New Roman"/>
          <w:color w:val="auto"/>
          <w:sz w:val="24"/>
          <w:szCs w:val="24"/>
        </w:rPr>
        <w:t>Three types are companies are taken each type include two compa</w:t>
      </w:r>
      <w:r w:rsidR="0079106E">
        <w:rPr>
          <w:rFonts w:ascii="Times New Roman" w:hAnsi="Times New Roman" w:cs="Times New Roman"/>
          <w:color w:val="auto"/>
          <w:sz w:val="24"/>
          <w:szCs w:val="24"/>
        </w:rPr>
        <w:t>n</w:t>
      </w:r>
      <w:r w:rsidR="00AA07C9">
        <w:rPr>
          <w:rFonts w:ascii="Times New Roman" w:hAnsi="Times New Roman" w:cs="Times New Roman"/>
          <w:color w:val="auto"/>
          <w:sz w:val="24"/>
          <w:szCs w:val="24"/>
        </w:rPr>
        <w:t>ies</w:t>
      </w:r>
      <w:r>
        <w:rPr>
          <w:rFonts w:ascii="Times New Roman" w:hAnsi="Times New Roman" w:cs="Times New Roman"/>
          <w:color w:val="auto"/>
          <w:sz w:val="24"/>
          <w:szCs w:val="24"/>
        </w:rPr>
        <w:t xml:space="preserve"> of Bangladesh.</w:t>
      </w:r>
      <w:r w:rsidR="00AA07C9" w:rsidRPr="00AA07C9">
        <w:rPr>
          <w:rFonts w:ascii="Times New Roman" w:hAnsi="Times New Roman" w:cs="Times New Roman"/>
          <w:color w:val="auto"/>
          <w:sz w:val="24"/>
          <w:szCs w:val="24"/>
        </w:rPr>
        <w:t xml:space="preserve"> </w:t>
      </w:r>
      <w:r>
        <w:rPr>
          <w:rFonts w:ascii="Times New Roman" w:hAnsi="Times New Roman" w:cs="Times New Roman"/>
          <w:color w:val="auto"/>
          <w:sz w:val="24"/>
          <w:szCs w:val="24"/>
        </w:rPr>
        <w:t>P</w:t>
      </w:r>
      <w:r w:rsidR="00AA07C9">
        <w:rPr>
          <w:rFonts w:ascii="Times New Roman" w:hAnsi="Times New Roman" w:cs="Times New Roman"/>
          <w:color w:val="auto"/>
          <w:sz w:val="24"/>
          <w:szCs w:val="24"/>
        </w:rPr>
        <w:t>roject</w:t>
      </w:r>
      <w:r w:rsidR="00AA07C9" w:rsidRPr="00AA07C9">
        <w:rPr>
          <w:rFonts w:ascii="Times New Roman" w:hAnsi="Times New Roman" w:cs="Times New Roman"/>
          <w:color w:val="auto"/>
          <w:sz w:val="24"/>
          <w:szCs w:val="24"/>
        </w:rPr>
        <w:t xml:space="preserve"> paper </w:t>
      </w:r>
      <w:r>
        <w:rPr>
          <w:rFonts w:ascii="Times New Roman" w:hAnsi="Times New Roman" w:cs="Times New Roman"/>
          <w:color w:val="auto"/>
          <w:sz w:val="24"/>
          <w:szCs w:val="24"/>
        </w:rPr>
        <w:t>includes</w:t>
      </w:r>
      <w:r w:rsidR="00AA07C9" w:rsidRPr="00AA07C9">
        <w:rPr>
          <w:rFonts w:ascii="Times New Roman" w:hAnsi="Times New Roman" w:cs="Times New Roman"/>
          <w:color w:val="auto"/>
          <w:sz w:val="24"/>
          <w:szCs w:val="24"/>
        </w:rPr>
        <w:t xml:space="preserve"> the analysis of </w:t>
      </w:r>
      <w:r w:rsidR="00AA07C9">
        <w:rPr>
          <w:rFonts w:ascii="Times New Roman" w:hAnsi="Times New Roman" w:cs="Times New Roman"/>
          <w:color w:val="auto"/>
          <w:sz w:val="24"/>
          <w:szCs w:val="24"/>
        </w:rPr>
        <w:t>three</w:t>
      </w:r>
      <w:r w:rsidR="00AA07C9" w:rsidRPr="00AA07C9">
        <w:rPr>
          <w:rFonts w:ascii="Times New Roman" w:hAnsi="Times New Roman" w:cs="Times New Roman"/>
          <w:color w:val="auto"/>
          <w:sz w:val="24"/>
          <w:szCs w:val="24"/>
        </w:rPr>
        <w:t xml:space="preserve"> years data of </w:t>
      </w:r>
      <w:r w:rsidR="00AA07C9">
        <w:rPr>
          <w:rFonts w:ascii="Times New Roman" w:hAnsi="Times New Roman" w:cs="Times New Roman"/>
          <w:color w:val="auto"/>
          <w:sz w:val="24"/>
          <w:szCs w:val="24"/>
        </w:rPr>
        <w:t>three sectors of Bangladesh from the period of 2014 to 2016</w:t>
      </w:r>
      <w:r w:rsidR="00AA07C9" w:rsidRPr="00AA07C9">
        <w:rPr>
          <w:rFonts w:ascii="Times New Roman" w:hAnsi="Times New Roman" w:cs="Times New Roman"/>
          <w:color w:val="auto"/>
          <w:sz w:val="24"/>
          <w:szCs w:val="24"/>
        </w:rPr>
        <w:t>.</w:t>
      </w:r>
      <w:bookmarkEnd w:id="10"/>
      <w:bookmarkEnd w:id="11"/>
      <w:bookmarkEnd w:id="12"/>
      <w:bookmarkEnd w:id="13"/>
    </w:p>
    <w:p w:rsidR="00AA07C9" w:rsidRDefault="00AA07C9" w:rsidP="00142596">
      <w:pPr>
        <w:pStyle w:val="Heading1"/>
        <w:jc w:val="center"/>
        <w:rPr>
          <w:b/>
          <w:color w:val="4F6228" w:themeColor="accent3" w:themeShade="80"/>
          <w:sz w:val="56"/>
          <w:szCs w:val="56"/>
        </w:rPr>
      </w:pPr>
    </w:p>
    <w:p w:rsidR="00AA07C9" w:rsidRDefault="00AA07C9" w:rsidP="00142596">
      <w:pPr>
        <w:pStyle w:val="Heading1"/>
        <w:jc w:val="center"/>
        <w:rPr>
          <w:b/>
          <w:color w:val="4F6228" w:themeColor="accent3" w:themeShade="80"/>
          <w:sz w:val="56"/>
          <w:szCs w:val="56"/>
        </w:rPr>
      </w:pPr>
    </w:p>
    <w:p w:rsidR="00AA07C9" w:rsidRDefault="00AA07C9" w:rsidP="00142596">
      <w:pPr>
        <w:pStyle w:val="Heading1"/>
        <w:jc w:val="center"/>
        <w:rPr>
          <w:b/>
          <w:color w:val="4F6228" w:themeColor="accent3" w:themeShade="80"/>
          <w:sz w:val="56"/>
          <w:szCs w:val="56"/>
        </w:rPr>
      </w:pPr>
    </w:p>
    <w:p w:rsidR="00AA07C9" w:rsidRDefault="00AA07C9" w:rsidP="00142596">
      <w:pPr>
        <w:pStyle w:val="Heading1"/>
        <w:jc w:val="center"/>
        <w:rPr>
          <w:b/>
          <w:color w:val="4F6228" w:themeColor="accent3" w:themeShade="80"/>
          <w:sz w:val="56"/>
          <w:szCs w:val="56"/>
        </w:rPr>
      </w:pPr>
    </w:p>
    <w:p w:rsidR="00AA07C9" w:rsidRDefault="00AA07C9" w:rsidP="00142596">
      <w:pPr>
        <w:pStyle w:val="Heading1"/>
        <w:jc w:val="center"/>
        <w:rPr>
          <w:b/>
          <w:color w:val="4F6228" w:themeColor="accent3" w:themeShade="80"/>
          <w:sz w:val="56"/>
          <w:szCs w:val="56"/>
        </w:rPr>
      </w:pPr>
    </w:p>
    <w:p w:rsidR="00AA07C9" w:rsidRDefault="00AA07C9" w:rsidP="00142596">
      <w:pPr>
        <w:pStyle w:val="Heading1"/>
        <w:jc w:val="center"/>
        <w:rPr>
          <w:b/>
          <w:color w:val="4F6228" w:themeColor="accent3" w:themeShade="80"/>
          <w:sz w:val="56"/>
          <w:szCs w:val="56"/>
        </w:rPr>
      </w:pPr>
    </w:p>
    <w:p w:rsidR="00AA07C9" w:rsidRDefault="00AA07C9" w:rsidP="00142596">
      <w:pPr>
        <w:pStyle w:val="Heading1"/>
        <w:jc w:val="center"/>
        <w:rPr>
          <w:b/>
          <w:color w:val="4F6228" w:themeColor="accent3" w:themeShade="80"/>
          <w:sz w:val="56"/>
          <w:szCs w:val="56"/>
        </w:rPr>
      </w:pPr>
    </w:p>
    <w:p w:rsidR="00AA07C9" w:rsidRDefault="00AA07C9" w:rsidP="00142596">
      <w:pPr>
        <w:pStyle w:val="Heading1"/>
        <w:jc w:val="center"/>
        <w:rPr>
          <w:b/>
          <w:color w:val="4F6228" w:themeColor="accent3" w:themeShade="80"/>
          <w:sz w:val="56"/>
          <w:szCs w:val="56"/>
        </w:rPr>
      </w:pPr>
    </w:p>
    <w:p w:rsidR="00AA07C9" w:rsidRDefault="00AA07C9" w:rsidP="00142596">
      <w:pPr>
        <w:pStyle w:val="Heading1"/>
        <w:jc w:val="center"/>
        <w:rPr>
          <w:b/>
          <w:color w:val="4F6228" w:themeColor="accent3" w:themeShade="80"/>
          <w:sz w:val="56"/>
          <w:szCs w:val="56"/>
        </w:rPr>
      </w:pPr>
    </w:p>
    <w:p w:rsidR="00AA07C9" w:rsidRDefault="00AA07C9" w:rsidP="00142596">
      <w:pPr>
        <w:pStyle w:val="Heading1"/>
        <w:jc w:val="center"/>
        <w:rPr>
          <w:b/>
          <w:color w:val="4F6228" w:themeColor="accent3" w:themeShade="80"/>
          <w:sz w:val="56"/>
          <w:szCs w:val="56"/>
        </w:rPr>
      </w:pPr>
    </w:p>
    <w:p w:rsidR="00AA07C9" w:rsidRDefault="00AA07C9" w:rsidP="00142596">
      <w:pPr>
        <w:pStyle w:val="Heading1"/>
        <w:jc w:val="center"/>
        <w:rPr>
          <w:b/>
          <w:color w:val="4F6228" w:themeColor="accent3" w:themeShade="80"/>
          <w:sz w:val="56"/>
          <w:szCs w:val="56"/>
        </w:rPr>
      </w:pPr>
    </w:p>
    <w:p w:rsidR="00142596" w:rsidRPr="002D7B0E" w:rsidRDefault="00142596" w:rsidP="00142596">
      <w:pPr>
        <w:pStyle w:val="Heading1"/>
        <w:jc w:val="center"/>
        <w:rPr>
          <w:b/>
          <w:color w:val="4F6228" w:themeColor="accent3" w:themeShade="80"/>
          <w:sz w:val="56"/>
          <w:szCs w:val="56"/>
        </w:rPr>
      </w:pPr>
      <w:bookmarkStart w:id="14" w:name="_Toc18627797"/>
      <w:r w:rsidRPr="002D7B0E">
        <w:rPr>
          <w:b/>
          <w:color w:val="4F6228" w:themeColor="accent3" w:themeShade="80"/>
          <w:sz w:val="56"/>
          <w:szCs w:val="56"/>
        </w:rPr>
        <w:lastRenderedPageBreak/>
        <w:t>Textile</w:t>
      </w:r>
      <w:r w:rsidR="0079106E">
        <w:rPr>
          <w:b/>
          <w:color w:val="4F6228" w:themeColor="accent3" w:themeShade="80"/>
          <w:sz w:val="56"/>
          <w:szCs w:val="56"/>
        </w:rPr>
        <w:t xml:space="preserve"> </w:t>
      </w:r>
      <w:r w:rsidRPr="002D7B0E">
        <w:rPr>
          <w:b/>
          <w:color w:val="4F6228" w:themeColor="accent3" w:themeShade="80"/>
          <w:sz w:val="56"/>
          <w:szCs w:val="56"/>
        </w:rPr>
        <w:t>Companies</w:t>
      </w:r>
      <w:bookmarkEnd w:id="14"/>
    </w:p>
    <w:p w:rsidR="0051679F" w:rsidRPr="00142596" w:rsidRDefault="0051679F" w:rsidP="00142596">
      <w:pPr>
        <w:pStyle w:val="Heading2"/>
        <w:jc w:val="center"/>
        <w:rPr>
          <w:sz w:val="48"/>
          <w:szCs w:val="48"/>
        </w:rPr>
      </w:pPr>
      <w:bookmarkStart w:id="15" w:name="_Toc18627798"/>
      <w:r w:rsidRPr="00142596">
        <w:rPr>
          <w:sz w:val="48"/>
          <w:szCs w:val="48"/>
        </w:rPr>
        <w:t>Square Textile Limited</w:t>
      </w:r>
      <w:bookmarkEnd w:id="15"/>
    </w:p>
    <w:p w:rsidR="009F0EF9" w:rsidRDefault="009F0EF9" w:rsidP="005B7EC9">
      <w:pPr>
        <w:pStyle w:val="Heading2"/>
      </w:pPr>
    </w:p>
    <w:p w:rsidR="0051679F" w:rsidRPr="00544CB3" w:rsidRDefault="0051679F" w:rsidP="00B823E5">
      <w:pPr>
        <w:pStyle w:val="Heading3"/>
      </w:pPr>
      <w:bookmarkStart w:id="16" w:name="_Toc18627799"/>
      <w:r w:rsidRPr="00544CB3">
        <w:t xml:space="preserve">Company </w:t>
      </w:r>
      <w:r w:rsidRPr="005B7EC9">
        <w:t>profile</w:t>
      </w:r>
      <w:bookmarkEnd w:id="16"/>
    </w:p>
    <w:p w:rsidR="0051679F" w:rsidRDefault="0051679F" w:rsidP="0051679F">
      <w:pPr>
        <w:spacing w:after="200" w:line="276" w:lineRule="auto"/>
        <w:jc w:val="both"/>
        <w:rPr>
          <w:rFonts w:ascii="Times New Roman" w:eastAsia="Times New Roman" w:hAnsi="Times New Roman" w:cs="Times New Roman"/>
          <w:color w:val="000000"/>
          <w:sz w:val="24"/>
          <w:szCs w:val="24"/>
          <w:shd w:val="clear" w:color="auto" w:fill="FFFFFF"/>
        </w:rPr>
      </w:pPr>
      <w:r w:rsidRPr="004D1ECD">
        <w:rPr>
          <w:rFonts w:ascii="Times New Roman" w:eastAsia="Times New Roman" w:hAnsi="Times New Roman" w:cs="Times New Roman"/>
          <w:color w:val="000000"/>
          <w:sz w:val="24"/>
          <w:szCs w:val="24"/>
        </w:rPr>
        <w:t xml:space="preserve">Square Textile is a </w:t>
      </w:r>
      <w:r w:rsidR="002D6B28">
        <w:rPr>
          <w:rFonts w:ascii="Times New Roman" w:eastAsia="Times New Roman" w:hAnsi="Times New Roman" w:cs="Times New Roman"/>
          <w:color w:val="000000"/>
          <w:sz w:val="24"/>
          <w:szCs w:val="24"/>
        </w:rPr>
        <w:t>supplementary</w:t>
      </w:r>
      <w:r w:rsidR="003247EB">
        <w:rPr>
          <w:rFonts w:ascii="Times New Roman" w:eastAsia="Times New Roman" w:hAnsi="Times New Roman" w:cs="Times New Roman"/>
          <w:color w:val="000000"/>
          <w:sz w:val="24"/>
          <w:szCs w:val="24"/>
        </w:rPr>
        <w:t xml:space="preserve"> company of Square Group. This</w:t>
      </w:r>
      <w:r w:rsidRPr="004D1ECD">
        <w:rPr>
          <w:rFonts w:ascii="Times New Roman" w:eastAsia="Times New Roman" w:hAnsi="Times New Roman" w:cs="Times New Roman"/>
          <w:color w:val="000000"/>
          <w:sz w:val="24"/>
          <w:szCs w:val="24"/>
        </w:rPr>
        <w:t xml:space="preserve"> Company was </w:t>
      </w:r>
      <w:r w:rsidR="003247EB">
        <w:rPr>
          <w:rFonts w:ascii="Times New Roman" w:eastAsia="Times New Roman" w:hAnsi="Times New Roman" w:cs="Times New Roman"/>
          <w:color w:val="000000"/>
          <w:sz w:val="24"/>
          <w:szCs w:val="24"/>
        </w:rPr>
        <w:t>listed as</w:t>
      </w:r>
      <w:r w:rsidRPr="004D1ECD">
        <w:rPr>
          <w:rFonts w:ascii="Times New Roman" w:eastAsia="Times New Roman" w:hAnsi="Times New Roman" w:cs="Times New Roman"/>
          <w:color w:val="000000"/>
          <w:sz w:val="24"/>
          <w:szCs w:val="24"/>
        </w:rPr>
        <w:t xml:space="preserve"> public limited company in 1994. . The operation</w:t>
      </w:r>
      <w:r w:rsidR="003247EB">
        <w:rPr>
          <w:rFonts w:ascii="Times New Roman" w:eastAsia="Times New Roman" w:hAnsi="Times New Roman" w:cs="Times New Roman"/>
          <w:color w:val="000000"/>
          <w:sz w:val="24"/>
          <w:szCs w:val="24"/>
        </w:rPr>
        <w:t xml:space="preserve"> of square textile was </w:t>
      </w:r>
      <w:r w:rsidR="002D6B28">
        <w:rPr>
          <w:rFonts w:ascii="Times New Roman" w:eastAsia="Times New Roman" w:hAnsi="Times New Roman" w:cs="Times New Roman"/>
          <w:color w:val="000000"/>
          <w:sz w:val="24"/>
          <w:szCs w:val="24"/>
        </w:rPr>
        <w:t>begun</w:t>
      </w:r>
      <w:r w:rsidR="003247EB">
        <w:rPr>
          <w:rFonts w:ascii="Times New Roman" w:eastAsia="Times New Roman" w:hAnsi="Times New Roman" w:cs="Times New Roman"/>
          <w:color w:val="000000"/>
          <w:sz w:val="24"/>
          <w:szCs w:val="24"/>
        </w:rPr>
        <w:t xml:space="preserve"> in 1997.</w:t>
      </w:r>
      <w:r w:rsidRPr="004D1ECD">
        <w:rPr>
          <w:rFonts w:ascii="Times New Roman" w:eastAsia="Times New Roman" w:hAnsi="Times New Roman" w:cs="Times New Roman"/>
          <w:color w:val="000000"/>
          <w:sz w:val="24"/>
          <w:szCs w:val="24"/>
        </w:rPr>
        <w:t xml:space="preserve"> </w:t>
      </w:r>
      <w:r w:rsidR="002D6B28">
        <w:rPr>
          <w:rFonts w:ascii="Times New Roman" w:eastAsia="Times New Roman" w:hAnsi="Times New Roman" w:cs="Times New Roman"/>
          <w:color w:val="000000"/>
          <w:sz w:val="24"/>
          <w:szCs w:val="24"/>
        </w:rPr>
        <w:t>In small amount of</w:t>
      </w:r>
      <w:r w:rsidR="003247EB">
        <w:rPr>
          <w:rFonts w:ascii="Times New Roman" w:eastAsia="Times New Roman" w:hAnsi="Times New Roman" w:cs="Times New Roman"/>
          <w:color w:val="000000"/>
          <w:sz w:val="24"/>
          <w:szCs w:val="24"/>
        </w:rPr>
        <w:t xml:space="preserve"> time</w:t>
      </w:r>
      <w:r w:rsidRPr="004D1ECD">
        <w:rPr>
          <w:rFonts w:ascii="Times New Roman" w:eastAsia="Times New Roman" w:hAnsi="Times New Roman" w:cs="Times New Roman"/>
          <w:color w:val="000000"/>
          <w:sz w:val="24"/>
          <w:szCs w:val="24"/>
        </w:rPr>
        <w:t xml:space="preserve"> the company achieved significance </w:t>
      </w:r>
      <w:r w:rsidR="002D6B28">
        <w:rPr>
          <w:rFonts w:ascii="Times New Roman" w:eastAsia="Times New Roman" w:hAnsi="Times New Roman" w:cs="Times New Roman"/>
          <w:color w:val="000000"/>
          <w:sz w:val="24"/>
          <w:szCs w:val="24"/>
        </w:rPr>
        <w:t>success.</w:t>
      </w:r>
      <w:r w:rsidRPr="004D1ECD">
        <w:rPr>
          <w:rFonts w:ascii="Times New Roman" w:eastAsia="Times New Roman" w:hAnsi="Times New Roman" w:cs="Times New Roman"/>
          <w:color w:val="000000"/>
          <w:sz w:val="24"/>
          <w:szCs w:val="24"/>
        </w:rPr>
        <w:t>1000 million</w:t>
      </w:r>
      <w:r w:rsidR="002D6B28">
        <w:rPr>
          <w:rFonts w:ascii="Times New Roman" w:eastAsia="Times New Roman" w:hAnsi="Times New Roman" w:cs="Times New Roman"/>
          <w:color w:val="000000"/>
          <w:sz w:val="24"/>
          <w:szCs w:val="24"/>
        </w:rPr>
        <w:t xml:space="preserve"> is the current capital of the company</w:t>
      </w:r>
      <w:r w:rsidRPr="004D1ECD">
        <w:rPr>
          <w:rFonts w:ascii="Times New Roman" w:eastAsia="Times New Roman" w:hAnsi="Times New Roman" w:cs="Times New Roman"/>
          <w:color w:val="000000"/>
          <w:sz w:val="24"/>
          <w:szCs w:val="24"/>
        </w:rPr>
        <w:t xml:space="preserve">. </w:t>
      </w:r>
      <w:r w:rsidR="002D6B28">
        <w:rPr>
          <w:rFonts w:ascii="Times New Roman" w:eastAsia="Times New Roman" w:hAnsi="Times New Roman" w:cs="Times New Roman"/>
          <w:color w:val="000000"/>
          <w:sz w:val="24"/>
          <w:szCs w:val="24"/>
        </w:rPr>
        <w:t>251.90 million is the paid up capital</w:t>
      </w:r>
      <w:r w:rsidRPr="004D1ECD">
        <w:rPr>
          <w:rFonts w:ascii="Times New Roman" w:eastAsia="Times New Roman" w:hAnsi="Times New Roman" w:cs="Times New Roman"/>
          <w:color w:val="000000"/>
          <w:sz w:val="24"/>
          <w:szCs w:val="24"/>
        </w:rPr>
        <w:t xml:space="preserve">. </w:t>
      </w:r>
      <w:r w:rsidR="002D6B28">
        <w:rPr>
          <w:rFonts w:ascii="Times New Roman" w:eastAsia="Times New Roman" w:hAnsi="Times New Roman" w:cs="Times New Roman"/>
          <w:color w:val="000000"/>
          <w:sz w:val="24"/>
          <w:szCs w:val="24"/>
        </w:rPr>
        <w:t>There are thousand employees working in the company.</w:t>
      </w:r>
      <w:r w:rsidRPr="004D1ECD">
        <w:rPr>
          <w:rFonts w:ascii="Times New Roman" w:eastAsia="Times New Roman" w:hAnsi="Times New Roman" w:cs="Times New Roman"/>
          <w:color w:val="000000"/>
          <w:sz w:val="24"/>
          <w:szCs w:val="24"/>
        </w:rPr>
        <w:t xml:space="preserve"> </w:t>
      </w:r>
      <w:r w:rsidR="002D6B28">
        <w:rPr>
          <w:rFonts w:ascii="Times New Roman" w:eastAsia="Times New Roman" w:hAnsi="Times New Roman" w:cs="Times New Roman"/>
          <w:color w:val="000000"/>
          <w:sz w:val="24"/>
          <w:szCs w:val="24"/>
        </w:rPr>
        <w:t>Manufacturing and marketing of yarn is the main business line of the organization</w:t>
      </w:r>
      <w:r w:rsidRPr="004D1ECD">
        <w:rPr>
          <w:rFonts w:ascii="Times New Roman" w:eastAsia="Times New Roman" w:hAnsi="Times New Roman" w:cs="Times New Roman"/>
          <w:color w:val="000000"/>
          <w:sz w:val="24"/>
          <w:szCs w:val="24"/>
        </w:rPr>
        <w:t xml:space="preserve">. </w:t>
      </w:r>
      <w:r w:rsidRPr="004D1ECD">
        <w:rPr>
          <w:rFonts w:ascii="Times New Roman" w:eastAsia="Times New Roman" w:hAnsi="Times New Roman" w:cs="Times New Roman"/>
          <w:color w:val="000000"/>
          <w:sz w:val="24"/>
          <w:szCs w:val="24"/>
          <w:shd w:val="clear" w:color="auto" w:fill="FFFFFF"/>
        </w:rPr>
        <w:t xml:space="preserve">It has a personnel and administrative department. </w:t>
      </w:r>
      <w:r w:rsidR="00EB19CB">
        <w:rPr>
          <w:rFonts w:ascii="Times New Roman" w:eastAsia="Times New Roman" w:hAnsi="Times New Roman" w:cs="Times New Roman"/>
          <w:color w:val="000000"/>
          <w:sz w:val="24"/>
          <w:szCs w:val="24"/>
          <w:shd w:val="clear" w:color="auto" w:fill="FFFFFF"/>
        </w:rPr>
        <w:t>For the employees there are systematic</w:t>
      </w:r>
      <w:r w:rsidRPr="004D1ECD">
        <w:rPr>
          <w:rFonts w:ascii="Times New Roman" w:eastAsia="Times New Roman" w:hAnsi="Times New Roman" w:cs="Times New Roman"/>
          <w:color w:val="000000"/>
          <w:sz w:val="24"/>
          <w:szCs w:val="24"/>
          <w:shd w:val="clear" w:color="auto" w:fill="FFFFFF"/>
        </w:rPr>
        <w:t xml:space="preserve"> training in home and abroad.</w:t>
      </w:r>
    </w:p>
    <w:p w:rsidR="008F3038" w:rsidRPr="004D1ECD" w:rsidRDefault="008F3038" w:rsidP="0051679F">
      <w:pPr>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shd w:val="clear" w:color="auto" w:fill="FFFFFF"/>
        </w:rPr>
        <w:t>Following Analys</w:t>
      </w:r>
      <w:r w:rsidR="00F96521">
        <w:rPr>
          <w:rFonts w:ascii="Times New Roman" w:eastAsia="Times New Roman" w:hAnsi="Times New Roman" w:cs="Times New Roman"/>
          <w:color w:val="000000"/>
          <w:sz w:val="24"/>
          <w:szCs w:val="24"/>
          <w:shd w:val="clear" w:color="auto" w:fill="FFFFFF"/>
        </w:rPr>
        <w:t>es</w:t>
      </w:r>
      <w:r w:rsidR="0079106E">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 xml:space="preserve">are based on square </w:t>
      </w:r>
      <w:r w:rsidR="0079106E">
        <w:rPr>
          <w:rFonts w:ascii="Times New Roman" w:eastAsia="Times New Roman" w:hAnsi="Times New Roman" w:cs="Times New Roman"/>
          <w:color w:val="000000"/>
          <w:sz w:val="24"/>
          <w:szCs w:val="24"/>
          <w:shd w:val="clear" w:color="auto" w:fill="FFFFFF"/>
        </w:rPr>
        <w:t>textile l</w:t>
      </w:r>
      <w:r w:rsidR="00253866">
        <w:rPr>
          <w:rFonts w:ascii="Times New Roman" w:eastAsia="Times New Roman" w:hAnsi="Times New Roman" w:cs="Times New Roman"/>
          <w:color w:val="000000"/>
          <w:sz w:val="24"/>
          <w:szCs w:val="24"/>
          <w:shd w:val="clear" w:color="auto" w:fill="FFFFFF"/>
        </w:rPr>
        <w:t>imited’s</w:t>
      </w:r>
      <w:r>
        <w:rPr>
          <w:rFonts w:ascii="Times New Roman" w:eastAsia="Times New Roman" w:hAnsi="Times New Roman" w:cs="Times New Roman"/>
          <w:color w:val="000000"/>
          <w:sz w:val="24"/>
          <w:szCs w:val="24"/>
          <w:shd w:val="clear" w:color="auto" w:fill="FFFFFF"/>
        </w:rPr>
        <w:t xml:space="preserve"> annual report (2104-2016).</w:t>
      </w:r>
      <w:sdt>
        <w:sdtPr>
          <w:rPr>
            <w:rFonts w:ascii="Times New Roman" w:eastAsia="Times New Roman" w:hAnsi="Times New Roman" w:cs="Times New Roman"/>
            <w:color w:val="000000"/>
            <w:sz w:val="24"/>
            <w:szCs w:val="24"/>
            <w:shd w:val="clear" w:color="auto" w:fill="FFFFFF"/>
          </w:rPr>
          <w:id w:val="611290"/>
          <w:citation/>
        </w:sdtPr>
        <w:sdtEndPr/>
        <w:sdtContent>
          <w:r w:rsidR="00C31EB1">
            <w:rPr>
              <w:rFonts w:ascii="Times New Roman" w:eastAsia="Times New Roman" w:hAnsi="Times New Roman" w:cs="Times New Roman"/>
              <w:color w:val="000000"/>
              <w:sz w:val="24"/>
              <w:szCs w:val="24"/>
              <w:shd w:val="clear" w:color="auto" w:fill="FFFFFF"/>
            </w:rPr>
            <w:fldChar w:fldCharType="begin"/>
          </w:r>
          <w:r>
            <w:rPr>
              <w:rFonts w:ascii="Times New Roman" w:eastAsia="Times New Roman" w:hAnsi="Times New Roman" w:cs="Times New Roman"/>
              <w:color w:val="000000"/>
              <w:sz w:val="24"/>
              <w:szCs w:val="24"/>
              <w:shd w:val="clear" w:color="auto" w:fill="FFFFFF"/>
            </w:rPr>
            <w:instrText xml:space="preserve"> CITATION Squ16 \l 1033 </w:instrText>
          </w:r>
          <w:r w:rsidR="00C31EB1">
            <w:rPr>
              <w:rFonts w:ascii="Times New Roman" w:eastAsia="Times New Roman" w:hAnsi="Times New Roman" w:cs="Times New Roman"/>
              <w:color w:val="000000"/>
              <w:sz w:val="24"/>
              <w:szCs w:val="24"/>
              <w:shd w:val="clear" w:color="auto" w:fill="FFFFFF"/>
            </w:rPr>
            <w:fldChar w:fldCharType="separate"/>
          </w:r>
          <w:r w:rsidRPr="008F3038">
            <w:rPr>
              <w:rFonts w:ascii="Times New Roman" w:eastAsia="Times New Roman" w:hAnsi="Times New Roman" w:cs="Times New Roman"/>
              <w:noProof/>
              <w:color w:val="000000"/>
              <w:sz w:val="24"/>
              <w:szCs w:val="24"/>
              <w:shd w:val="clear" w:color="auto" w:fill="FFFFFF"/>
            </w:rPr>
            <w:t>(Square Textile Limited, 2014-25016)</w:t>
          </w:r>
          <w:r w:rsidR="00C31EB1">
            <w:rPr>
              <w:rFonts w:ascii="Times New Roman" w:eastAsia="Times New Roman" w:hAnsi="Times New Roman" w:cs="Times New Roman"/>
              <w:color w:val="000000"/>
              <w:sz w:val="24"/>
              <w:szCs w:val="24"/>
              <w:shd w:val="clear" w:color="auto" w:fill="FFFFFF"/>
            </w:rPr>
            <w:fldChar w:fldCharType="end"/>
          </w:r>
        </w:sdtContent>
      </w:sdt>
    </w:p>
    <w:p w:rsidR="0051679F" w:rsidRPr="004D1ECD" w:rsidRDefault="0051679F" w:rsidP="0051679F">
      <w:pPr>
        <w:spacing w:after="200" w:line="276" w:lineRule="auto"/>
        <w:jc w:val="both"/>
        <w:rPr>
          <w:rFonts w:ascii="Times New Roman" w:eastAsia="Times New Roman" w:hAnsi="Times New Roman" w:cs="Times New Roman"/>
          <w:bCs/>
          <w:color w:val="000000"/>
          <w:spacing w:val="-3"/>
          <w:sz w:val="24"/>
          <w:szCs w:val="24"/>
        </w:rPr>
      </w:pPr>
    </w:p>
    <w:p w:rsidR="0009451F" w:rsidRDefault="0009451F" w:rsidP="00B823E5">
      <w:pPr>
        <w:pStyle w:val="Heading3"/>
        <w:rPr>
          <w:rFonts w:eastAsia="Times New Roman"/>
        </w:rPr>
      </w:pPr>
      <w:bookmarkStart w:id="17" w:name="_Toc18627800"/>
      <w:r w:rsidRPr="004D1ECD">
        <w:rPr>
          <w:rFonts w:eastAsia="Times New Roman"/>
        </w:rPr>
        <w:t xml:space="preserve">Analysis of </w:t>
      </w:r>
      <w:bookmarkEnd w:id="17"/>
      <w:r w:rsidR="002D6B28">
        <w:rPr>
          <w:rFonts w:eastAsia="Times New Roman"/>
        </w:rPr>
        <w:t>Cash conversion cycle</w:t>
      </w:r>
    </w:p>
    <w:p w:rsidR="003F1D4F" w:rsidRPr="003F1D4F" w:rsidRDefault="003F1D4F" w:rsidP="003F1D4F">
      <w:pPr>
        <w:spacing w:line="276" w:lineRule="auto"/>
        <w:jc w:val="both"/>
        <w:rPr>
          <w:rFonts w:ascii="Times New Roman" w:hAnsi="Times New Roman" w:cs="Times New Roman"/>
          <w:sz w:val="24"/>
          <w:szCs w:val="24"/>
        </w:rPr>
      </w:pPr>
      <w:r w:rsidRPr="003F1D4F">
        <w:rPr>
          <w:rFonts w:ascii="Times New Roman" w:hAnsi="Times New Roman" w:cs="Times New Roman"/>
          <w:sz w:val="24"/>
          <w:szCs w:val="24"/>
        </w:rPr>
        <w:t>The cash conversion cycle is a cash flow calculation that measure the time it takes a company to companies invest and inventory and resources inputs to cash. Cash conversion cycle gives a total view for effective working capital.</w:t>
      </w:r>
    </w:p>
    <w:p w:rsidR="003F1D4F" w:rsidRDefault="003F1D4F" w:rsidP="003F1D4F">
      <w:pPr>
        <w:tabs>
          <w:tab w:val="left" w:pos="6168"/>
        </w:tabs>
        <w:spacing w:after="0" w:line="276" w:lineRule="auto"/>
        <w:jc w:val="both"/>
        <w:rPr>
          <w:rFonts w:ascii="Times New Roman" w:eastAsia="Times New Roman" w:hAnsi="Times New Roman" w:cs="Times New Roman"/>
          <w:bCs/>
          <w:color w:val="000000"/>
          <w:sz w:val="24"/>
          <w:szCs w:val="24"/>
          <w:bdr w:val="none" w:sz="0" w:space="0" w:color="auto" w:frame="1"/>
          <w:shd w:val="clear" w:color="auto" w:fill="FFFFFF"/>
        </w:rPr>
      </w:pPr>
      <w:r w:rsidRPr="004D1ECD">
        <w:rPr>
          <w:rFonts w:ascii="Times New Roman" w:eastAsia="Times New Roman" w:hAnsi="Times New Roman" w:cs="Times New Roman"/>
          <w:noProof/>
          <w:color w:val="000000"/>
          <w:sz w:val="24"/>
          <w:szCs w:val="24"/>
        </w:rPr>
        <w:t>Cash Conversion Cyle (CCC)</w:t>
      </w:r>
      <w:r w:rsidRPr="004D1ECD">
        <w:rPr>
          <w:rFonts w:ascii="Times New Roman" w:eastAsia="Times New Roman" w:hAnsi="Times New Roman" w:cs="Times New Roman"/>
          <w:b/>
          <w:noProof/>
          <w:color w:val="000000"/>
          <w:sz w:val="24"/>
          <w:szCs w:val="24"/>
        </w:rPr>
        <w:t xml:space="preserve">= </w:t>
      </w:r>
      <w:r w:rsidRPr="004D1ECD">
        <w:rPr>
          <w:rFonts w:ascii="Times New Roman" w:eastAsia="Times New Roman" w:hAnsi="Times New Roman" w:cs="Times New Roman"/>
          <w:bCs/>
          <w:color w:val="000000"/>
          <w:sz w:val="24"/>
          <w:szCs w:val="24"/>
          <w:bdr w:val="none" w:sz="0" w:space="0" w:color="auto" w:frame="1"/>
          <w:shd w:val="clear" w:color="auto" w:fill="FFFFFF"/>
        </w:rPr>
        <w:t>DSO + DIO – DPO</w:t>
      </w:r>
    </w:p>
    <w:p w:rsidR="0009451F" w:rsidRDefault="0009451F" w:rsidP="0009451F">
      <w:pPr>
        <w:tabs>
          <w:tab w:val="left" w:pos="6168"/>
        </w:tabs>
        <w:spacing w:after="0" w:line="276" w:lineRule="auto"/>
        <w:jc w:val="both"/>
        <w:rPr>
          <w:rFonts w:ascii="Times New Roman" w:eastAsia="Times New Roman" w:hAnsi="Times New Roman" w:cs="Times New Roman"/>
          <w:bCs/>
          <w:color w:val="000000"/>
          <w:sz w:val="24"/>
          <w:szCs w:val="24"/>
          <w:bdr w:val="none" w:sz="0" w:space="0" w:color="auto" w:frame="1"/>
          <w:shd w:val="clear" w:color="auto" w:fill="FFFFFF"/>
        </w:rPr>
      </w:pPr>
    </w:p>
    <w:p w:rsidR="0009451F" w:rsidRDefault="00D214CB" w:rsidP="0009451F">
      <w:pPr>
        <w:tabs>
          <w:tab w:val="left" w:pos="6168"/>
        </w:tabs>
        <w:spacing w:after="0" w:line="276" w:lineRule="auto"/>
        <w:jc w:val="both"/>
        <w:rPr>
          <w:rFonts w:ascii="Times New Roman" w:eastAsia="Times New Roman" w:hAnsi="Times New Roman" w:cs="Times New Roman"/>
          <w:noProof/>
          <w:color w:val="000000"/>
          <w:sz w:val="24"/>
          <w:szCs w:val="24"/>
        </w:rPr>
      </w:pPr>
      <w:r>
        <w:rPr>
          <w:rFonts w:ascii="Times New Roman" w:eastAsia="Times New Roman" w:hAnsi="Times New Roman" w:cs="Times New Roman"/>
          <w:color w:val="000000"/>
          <w:sz w:val="24"/>
          <w:szCs w:val="24"/>
          <w:shd w:val="clear" w:color="auto" w:fill="FFFFFF"/>
        </w:rPr>
        <w:t xml:space="preserve">In </w:t>
      </w:r>
      <w:r w:rsidR="0009451F" w:rsidRPr="004D1ECD">
        <w:rPr>
          <w:rFonts w:ascii="Times New Roman" w:eastAsia="Times New Roman" w:hAnsi="Times New Roman" w:cs="Times New Roman"/>
          <w:color w:val="000000"/>
          <w:sz w:val="24"/>
          <w:szCs w:val="24"/>
          <w:shd w:val="clear" w:color="auto" w:fill="FFFFFF"/>
        </w:rPr>
        <w:t xml:space="preserve">cash flow calculations, shorter </w:t>
      </w:r>
      <w:r>
        <w:rPr>
          <w:rFonts w:ascii="Times New Roman" w:eastAsia="Times New Roman" w:hAnsi="Times New Roman" w:cs="Times New Roman"/>
          <w:color w:val="000000"/>
          <w:sz w:val="24"/>
          <w:szCs w:val="24"/>
          <w:shd w:val="clear" w:color="auto" w:fill="FFFFFF"/>
        </w:rPr>
        <w:t>value</w:t>
      </w:r>
      <w:r w:rsidR="0009451F" w:rsidRPr="004D1ECD">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is</w:t>
      </w:r>
      <w:r w:rsidR="0009451F" w:rsidRPr="004D1ECD">
        <w:rPr>
          <w:rFonts w:ascii="Times New Roman" w:eastAsia="Times New Roman" w:hAnsi="Times New Roman" w:cs="Times New Roman"/>
          <w:color w:val="000000"/>
          <w:sz w:val="24"/>
          <w:szCs w:val="24"/>
          <w:shd w:val="clear" w:color="auto" w:fill="FFFFFF"/>
        </w:rPr>
        <w:t xml:space="preserve"> almost good</w:t>
      </w:r>
      <w:r>
        <w:rPr>
          <w:rFonts w:ascii="Times New Roman" w:eastAsia="Times New Roman" w:hAnsi="Times New Roman" w:cs="Times New Roman"/>
          <w:color w:val="000000"/>
          <w:sz w:val="24"/>
          <w:szCs w:val="24"/>
          <w:shd w:val="clear" w:color="auto" w:fill="FFFFFF"/>
        </w:rPr>
        <w:t xml:space="preserve"> </w:t>
      </w:r>
      <w:r w:rsidRPr="004D1ECD">
        <w:rPr>
          <w:rFonts w:ascii="Times New Roman" w:eastAsia="Times New Roman" w:hAnsi="Times New Roman" w:cs="Times New Roman"/>
          <w:color w:val="000000"/>
          <w:sz w:val="24"/>
          <w:szCs w:val="24"/>
          <w:shd w:val="clear" w:color="auto" w:fill="FFFFFF"/>
        </w:rPr>
        <w:t>always</w:t>
      </w:r>
      <w:r w:rsidR="0009451F" w:rsidRPr="004D1ECD">
        <w:rPr>
          <w:rFonts w:ascii="Times New Roman" w:eastAsia="Times New Roman" w:hAnsi="Times New Roman" w:cs="Times New Roman"/>
          <w:color w:val="000000"/>
          <w:sz w:val="24"/>
          <w:szCs w:val="24"/>
          <w:shd w:val="clear" w:color="auto" w:fill="FFFFFF"/>
        </w:rPr>
        <w:t xml:space="preserve">. A </w:t>
      </w:r>
      <w:r w:rsidR="002D6B28">
        <w:rPr>
          <w:rFonts w:ascii="Times New Roman" w:eastAsia="Times New Roman" w:hAnsi="Times New Roman" w:cs="Times New Roman"/>
          <w:color w:val="000000"/>
          <w:sz w:val="24"/>
          <w:szCs w:val="24"/>
          <w:shd w:val="clear" w:color="auto" w:fill="FFFFFF"/>
        </w:rPr>
        <w:t>low</w:t>
      </w:r>
      <w:r w:rsidR="0009451F" w:rsidRPr="004D1ECD">
        <w:rPr>
          <w:rFonts w:ascii="Times New Roman" w:eastAsia="Times New Roman" w:hAnsi="Times New Roman" w:cs="Times New Roman"/>
          <w:color w:val="000000"/>
          <w:sz w:val="24"/>
          <w:szCs w:val="24"/>
          <w:shd w:val="clear" w:color="auto" w:fill="FFFFFF"/>
        </w:rPr>
        <w:t xml:space="preserve"> </w:t>
      </w:r>
      <w:r w:rsidR="002D6B28">
        <w:rPr>
          <w:rFonts w:ascii="Times New Roman" w:eastAsia="Times New Roman" w:hAnsi="Times New Roman" w:cs="Times New Roman"/>
          <w:color w:val="000000"/>
          <w:sz w:val="24"/>
          <w:szCs w:val="24"/>
          <w:shd w:val="clear" w:color="auto" w:fill="FFFFFF"/>
        </w:rPr>
        <w:t>cash conversion cycle</w:t>
      </w:r>
      <w:r w:rsidR="0009451F" w:rsidRPr="004D1ECD">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describes</w:t>
      </w:r>
      <w:r w:rsidR="0009451F" w:rsidRPr="004D1ECD">
        <w:rPr>
          <w:rFonts w:ascii="Times New Roman" w:eastAsia="Times New Roman" w:hAnsi="Times New Roman" w:cs="Times New Roman"/>
          <w:color w:val="000000"/>
          <w:sz w:val="24"/>
          <w:szCs w:val="24"/>
          <w:shd w:val="clear" w:color="auto" w:fill="FFFFFF"/>
        </w:rPr>
        <w:t xml:space="preserve"> that company’s money is </w:t>
      </w:r>
      <w:r w:rsidR="002D6B28">
        <w:rPr>
          <w:rFonts w:ascii="Times New Roman" w:eastAsia="Times New Roman" w:hAnsi="Times New Roman" w:cs="Times New Roman"/>
          <w:color w:val="000000"/>
          <w:sz w:val="24"/>
          <w:szCs w:val="24"/>
          <w:shd w:val="clear" w:color="auto" w:fill="FFFFFF"/>
        </w:rPr>
        <w:t>active</w:t>
      </w:r>
      <w:r w:rsidR="0009451F" w:rsidRPr="004D1ECD">
        <w:rPr>
          <w:rFonts w:ascii="Times New Roman" w:eastAsia="Times New Roman" w:hAnsi="Times New Roman" w:cs="Times New Roman"/>
          <w:color w:val="000000"/>
          <w:sz w:val="24"/>
          <w:szCs w:val="24"/>
          <w:shd w:val="clear" w:color="auto" w:fill="FFFFFF"/>
        </w:rPr>
        <w:t xml:space="preserve"> in inventory </w:t>
      </w:r>
      <w:r w:rsidR="00E023BE">
        <w:rPr>
          <w:rFonts w:ascii="Times New Roman" w:eastAsia="Times New Roman" w:hAnsi="Times New Roman" w:cs="Times New Roman"/>
          <w:color w:val="000000"/>
          <w:sz w:val="24"/>
          <w:szCs w:val="24"/>
          <w:shd w:val="clear" w:color="auto" w:fill="FFFFFF"/>
        </w:rPr>
        <w:t>for smaller time. In</w:t>
      </w:r>
      <w:r w:rsidR="0009451F" w:rsidRPr="004D1ECD">
        <w:rPr>
          <w:rFonts w:ascii="Times New Roman" w:eastAsia="Times New Roman" w:hAnsi="Times New Roman" w:cs="Times New Roman"/>
          <w:color w:val="000000"/>
          <w:sz w:val="24"/>
          <w:szCs w:val="24"/>
          <w:shd w:val="clear" w:color="auto" w:fill="FFFFFF"/>
        </w:rPr>
        <w:t xml:space="preserve"> the </w:t>
      </w:r>
      <w:r w:rsidR="0009451F" w:rsidRPr="004D1ECD">
        <w:rPr>
          <w:rFonts w:ascii="Times New Roman" w:eastAsia="Times New Roman" w:hAnsi="Times New Roman" w:cs="Times New Roman"/>
          <w:noProof/>
          <w:color w:val="000000"/>
          <w:sz w:val="24"/>
          <w:szCs w:val="24"/>
        </w:rPr>
        <w:t xml:space="preserve">Square Textiles Limited, the Cash Convertion Cycle (CCC) is </w:t>
      </w:r>
      <w:r w:rsidR="0009451F">
        <w:rPr>
          <w:rFonts w:ascii="Times New Roman" w:eastAsia="Times New Roman" w:hAnsi="Times New Roman" w:cs="Times New Roman"/>
          <w:noProof/>
          <w:color w:val="000000"/>
          <w:sz w:val="24"/>
          <w:szCs w:val="24"/>
        </w:rPr>
        <w:t xml:space="preserve">187,79,92 days for consecutively for year of 2016,2015,2014.So, </w:t>
      </w:r>
      <w:r w:rsidR="0009451F" w:rsidRPr="004D1ECD">
        <w:rPr>
          <w:rFonts w:ascii="Times New Roman" w:eastAsia="Times New Roman" w:hAnsi="Times New Roman" w:cs="Times New Roman"/>
          <w:noProof/>
          <w:color w:val="000000"/>
          <w:sz w:val="24"/>
          <w:szCs w:val="24"/>
        </w:rPr>
        <w:t>that is n</w:t>
      </w:r>
      <w:r w:rsidR="0009451F">
        <w:rPr>
          <w:rFonts w:ascii="Times New Roman" w:eastAsia="Times New Roman" w:hAnsi="Times New Roman" w:cs="Times New Roman"/>
          <w:noProof/>
          <w:color w:val="000000"/>
          <w:sz w:val="24"/>
          <w:szCs w:val="24"/>
        </w:rPr>
        <w:t>ot satisfactory for the company for 2016.</w:t>
      </w:r>
    </w:p>
    <w:p w:rsidR="000E2CDD" w:rsidRDefault="000E2CDD" w:rsidP="000E2CDD">
      <w:pPr>
        <w:pStyle w:val="Heading2"/>
        <w:rPr>
          <w:rFonts w:ascii="Times New Roman" w:eastAsia="Times New Roman" w:hAnsi="Times New Roman" w:cs="Times New Roman"/>
          <w:noProof/>
          <w:color w:val="000000"/>
          <w:sz w:val="24"/>
          <w:szCs w:val="24"/>
        </w:rPr>
      </w:pPr>
    </w:p>
    <w:p w:rsidR="00D214CB" w:rsidRPr="00D214CB" w:rsidRDefault="00D214CB" w:rsidP="00D214CB"/>
    <w:p w:rsidR="002F725F" w:rsidRDefault="002F725F" w:rsidP="000E2CDD">
      <w:pPr>
        <w:pStyle w:val="Heading2"/>
        <w:rPr>
          <w:b/>
          <w:sz w:val="36"/>
          <w:szCs w:val="36"/>
        </w:rPr>
      </w:pPr>
    </w:p>
    <w:p w:rsidR="00736A11" w:rsidRDefault="00736A11" w:rsidP="00B823E5">
      <w:pPr>
        <w:pStyle w:val="Heading3"/>
      </w:pPr>
    </w:p>
    <w:p w:rsidR="00736A11" w:rsidRPr="00736A11" w:rsidRDefault="00736A11" w:rsidP="00736A11"/>
    <w:p w:rsidR="0033717B" w:rsidRDefault="0033717B" w:rsidP="00B823E5">
      <w:pPr>
        <w:pStyle w:val="Heading3"/>
      </w:pPr>
      <w:bookmarkStart w:id="18" w:name="_Toc18627801"/>
    </w:p>
    <w:p w:rsidR="000E2CDD" w:rsidRPr="00B823E5" w:rsidRDefault="000E2CDD" w:rsidP="00B823E5">
      <w:pPr>
        <w:pStyle w:val="Heading3"/>
      </w:pPr>
      <w:r w:rsidRPr="00B823E5">
        <w:t>Ratio analysis</w:t>
      </w:r>
      <w:bookmarkEnd w:id="18"/>
    </w:p>
    <w:p w:rsidR="002F725F" w:rsidRPr="002F725F" w:rsidRDefault="002F725F" w:rsidP="0051679F">
      <w:pPr>
        <w:rPr>
          <w:rFonts w:ascii="Times New Roman" w:eastAsia="Times New Roman" w:hAnsi="Times New Roman" w:cs="Times New Roman"/>
          <w:b/>
          <w:color w:val="0070C0"/>
          <w:sz w:val="28"/>
          <w:szCs w:val="28"/>
        </w:rPr>
      </w:pPr>
    </w:p>
    <w:p w:rsidR="0051679F" w:rsidRPr="00A15E21" w:rsidRDefault="004D4AB8" w:rsidP="0051679F">
      <w:pPr>
        <w:rPr>
          <w:rFonts w:eastAsia="Times New Roman" w:cstheme="minorHAnsi"/>
          <w:b/>
          <w:color w:val="0070C0"/>
          <w:sz w:val="28"/>
          <w:szCs w:val="28"/>
        </w:rPr>
      </w:pPr>
      <w:r w:rsidRPr="00A15E21">
        <w:rPr>
          <w:rFonts w:eastAsia="Times New Roman" w:cstheme="minorHAnsi"/>
          <w:b/>
          <w:color w:val="0070C0"/>
          <w:sz w:val="28"/>
          <w:szCs w:val="28"/>
        </w:rPr>
        <w:t>Working capital turnover ratio</w:t>
      </w:r>
    </w:p>
    <w:tbl>
      <w:tblPr>
        <w:tblStyle w:val="TableGrid"/>
        <w:tblW w:w="0" w:type="auto"/>
        <w:tblLook w:val="04A0" w:firstRow="1" w:lastRow="0" w:firstColumn="1" w:lastColumn="0" w:noHBand="0" w:noVBand="1"/>
      </w:tblPr>
      <w:tblGrid>
        <w:gridCol w:w="3192"/>
        <w:gridCol w:w="3192"/>
        <w:gridCol w:w="3192"/>
      </w:tblGrid>
      <w:tr w:rsidR="004D4AB8" w:rsidTr="004D4AB8">
        <w:tc>
          <w:tcPr>
            <w:tcW w:w="3192" w:type="dxa"/>
          </w:tcPr>
          <w:p w:rsidR="004D4AB8" w:rsidRDefault="00617302" w:rsidP="004D4AB8">
            <w:pPr>
              <w:jc w:val="center"/>
              <w:rPr>
                <w:rFonts w:ascii="Times New Roman" w:hAnsi="Times New Roman" w:cs="Times New Roman"/>
              </w:rPr>
            </w:pPr>
            <w:r>
              <w:rPr>
                <w:rFonts w:ascii="Times New Roman" w:hAnsi="Times New Roman" w:cs="Times New Roman"/>
                <w:noProof/>
              </w:rPr>
              <w:t>2016</w:t>
            </w:r>
          </w:p>
        </w:tc>
        <w:tc>
          <w:tcPr>
            <w:tcW w:w="3192" w:type="dxa"/>
          </w:tcPr>
          <w:p w:rsidR="004D4AB8" w:rsidRDefault="004D4AB8" w:rsidP="004D4AB8">
            <w:pPr>
              <w:jc w:val="center"/>
              <w:rPr>
                <w:rFonts w:ascii="Times New Roman" w:hAnsi="Times New Roman" w:cs="Times New Roman"/>
              </w:rPr>
            </w:pPr>
            <w:r>
              <w:rPr>
                <w:rFonts w:ascii="Times New Roman" w:hAnsi="Times New Roman" w:cs="Times New Roman"/>
              </w:rPr>
              <w:t>2015</w:t>
            </w:r>
          </w:p>
        </w:tc>
        <w:tc>
          <w:tcPr>
            <w:tcW w:w="3192" w:type="dxa"/>
          </w:tcPr>
          <w:p w:rsidR="004D4AB8" w:rsidRDefault="004D4AB8" w:rsidP="004D4AB8">
            <w:pPr>
              <w:jc w:val="center"/>
              <w:rPr>
                <w:rFonts w:ascii="Times New Roman" w:hAnsi="Times New Roman" w:cs="Times New Roman"/>
              </w:rPr>
            </w:pPr>
            <w:r>
              <w:rPr>
                <w:rFonts w:ascii="Times New Roman" w:hAnsi="Times New Roman" w:cs="Times New Roman"/>
              </w:rPr>
              <w:t>2014</w:t>
            </w:r>
          </w:p>
        </w:tc>
      </w:tr>
      <w:tr w:rsidR="004D4AB8" w:rsidTr="000C4D7B">
        <w:tc>
          <w:tcPr>
            <w:tcW w:w="3192" w:type="dxa"/>
            <w:vAlign w:val="bottom"/>
          </w:tcPr>
          <w:p w:rsidR="004D4AB8" w:rsidRDefault="004D4AB8" w:rsidP="004D4AB8">
            <w:pPr>
              <w:jc w:val="center"/>
              <w:rPr>
                <w:rFonts w:ascii="Calibri" w:hAnsi="Calibri" w:cs="Calibri"/>
                <w:color w:val="000000"/>
              </w:rPr>
            </w:pPr>
            <w:r>
              <w:rPr>
                <w:rFonts w:ascii="Calibri" w:hAnsi="Calibri" w:cs="Calibri"/>
                <w:color w:val="000000"/>
              </w:rPr>
              <w:t>3</w:t>
            </w:r>
          </w:p>
        </w:tc>
        <w:tc>
          <w:tcPr>
            <w:tcW w:w="3192" w:type="dxa"/>
            <w:vAlign w:val="bottom"/>
          </w:tcPr>
          <w:p w:rsidR="004D4AB8" w:rsidRDefault="004D4AB8" w:rsidP="004D4AB8">
            <w:pPr>
              <w:jc w:val="center"/>
              <w:rPr>
                <w:rFonts w:ascii="Calibri" w:hAnsi="Calibri" w:cs="Calibri"/>
                <w:color w:val="000000"/>
              </w:rPr>
            </w:pPr>
            <w:r>
              <w:rPr>
                <w:rFonts w:ascii="Calibri" w:hAnsi="Calibri" w:cs="Calibri"/>
                <w:color w:val="000000"/>
              </w:rPr>
              <w:t>3.658004</w:t>
            </w:r>
          </w:p>
        </w:tc>
        <w:tc>
          <w:tcPr>
            <w:tcW w:w="3192" w:type="dxa"/>
            <w:vAlign w:val="bottom"/>
          </w:tcPr>
          <w:p w:rsidR="004D4AB8" w:rsidRDefault="004D4AB8" w:rsidP="004D4AB8">
            <w:pPr>
              <w:jc w:val="center"/>
              <w:rPr>
                <w:rFonts w:ascii="Calibri" w:hAnsi="Calibri" w:cs="Calibri"/>
                <w:color w:val="000000"/>
              </w:rPr>
            </w:pPr>
            <w:r>
              <w:rPr>
                <w:rFonts w:ascii="Calibri" w:hAnsi="Calibri" w:cs="Calibri"/>
                <w:color w:val="000000"/>
              </w:rPr>
              <w:t>3.581744</w:t>
            </w:r>
          </w:p>
        </w:tc>
      </w:tr>
    </w:tbl>
    <w:p w:rsidR="004D4AB8" w:rsidRDefault="00021771" w:rsidP="0051679F">
      <w:pPr>
        <w:rPr>
          <w:rFonts w:ascii="Times New Roman" w:hAnsi="Times New Roman" w:cs="Times New Roman"/>
        </w:rPr>
      </w:pPr>
      <w:r>
        <w:rPr>
          <w:rFonts w:ascii="Times New Roman" w:hAnsi="Times New Roman" w:cs="Times New Roman"/>
          <w:noProof/>
        </w:rPr>
        <w:drawing>
          <wp:inline distT="0" distB="0" distL="0" distR="0">
            <wp:extent cx="2781300" cy="1762125"/>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00E23" w:rsidRDefault="003D0FED" w:rsidP="00E00E23">
      <w:pPr>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turnover ratio measures the efficiency to use company’s working capital supporting a certain level of sales. It finds the relationship between funds using in finance and in operation in company. </w:t>
      </w:r>
      <w:r w:rsidR="00E00E23" w:rsidRPr="004D1ECD">
        <w:rPr>
          <w:rFonts w:ascii="Times New Roman" w:eastAsia="Times New Roman" w:hAnsi="Times New Roman" w:cs="Times New Roman"/>
          <w:color w:val="000000"/>
          <w:sz w:val="24"/>
          <w:szCs w:val="24"/>
        </w:rPr>
        <w:t>Square textile company Workin</w:t>
      </w:r>
      <w:r w:rsidR="00E00E23">
        <w:rPr>
          <w:rFonts w:ascii="Times New Roman" w:eastAsia="Times New Roman" w:hAnsi="Times New Roman" w:cs="Times New Roman"/>
          <w:color w:val="000000"/>
          <w:sz w:val="24"/>
          <w:szCs w:val="24"/>
        </w:rPr>
        <w:t>g capital turnover ratio in 2016</w:t>
      </w:r>
      <w:r w:rsidR="00E00E23" w:rsidRPr="004D1ECD">
        <w:rPr>
          <w:rFonts w:ascii="Times New Roman" w:eastAsia="Times New Roman" w:hAnsi="Times New Roman" w:cs="Times New Roman"/>
          <w:color w:val="000000"/>
          <w:sz w:val="24"/>
          <w:szCs w:val="24"/>
        </w:rPr>
        <w:t xml:space="preserve"> is </w:t>
      </w:r>
      <w:r w:rsidR="00E00E23">
        <w:rPr>
          <w:rFonts w:ascii="Times New Roman" w:eastAsia="Times New Roman" w:hAnsi="Times New Roman" w:cs="Times New Roman"/>
          <w:color w:val="000000"/>
          <w:sz w:val="24"/>
          <w:szCs w:val="24"/>
        </w:rPr>
        <w:t>3 and in 2015</w:t>
      </w:r>
      <w:r w:rsidR="00E00E23" w:rsidRPr="004D1ECD">
        <w:rPr>
          <w:rFonts w:ascii="Times New Roman" w:eastAsia="Times New Roman" w:hAnsi="Times New Roman" w:cs="Times New Roman"/>
          <w:color w:val="000000"/>
          <w:sz w:val="24"/>
          <w:szCs w:val="24"/>
        </w:rPr>
        <w:t>is</w:t>
      </w:r>
      <w:r w:rsidR="00E00E23">
        <w:rPr>
          <w:rFonts w:ascii="Times New Roman" w:eastAsia="Times New Roman" w:hAnsi="Times New Roman" w:cs="Times New Roman"/>
          <w:color w:val="000000"/>
          <w:sz w:val="24"/>
          <w:szCs w:val="24"/>
        </w:rPr>
        <w:t xml:space="preserve">3.66 and in 2014 is 3.58. </w:t>
      </w:r>
      <w:r w:rsidR="00E00E23" w:rsidRPr="004D1ECD">
        <w:rPr>
          <w:rFonts w:ascii="Times New Roman" w:eastAsia="Times New Roman" w:hAnsi="Times New Roman" w:cs="Times New Roman"/>
          <w:color w:val="000000"/>
          <w:sz w:val="24"/>
          <w:szCs w:val="24"/>
        </w:rPr>
        <w:t>Company has a high turnover ratio in 201</w:t>
      </w:r>
      <w:r w:rsidR="00E00E23">
        <w:rPr>
          <w:rFonts w:ascii="Times New Roman" w:eastAsia="Times New Roman" w:hAnsi="Times New Roman" w:cs="Times New Roman"/>
          <w:color w:val="000000"/>
          <w:sz w:val="24"/>
          <w:szCs w:val="24"/>
        </w:rPr>
        <w:t>5 and 2014</w:t>
      </w:r>
      <w:r w:rsidR="00E00E23" w:rsidRPr="004D1ECD">
        <w:rPr>
          <w:rFonts w:ascii="Times New Roman" w:eastAsia="Times New Roman" w:hAnsi="Times New Roman" w:cs="Times New Roman"/>
          <w:color w:val="000000"/>
          <w:sz w:val="24"/>
          <w:szCs w:val="24"/>
        </w:rPr>
        <w:t>that means company manages its short-term assets and liabilities for supporting sales very efficiently.</w:t>
      </w:r>
    </w:p>
    <w:p w:rsidR="00E00E23" w:rsidRPr="002F725F" w:rsidRDefault="00E00E23" w:rsidP="00E00E23">
      <w:pPr>
        <w:pStyle w:val="Heading2"/>
        <w:rPr>
          <w:rFonts w:eastAsia="Times New Roman"/>
          <w:b/>
        </w:rPr>
      </w:pPr>
    </w:p>
    <w:p w:rsidR="002F725F" w:rsidRPr="007C3D49" w:rsidRDefault="00E00E23" w:rsidP="007C3D49">
      <w:pPr>
        <w:rPr>
          <w:b/>
          <w:color w:val="4F81BD" w:themeColor="accent1"/>
          <w:sz w:val="28"/>
          <w:szCs w:val="28"/>
        </w:rPr>
      </w:pPr>
      <w:r w:rsidRPr="007C3D49">
        <w:rPr>
          <w:b/>
          <w:color w:val="4F81BD" w:themeColor="accent1"/>
          <w:sz w:val="28"/>
          <w:szCs w:val="28"/>
        </w:rPr>
        <w:t>Current asset turnover ratio</w:t>
      </w:r>
    </w:p>
    <w:tbl>
      <w:tblPr>
        <w:tblStyle w:val="TableGrid"/>
        <w:tblW w:w="0" w:type="auto"/>
        <w:tblLook w:val="04A0" w:firstRow="1" w:lastRow="0" w:firstColumn="1" w:lastColumn="0" w:noHBand="0" w:noVBand="1"/>
      </w:tblPr>
      <w:tblGrid>
        <w:gridCol w:w="3192"/>
        <w:gridCol w:w="3192"/>
        <w:gridCol w:w="3192"/>
      </w:tblGrid>
      <w:tr w:rsidR="00E00E23" w:rsidTr="000C4D7B">
        <w:tc>
          <w:tcPr>
            <w:tcW w:w="3192" w:type="dxa"/>
          </w:tcPr>
          <w:p w:rsidR="00E00E23" w:rsidRDefault="00E00E23"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E00E23" w:rsidRDefault="00E00E23" w:rsidP="000C4D7B">
            <w:pPr>
              <w:jc w:val="center"/>
              <w:rPr>
                <w:rFonts w:ascii="Times New Roman" w:hAnsi="Times New Roman" w:cs="Times New Roman"/>
              </w:rPr>
            </w:pPr>
            <w:r>
              <w:rPr>
                <w:rFonts w:ascii="Times New Roman" w:hAnsi="Times New Roman" w:cs="Times New Roman"/>
              </w:rPr>
              <w:t>2015</w:t>
            </w:r>
          </w:p>
        </w:tc>
        <w:tc>
          <w:tcPr>
            <w:tcW w:w="3192" w:type="dxa"/>
          </w:tcPr>
          <w:p w:rsidR="00E00E23" w:rsidRDefault="00E00E23" w:rsidP="000C4D7B">
            <w:pPr>
              <w:jc w:val="center"/>
              <w:rPr>
                <w:rFonts w:ascii="Times New Roman" w:hAnsi="Times New Roman" w:cs="Times New Roman"/>
              </w:rPr>
            </w:pPr>
            <w:r>
              <w:rPr>
                <w:rFonts w:ascii="Times New Roman" w:hAnsi="Times New Roman" w:cs="Times New Roman"/>
              </w:rPr>
              <w:t>2014</w:t>
            </w:r>
          </w:p>
        </w:tc>
      </w:tr>
      <w:tr w:rsidR="00E00E23" w:rsidTr="000C4D7B">
        <w:tc>
          <w:tcPr>
            <w:tcW w:w="3192" w:type="dxa"/>
            <w:vAlign w:val="bottom"/>
          </w:tcPr>
          <w:p w:rsidR="00E00E23" w:rsidRDefault="00E00E23" w:rsidP="000C4D7B">
            <w:pPr>
              <w:jc w:val="center"/>
              <w:rPr>
                <w:rFonts w:ascii="Calibri" w:hAnsi="Calibri" w:cs="Calibri"/>
                <w:color w:val="000000"/>
              </w:rPr>
            </w:pPr>
            <w:r>
              <w:rPr>
                <w:rFonts w:ascii="Calibri" w:hAnsi="Calibri" w:cs="Calibri"/>
                <w:color w:val="000000"/>
              </w:rPr>
              <w:t>1.3</w:t>
            </w:r>
          </w:p>
        </w:tc>
        <w:tc>
          <w:tcPr>
            <w:tcW w:w="3192" w:type="dxa"/>
            <w:vAlign w:val="bottom"/>
          </w:tcPr>
          <w:p w:rsidR="00E00E23" w:rsidRDefault="00E00E23" w:rsidP="000C4D7B">
            <w:pPr>
              <w:jc w:val="center"/>
              <w:rPr>
                <w:rFonts w:ascii="Calibri" w:hAnsi="Calibri" w:cs="Calibri"/>
                <w:color w:val="000000"/>
              </w:rPr>
            </w:pPr>
            <w:r>
              <w:rPr>
                <w:rFonts w:ascii="Calibri" w:hAnsi="Calibri" w:cs="Calibri"/>
                <w:color w:val="000000"/>
              </w:rPr>
              <w:t>2.08</w:t>
            </w:r>
          </w:p>
        </w:tc>
        <w:tc>
          <w:tcPr>
            <w:tcW w:w="3192" w:type="dxa"/>
            <w:vAlign w:val="bottom"/>
          </w:tcPr>
          <w:p w:rsidR="00E00E23" w:rsidRDefault="00E00E23" w:rsidP="000C4D7B">
            <w:pPr>
              <w:jc w:val="center"/>
              <w:rPr>
                <w:rFonts w:ascii="Calibri" w:hAnsi="Calibri" w:cs="Calibri"/>
                <w:color w:val="000000"/>
              </w:rPr>
            </w:pPr>
            <w:r>
              <w:rPr>
                <w:rFonts w:ascii="Calibri" w:hAnsi="Calibri" w:cs="Calibri"/>
                <w:color w:val="000000"/>
              </w:rPr>
              <w:t>1.92</w:t>
            </w:r>
          </w:p>
        </w:tc>
      </w:tr>
    </w:tbl>
    <w:p w:rsidR="00021771" w:rsidRDefault="00021771" w:rsidP="0051679F">
      <w:pPr>
        <w:rPr>
          <w:rFonts w:ascii="Times New Roman" w:hAnsi="Times New Roman" w:cs="Times New Roman"/>
        </w:rPr>
      </w:pPr>
    </w:p>
    <w:p w:rsidR="00E00E23" w:rsidRDefault="00E00E23" w:rsidP="0051679F">
      <w:pPr>
        <w:rPr>
          <w:rFonts w:ascii="Times New Roman" w:hAnsi="Times New Roman" w:cs="Times New Roman"/>
        </w:rPr>
      </w:pPr>
      <w:r>
        <w:rPr>
          <w:rFonts w:ascii="Times New Roman" w:hAnsi="Times New Roman" w:cs="Times New Roman"/>
          <w:noProof/>
        </w:rPr>
        <w:drawing>
          <wp:inline distT="0" distB="0" distL="0" distR="0">
            <wp:extent cx="2867025" cy="1800225"/>
            <wp:effectExtent l="1905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60615" w:rsidRDefault="003D0FED" w:rsidP="00960615">
      <w:pPr>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Current asset turnover ratio</w:t>
      </w:r>
      <w:r w:rsidR="00960615" w:rsidRPr="004D1EC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shows</w:t>
      </w:r>
      <w:r w:rsidR="00960615" w:rsidRPr="004D1EC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the</w:t>
      </w:r>
      <w:r w:rsidR="00960615" w:rsidRPr="004D1ECD">
        <w:rPr>
          <w:rFonts w:ascii="Times New Roman" w:eastAsia="Times New Roman" w:hAnsi="Times New Roman" w:cs="Times New Roman"/>
          <w:color w:val="000000"/>
          <w:sz w:val="24"/>
          <w:szCs w:val="24"/>
        </w:rPr>
        <w:t xml:space="preserve"> efficiently</w:t>
      </w:r>
      <w:r>
        <w:rPr>
          <w:rFonts w:ascii="Times New Roman" w:eastAsia="Times New Roman" w:hAnsi="Times New Roman" w:cs="Times New Roman"/>
          <w:color w:val="000000"/>
          <w:sz w:val="24"/>
          <w:szCs w:val="24"/>
        </w:rPr>
        <w:t xml:space="preserve"> of</w:t>
      </w:r>
      <w:r w:rsidR="00960615" w:rsidRPr="004D1ECD">
        <w:rPr>
          <w:rFonts w:ascii="Times New Roman" w:eastAsia="Times New Roman" w:hAnsi="Times New Roman" w:cs="Times New Roman"/>
          <w:color w:val="000000"/>
          <w:sz w:val="24"/>
          <w:szCs w:val="24"/>
        </w:rPr>
        <w:t xml:space="preserve"> firm</w:t>
      </w:r>
      <w:r>
        <w:rPr>
          <w:rFonts w:ascii="Times New Roman" w:eastAsia="Times New Roman" w:hAnsi="Times New Roman" w:cs="Times New Roman"/>
          <w:color w:val="000000"/>
          <w:sz w:val="24"/>
          <w:szCs w:val="24"/>
        </w:rPr>
        <w:t xml:space="preserve"> how they are using its current asset  for making revenue</w:t>
      </w:r>
      <w:r w:rsidR="00960615" w:rsidRPr="004D1ECD">
        <w:rPr>
          <w:rFonts w:ascii="Times New Roman" w:eastAsia="Times New Roman" w:hAnsi="Times New Roman" w:cs="Times New Roman"/>
          <w:color w:val="000000"/>
          <w:sz w:val="24"/>
          <w:szCs w:val="24"/>
        </w:rPr>
        <w:t>. This firm current asset turnover ratio in 201</w:t>
      </w:r>
      <w:r w:rsidR="00960615">
        <w:rPr>
          <w:rFonts w:ascii="Times New Roman" w:eastAsia="Times New Roman" w:hAnsi="Times New Roman" w:cs="Times New Roman"/>
          <w:color w:val="000000"/>
          <w:sz w:val="24"/>
          <w:szCs w:val="24"/>
        </w:rPr>
        <w:t>6</w:t>
      </w:r>
      <w:r w:rsidR="00960615" w:rsidRPr="004D1ECD">
        <w:rPr>
          <w:rFonts w:ascii="Times New Roman" w:eastAsia="Times New Roman" w:hAnsi="Times New Roman" w:cs="Times New Roman"/>
          <w:color w:val="000000"/>
          <w:sz w:val="24"/>
          <w:szCs w:val="24"/>
        </w:rPr>
        <w:t xml:space="preserve"> is </w:t>
      </w:r>
      <w:r w:rsidR="00960615">
        <w:rPr>
          <w:rFonts w:ascii="Times New Roman" w:eastAsia="Times New Roman" w:hAnsi="Times New Roman" w:cs="Times New Roman"/>
          <w:color w:val="000000"/>
          <w:sz w:val="24"/>
          <w:szCs w:val="24"/>
        </w:rPr>
        <w:t>1.3times, in 2015 is 2.08 and in 2014 is 1.91</w:t>
      </w:r>
      <w:r w:rsidR="00960615" w:rsidRPr="004D1ECD">
        <w:rPr>
          <w:rFonts w:ascii="Times New Roman" w:eastAsia="Times New Roman" w:hAnsi="Times New Roman" w:cs="Times New Roman"/>
          <w:color w:val="000000"/>
          <w:sz w:val="24"/>
          <w:szCs w:val="24"/>
        </w:rPr>
        <w:t xml:space="preserve">. Ratio is above than 1× indicates firm using its current asset efficiently in </w:t>
      </w:r>
      <w:r w:rsidR="00960615">
        <w:rPr>
          <w:rFonts w:ascii="Times New Roman" w:eastAsia="Times New Roman" w:hAnsi="Times New Roman" w:cs="Times New Roman"/>
          <w:color w:val="000000"/>
          <w:sz w:val="24"/>
          <w:szCs w:val="24"/>
        </w:rPr>
        <w:t>these years.</w:t>
      </w:r>
    </w:p>
    <w:p w:rsidR="00960615" w:rsidRPr="007C3D49" w:rsidRDefault="00960615" w:rsidP="00960615">
      <w:pPr>
        <w:spacing w:after="200" w:line="276" w:lineRule="auto"/>
        <w:jc w:val="both"/>
        <w:rPr>
          <w:rFonts w:ascii="Times New Roman" w:eastAsia="Times New Roman" w:hAnsi="Times New Roman" w:cs="Times New Roman"/>
          <w:b/>
          <w:color w:val="4F81BD" w:themeColor="accent1"/>
          <w:sz w:val="28"/>
          <w:szCs w:val="28"/>
        </w:rPr>
      </w:pPr>
    </w:p>
    <w:p w:rsidR="00960615" w:rsidRPr="007C3D49" w:rsidRDefault="00960615" w:rsidP="007C3D49">
      <w:pPr>
        <w:rPr>
          <w:b/>
          <w:color w:val="4F81BD" w:themeColor="accent1"/>
          <w:sz w:val="28"/>
          <w:szCs w:val="28"/>
        </w:rPr>
      </w:pPr>
      <w:r w:rsidRPr="007C3D49">
        <w:rPr>
          <w:b/>
          <w:color w:val="4F81BD" w:themeColor="accent1"/>
          <w:sz w:val="28"/>
          <w:szCs w:val="28"/>
        </w:rPr>
        <w:t>Inventory turnover Ratio</w:t>
      </w:r>
    </w:p>
    <w:tbl>
      <w:tblPr>
        <w:tblStyle w:val="TableGrid"/>
        <w:tblW w:w="0" w:type="auto"/>
        <w:tblLook w:val="04A0" w:firstRow="1" w:lastRow="0" w:firstColumn="1" w:lastColumn="0" w:noHBand="0" w:noVBand="1"/>
      </w:tblPr>
      <w:tblGrid>
        <w:gridCol w:w="3192"/>
        <w:gridCol w:w="3192"/>
        <w:gridCol w:w="3192"/>
      </w:tblGrid>
      <w:tr w:rsidR="00960615" w:rsidTr="000C4D7B">
        <w:tc>
          <w:tcPr>
            <w:tcW w:w="3192" w:type="dxa"/>
          </w:tcPr>
          <w:p w:rsidR="00960615" w:rsidRDefault="00960615"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960615" w:rsidRDefault="00960615" w:rsidP="000C4D7B">
            <w:pPr>
              <w:jc w:val="center"/>
              <w:rPr>
                <w:rFonts w:ascii="Times New Roman" w:hAnsi="Times New Roman" w:cs="Times New Roman"/>
              </w:rPr>
            </w:pPr>
            <w:r>
              <w:rPr>
                <w:rFonts w:ascii="Times New Roman" w:hAnsi="Times New Roman" w:cs="Times New Roman"/>
              </w:rPr>
              <w:t>2015</w:t>
            </w:r>
          </w:p>
        </w:tc>
        <w:tc>
          <w:tcPr>
            <w:tcW w:w="3192" w:type="dxa"/>
          </w:tcPr>
          <w:p w:rsidR="00960615" w:rsidRDefault="00960615" w:rsidP="000C4D7B">
            <w:pPr>
              <w:jc w:val="center"/>
              <w:rPr>
                <w:rFonts w:ascii="Times New Roman" w:hAnsi="Times New Roman" w:cs="Times New Roman"/>
              </w:rPr>
            </w:pPr>
            <w:r>
              <w:rPr>
                <w:rFonts w:ascii="Times New Roman" w:hAnsi="Times New Roman" w:cs="Times New Roman"/>
              </w:rPr>
              <w:t>2014</w:t>
            </w:r>
          </w:p>
        </w:tc>
      </w:tr>
      <w:tr w:rsidR="00960615" w:rsidTr="000C4D7B">
        <w:tc>
          <w:tcPr>
            <w:tcW w:w="3192" w:type="dxa"/>
            <w:vAlign w:val="bottom"/>
          </w:tcPr>
          <w:p w:rsidR="00960615" w:rsidRDefault="00960615" w:rsidP="000C4D7B">
            <w:pPr>
              <w:jc w:val="center"/>
              <w:rPr>
                <w:rFonts w:ascii="Calibri" w:hAnsi="Calibri" w:cs="Calibri"/>
                <w:color w:val="000000"/>
              </w:rPr>
            </w:pPr>
            <w:r>
              <w:rPr>
                <w:rFonts w:ascii="Calibri" w:hAnsi="Calibri" w:cs="Calibri"/>
                <w:color w:val="000000"/>
              </w:rPr>
              <w:t>3.55</w:t>
            </w:r>
          </w:p>
        </w:tc>
        <w:tc>
          <w:tcPr>
            <w:tcW w:w="3192" w:type="dxa"/>
            <w:vAlign w:val="bottom"/>
          </w:tcPr>
          <w:p w:rsidR="00960615" w:rsidRDefault="00960615" w:rsidP="000C4D7B">
            <w:pPr>
              <w:jc w:val="center"/>
              <w:rPr>
                <w:rFonts w:ascii="Calibri" w:hAnsi="Calibri" w:cs="Calibri"/>
                <w:color w:val="000000"/>
              </w:rPr>
            </w:pPr>
            <w:r>
              <w:rPr>
                <w:rFonts w:ascii="Calibri" w:hAnsi="Calibri" w:cs="Calibri"/>
                <w:color w:val="000000"/>
              </w:rPr>
              <w:t>6.26</w:t>
            </w:r>
          </w:p>
        </w:tc>
        <w:tc>
          <w:tcPr>
            <w:tcW w:w="3192" w:type="dxa"/>
            <w:vAlign w:val="bottom"/>
          </w:tcPr>
          <w:p w:rsidR="00960615" w:rsidRDefault="00960615" w:rsidP="000C4D7B">
            <w:pPr>
              <w:jc w:val="center"/>
              <w:rPr>
                <w:rFonts w:ascii="Calibri" w:hAnsi="Calibri" w:cs="Calibri"/>
                <w:color w:val="000000"/>
              </w:rPr>
            </w:pPr>
            <w:r>
              <w:rPr>
                <w:rFonts w:ascii="Calibri" w:hAnsi="Calibri" w:cs="Calibri"/>
                <w:color w:val="000000"/>
              </w:rPr>
              <w:t>5.43</w:t>
            </w:r>
          </w:p>
        </w:tc>
      </w:tr>
    </w:tbl>
    <w:p w:rsidR="00E00E23" w:rsidRDefault="00E00E23" w:rsidP="0051679F">
      <w:pPr>
        <w:rPr>
          <w:rFonts w:ascii="Times New Roman" w:hAnsi="Times New Roman" w:cs="Times New Roman"/>
        </w:rPr>
      </w:pPr>
    </w:p>
    <w:p w:rsidR="00960615" w:rsidRDefault="00960615" w:rsidP="0051679F">
      <w:pPr>
        <w:rPr>
          <w:rFonts w:ascii="Times New Roman" w:hAnsi="Times New Roman" w:cs="Times New Roman"/>
        </w:rPr>
      </w:pPr>
      <w:r w:rsidRPr="00960615">
        <w:rPr>
          <w:rFonts w:ascii="Times New Roman" w:hAnsi="Times New Roman" w:cs="Times New Roman"/>
          <w:noProof/>
        </w:rPr>
        <w:drawing>
          <wp:inline distT="0" distB="0" distL="0" distR="0">
            <wp:extent cx="2733675" cy="1676400"/>
            <wp:effectExtent l="19050" t="0" r="9525" b="0"/>
            <wp:docPr id="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60615" w:rsidRDefault="00960615" w:rsidP="00960615">
      <w:pPr>
        <w:spacing w:after="200" w:line="276" w:lineRule="auto"/>
        <w:jc w:val="both"/>
        <w:rPr>
          <w:rFonts w:ascii="Times New Roman" w:eastAsia="Times New Roman" w:hAnsi="Times New Roman" w:cs="Times New Roman"/>
          <w:color w:val="000000"/>
          <w:sz w:val="24"/>
          <w:szCs w:val="24"/>
        </w:rPr>
      </w:pPr>
      <w:r w:rsidRPr="004D1ECD">
        <w:rPr>
          <w:rFonts w:ascii="Times New Roman" w:eastAsia="Times New Roman" w:hAnsi="Times New Roman" w:cs="Times New Roman"/>
          <w:color w:val="000000"/>
          <w:sz w:val="24"/>
          <w:szCs w:val="24"/>
        </w:rPr>
        <w:t>Inventory turnover ratio indicates the way management has used inventory to conduct the operations of the business. Inventory turnover of</w:t>
      </w:r>
      <w:r>
        <w:rPr>
          <w:rFonts w:ascii="Times New Roman" w:eastAsia="Times New Roman" w:hAnsi="Times New Roman" w:cs="Times New Roman"/>
          <w:color w:val="000000"/>
          <w:sz w:val="24"/>
          <w:szCs w:val="24"/>
        </w:rPr>
        <w:t xml:space="preserve"> square textile of the year 2016</w:t>
      </w:r>
      <w:r w:rsidRPr="004D1ECD">
        <w:rPr>
          <w:rFonts w:ascii="Times New Roman" w:eastAsia="Times New Roman" w:hAnsi="Times New Roman" w:cs="Times New Roman"/>
          <w:color w:val="000000"/>
          <w:sz w:val="24"/>
          <w:szCs w:val="24"/>
        </w:rPr>
        <w:t xml:space="preserve"> is 3.</w:t>
      </w:r>
      <w:r>
        <w:rPr>
          <w:rFonts w:ascii="Times New Roman" w:eastAsia="Times New Roman" w:hAnsi="Times New Roman" w:cs="Times New Roman"/>
          <w:color w:val="000000"/>
          <w:sz w:val="24"/>
          <w:szCs w:val="24"/>
        </w:rPr>
        <w:t>55 and 2015</w:t>
      </w:r>
      <w:r w:rsidRPr="004D1ECD">
        <w:rPr>
          <w:rFonts w:ascii="Times New Roman" w:eastAsia="Times New Roman" w:hAnsi="Times New Roman" w:cs="Times New Roman"/>
          <w:color w:val="000000"/>
          <w:sz w:val="24"/>
          <w:szCs w:val="24"/>
        </w:rPr>
        <w:t xml:space="preserve"> is </w:t>
      </w:r>
      <w:r>
        <w:rPr>
          <w:rFonts w:ascii="Times New Roman" w:eastAsia="Times New Roman" w:hAnsi="Times New Roman" w:cs="Times New Roman"/>
          <w:color w:val="000000"/>
          <w:sz w:val="24"/>
          <w:szCs w:val="24"/>
        </w:rPr>
        <w:t>6.26 and 2014 is 5.43</w:t>
      </w:r>
      <w:r w:rsidRPr="004D1ECD">
        <w:rPr>
          <w:rFonts w:ascii="Times New Roman" w:eastAsia="Times New Roman" w:hAnsi="Times New Roman" w:cs="Times New Roman"/>
          <w:color w:val="000000"/>
          <w:sz w:val="24"/>
          <w:szCs w:val="24"/>
        </w:rPr>
        <w:t xml:space="preserve"> Comparing the</w:t>
      </w:r>
      <w:r w:rsidR="00111233">
        <w:rPr>
          <w:rFonts w:ascii="Times New Roman" w:eastAsia="Times New Roman" w:hAnsi="Times New Roman" w:cs="Times New Roman"/>
          <w:color w:val="000000"/>
          <w:sz w:val="24"/>
          <w:szCs w:val="24"/>
        </w:rPr>
        <w:t>se</w:t>
      </w:r>
      <w:r w:rsidRPr="004D1ECD">
        <w:rPr>
          <w:rFonts w:ascii="Times New Roman" w:eastAsia="Times New Roman" w:hAnsi="Times New Roman" w:cs="Times New Roman"/>
          <w:color w:val="000000"/>
          <w:sz w:val="24"/>
          <w:szCs w:val="24"/>
        </w:rPr>
        <w:t xml:space="preserve"> two year the company had the high amount of inventory which is good for firm because higher the inventory turnover the better for the company.</w:t>
      </w:r>
    </w:p>
    <w:p w:rsidR="00111233" w:rsidRPr="00CE70EB" w:rsidRDefault="00111233" w:rsidP="00CE70EB">
      <w:pPr>
        <w:rPr>
          <w:b/>
          <w:color w:val="4F81BD" w:themeColor="accent1"/>
          <w:sz w:val="28"/>
          <w:szCs w:val="28"/>
        </w:rPr>
      </w:pPr>
      <w:r w:rsidRPr="00CE70EB">
        <w:rPr>
          <w:b/>
          <w:color w:val="4F81BD" w:themeColor="accent1"/>
          <w:sz w:val="28"/>
          <w:szCs w:val="28"/>
        </w:rPr>
        <w:t>Daily Inventories Held</w:t>
      </w:r>
    </w:p>
    <w:tbl>
      <w:tblPr>
        <w:tblStyle w:val="TableGrid"/>
        <w:tblW w:w="0" w:type="auto"/>
        <w:tblLook w:val="04A0" w:firstRow="1" w:lastRow="0" w:firstColumn="1" w:lastColumn="0" w:noHBand="0" w:noVBand="1"/>
      </w:tblPr>
      <w:tblGrid>
        <w:gridCol w:w="3192"/>
        <w:gridCol w:w="3192"/>
        <w:gridCol w:w="3192"/>
      </w:tblGrid>
      <w:tr w:rsidR="00111233" w:rsidTr="000C4D7B">
        <w:tc>
          <w:tcPr>
            <w:tcW w:w="3192" w:type="dxa"/>
          </w:tcPr>
          <w:p w:rsidR="00111233" w:rsidRDefault="00111233"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111233" w:rsidRDefault="00111233" w:rsidP="000C4D7B">
            <w:pPr>
              <w:jc w:val="center"/>
              <w:rPr>
                <w:rFonts w:ascii="Times New Roman" w:hAnsi="Times New Roman" w:cs="Times New Roman"/>
              </w:rPr>
            </w:pPr>
            <w:r>
              <w:rPr>
                <w:rFonts w:ascii="Times New Roman" w:hAnsi="Times New Roman" w:cs="Times New Roman"/>
              </w:rPr>
              <w:t>2015</w:t>
            </w:r>
          </w:p>
        </w:tc>
        <w:tc>
          <w:tcPr>
            <w:tcW w:w="3192" w:type="dxa"/>
          </w:tcPr>
          <w:p w:rsidR="00111233" w:rsidRDefault="00111233" w:rsidP="000C4D7B">
            <w:pPr>
              <w:jc w:val="center"/>
              <w:rPr>
                <w:rFonts w:ascii="Times New Roman" w:hAnsi="Times New Roman" w:cs="Times New Roman"/>
              </w:rPr>
            </w:pPr>
            <w:r>
              <w:rPr>
                <w:rFonts w:ascii="Times New Roman" w:hAnsi="Times New Roman" w:cs="Times New Roman"/>
              </w:rPr>
              <w:t>2014</w:t>
            </w:r>
          </w:p>
        </w:tc>
      </w:tr>
      <w:tr w:rsidR="00111233" w:rsidTr="000C4D7B">
        <w:tc>
          <w:tcPr>
            <w:tcW w:w="3192" w:type="dxa"/>
            <w:vAlign w:val="bottom"/>
          </w:tcPr>
          <w:p w:rsidR="00111233" w:rsidRDefault="00111233" w:rsidP="000C4D7B">
            <w:pPr>
              <w:jc w:val="center"/>
              <w:rPr>
                <w:rFonts w:ascii="Calibri" w:hAnsi="Calibri" w:cs="Calibri"/>
                <w:color w:val="000000"/>
              </w:rPr>
            </w:pPr>
            <w:r>
              <w:rPr>
                <w:rFonts w:ascii="Calibri" w:hAnsi="Calibri" w:cs="Calibri"/>
                <w:color w:val="000000"/>
              </w:rPr>
              <w:t>102.85</w:t>
            </w:r>
          </w:p>
        </w:tc>
        <w:tc>
          <w:tcPr>
            <w:tcW w:w="3192" w:type="dxa"/>
            <w:vAlign w:val="bottom"/>
          </w:tcPr>
          <w:p w:rsidR="00111233" w:rsidRDefault="00C950F4" w:rsidP="000C4D7B">
            <w:pPr>
              <w:jc w:val="center"/>
              <w:rPr>
                <w:rFonts w:ascii="Calibri" w:hAnsi="Calibri" w:cs="Calibri"/>
                <w:color w:val="000000"/>
              </w:rPr>
            </w:pPr>
            <w:r>
              <w:rPr>
                <w:rFonts w:ascii="Calibri" w:hAnsi="Calibri" w:cs="Calibri"/>
                <w:color w:val="000000"/>
              </w:rPr>
              <w:t>58.29</w:t>
            </w:r>
          </w:p>
        </w:tc>
        <w:tc>
          <w:tcPr>
            <w:tcW w:w="3192" w:type="dxa"/>
            <w:vAlign w:val="bottom"/>
          </w:tcPr>
          <w:p w:rsidR="00111233" w:rsidRDefault="00C950F4" w:rsidP="000C4D7B">
            <w:pPr>
              <w:jc w:val="center"/>
              <w:rPr>
                <w:rFonts w:ascii="Calibri" w:hAnsi="Calibri" w:cs="Calibri"/>
                <w:color w:val="000000"/>
              </w:rPr>
            </w:pPr>
            <w:r>
              <w:rPr>
                <w:rFonts w:ascii="Calibri" w:hAnsi="Calibri" w:cs="Calibri"/>
                <w:color w:val="000000"/>
              </w:rPr>
              <w:t>67.24</w:t>
            </w:r>
          </w:p>
        </w:tc>
      </w:tr>
    </w:tbl>
    <w:p w:rsidR="00960615" w:rsidRDefault="00960615" w:rsidP="0051679F">
      <w:pPr>
        <w:rPr>
          <w:rFonts w:ascii="Times New Roman" w:hAnsi="Times New Roman" w:cs="Times New Roman"/>
        </w:rPr>
      </w:pPr>
    </w:p>
    <w:p w:rsidR="00C950F4" w:rsidRDefault="00C950F4" w:rsidP="0051679F">
      <w:pPr>
        <w:rPr>
          <w:rFonts w:ascii="Times New Roman" w:hAnsi="Times New Roman" w:cs="Times New Roman"/>
        </w:rPr>
      </w:pPr>
      <w:r w:rsidRPr="00C950F4">
        <w:rPr>
          <w:rFonts w:ascii="Times New Roman" w:hAnsi="Times New Roman" w:cs="Times New Roman"/>
          <w:noProof/>
        </w:rPr>
        <w:lastRenderedPageBreak/>
        <w:drawing>
          <wp:inline distT="0" distB="0" distL="0" distR="0">
            <wp:extent cx="2857500" cy="1885950"/>
            <wp:effectExtent l="19050" t="0" r="19050" b="0"/>
            <wp:docPr id="1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950F4" w:rsidRDefault="0033717B" w:rsidP="0033717B">
      <w:pPr>
        <w:spacing w:after="200" w:line="276" w:lineRule="auto"/>
        <w:jc w:val="both"/>
        <w:rPr>
          <w:rFonts w:ascii="Times New Roman" w:eastAsia="Times New Roman" w:hAnsi="Times New Roman" w:cs="Times New Roman"/>
          <w:bCs/>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M</w:t>
      </w:r>
      <w:r w:rsidR="00C950F4" w:rsidRPr="004D1ECD">
        <w:rPr>
          <w:rFonts w:ascii="Times New Roman" w:eastAsia="Times New Roman" w:hAnsi="Times New Roman" w:cs="Times New Roman"/>
          <w:color w:val="000000"/>
          <w:sz w:val="24"/>
          <w:szCs w:val="24"/>
          <w:shd w:val="clear" w:color="auto" w:fill="FFFFFF"/>
        </w:rPr>
        <w:t>easures the number of </w:t>
      </w:r>
      <w:r w:rsidR="00C950F4" w:rsidRPr="004D1ECD">
        <w:rPr>
          <w:rFonts w:ascii="Times New Roman" w:eastAsia="Times New Roman" w:hAnsi="Times New Roman" w:cs="Times New Roman"/>
          <w:b/>
          <w:bCs/>
          <w:color w:val="000000"/>
          <w:sz w:val="24"/>
          <w:szCs w:val="24"/>
          <w:shd w:val="clear" w:color="auto" w:fill="FFFFFF"/>
        </w:rPr>
        <w:t>days</w:t>
      </w:r>
      <w:r w:rsidR="00C950F4" w:rsidRPr="004D1ECD">
        <w:rPr>
          <w:rFonts w:ascii="Times New Roman" w:eastAsia="Times New Roman" w:hAnsi="Times New Roman" w:cs="Times New Roman"/>
          <w:color w:val="000000"/>
          <w:sz w:val="24"/>
          <w:szCs w:val="24"/>
          <w:shd w:val="clear" w:color="auto" w:fill="FFFFFF"/>
        </w:rPr>
        <w:t> it will take a company to sell all of its </w:t>
      </w:r>
      <w:r w:rsidR="00C950F4" w:rsidRPr="004D1ECD">
        <w:rPr>
          <w:rFonts w:ascii="Times New Roman" w:eastAsia="Times New Roman" w:hAnsi="Times New Roman" w:cs="Times New Roman"/>
          <w:bCs/>
          <w:color w:val="000000"/>
          <w:sz w:val="24"/>
          <w:szCs w:val="24"/>
          <w:shd w:val="clear" w:color="auto" w:fill="FFFFFF"/>
        </w:rPr>
        <w:t>inventory. This company DIH in 201</w:t>
      </w:r>
      <w:r w:rsidR="00C950F4">
        <w:rPr>
          <w:rFonts w:ascii="Times New Roman" w:eastAsia="Times New Roman" w:hAnsi="Times New Roman" w:cs="Times New Roman"/>
          <w:bCs/>
          <w:color w:val="000000"/>
          <w:sz w:val="24"/>
          <w:szCs w:val="24"/>
          <w:shd w:val="clear" w:color="auto" w:fill="FFFFFF"/>
        </w:rPr>
        <w:t>6 is 102</w:t>
      </w:r>
      <w:r w:rsidR="00C950F4" w:rsidRPr="004D1ECD">
        <w:rPr>
          <w:rFonts w:ascii="Times New Roman" w:eastAsia="Times New Roman" w:hAnsi="Times New Roman" w:cs="Times New Roman"/>
          <w:bCs/>
          <w:color w:val="000000"/>
          <w:sz w:val="24"/>
          <w:szCs w:val="24"/>
          <w:shd w:val="clear" w:color="auto" w:fill="FFFFFF"/>
        </w:rPr>
        <w:t xml:space="preserve"> days and in 201</w:t>
      </w:r>
      <w:r w:rsidR="00C950F4">
        <w:rPr>
          <w:rFonts w:ascii="Times New Roman" w:eastAsia="Times New Roman" w:hAnsi="Times New Roman" w:cs="Times New Roman"/>
          <w:bCs/>
          <w:color w:val="000000"/>
          <w:sz w:val="24"/>
          <w:szCs w:val="24"/>
          <w:shd w:val="clear" w:color="auto" w:fill="FFFFFF"/>
        </w:rPr>
        <w:t>5</w:t>
      </w:r>
      <w:r w:rsidR="00C950F4" w:rsidRPr="004D1ECD">
        <w:rPr>
          <w:rFonts w:ascii="Times New Roman" w:eastAsia="Times New Roman" w:hAnsi="Times New Roman" w:cs="Times New Roman"/>
          <w:bCs/>
          <w:color w:val="000000"/>
          <w:sz w:val="24"/>
          <w:szCs w:val="24"/>
          <w:shd w:val="clear" w:color="auto" w:fill="FFFFFF"/>
        </w:rPr>
        <w:t xml:space="preserve"> it takes </w:t>
      </w:r>
      <w:r w:rsidR="00C950F4">
        <w:rPr>
          <w:rFonts w:ascii="Times New Roman" w:eastAsia="Times New Roman" w:hAnsi="Times New Roman" w:cs="Times New Roman"/>
          <w:bCs/>
          <w:color w:val="000000"/>
          <w:sz w:val="24"/>
          <w:szCs w:val="24"/>
          <w:shd w:val="clear" w:color="auto" w:fill="FFFFFF"/>
        </w:rPr>
        <w:t>58 days and 2014 takes 67 days</w:t>
      </w:r>
      <w:r w:rsidR="00C950F4" w:rsidRPr="004D1ECD">
        <w:rPr>
          <w:rFonts w:ascii="Times New Roman" w:eastAsia="Times New Roman" w:hAnsi="Times New Roman" w:cs="Times New Roman"/>
          <w:bCs/>
          <w:color w:val="000000"/>
          <w:sz w:val="24"/>
          <w:szCs w:val="24"/>
          <w:shd w:val="clear" w:color="auto" w:fill="FFFFFF"/>
        </w:rPr>
        <w:t xml:space="preserve"> Comparing th</w:t>
      </w:r>
      <w:r w:rsidR="00C950F4">
        <w:rPr>
          <w:rFonts w:ascii="Times New Roman" w:eastAsia="Times New Roman" w:hAnsi="Times New Roman" w:cs="Times New Roman"/>
          <w:bCs/>
          <w:color w:val="000000"/>
          <w:sz w:val="24"/>
          <w:szCs w:val="24"/>
          <w:shd w:val="clear" w:color="auto" w:fill="FFFFFF"/>
        </w:rPr>
        <w:t xml:space="preserve">ese years </w:t>
      </w:r>
      <w:r w:rsidR="00C950F4" w:rsidRPr="004D1ECD">
        <w:rPr>
          <w:rFonts w:ascii="Times New Roman" w:eastAsia="Times New Roman" w:hAnsi="Times New Roman" w:cs="Times New Roman"/>
          <w:bCs/>
          <w:color w:val="000000"/>
          <w:sz w:val="24"/>
          <w:szCs w:val="24"/>
          <w:shd w:val="clear" w:color="auto" w:fill="FFFFFF"/>
        </w:rPr>
        <w:t xml:space="preserve">firm takes shorter time </w:t>
      </w:r>
      <w:r w:rsidR="00C950F4">
        <w:rPr>
          <w:rFonts w:ascii="Times New Roman" w:eastAsia="Times New Roman" w:hAnsi="Times New Roman" w:cs="Times New Roman"/>
          <w:bCs/>
          <w:color w:val="000000"/>
          <w:sz w:val="24"/>
          <w:szCs w:val="24"/>
          <w:shd w:val="clear" w:color="auto" w:fill="FFFFFF"/>
        </w:rPr>
        <w:t>in 2015.</w:t>
      </w:r>
    </w:p>
    <w:p w:rsidR="00C950F4" w:rsidRPr="00A15E21" w:rsidRDefault="00C950F4" w:rsidP="00CE70EB">
      <w:pPr>
        <w:pStyle w:val="NoSpacing"/>
        <w:rPr>
          <w:shd w:val="clear" w:color="auto" w:fill="FFFFFF"/>
        </w:rPr>
      </w:pPr>
      <w:r w:rsidRPr="00A15E21">
        <w:rPr>
          <w:shd w:val="clear" w:color="auto" w:fill="FFFFFF"/>
        </w:rPr>
        <w:t>Raw Materials Inventory Turnover</w:t>
      </w:r>
    </w:p>
    <w:p w:rsidR="00C950F4" w:rsidRDefault="00C950F4" w:rsidP="0051679F"/>
    <w:tbl>
      <w:tblPr>
        <w:tblStyle w:val="TableGrid"/>
        <w:tblW w:w="0" w:type="auto"/>
        <w:tblLook w:val="04A0" w:firstRow="1" w:lastRow="0" w:firstColumn="1" w:lastColumn="0" w:noHBand="0" w:noVBand="1"/>
      </w:tblPr>
      <w:tblGrid>
        <w:gridCol w:w="3192"/>
        <w:gridCol w:w="3192"/>
      </w:tblGrid>
      <w:tr w:rsidR="00C950F4" w:rsidTr="000C4D7B">
        <w:tc>
          <w:tcPr>
            <w:tcW w:w="3192" w:type="dxa"/>
          </w:tcPr>
          <w:p w:rsidR="00C950F4" w:rsidRDefault="00C950F4"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C950F4" w:rsidRDefault="00C950F4" w:rsidP="000C4D7B">
            <w:pPr>
              <w:jc w:val="center"/>
              <w:rPr>
                <w:rFonts w:ascii="Times New Roman" w:hAnsi="Times New Roman" w:cs="Times New Roman"/>
              </w:rPr>
            </w:pPr>
            <w:r>
              <w:rPr>
                <w:rFonts w:ascii="Times New Roman" w:hAnsi="Times New Roman" w:cs="Times New Roman"/>
              </w:rPr>
              <w:t>2015</w:t>
            </w:r>
          </w:p>
        </w:tc>
      </w:tr>
      <w:tr w:rsidR="00C950F4" w:rsidTr="000C4D7B">
        <w:tc>
          <w:tcPr>
            <w:tcW w:w="3192" w:type="dxa"/>
            <w:vAlign w:val="bottom"/>
          </w:tcPr>
          <w:p w:rsidR="00C950F4" w:rsidRDefault="00C950F4" w:rsidP="000C4D7B">
            <w:pPr>
              <w:jc w:val="center"/>
              <w:rPr>
                <w:rFonts w:ascii="Calibri" w:hAnsi="Calibri" w:cs="Calibri"/>
                <w:color w:val="000000"/>
              </w:rPr>
            </w:pPr>
            <w:r>
              <w:rPr>
                <w:rFonts w:ascii="Calibri" w:hAnsi="Calibri" w:cs="Calibri"/>
                <w:color w:val="000000"/>
              </w:rPr>
              <w:t>4.06</w:t>
            </w:r>
          </w:p>
        </w:tc>
        <w:tc>
          <w:tcPr>
            <w:tcW w:w="3192" w:type="dxa"/>
            <w:vAlign w:val="bottom"/>
          </w:tcPr>
          <w:p w:rsidR="00C950F4" w:rsidRDefault="00C950F4" w:rsidP="000C4D7B">
            <w:pPr>
              <w:jc w:val="center"/>
              <w:rPr>
                <w:rFonts w:ascii="Calibri" w:hAnsi="Calibri" w:cs="Calibri"/>
                <w:color w:val="000000"/>
              </w:rPr>
            </w:pPr>
            <w:r>
              <w:rPr>
                <w:rFonts w:ascii="Calibri" w:hAnsi="Calibri" w:cs="Calibri"/>
                <w:color w:val="000000"/>
              </w:rPr>
              <w:t>8.75</w:t>
            </w:r>
          </w:p>
        </w:tc>
      </w:tr>
    </w:tbl>
    <w:p w:rsidR="00C950F4" w:rsidRDefault="00C950F4" w:rsidP="0051679F">
      <w:pPr>
        <w:rPr>
          <w:rFonts w:ascii="Times New Roman" w:hAnsi="Times New Roman" w:cs="Times New Roman"/>
        </w:rPr>
      </w:pPr>
    </w:p>
    <w:p w:rsidR="00C950F4" w:rsidRDefault="00C950F4" w:rsidP="0051679F">
      <w:pPr>
        <w:rPr>
          <w:rFonts w:ascii="Times New Roman" w:hAnsi="Times New Roman" w:cs="Times New Roman"/>
        </w:rPr>
      </w:pPr>
      <w:r w:rsidRPr="00C950F4">
        <w:rPr>
          <w:rFonts w:ascii="Times New Roman" w:hAnsi="Times New Roman" w:cs="Times New Roman"/>
          <w:noProof/>
        </w:rPr>
        <w:drawing>
          <wp:inline distT="0" distB="0" distL="0" distR="0">
            <wp:extent cx="2857500" cy="1885950"/>
            <wp:effectExtent l="19050" t="0" r="19050" b="0"/>
            <wp:docPr id="1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950F4" w:rsidRPr="004D1ECD" w:rsidRDefault="00C950F4" w:rsidP="00C950F4">
      <w:pPr>
        <w:spacing w:after="200" w:line="276" w:lineRule="auto"/>
        <w:jc w:val="both"/>
        <w:rPr>
          <w:rFonts w:ascii="Times New Roman" w:eastAsia="Times New Roman" w:hAnsi="Times New Roman" w:cs="Times New Roman"/>
          <w:color w:val="000000"/>
          <w:sz w:val="24"/>
          <w:szCs w:val="24"/>
        </w:rPr>
      </w:pPr>
      <w:r w:rsidRPr="004D1ECD">
        <w:rPr>
          <w:rFonts w:ascii="Times New Roman" w:eastAsia="Times New Roman" w:hAnsi="Times New Roman" w:cs="Times New Roman"/>
          <w:color w:val="000000"/>
          <w:sz w:val="24"/>
          <w:szCs w:val="24"/>
        </w:rPr>
        <w:t>This ratio indicates the rate of utilization of raw material.</w:t>
      </w:r>
    </w:p>
    <w:p w:rsidR="00C950F4" w:rsidRDefault="00C950F4" w:rsidP="0033717B">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2016</w:t>
      </w:r>
      <w:r w:rsidRPr="004D1ECD">
        <w:rPr>
          <w:rFonts w:ascii="Times New Roman" w:eastAsia="Times New Roman" w:hAnsi="Times New Roman" w:cs="Times New Roman"/>
          <w:color w:val="000000"/>
          <w:sz w:val="24"/>
          <w:szCs w:val="24"/>
        </w:rPr>
        <w:t xml:space="preserve"> this ratio is 4.</w:t>
      </w:r>
      <w:r>
        <w:rPr>
          <w:rFonts w:ascii="Times New Roman" w:eastAsia="Times New Roman" w:hAnsi="Times New Roman" w:cs="Times New Roman"/>
          <w:color w:val="000000"/>
          <w:sz w:val="24"/>
          <w:szCs w:val="24"/>
        </w:rPr>
        <w:t>06 and in 2015</w:t>
      </w:r>
      <w:r w:rsidRPr="004D1ECD">
        <w:rPr>
          <w:rFonts w:ascii="Times New Roman" w:eastAsia="Times New Roman" w:hAnsi="Times New Roman" w:cs="Times New Roman"/>
          <w:color w:val="000000"/>
          <w:sz w:val="24"/>
          <w:szCs w:val="24"/>
        </w:rPr>
        <w:t xml:space="preserve"> it was </w:t>
      </w:r>
      <w:r w:rsidR="00BF0FF5">
        <w:rPr>
          <w:rFonts w:ascii="Times New Roman" w:eastAsia="Times New Roman" w:hAnsi="Times New Roman" w:cs="Times New Roman"/>
          <w:color w:val="000000"/>
          <w:sz w:val="24"/>
          <w:szCs w:val="24"/>
        </w:rPr>
        <w:t>8.75</w:t>
      </w:r>
      <w:r w:rsidRPr="004D1ECD">
        <w:rPr>
          <w:rFonts w:ascii="Times New Roman" w:eastAsia="Times New Roman" w:hAnsi="Times New Roman" w:cs="Times New Roman"/>
          <w:color w:val="000000"/>
          <w:sz w:val="24"/>
          <w:szCs w:val="24"/>
        </w:rPr>
        <w:t xml:space="preserve"> This higher turnover ratio of raw material inventory over a period of time indicates square textile LTD Company increasing its utilization</w:t>
      </w:r>
      <w:r w:rsidR="00BF0FF5">
        <w:rPr>
          <w:rFonts w:ascii="Times New Roman" w:eastAsia="Times New Roman" w:hAnsi="Times New Roman" w:cs="Times New Roman"/>
          <w:color w:val="000000"/>
          <w:sz w:val="24"/>
          <w:szCs w:val="24"/>
        </w:rPr>
        <w:t>.</w:t>
      </w:r>
    </w:p>
    <w:p w:rsidR="00BF0FF5" w:rsidRDefault="00BF0FF5" w:rsidP="00C950F4">
      <w:pPr>
        <w:rPr>
          <w:rFonts w:ascii="Times New Roman" w:eastAsia="Times New Roman" w:hAnsi="Times New Roman" w:cs="Times New Roman"/>
          <w:color w:val="000000"/>
          <w:sz w:val="24"/>
          <w:szCs w:val="24"/>
        </w:rPr>
      </w:pPr>
    </w:p>
    <w:p w:rsidR="00BF0FF5" w:rsidRPr="00A15E21" w:rsidRDefault="00BF0FF5" w:rsidP="00CE70EB">
      <w:pPr>
        <w:pStyle w:val="NoSpacing"/>
      </w:pPr>
      <w:r w:rsidRPr="00A15E21">
        <w:t>Number of days holdings Raw materials</w:t>
      </w:r>
    </w:p>
    <w:tbl>
      <w:tblPr>
        <w:tblStyle w:val="TableGrid"/>
        <w:tblW w:w="0" w:type="auto"/>
        <w:tblLook w:val="04A0" w:firstRow="1" w:lastRow="0" w:firstColumn="1" w:lastColumn="0" w:noHBand="0" w:noVBand="1"/>
      </w:tblPr>
      <w:tblGrid>
        <w:gridCol w:w="3192"/>
        <w:gridCol w:w="3192"/>
      </w:tblGrid>
      <w:tr w:rsidR="00BF0FF5" w:rsidTr="000C4D7B">
        <w:tc>
          <w:tcPr>
            <w:tcW w:w="3192" w:type="dxa"/>
          </w:tcPr>
          <w:p w:rsidR="00BF0FF5" w:rsidRDefault="00BF0FF5"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BF0FF5" w:rsidRDefault="00BF0FF5" w:rsidP="000C4D7B">
            <w:pPr>
              <w:jc w:val="center"/>
              <w:rPr>
                <w:rFonts w:ascii="Times New Roman" w:hAnsi="Times New Roman" w:cs="Times New Roman"/>
              </w:rPr>
            </w:pPr>
            <w:r>
              <w:rPr>
                <w:rFonts w:ascii="Times New Roman" w:hAnsi="Times New Roman" w:cs="Times New Roman"/>
              </w:rPr>
              <w:t>2015</w:t>
            </w:r>
          </w:p>
        </w:tc>
      </w:tr>
      <w:tr w:rsidR="00BF0FF5" w:rsidTr="000C4D7B">
        <w:tc>
          <w:tcPr>
            <w:tcW w:w="3192" w:type="dxa"/>
            <w:vAlign w:val="bottom"/>
          </w:tcPr>
          <w:p w:rsidR="00BF0FF5" w:rsidRDefault="00BF0FF5" w:rsidP="000C4D7B">
            <w:pPr>
              <w:jc w:val="center"/>
              <w:rPr>
                <w:rFonts w:ascii="Calibri" w:hAnsi="Calibri" w:cs="Calibri"/>
                <w:color w:val="000000"/>
              </w:rPr>
            </w:pPr>
            <w:r>
              <w:rPr>
                <w:rFonts w:ascii="Calibri" w:hAnsi="Calibri" w:cs="Calibri"/>
                <w:color w:val="000000"/>
              </w:rPr>
              <w:t>89.81</w:t>
            </w:r>
          </w:p>
        </w:tc>
        <w:tc>
          <w:tcPr>
            <w:tcW w:w="3192" w:type="dxa"/>
            <w:vAlign w:val="bottom"/>
          </w:tcPr>
          <w:p w:rsidR="00BF0FF5" w:rsidRDefault="00BF0FF5" w:rsidP="000C4D7B">
            <w:pPr>
              <w:jc w:val="center"/>
              <w:rPr>
                <w:rFonts w:ascii="Calibri" w:hAnsi="Calibri" w:cs="Calibri"/>
                <w:color w:val="000000"/>
              </w:rPr>
            </w:pPr>
            <w:r>
              <w:rPr>
                <w:rFonts w:ascii="Calibri" w:hAnsi="Calibri" w:cs="Calibri"/>
                <w:color w:val="000000"/>
              </w:rPr>
              <w:t>41.71</w:t>
            </w:r>
          </w:p>
        </w:tc>
      </w:tr>
    </w:tbl>
    <w:p w:rsidR="00BF0FF5" w:rsidRDefault="00BF0FF5" w:rsidP="00BF0FF5"/>
    <w:p w:rsidR="00BF0FF5" w:rsidRDefault="00BF0FF5" w:rsidP="00C950F4">
      <w:pPr>
        <w:rPr>
          <w:rFonts w:ascii="Times New Roman" w:hAnsi="Times New Roman" w:cs="Times New Roman"/>
        </w:rPr>
      </w:pPr>
      <w:r w:rsidRPr="00BF0FF5">
        <w:rPr>
          <w:noProof/>
        </w:rPr>
        <w:lastRenderedPageBreak/>
        <w:drawing>
          <wp:inline distT="0" distB="0" distL="0" distR="0">
            <wp:extent cx="2857500" cy="1885950"/>
            <wp:effectExtent l="19050" t="0" r="19050" b="0"/>
            <wp:docPr id="1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F0FF5" w:rsidRDefault="00034B65" w:rsidP="0033717B">
      <w:pPr>
        <w:jc w:val="both"/>
        <w:rPr>
          <w:rFonts w:ascii="Times New Roman" w:eastAsia="Times New Roman" w:hAnsi="Times New Roman" w:cs="Times New Roman"/>
          <w:color w:val="000000"/>
          <w:sz w:val="24"/>
          <w:szCs w:val="24"/>
          <w:shd w:val="clear" w:color="auto" w:fill="FFFFFF"/>
        </w:rPr>
      </w:pPr>
      <w:r w:rsidRPr="004D1ECD">
        <w:rPr>
          <w:rFonts w:ascii="Times New Roman" w:eastAsia="Times New Roman" w:hAnsi="Times New Roman" w:cs="Times New Roman"/>
          <w:color w:val="000000"/>
          <w:sz w:val="24"/>
          <w:szCs w:val="24"/>
          <w:shd w:val="clear" w:color="auto" w:fill="FFFFFF"/>
        </w:rPr>
        <w:t>Using a raw materials turnover ratio of 4.</w:t>
      </w:r>
      <w:r>
        <w:rPr>
          <w:rFonts w:ascii="Times New Roman" w:eastAsia="Times New Roman" w:hAnsi="Times New Roman" w:cs="Times New Roman"/>
          <w:color w:val="000000"/>
          <w:sz w:val="24"/>
          <w:szCs w:val="24"/>
          <w:shd w:val="clear" w:color="auto" w:fill="FFFFFF"/>
        </w:rPr>
        <w:t>06</w:t>
      </w:r>
      <w:r w:rsidRPr="004D1ECD">
        <w:rPr>
          <w:rFonts w:ascii="Times New Roman" w:eastAsia="Times New Roman" w:hAnsi="Times New Roman" w:cs="Times New Roman"/>
          <w:color w:val="000000"/>
          <w:sz w:val="24"/>
          <w:szCs w:val="24"/>
          <w:shd w:val="clear" w:color="auto" w:fill="FFFFFF"/>
        </w:rPr>
        <w:t>, the average number of days raw material stayed in inventory during the year of 201</w:t>
      </w:r>
      <w:r>
        <w:rPr>
          <w:rFonts w:ascii="Times New Roman" w:eastAsia="Times New Roman" w:hAnsi="Times New Roman" w:cs="Times New Roman"/>
          <w:color w:val="000000"/>
          <w:sz w:val="24"/>
          <w:szCs w:val="24"/>
          <w:shd w:val="clear" w:color="auto" w:fill="FFFFFF"/>
        </w:rPr>
        <w:t xml:space="preserve">6 </w:t>
      </w:r>
      <w:r w:rsidRPr="004D1ECD">
        <w:rPr>
          <w:rFonts w:ascii="Times New Roman" w:eastAsia="Times New Roman" w:hAnsi="Times New Roman" w:cs="Times New Roman"/>
          <w:color w:val="000000"/>
          <w:sz w:val="24"/>
          <w:szCs w:val="24"/>
          <w:shd w:val="clear" w:color="auto" w:fill="FFFFFF"/>
        </w:rPr>
        <w:t>is</w:t>
      </w:r>
      <w:r>
        <w:rPr>
          <w:rFonts w:ascii="Times New Roman" w:eastAsia="Times New Roman" w:hAnsi="Times New Roman" w:cs="Times New Roman"/>
          <w:color w:val="000000"/>
          <w:sz w:val="24"/>
          <w:szCs w:val="24"/>
          <w:shd w:val="clear" w:color="auto" w:fill="FFFFFF"/>
        </w:rPr>
        <w:t xml:space="preserve"> 89 days and in 2016</w:t>
      </w:r>
      <w:r w:rsidRPr="004D1ECD">
        <w:rPr>
          <w:rFonts w:ascii="Times New Roman" w:eastAsia="Times New Roman" w:hAnsi="Times New Roman" w:cs="Times New Roman"/>
          <w:color w:val="000000"/>
          <w:sz w:val="24"/>
          <w:szCs w:val="24"/>
          <w:shd w:val="clear" w:color="auto" w:fill="FFFFFF"/>
        </w:rPr>
        <w:t xml:space="preserve"> raw material turnover ratio is </w:t>
      </w:r>
      <w:r>
        <w:rPr>
          <w:rFonts w:ascii="Times New Roman" w:eastAsia="Times New Roman" w:hAnsi="Times New Roman" w:cs="Times New Roman"/>
          <w:color w:val="000000"/>
          <w:sz w:val="24"/>
          <w:szCs w:val="24"/>
          <w:shd w:val="clear" w:color="auto" w:fill="FFFFFF"/>
        </w:rPr>
        <w:t>8.75</w:t>
      </w:r>
      <w:r w:rsidRPr="004D1ECD">
        <w:rPr>
          <w:rFonts w:ascii="Times New Roman" w:eastAsia="Times New Roman" w:hAnsi="Times New Roman" w:cs="Times New Roman"/>
          <w:color w:val="000000"/>
          <w:sz w:val="24"/>
          <w:szCs w:val="24"/>
          <w:shd w:val="clear" w:color="auto" w:fill="FFFFFF"/>
        </w:rPr>
        <w:t xml:space="preserve"> and they were holding raw materials for </w:t>
      </w:r>
      <w:r>
        <w:rPr>
          <w:rFonts w:ascii="Times New Roman" w:eastAsia="Times New Roman" w:hAnsi="Times New Roman" w:cs="Times New Roman"/>
          <w:color w:val="000000"/>
          <w:sz w:val="24"/>
          <w:szCs w:val="24"/>
          <w:shd w:val="clear" w:color="auto" w:fill="FFFFFF"/>
        </w:rPr>
        <w:t>41</w:t>
      </w:r>
      <w:r w:rsidRPr="004D1ECD">
        <w:rPr>
          <w:rFonts w:ascii="Times New Roman" w:eastAsia="Times New Roman" w:hAnsi="Times New Roman" w:cs="Times New Roman"/>
          <w:color w:val="000000"/>
          <w:sz w:val="24"/>
          <w:szCs w:val="24"/>
          <w:shd w:val="clear" w:color="auto" w:fill="FFFFFF"/>
        </w:rPr>
        <w:t xml:space="preserve"> days</w:t>
      </w:r>
      <w:r>
        <w:rPr>
          <w:rFonts w:ascii="Times New Roman" w:eastAsia="Times New Roman" w:hAnsi="Times New Roman" w:cs="Times New Roman"/>
          <w:color w:val="000000"/>
          <w:sz w:val="24"/>
          <w:szCs w:val="24"/>
          <w:shd w:val="clear" w:color="auto" w:fill="FFFFFF"/>
        </w:rPr>
        <w:t>.</w:t>
      </w:r>
    </w:p>
    <w:p w:rsidR="00034B65" w:rsidRPr="00A15E21" w:rsidRDefault="00034B65" w:rsidP="00CE70EB">
      <w:pPr>
        <w:pStyle w:val="NoSpacing"/>
        <w:rPr>
          <w:shd w:val="clear" w:color="auto" w:fill="FFFFFF"/>
        </w:rPr>
      </w:pPr>
      <w:r w:rsidRPr="00A15E21">
        <w:rPr>
          <w:shd w:val="clear" w:color="auto" w:fill="FFFFFF"/>
        </w:rPr>
        <w:t>Work in process Inventory turnover</w:t>
      </w:r>
    </w:p>
    <w:tbl>
      <w:tblPr>
        <w:tblStyle w:val="TableGrid"/>
        <w:tblW w:w="0" w:type="auto"/>
        <w:tblLook w:val="04A0" w:firstRow="1" w:lastRow="0" w:firstColumn="1" w:lastColumn="0" w:noHBand="0" w:noVBand="1"/>
      </w:tblPr>
      <w:tblGrid>
        <w:gridCol w:w="3192"/>
        <w:gridCol w:w="3192"/>
        <w:gridCol w:w="3192"/>
      </w:tblGrid>
      <w:tr w:rsidR="00034B65" w:rsidTr="000C4D7B">
        <w:tc>
          <w:tcPr>
            <w:tcW w:w="3192" w:type="dxa"/>
          </w:tcPr>
          <w:p w:rsidR="00034B65" w:rsidRDefault="00034B65"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034B65" w:rsidRDefault="00034B65" w:rsidP="000C4D7B">
            <w:pPr>
              <w:jc w:val="center"/>
              <w:rPr>
                <w:rFonts w:ascii="Times New Roman" w:hAnsi="Times New Roman" w:cs="Times New Roman"/>
              </w:rPr>
            </w:pPr>
            <w:r>
              <w:rPr>
                <w:rFonts w:ascii="Times New Roman" w:hAnsi="Times New Roman" w:cs="Times New Roman"/>
              </w:rPr>
              <w:t>2015</w:t>
            </w:r>
          </w:p>
        </w:tc>
        <w:tc>
          <w:tcPr>
            <w:tcW w:w="3192" w:type="dxa"/>
          </w:tcPr>
          <w:p w:rsidR="00034B65" w:rsidRDefault="00034B65" w:rsidP="000C4D7B">
            <w:pPr>
              <w:jc w:val="center"/>
              <w:rPr>
                <w:rFonts w:ascii="Times New Roman" w:hAnsi="Times New Roman" w:cs="Times New Roman"/>
              </w:rPr>
            </w:pPr>
            <w:r>
              <w:rPr>
                <w:rFonts w:ascii="Times New Roman" w:hAnsi="Times New Roman" w:cs="Times New Roman"/>
              </w:rPr>
              <w:t>2014</w:t>
            </w:r>
          </w:p>
        </w:tc>
      </w:tr>
      <w:tr w:rsidR="00034B65" w:rsidTr="000C4D7B">
        <w:tc>
          <w:tcPr>
            <w:tcW w:w="3192" w:type="dxa"/>
            <w:vAlign w:val="bottom"/>
          </w:tcPr>
          <w:p w:rsidR="00034B65" w:rsidRDefault="00034B65" w:rsidP="000C4D7B">
            <w:pPr>
              <w:jc w:val="center"/>
              <w:rPr>
                <w:rFonts w:ascii="Calibri" w:hAnsi="Calibri" w:cs="Calibri"/>
                <w:color w:val="000000"/>
              </w:rPr>
            </w:pPr>
            <w:r>
              <w:rPr>
                <w:rFonts w:ascii="Calibri" w:hAnsi="Calibri" w:cs="Calibri"/>
                <w:color w:val="000000"/>
              </w:rPr>
              <w:t>80.34</w:t>
            </w:r>
          </w:p>
        </w:tc>
        <w:tc>
          <w:tcPr>
            <w:tcW w:w="3192" w:type="dxa"/>
            <w:vAlign w:val="bottom"/>
          </w:tcPr>
          <w:p w:rsidR="00034B65" w:rsidRDefault="00034B65" w:rsidP="000C4D7B">
            <w:pPr>
              <w:jc w:val="center"/>
              <w:rPr>
                <w:rFonts w:ascii="Calibri" w:hAnsi="Calibri" w:cs="Calibri"/>
                <w:color w:val="000000"/>
              </w:rPr>
            </w:pPr>
            <w:r>
              <w:rPr>
                <w:rFonts w:ascii="Calibri" w:hAnsi="Calibri" w:cs="Calibri"/>
                <w:color w:val="000000"/>
              </w:rPr>
              <w:t>192.96</w:t>
            </w:r>
          </w:p>
        </w:tc>
        <w:tc>
          <w:tcPr>
            <w:tcW w:w="3192" w:type="dxa"/>
            <w:vAlign w:val="bottom"/>
          </w:tcPr>
          <w:p w:rsidR="00034B65" w:rsidRDefault="00034B65" w:rsidP="000C4D7B">
            <w:pPr>
              <w:jc w:val="center"/>
              <w:rPr>
                <w:rFonts w:ascii="Calibri" w:hAnsi="Calibri" w:cs="Calibri"/>
                <w:color w:val="000000"/>
              </w:rPr>
            </w:pPr>
            <w:r>
              <w:rPr>
                <w:rFonts w:ascii="Calibri" w:hAnsi="Calibri" w:cs="Calibri"/>
                <w:color w:val="000000"/>
              </w:rPr>
              <w:t>159.57</w:t>
            </w:r>
          </w:p>
        </w:tc>
      </w:tr>
    </w:tbl>
    <w:p w:rsidR="00034B65" w:rsidRDefault="00034B65" w:rsidP="00034B65">
      <w:pPr>
        <w:rPr>
          <w:b/>
        </w:rPr>
      </w:pPr>
    </w:p>
    <w:p w:rsidR="00034B65" w:rsidRDefault="00034B65" w:rsidP="00034B65">
      <w:pPr>
        <w:rPr>
          <w:b/>
        </w:rPr>
      </w:pPr>
      <w:r w:rsidRPr="00034B65">
        <w:rPr>
          <w:b/>
          <w:noProof/>
        </w:rPr>
        <w:drawing>
          <wp:inline distT="0" distB="0" distL="0" distR="0">
            <wp:extent cx="2857500" cy="1885950"/>
            <wp:effectExtent l="19050" t="0" r="19050" b="0"/>
            <wp:docPr id="1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34B65" w:rsidRDefault="00034B65" w:rsidP="00034B65">
      <w:pPr>
        <w:rPr>
          <w:b/>
        </w:rPr>
      </w:pPr>
    </w:p>
    <w:p w:rsidR="00034B65" w:rsidRPr="004D1ECD" w:rsidRDefault="005862F1" w:rsidP="00034B65">
      <w:p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Working process inventory turnover ratio higher means accumulation of inventory is lower and few active with working capital. In opposite this ratio gone high indicates management has lags in controlling or external factors delay their production movements. We will compare the ratios with acceptable </w:t>
      </w:r>
      <w:r w:rsidR="00414790">
        <w:rPr>
          <w:rFonts w:ascii="Times New Roman" w:eastAsia="Times New Roman" w:hAnsi="Times New Roman" w:cs="Times New Roman"/>
          <w:sz w:val="24"/>
          <w:szCs w:val="24"/>
        </w:rPr>
        <w:t>standards</w:t>
      </w:r>
      <w:r>
        <w:rPr>
          <w:rFonts w:ascii="Times New Roman" w:eastAsia="Times New Roman" w:hAnsi="Times New Roman" w:cs="Times New Roman"/>
          <w:sz w:val="24"/>
          <w:szCs w:val="24"/>
        </w:rPr>
        <w:t>.</w:t>
      </w:r>
    </w:p>
    <w:p w:rsidR="00034B65" w:rsidRDefault="00034B65" w:rsidP="00034B65">
      <w:pPr>
        <w:autoSpaceDE w:val="0"/>
        <w:autoSpaceDN w:val="0"/>
        <w:adjustRightInd w:val="0"/>
        <w:spacing w:after="0" w:line="276" w:lineRule="auto"/>
        <w:jc w:val="both"/>
        <w:rPr>
          <w:rFonts w:ascii="Times New Roman" w:eastAsia="Times New Roman" w:hAnsi="Times New Roman" w:cs="Times New Roman"/>
          <w:sz w:val="24"/>
          <w:szCs w:val="24"/>
        </w:rPr>
      </w:pPr>
      <w:r w:rsidRPr="004D1ECD">
        <w:rPr>
          <w:rFonts w:ascii="Times New Roman" w:eastAsia="Times New Roman" w:hAnsi="Times New Roman" w:cs="Times New Roman"/>
          <w:sz w:val="24"/>
          <w:szCs w:val="24"/>
        </w:rPr>
        <w:t>Here, Work-in-proc</w:t>
      </w:r>
      <w:r w:rsidR="006C4682">
        <w:rPr>
          <w:rFonts w:ascii="Times New Roman" w:eastAsia="Times New Roman" w:hAnsi="Times New Roman" w:cs="Times New Roman"/>
          <w:sz w:val="24"/>
          <w:szCs w:val="24"/>
        </w:rPr>
        <w:t>ess inventory turnover are 80.34</w:t>
      </w:r>
      <w:r w:rsidRPr="004D1ECD">
        <w:rPr>
          <w:rFonts w:ascii="Times New Roman" w:eastAsia="Times New Roman" w:hAnsi="Times New Roman" w:cs="Times New Roman"/>
          <w:sz w:val="24"/>
          <w:szCs w:val="24"/>
        </w:rPr>
        <w:t xml:space="preserve"> t</w:t>
      </w:r>
      <w:r w:rsidR="006C4682">
        <w:rPr>
          <w:rFonts w:ascii="Times New Roman" w:eastAsia="Times New Roman" w:hAnsi="Times New Roman" w:cs="Times New Roman"/>
          <w:sz w:val="24"/>
          <w:szCs w:val="24"/>
        </w:rPr>
        <w:t>imes in 2016 &amp; 192.96 times in 2015and in 2014 it was 159.57. So, the co</w:t>
      </w:r>
      <w:r w:rsidR="00F61E25">
        <w:rPr>
          <w:rFonts w:ascii="Times New Roman" w:eastAsia="Times New Roman" w:hAnsi="Times New Roman" w:cs="Times New Roman"/>
          <w:sz w:val="24"/>
          <w:szCs w:val="24"/>
        </w:rPr>
        <w:t>mpany worked efficiently in 2015 and 2014.</w:t>
      </w:r>
    </w:p>
    <w:p w:rsidR="006C4682" w:rsidRDefault="006C4682" w:rsidP="00034B65">
      <w:pPr>
        <w:autoSpaceDE w:val="0"/>
        <w:autoSpaceDN w:val="0"/>
        <w:adjustRightInd w:val="0"/>
        <w:spacing w:after="0" w:line="276" w:lineRule="auto"/>
        <w:jc w:val="both"/>
        <w:rPr>
          <w:rFonts w:ascii="Times New Roman" w:eastAsia="Times New Roman" w:hAnsi="Times New Roman" w:cs="Times New Roman"/>
          <w:sz w:val="24"/>
          <w:szCs w:val="24"/>
        </w:rPr>
      </w:pPr>
    </w:p>
    <w:p w:rsidR="000F6C21" w:rsidRDefault="000F6C21" w:rsidP="00CE70EB">
      <w:pPr>
        <w:pStyle w:val="NoSpacing"/>
      </w:pPr>
    </w:p>
    <w:p w:rsidR="006C4682" w:rsidRPr="00A15E21" w:rsidRDefault="006C4682" w:rsidP="00CE70EB">
      <w:pPr>
        <w:pStyle w:val="NoSpacing"/>
      </w:pPr>
      <w:r w:rsidRPr="00A15E21">
        <w:t>Finished Goods Inventory turnover</w:t>
      </w:r>
    </w:p>
    <w:p w:rsidR="00034B65" w:rsidRDefault="00034B65" w:rsidP="00034B65"/>
    <w:tbl>
      <w:tblPr>
        <w:tblStyle w:val="TableGrid"/>
        <w:tblW w:w="0" w:type="auto"/>
        <w:tblLook w:val="04A0" w:firstRow="1" w:lastRow="0" w:firstColumn="1" w:lastColumn="0" w:noHBand="0" w:noVBand="1"/>
      </w:tblPr>
      <w:tblGrid>
        <w:gridCol w:w="3192"/>
        <w:gridCol w:w="3192"/>
        <w:gridCol w:w="3192"/>
      </w:tblGrid>
      <w:tr w:rsidR="006C4682" w:rsidTr="000C4D7B">
        <w:tc>
          <w:tcPr>
            <w:tcW w:w="3192" w:type="dxa"/>
          </w:tcPr>
          <w:p w:rsidR="006C4682" w:rsidRDefault="006C4682" w:rsidP="000C4D7B">
            <w:pPr>
              <w:jc w:val="center"/>
              <w:rPr>
                <w:rFonts w:ascii="Times New Roman" w:hAnsi="Times New Roman" w:cs="Times New Roman"/>
              </w:rPr>
            </w:pPr>
            <w:r>
              <w:rPr>
                <w:rFonts w:ascii="Times New Roman" w:hAnsi="Times New Roman" w:cs="Times New Roman"/>
                <w:noProof/>
              </w:rPr>
              <w:lastRenderedPageBreak/>
              <w:t>2016</w:t>
            </w:r>
          </w:p>
        </w:tc>
        <w:tc>
          <w:tcPr>
            <w:tcW w:w="3192" w:type="dxa"/>
          </w:tcPr>
          <w:p w:rsidR="006C4682" w:rsidRDefault="006C4682" w:rsidP="000C4D7B">
            <w:pPr>
              <w:jc w:val="center"/>
              <w:rPr>
                <w:rFonts w:ascii="Times New Roman" w:hAnsi="Times New Roman" w:cs="Times New Roman"/>
              </w:rPr>
            </w:pPr>
            <w:r>
              <w:rPr>
                <w:rFonts w:ascii="Times New Roman" w:hAnsi="Times New Roman" w:cs="Times New Roman"/>
              </w:rPr>
              <w:t>2015</w:t>
            </w:r>
          </w:p>
        </w:tc>
        <w:tc>
          <w:tcPr>
            <w:tcW w:w="3192" w:type="dxa"/>
          </w:tcPr>
          <w:p w:rsidR="006C4682" w:rsidRDefault="006C4682" w:rsidP="000C4D7B">
            <w:pPr>
              <w:jc w:val="center"/>
              <w:rPr>
                <w:rFonts w:ascii="Times New Roman" w:hAnsi="Times New Roman" w:cs="Times New Roman"/>
              </w:rPr>
            </w:pPr>
            <w:r>
              <w:rPr>
                <w:rFonts w:ascii="Times New Roman" w:hAnsi="Times New Roman" w:cs="Times New Roman"/>
              </w:rPr>
              <w:t>2014</w:t>
            </w:r>
          </w:p>
        </w:tc>
      </w:tr>
      <w:tr w:rsidR="006C4682" w:rsidTr="000C4D7B">
        <w:tc>
          <w:tcPr>
            <w:tcW w:w="3192" w:type="dxa"/>
            <w:vAlign w:val="bottom"/>
          </w:tcPr>
          <w:p w:rsidR="006C4682" w:rsidRDefault="006C4682" w:rsidP="000C4D7B">
            <w:pPr>
              <w:jc w:val="center"/>
              <w:rPr>
                <w:rFonts w:ascii="Calibri" w:hAnsi="Calibri" w:cs="Calibri"/>
                <w:color w:val="000000"/>
              </w:rPr>
            </w:pPr>
            <w:r>
              <w:rPr>
                <w:rFonts w:ascii="Calibri" w:hAnsi="Calibri" w:cs="Calibri"/>
                <w:color w:val="000000"/>
              </w:rPr>
              <w:t>47.95</w:t>
            </w:r>
          </w:p>
        </w:tc>
        <w:tc>
          <w:tcPr>
            <w:tcW w:w="3192" w:type="dxa"/>
            <w:vAlign w:val="bottom"/>
          </w:tcPr>
          <w:p w:rsidR="006C4682" w:rsidRDefault="006C4682" w:rsidP="000C4D7B">
            <w:pPr>
              <w:jc w:val="center"/>
              <w:rPr>
                <w:rFonts w:ascii="Calibri" w:hAnsi="Calibri" w:cs="Calibri"/>
                <w:color w:val="000000"/>
              </w:rPr>
            </w:pPr>
            <w:r>
              <w:rPr>
                <w:rFonts w:ascii="Calibri" w:hAnsi="Calibri" w:cs="Calibri"/>
                <w:color w:val="000000"/>
              </w:rPr>
              <w:t>172.03</w:t>
            </w:r>
          </w:p>
        </w:tc>
        <w:tc>
          <w:tcPr>
            <w:tcW w:w="3192" w:type="dxa"/>
            <w:vAlign w:val="bottom"/>
          </w:tcPr>
          <w:p w:rsidR="006C4682" w:rsidRDefault="006C4682" w:rsidP="000C4D7B">
            <w:pPr>
              <w:jc w:val="center"/>
              <w:rPr>
                <w:rFonts w:ascii="Calibri" w:hAnsi="Calibri" w:cs="Calibri"/>
                <w:color w:val="000000"/>
              </w:rPr>
            </w:pPr>
            <w:r>
              <w:rPr>
                <w:rFonts w:ascii="Calibri" w:hAnsi="Calibri" w:cs="Calibri"/>
                <w:color w:val="000000"/>
              </w:rPr>
              <w:t>236.86</w:t>
            </w:r>
          </w:p>
        </w:tc>
      </w:tr>
    </w:tbl>
    <w:p w:rsidR="006C4682" w:rsidRDefault="006C4682" w:rsidP="00034B65">
      <w:pPr>
        <w:rPr>
          <w:b/>
        </w:rPr>
      </w:pPr>
    </w:p>
    <w:p w:rsidR="00F61E25" w:rsidRDefault="00F61E25" w:rsidP="00034B65">
      <w:pPr>
        <w:rPr>
          <w:b/>
        </w:rPr>
      </w:pPr>
      <w:r w:rsidRPr="00F61E25">
        <w:rPr>
          <w:b/>
          <w:noProof/>
        </w:rPr>
        <w:drawing>
          <wp:inline distT="0" distB="0" distL="0" distR="0">
            <wp:extent cx="2609850" cy="1647825"/>
            <wp:effectExtent l="19050" t="0" r="19050" b="0"/>
            <wp:docPr id="1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E25" w:rsidRDefault="00D76FC7" w:rsidP="00F61E25">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F61E25" w:rsidRPr="004D1ECD">
        <w:rPr>
          <w:rFonts w:ascii="Times New Roman" w:eastAsia="Times New Roman" w:hAnsi="Times New Roman" w:cs="Times New Roman"/>
          <w:sz w:val="24"/>
          <w:szCs w:val="24"/>
        </w:rPr>
        <w:t>inished goods inventory turnover ratio that is: 47.96 times in 201</w:t>
      </w:r>
      <w:r w:rsidR="00F61E25">
        <w:rPr>
          <w:rFonts w:ascii="Times New Roman" w:eastAsia="Times New Roman" w:hAnsi="Times New Roman" w:cs="Times New Roman"/>
          <w:sz w:val="24"/>
          <w:szCs w:val="24"/>
        </w:rPr>
        <w:t xml:space="preserve">6 </w:t>
      </w:r>
      <w:r w:rsidR="00F61E25" w:rsidRPr="004D1ECD">
        <w:rPr>
          <w:rFonts w:ascii="Times New Roman" w:eastAsia="Times New Roman" w:hAnsi="Times New Roman" w:cs="Times New Roman"/>
          <w:sz w:val="24"/>
          <w:szCs w:val="24"/>
        </w:rPr>
        <w:t>&amp;</w:t>
      </w:r>
      <w:r w:rsidR="00F61E25">
        <w:rPr>
          <w:rFonts w:ascii="Times New Roman" w:eastAsia="Times New Roman" w:hAnsi="Times New Roman" w:cs="Times New Roman"/>
          <w:sz w:val="24"/>
          <w:szCs w:val="24"/>
        </w:rPr>
        <w:t>172.03</w:t>
      </w:r>
      <w:r w:rsidR="00F61E25" w:rsidRPr="004D1ECD">
        <w:rPr>
          <w:rFonts w:ascii="Times New Roman" w:eastAsia="Times New Roman" w:hAnsi="Times New Roman" w:cs="Times New Roman"/>
          <w:sz w:val="24"/>
          <w:szCs w:val="24"/>
        </w:rPr>
        <w:t xml:space="preserve"> times in 201</w:t>
      </w:r>
      <w:r w:rsidR="00F61E25">
        <w:rPr>
          <w:rFonts w:ascii="Times New Roman" w:eastAsia="Times New Roman" w:hAnsi="Times New Roman" w:cs="Times New Roman"/>
          <w:sz w:val="24"/>
          <w:szCs w:val="24"/>
        </w:rPr>
        <w:t xml:space="preserve">5 and </w:t>
      </w:r>
      <w:r w:rsidR="00DB4798">
        <w:rPr>
          <w:rFonts w:ascii="Times New Roman" w:eastAsia="Times New Roman" w:hAnsi="Times New Roman" w:cs="Times New Roman"/>
          <w:sz w:val="24"/>
          <w:szCs w:val="24"/>
        </w:rPr>
        <w:t>236.86 in 2014</w:t>
      </w:r>
      <w:r w:rsidR="00F61E25" w:rsidRPr="004D1ECD">
        <w:rPr>
          <w:rFonts w:ascii="Times New Roman" w:eastAsia="Times New Roman" w:hAnsi="Times New Roman" w:cs="Times New Roman"/>
          <w:sz w:val="24"/>
          <w:szCs w:val="24"/>
        </w:rPr>
        <w:t>that is good for the company.</w:t>
      </w:r>
    </w:p>
    <w:p w:rsidR="00612BB7" w:rsidRDefault="00612BB7" w:rsidP="00F61E25">
      <w:pPr>
        <w:spacing w:after="200" w:line="276" w:lineRule="auto"/>
        <w:jc w:val="both"/>
        <w:rPr>
          <w:rFonts w:ascii="Times New Roman" w:eastAsia="Times New Roman" w:hAnsi="Times New Roman" w:cs="Times New Roman"/>
          <w:sz w:val="24"/>
          <w:szCs w:val="24"/>
        </w:rPr>
      </w:pPr>
    </w:p>
    <w:p w:rsidR="00DB4798" w:rsidRPr="00A15E21" w:rsidRDefault="00612BB7" w:rsidP="00977B0A">
      <w:pPr>
        <w:pStyle w:val="NoSpacing"/>
      </w:pPr>
      <w:r w:rsidRPr="00A15E21">
        <w:t xml:space="preserve">Finished Goods Storage Period </w:t>
      </w:r>
    </w:p>
    <w:p w:rsidR="00612BB7" w:rsidRDefault="00612BB7" w:rsidP="00CE70EB">
      <w:pPr>
        <w:pStyle w:val="NoSpacing"/>
      </w:pPr>
    </w:p>
    <w:tbl>
      <w:tblPr>
        <w:tblStyle w:val="TableGrid"/>
        <w:tblW w:w="0" w:type="auto"/>
        <w:tblLook w:val="04A0" w:firstRow="1" w:lastRow="0" w:firstColumn="1" w:lastColumn="0" w:noHBand="0" w:noVBand="1"/>
      </w:tblPr>
      <w:tblGrid>
        <w:gridCol w:w="3192"/>
        <w:gridCol w:w="3192"/>
        <w:gridCol w:w="3192"/>
      </w:tblGrid>
      <w:tr w:rsidR="00612BB7" w:rsidTr="000C4D7B">
        <w:tc>
          <w:tcPr>
            <w:tcW w:w="3192" w:type="dxa"/>
          </w:tcPr>
          <w:p w:rsidR="00612BB7" w:rsidRDefault="00612BB7"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612BB7" w:rsidRDefault="00612BB7" w:rsidP="000C4D7B">
            <w:pPr>
              <w:jc w:val="center"/>
              <w:rPr>
                <w:rFonts w:ascii="Times New Roman" w:hAnsi="Times New Roman" w:cs="Times New Roman"/>
              </w:rPr>
            </w:pPr>
            <w:r>
              <w:rPr>
                <w:rFonts w:ascii="Times New Roman" w:hAnsi="Times New Roman" w:cs="Times New Roman"/>
              </w:rPr>
              <w:t>2015</w:t>
            </w:r>
          </w:p>
        </w:tc>
        <w:tc>
          <w:tcPr>
            <w:tcW w:w="3192" w:type="dxa"/>
          </w:tcPr>
          <w:p w:rsidR="00612BB7" w:rsidRDefault="00612BB7" w:rsidP="000C4D7B">
            <w:pPr>
              <w:jc w:val="center"/>
              <w:rPr>
                <w:rFonts w:ascii="Times New Roman" w:hAnsi="Times New Roman" w:cs="Times New Roman"/>
              </w:rPr>
            </w:pPr>
            <w:r>
              <w:rPr>
                <w:rFonts w:ascii="Times New Roman" w:hAnsi="Times New Roman" w:cs="Times New Roman"/>
              </w:rPr>
              <w:t>2014</w:t>
            </w:r>
          </w:p>
        </w:tc>
      </w:tr>
      <w:tr w:rsidR="00612BB7" w:rsidTr="000C4D7B">
        <w:tc>
          <w:tcPr>
            <w:tcW w:w="3192" w:type="dxa"/>
            <w:vAlign w:val="bottom"/>
          </w:tcPr>
          <w:p w:rsidR="00612BB7" w:rsidRDefault="00612BB7" w:rsidP="000C4D7B">
            <w:pPr>
              <w:jc w:val="center"/>
              <w:rPr>
                <w:rFonts w:ascii="Calibri" w:hAnsi="Calibri" w:cs="Calibri"/>
                <w:color w:val="000000"/>
              </w:rPr>
            </w:pPr>
            <w:r>
              <w:rPr>
                <w:rFonts w:ascii="Calibri" w:hAnsi="Calibri" w:cs="Calibri"/>
                <w:color w:val="000000"/>
              </w:rPr>
              <w:t>7.6</w:t>
            </w:r>
          </w:p>
        </w:tc>
        <w:tc>
          <w:tcPr>
            <w:tcW w:w="3192" w:type="dxa"/>
            <w:vAlign w:val="bottom"/>
          </w:tcPr>
          <w:p w:rsidR="00612BB7" w:rsidRDefault="00612BB7" w:rsidP="000C4D7B">
            <w:pPr>
              <w:jc w:val="center"/>
              <w:rPr>
                <w:rFonts w:ascii="Calibri" w:hAnsi="Calibri" w:cs="Calibri"/>
                <w:color w:val="000000"/>
              </w:rPr>
            </w:pPr>
            <w:r>
              <w:rPr>
                <w:rFonts w:ascii="Calibri" w:hAnsi="Calibri" w:cs="Calibri"/>
                <w:color w:val="000000"/>
              </w:rPr>
              <w:t>2.121</w:t>
            </w:r>
          </w:p>
        </w:tc>
        <w:tc>
          <w:tcPr>
            <w:tcW w:w="3192" w:type="dxa"/>
            <w:vAlign w:val="bottom"/>
          </w:tcPr>
          <w:p w:rsidR="00612BB7" w:rsidRDefault="00612BB7" w:rsidP="000C4D7B">
            <w:pPr>
              <w:jc w:val="center"/>
              <w:rPr>
                <w:rFonts w:ascii="Calibri" w:hAnsi="Calibri" w:cs="Calibri"/>
                <w:color w:val="000000"/>
              </w:rPr>
            </w:pPr>
            <w:r>
              <w:rPr>
                <w:rFonts w:ascii="Calibri" w:hAnsi="Calibri" w:cs="Calibri"/>
                <w:color w:val="000000"/>
              </w:rPr>
              <w:t>1.54</w:t>
            </w:r>
          </w:p>
        </w:tc>
      </w:tr>
    </w:tbl>
    <w:p w:rsidR="00DB4798" w:rsidRDefault="00DB4798" w:rsidP="00F61E25">
      <w:pPr>
        <w:spacing w:after="200" w:line="276" w:lineRule="auto"/>
        <w:jc w:val="both"/>
      </w:pPr>
    </w:p>
    <w:p w:rsidR="00612BB7" w:rsidRPr="004D1ECD" w:rsidRDefault="00612BB7" w:rsidP="00F61E25">
      <w:pPr>
        <w:spacing w:after="200" w:line="276" w:lineRule="auto"/>
        <w:jc w:val="both"/>
        <w:rPr>
          <w:rFonts w:ascii="Times New Roman" w:eastAsia="Times New Roman" w:hAnsi="Times New Roman" w:cs="Times New Roman"/>
          <w:sz w:val="24"/>
          <w:szCs w:val="24"/>
        </w:rPr>
      </w:pPr>
      <w:r w:rsidRPr="00612BB7">
        <w:rPr>
          <w:rFonts w:ascii="Times New Roman" w:eastAsia="Times New Roman" w:hAnsi="Times New Roman" w:cs="Times New Roman"/>
          <w:noProof/>
          <w:sz w:val="24"/>
          <w:szCs w:val="24"/>
        </w:rPr>
        <w:drawing>
          <wp:inline distT="0" distB="0" distL="0" distR="0">
            <wp:extent cx="2609850" cy="1647825"/>
            <wp:effectExtent l="19050" t="0" r="19050" b="0"/>
            <wp:docPr id="1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12BB7" w:rsidRDefault="005F0B33" w:rsidP="00612BB7">
      <w:p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Usually Shorter finished good storage period is considered as a good but too low period is risky for company</w:t>
      </w:r>
      <w:r w:rsidR="00612BB7" w:rsidRPr="004D1ECD">
        <w:rPr>
          <w:rFonts w:ascii="Times New Roman" w:eastAsia="Times New Roman" w:hAnsi="Times New Roman" w:cs="Times New Roman"/>
          <w:sz w:val="24"/>
          <w:szCs w:val="24"/>
        </w:rPr>
        <w:t>.</w:t>
      </w:r>
      <w:r w:rsidR="00612BB7">
        <w:rPr>
          <w:rFonts w:ascii="Times New Roman" w:eastAsia="Times New Roman" w:hAnsi="Times New Roman" w:cs="Times New Roman"/>
          <w:sz w:val="24"/>
          <w:szCs w:val="24"/>
        </w:rPr>
        <w:t xml:space="preserve"> So, we can conclude the company worked good in the year of 2015.</w:t>
      </w:r>
    </w:p>
    <w:p w:rsidR="00612BB7" w:rsidRDefault="00612BB7" w:rsidP="00612BB7">
      <w:pPr>
        <w:autoSpaceDE w:val="0"/>
        <w:autoSpaceDN w:val="0"/>
        <w:adjustRightInd w:val="0"/>
        <w:spacing w:after="0" w:line="276" w:lineRule="auto"/>
        <w:jc w:val="both"/>
        <w:rPr>
          <w:rFonts w:ascii="Times New Roman" w:eastAsia="Times New Roman" w:hAnsi="Times New Roman" w:cs="Times New Roman"/>
          <w:sz w:val="24"/>
          <w:szCs w:val="24"/>
        </w:rPr>
      </w:pPr>
    </w:p>
    <w:p w:rsidR="00CE70EB" w:rsidRDefault="00CE70EB" w:rsidP="00CE70EB">
      <w:pPr>
        <w:pStyle w:val="NoSpacing"/>
      </w:pPr>
    </w:p>
    <w:p w:rsidR="00CE70EB" w:rsidRDefault="00CE70EB" w:rsidP="00CE70EB">
      <w:pPr>
        <w:pStyle w:val="NoSpacing"/>
      </w:pPr>
    </w:p>
    <w:p w:rsidR="00612BB7" w:rsidRPr="00A15E21" w:rsidRDefault="00612BB7" w:rsidP="00CE70EB">
      <w:pPr>
        <w:pStyle w:val="NoSpacing"/>
      </w:pPr>
      <w:r w:rsidRPr="00A15E21">
        <w:t>Receivable Turnover</w:t>
      </w:r>
    </w:p>
    <w:p w:rsidR="00612BB7" w:rsidRPr="00612BB7" w:rsidRDefault="00612BB7" w:rsidP="00612BB7"/>
    <w:tbl>
      <w:tblPr>
        <w:tblStyle w:val="TableGrid"/>
        <w:tblW w:w="0" w:type="auto"/>
        <w:tblLook w:val="04A0" w:firstRow="1" w:lastRow="0" w:firstColumn="1" w:lastColumn="0" w:noHBand="0" w:noVBand="1"/>
      </w:tblPr>
      <w:tblGrid>
        <w:gridCol w:w="3192"/>
        <w:gridCol w:w="3192"/>
        <w:gridCol w:w="3192"/>
      </w:tblGrid>
      <w:tr w:rsidR="006E7FA4" w:rsidTr="000C4D7B">
        <w:tc>
          <w:tcPr>
            <w:tcW w:w="3192" w:type="dxa"/>
          </w:tcPr>
          <w:p w:rsidR="006E7FA4" w:rsidRDefault="006E7FA4" w:rsidP="000C4D7B">
            <w:pPr>
              <w:jc w:val="center"/>
              <w:rPr>
                <w:rFonts w:ascii="Times New Roman" w:hAnsi="Times New Roman" w:cs="Times New Roman"/>
              </w:rPr>
            </w:pPr>
            <w:r>
              <w:rPr>
                <w:rFonts w:ascii="Times New Roman" w:hAnsi="Times New Roman" w:cs="Times New Roman"/>
                <w:noProof/>
              </w:rPr>
              <w:lastRenderedPageBreak/>
              <w:t>2016</w:t>
            </w:r>
          </w:p>
        </w:tc>
        <w:tc>
          <w:tcPr>
            <w:tcW w:w="3192" w:type="dxa"/>
          </w:tcPr>
          <w:p w:rsidR="006E7FA4" w:rsidRDefault="006E7FA4" w:rsidP="000C4D7B">
            <w:pPr>
              <w:jc w:val="center"/>
              <w:rPr>
                <w:rFonts w:ascii="Times New Roman" w:hAnsi="Times New Roman" w:cs="Times New Roman"/>
              </w:rPr>
            </w:pPr>
            <w:r>
              <w:rPr>
                <w:rFonts w:ascii="Times New Roman" w:hAnsi="Times New Roman" w:cs="Times New Roman"/>
              </w:rPr>
              <w:t>2015</w:t>
            </w:r>
          </w:p>
        </w:tc>
        <w:tc>
          <w:tcPr>
            <w:tcW w:w="3192" w:type="dxa"/>
          </w:tcPr>
          <w:p w:rsidR="006E7FA4" w:rsidRDefault="006E7FA4" w:rsidP="000C4D7B">
            <w:pPr>
              <w:jc w:val="center"/>
              <w:rPr>
                <w:rFonts w:ascii="Times New Roman" w:hAnsi="Times New Roman" w:cs="Times New Roman"/>
              </w:rPr>
            </w:pPr>
            <w:r>
              <w:rPr>
                <w:rFonts w:ascii="Times New Roman" w:hAnsi="Times New Roman" w:cs="Times New Roman"/>
              </w:rPr>
              <w:t>2014</w:t>
            </w:r>
          </w:p>
        </w:tc>
      </w:tr>
      <w:tr w:rsidR="006E7FA4" w:rsidTr="000C4D7B">
        <w:tc>
          <w:tcPr>
            <w:tcW w:w="3192" w:type="dxa"/>
            <w:vAlign w:val="bottom"/>
          </w:tcPr>
          <w:p w:rsidR="006E7FA4" w:rsidRDefault="006E7FA4" w:rsidP="000C4D7B">
            <w:pPr>
              <w:jc w:val="center"/>
              <w:rPr>
                <w:rFonts w:ascii="Calibri" w:hAnsi="Calibri" w:cs="Calibri"/>
                <w:color w:val="000000"/>
              </w:rPr>
            </w:pPr>
            <w:r>
              <w:rPr>
                <w:rFonts w:ascii="Calibri" w:hAnsi="Calibri" w:cs="Calibri"/>
                <w:color w:val="000000"/>
              </w:rPr>
              <w:t>4.02</w:t>
            </w:r>
          </w:p>
        </w:tc>
        <w:tc>
          <w:tcPr>
            <w:tcW w:w="3192" w:type="dxa"/>
            <w:vAlign w:val="bottom"/>
          </w:tcPr>
          <w:p w:rsidR="006E7FA4" w:rsidRDefault="006E7FA4" w:rsidP="000C4D7B">
            <w:pPr>
              <w:jc w:val="center"/>
              <w:rPr>
                <w:rFonts w:ascii="Calibri" w:hAnsi="Calibri" w:cs="Calibri"/>
                <w:color w:val="000000"/>
              </w:rPr>
            </w:pPr>
            <w:r>
              <w:rPr>
                <w:rFonts w:ascii="Calibri" w:hAnsi="Calibri" w:cs="Calibri"/>
                <w:color w:val="000000"/>
              </w:rPr>
              <w:t>7.7</w:t>
            </w:r>
          </w:p>
        </w:tc>
        <w:tc>
          <w:tcPr>
            <w:tcW w:w="3192" w:type="dxa"/>
            <w:vAlign w:val="bottom"/>
          </w:tcPr>
          <w:p w:rsidR="006E7FA4" w:rsidRDefault="006E7FA4" w:rsidP="000C4D7B">
            <w:pPr>
              <w:jc w:val="center"/>
              <w:rPr>
                <w:rFonts w:ascii="Calibri" w:hAnsi="Calibri" w:cs="Calibri"/>
                <w:color w:val="000000"/>
              </w:rPr>
            </w:pPr>
            <w:r>
              <w:rPr>
                <w:rFonts w:ascii="Calibri" w:hAnsi="Calibri" w:cs="Calibri"/>
                <w:color w:val="000000"/>
              </w:rPr>
              <w:t>5.36</w:t>
            </w:r>
          </w:p>
        </w:tc>
      </w:tr>
    </w:tbl>
    <w:p w:rsidR="00612BB7" w:rsidRDefault="00612BB7" w:rsidP="00034B65">
      <w:pPr>
        <w:rPr>
          <w:b/>
        </w:rPr>
      </w:pPr>
    </w:p>
    <w:p w:rsidR="006E7FA4" w:rsidRDefault="006E7FA4" w:rsidP="00034B65">
      <w:pPr>
        <w:rPr>
          <w:b/>
        </w:rPr>
      </w:pPr>
      <w:r w:rsidRPr="006E7FA4">
        <w:rPr>
          <w:b/>
          <w:noProof/>
        </w:rPr>
        <w:drawing>
          <wp:inline distT="0" distB="0" distL="0" distR="0">
            <wp:extent cx="2609850" cy="1647825"/>
            <wp:effectExtent l="19050" t="0" r="19050" b="0"/>
            <wp:docPr id="1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E7FA4" w:rsidRDefault="00C02899" w:rsidP="006E7FA4">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Receivable ratio lower means the firm relies on credit sales. If firm has no receivables then firm may face solvency problem. Receivable turnover ratio for Square pharmaceuticals limited</w:t>
      </w:r>
      <w:r w:rsidR="006E7FA4">
        <w:rPr>
          <w:rFonts w:ascii="Times New Roman" w:eastAsia="Times New Roman" w:hAnsi="Times New Roman" w:cs="Times New Roman"/>
          <w:sz w:val="24"/>
          <w:szCs w:val="24"/>
        </w:rPr>
        <w:t xml:space="preserve"> are 4.02 times in 2016</w:t>
      </w:r>
      <w:r w:rsidR="006E7FA4" w:rsidRPr="004D1ECD">
        <w:rPr>
          <w:rFonts w:ascii="Times New Roman" w:eastAsia="Times New Roman" w:hAnsi="Times New Roman" w:cs="Times New Roman"/>
          <w:sz w:val="24"/>
          <w:szCs w:val="24"/>
        </w:rPr>
        <w:t>&amp;</w:t>
      </w:r>
      <w:r w:rsidR="006E7FA4">
        <w:rPr>
          <w:rFonts w:ascii="Times New Roman" w:eastAsia="Times New Roman" w:hAnsi="Times New Roman" w:cs="Times New Roman"/>
          <w:sz w:val="24"/>
          <w:szCs w:val="24"/>
        </w:rPr>
        <w:t>7.7 times in 2015 and 5.36 in 2014</w:t>
      </w:r>
      <w:r w:rsidR="006E7FA4" w:rsidRPr="004D1ECD">
        <w:rPr>
          <w:rFonts w:ascii="Times New Roman" w:eastAsia="Times New Roman" w:hAnsi="Times New Roman" w:cs="Times New Roman"/>
          <w:sz w:val="24"/>
          <w:szCs w:val="24"/>
        </w:rPr>
        <w:t>. That is n</w:t>
      </w:r>
      <w:r w:rsidR="006E7FA4">
        <w:rPr>
          <w:rFonts w:ascii="Times New Roman" w:eastAsia="Times New Roman" w:hAnsi="Times New Roman" w:cs="Times New Roman"/>
          <w:sz w:val="24"/>
          <w:szCs w:val="24"/>
        </w:rPr>
        <w:t xml:space="preserve">ot satisfactory for the company in 2016 and 2014, but in 2015 company done comparatively better. </w:t>
      </w:r>
    </w:p>
    <w:p w:rsidR="00581C17" w:rsidRPr="00A15E21" w:rsidRDefault="00581C17" w:rsidP="00CE70EB">
      <w:pPr>
        <w:pStyle w:val="NoSpacing"/>
      </w:pPr>
      <w:r w:rsidRPr="00A15E21">
        <w:t>Days Sales Outstanding</w:t>
      </w:r>
    </w:p>
    <w:p w:rsidR="00581C17" w:rsidRPr="00581C17" w:rsidRDefault="00581C17" w:rsidP="00581C17"/>
    <w:tbl>
      <w:tblPr>
        <w:tblStyle w:val="TableGrid"/>
        <w:tblW w:w="0" w:type="auto"/>
        <w:tblLook w:val="04A0" w:firstRow="1" w:lastRow="0" w:firstColumn="1" w:lastColumn="0" w:noHBand="0" w:noVBand="1"/>
      </w:tblPr>
      <w:tblGrid>
        <w:gridCol w:w="3192"/>
        <w:gridCol w:w="3192"/>
        <w:gridCol w:w="3192"/>
      </w:tblGrid>
      <w:tr w:rsidR="00581C17" w:rsidTr="000C4D7B">
        <w:tc>
          <w:tcPr>
            <w:tcW w:w="3192" w:type="dxa"/>
          </w:tcPr>
          <w:p w:rsidR="00581C17" w:rsidRDefault="00581C17"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581C17" w:rsidRDefault="00581C17" w:rsidP="000C4D7B">
            <w:pPr>
              <w:jc w:val="center"/>
              <w:rPr>
                <w:rFonts w:ascii="Times New Roman" w:hAnsi="Times New Roman" w:cs="Times New Roman"/>
              </w:rPr>
            </w:pPr>
            <w:r>
              <w:rPr>
                <w:rFonts w:ascii="Times New Roman" w:hAnsi="Times New Roman" w:cs="Times New Roman"/>
              </w:rPr>
              <w:t>2015</w:t>
            </w:r>
          </w:p>
        </w:tc>
        <w:tc>
          <w:tcPr>
            <w:tcW w:w="3192" w:type="dxa"/>
          </w:tcPr>
          <w:p w:rsidR="00581C17" w:rsidRDefault="00581C17" w:rsidP="000C4D7B">
            <w:pPr>
              <w:jc w:val="center"/>
              <w:rPr>
                <w:rFonts w:ascii="Times New Roman" w:hAnsi="Times New Roman" w:cs="Times New Roman"/>
              </w:rPr>
            </w:pPr>
            <w:r>
              <w:rPr>
                <w:rFonts w:ascii="Times New Roman" w:hAnsi="Times New Roman" w:cs="Times New Roman"/>
              </w:rPr>
              <w:t>2014</w:t>
            </w:r>
          </w:p>
        </w:tc>
      </w:tr>
      <w:tr w:rsidR="00581C17" w:rsidTr="000C4D7B">
        <w:tc>
          <w:tcPr>
            <w:tcW w:w="3192" w:type="dxa"/>
            <w:vAlign w:val="bottom"/>
          </w:tcPr>
          <w:p w:rsidR="00581C17" w:rsidRDefault="00581C17" w:rsidP="000C4D7B">
            <w:pPr>
              <w:jc w:val="center"/>
              <w:rPr>
                <w:rFonts w:ascii="Calibri" w:hAnsi="Calibri" w:cs="Calibri"/>
                <w:color w:val="000000"/>
              </w:rPr>
            </w:pPr>
            <w:r>
              <w:rPr>
                <w:rFonts w:ascii="Calibri" w:hAnsi="Calibri" w:cs="Calibri"/>
                <w:color w:val="000000"/>
              </w:rPr>
              <w:t>90.83</w:t>
            </w:r>
          </w:p>
        </w:tc>
        <w:tc>
          <w:tcPr>
            <w:tcW w:w="3192" w:type="dxa"/>
            <w:vAlign w:val="bottom"/>
          </w:tcPr>
          <w:p w:rsidR="00581C17" w:rsidRDefault="00581C17" w:rsidP="000C4D7B">
            <w:pPr>
              <w:jc w:val="center"/>
              <w:rPr>
                <w:rFonts w:ascii="Calibri" w:hAnsi="Calibri" w:cs="Calibri"/>
                <w:color w:val="000000"/>
              </w:rPr>
            </w:pPr>
            <w:r>
              <w:rPr>
                <w:rFonts w:ascii="Calibri" w:hAnsi="Calibri" w:cs="Calibri"/>
                <w:color w:val="000000"/>
              </w:rPr>
              <w:t>47.37</w:t>
            </w:r>
          </w:p>
        </w:tc>
        <w:tc>
          <w:tcPr>
            <w:tcW w:w="3192" w:type="dxa"/>
            <w:vAlign w:val="bottom"/>
          </w:tcPr>
          <w:p w:rsidR="00581C17" w:rsidRDefault="00581C17" w:rsidP="000C4D7B">
            <w:pPr>
              <w:jc w:val="center"/>
              <w:rPr>
                <w:rFonts w:ascii="Calibri" w:hAnsi="Calibri" w:cs="Calibri"/>
                <w:color w:val="000000"/>
              </w:rPr>
            </w:pPr>
            <w:r>
              <w:rPr>
                <w:rFonts w:ascii="Calibri" w:hAnsi="Calibri" w:cs="Calibri"/>
                <w:color w:val="000000"/>
              </w:rPr>
              <w:t>68.04</w:t>
            </w:r>
          </w:p>
        </w:tc>
      </w:tr>
    </w:tbl>
    <w:p w:rsidR="00581C17" w:rsidRDefault="00581C17" w:rsidP="00034B65"/>
    <w:p w:rsidR="00581C17" w:rsidRDefault="00581C17" w:rsidP="00034B65">
      <w:pPr>
        <w:rPr>
          <w:b/>
        </w:rPr>
      </w:pPr>
      <w:r w:rsidRPr="00581C17">
        <w:rPr>
          <w:noProof/>
        </w:rPr>
        <w:drawing>
          <wp:inline distT="0" distB="0" distL="0" distR="0">
            <wp:extent cx="2609850" cy="1647825"/>
            <wp:effectExtent l="19050" t="0" r="19050" b="0"/>
            <wp:docPr id="1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8623A" w:rsidRDefault="0068623A" w:rsidP="0068623A">
      <w:pPr>
        <w:spacing w:after="200" w:line="276" w:lineRule="auto"/>
        <w:jc w:val="both"/>
        <w:rPr>
          <w:rFonts w:ascii="Times New Roman" w:eastAsia="Times New Roman" w:hAnsi="Times New Roman" w:cs="Times New Roman"/>
          <w:sz w:val="24"/>
          <w:szCs w:val="24"/>
        </w:rPr>
      </w:pPr>
      <w:r w:rsidRPr="004D1ECD">
        <w:rPr>
          <w:rFonts w:ascii="Times New Roman" w:eastAsia="Times New Roman" w:hAnsi="Times New Roman" w:cs="Times New Roman"/>
          <w:sz w:val="24"/>
          <w:szCs w:val="24"/>
        </w:rPr>
        <w:t>In the company, Days Sales Outstand</w:t>
      </w:r>
      <w:r>
        <w:rPr>
          <w:rFonts w:ascii="Times New Roman" w:eastAsia="Times New Roman" w:hAnsi="Times New Roman" w:cs="Times New Roman"/>
          <w:sz w:val="24"/>
          <w:szCs w:val="24"/>
        </w:rPr>
        <w:t>ing (DSO) is 90.84 days in 2016</w:t>
      </w:r>
      <w:r w:rsidRPr="004D1ECD">
        <w:rPr>
          <w:rFonts w:ascii="Times New Roman" w:eastAsia="Times New Roman" w:hAnsi="Times New Roman" w:cs="Times New Roman"/>
          <w:sz w:val="24"/>
          <w:szCs w:val="24"/>
        </w:rPr>
        <w:t>&amp;</w:t>
      </w:r>
      <w:r>
        <w:rPr>
          <w:rFonts w:ascii="Times New Roman" w:eastAsia="Times New Roman" w:hAnsi="Times New Roman" w:cs="Times New Roman"/>
          <w:sz w:val="24"/>
          <w:szCs w:val="24"/>
        </w:rPr>
        <w:t>47.37 days in 2015 and68.04 days for 2014. This company performed better in 2015.</w:t>
      </w:r>
    </w:p>
    <w:p w:rsidR="00CC1F3F" w:rsidRPr="00A15E21" w:rsidRDefault="00CC1F3F" w:rsidP="00CE70EB">
      <w:pPr>
        <w:pStyle w:val="NoSpacing"/>
      </w:pPr>
      <w:r w:rsidRPr="00A15E21">
        <w:t>Cash Turnover Ratio</w:t>
      </w:r>
    </w:p>
    <w:p w:rsidR="00CC1F3F" w:rsidRPr="00CC1F3F" w:rsidRDefault="00CC1F3F" w:rsidP="00CC1F3F"/>
    <w:tbl>
      <w:tblPr>
        <w:tblStyle w:val="TableGrid"/>
        <w:tblW w:w="0" w:type="auto"/>
        <w:tblLook w:val="04A0" w:firstRow="1" w:lastRow="0" w:firstColumn="1" w:lastColumn="0" w:noHBand="0" w:noVBand="1"/>
      </w:tblPr>
      <w:tblGrid>
        <w:gridCol w:w="3192"/>
        <w:gridCol w:w="3192"/>
        <w:gridCol w:w="3192"/>
      </w:tblGrid>
      <w:tr w:rsidR="00CC1F3F" w:rsidTr="000C4D7B">
        <w:tc>
          <w:tcPr>
            <w:tcW w:w="3192" w:type="dxa"/>
          </w:tcPr>
          <w:p w:rsidR="00CC1F3F" w:rsidRDefault="00CC1F3F"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CC1F3F" w:rsidRDefault="00CC1F3F" w:rsidP="000C4D7B">
            <w:pPr>
              <w:jc w:val="center"/>
              <w:rPr>
                <w:rFonts w:ascii="Times New Roman" w:hAnsi="Times New Roman" w:cs="Times New Roman"/>
              </w:rPr>
            </w:pPr>
            <w:r>
              <w:rPr>
                <w:rFonts w:ascii="Times New Roman" w:hAnsi="Times New Roman" w:cs="Times New Roman"/>
              </w:rPr>
              <w:t>2015</w:t>
            </w:r>
          </w:p>
        </w:tc>
        <w:tc>
          <w:tcPr>
            <w:tcW w:w="3192" w:type="dxa"/>
          </w:tcPr>
          <w:p w:rsidR="00CC1F3F" w:rsidRDefault="00CC1F3F" w:rsidP="000C4D7B">
            <w:pPr>
              <w:jc w:val="center"/>
              <w:rPr>
                <w:rFonts w:ascii="Times New Roman" w:hAnsi="Times New Roman" w:cs="Times New Roman"/>
              </w:rPr>
            </w:pPr>
            <w:r>
              <w:rPr>
                <w:rFonts w:ascii="Times New Roman" w:hAnsi="Times New Roman" w:cs="Times New Roman"/>
              </w:rPr>
              <w:t>2014</w:t>
            </w:r>
          </w:p>
        </w:tc>
      </w:tr>
      <w:tr w:rsidR="00CC1F3F" w:rsidTr="000C4D7B">
        <w:tc>
          <w:tcPr>
            <w:tcW w:w="3192" w:type="dxa"/>
            <w:vAlign w:val="bottom"/>
          </w:tcPr>
          <w:p w:rsidR="00CC1F3F" w:rsidRDefault="00CC1F3F" w:rsidP="000C4D7B">
            <w:pPr>
              <w:jc w:val="center"/>
              <w:rPr>
                <w:rFonts w:ascii="Calibri" w:hAnsi="Calibri" w:cs="Calibri"/>
                <w:color w:val="000000"/>
              </w:rPr>
            </w:pPr>
            <w:r>
              <w:rPr>
                <w:rFonts w:ascii="Calibri" w:hAnsi="Calibri" w:cs="Calibri"/>
                <w:color w:val="000000"/>
              </w:rPr>
              <w:lastRenderedPageBreak/>
              <w:t>0.28</w:t>
            </w:r>
          </w:p>
        </w:tc>
        <w:tc>
          <w:tcPr>
            <w:tcW w:w="3192" w:type="dxa"/>
            <w:vAlign w:val="bottom"/>
          </w:tcPr>
          <w:p w:rsidR="00CC1F3F" w:rsidRDefault="00CC1F3F" w:rsidP="000C4D7B">
            <w:pPr>
              <w:jc w:val="center"/>
              <w:rPr>
                <w:rFonts w:ascii="Calibri" w:hAnsi="Calibri" w:cs="Calibri"/>
                <w:color w:val="000000"/>
              </w:rPr>
            </w:pPr>
            <w:r>
              <w:rPr>
                <w:rFonts w:ascii="Calibri" w:hAnsi="Calibri" w:cs="Calibri"/>
                <w:color w:val="000000"/>
              </w:rPr>
              <w:t>0.26</w:t>
            </w:r>
          </w:p>
        </w:tc>
        <w:tc>
          <w:tcPr>
            <w:tcW w:w="3192" w:type="dxa"/>
            <w:vAlign w:val="bottom"/>
          </w:tcPr>
          <w:p w:rsidR="00CC1F3F" w:rsidRDefault="00CC1F3F" w:rsidP="000C4D7B">
            <w:pPr>
              <w:jc w:val="center"/>
              <w:rPr>
                <w:rFonts w:ascii="Calibri" w:hAnsi="Calibri" w:cs="Calibri"/>
                <w:color w:val="000000"/>
              </w:rPr>
            </w:pPr>
            <w:r>
              <w:rPr>
                <w:rFonts w:ascii="Calibri" w:hAnsi="Calibri" w:cs="Calibri"/>
                <w:color w:val="000000"/>
              </w:rPr>
              <w:t>0.47</w:t>
            </w:r>
          </w:p>
        </w:tc>
      </w:tr>
    </w:tbl>
    <w:p w:rsidR="00581C17" w:rsidRDefault="00581C17" w:rsidP="00034B65">
      <w:pPr>
        <w:rPr>
          <w:b/>
        </w:rPr>
      </w:pPr>
    </w:p>
    <w:p w:rsidR="00CC1F3F" w:rsidRDefault="00CC1F3F" w:rsidP="00034B65">
      <w:pPr>
        <w:rPr>
          <w:b/>
        </w:rPr>
      </w:pPr>
      <w:r w:rsidRPr="00CC1F3F">
        <w:rPr>
          <w:b/>
          <w:noProof/>
        </w:rPr>
        <w:drawing>
          <wp:inline distT="0" distB="0" distL="0" distR="0">
            <wp:extent cx="2609850" cy="1543050"/>
            <wp:effectExtent l="19050" t="0" r="19050" b="0"/>
            <wp:docPr id="2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C1F3F" w:rsidRDefault="00CC1F3F" w:rsidP="00034B65">
      <w:pPr>
        <w:rPr>
          <w:rFonts w:ascii="Times New Roman" w:hAnsi="Times New Roman" w:cs="Times New Roman"/>
          <w:sz w:val="24"/>
          <w:szCs w:val="24"/>
        </w:rPr>
      </w:pPr>
      <w:r>
        <w:rPr>
          <w:rFonts w:ascii="Times New Roman" w:hAnsi="Times New Roman" w:cs="Times New Roman"/>
          <w:sz w:val="24"/>
          <w:szCs w:val="24"/>
        </w:rPr>
        <w:t>Through These years company cannot use their cash efficiently.</w:t>
      </w:r>
    </w:p>
    <w:p w:rsidR="00A15E21" w:rsidRDefault="00A15E21" w:rsidP="00E626EB">
      <w:pPr>
        <w:pStyle w:val="Heading2"/>
        <w:rPr>
          <w:b/>
          <w:sz w:val="28"/>
          <w:szCs w:val="28"/>
        </w:rPr>
      </w:pPr>
    </w:p>
    <w:p w:rsidR="00331EA6" w:rsidRPr="00A15E21" w:rsidRDefault="00E626EB" w:rsidP="00CE70EB">
      <w:pPr>
        <w:pStyle w:val="NoSpacing"/>
      </w:pPr>
      <w:r w:rsidRPr="00A15E21">
        <w:t>Payable Turnover</w:t>
      </w:r>
    </w:p>
    <w:tbl>
      <w:tblPr>
        <w:tblStyle w:val="TableGrid"/>
        <w:tblW w:w="0" w:type="auto"/>
        <w:tblLook w:val="04A0" w:firstRow="1" w:lastRow="0" w:firstColumn="1" w:lastColumn="0" w:noHBand="0" w:noVBand="1"/>
      </w:tblPr>
      <w:tblGrid>
        <w:gridCol w:w="3192"/>
        <w:gridCol w:w="3192"/>
        <w:gridCol w:w="3192"/>
      </w:tblGrid>
      <w:tr w:rsidR="00E626EB" w:rsidTr="000C4D7B">
        <w:tc>
          <w:tcPr>
            <w:tcW w:w="3192" w:type="dxa"/>
          </w:tcPr>
          <w:p w:rsidR="00E626EB" w:rsidRDefault="00E626EB"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E626EB" w:rsidRDefault="00E626EB" w:rsidP="000C4D7B">
            <w:pPr>
              <w:jc w:val="center"/>
              <w:rPr>
                <w:rFonts w:ascii="Times New Roman" w:hAnsi="Times New Roman" w:cs="Times New Roman"/>
              </w:rPr>
            </w:pPr>
            <w:r>
              <w:rPr>
                <w:rFonts w:ascii="Times New Roman" w:hAnsi="Times New Roman" w:cs="Times New Roman"/>
              </w:rPr>
              <w:t>2015</w:t>
            </w:r>
          </w:p>
        </w:tc>
        <w:tc>
          <w:tcPr>
            <w:tcW w:w="3192" w:type="dxa"/>
          </w:tcPr>
          <w:p w:rsidR="00E626EB" w:rsidRDefault="00E626EB" w:rsidP="000C4D7B">
            <w:pPr>
              <w:jc w:val="center"/>
              <w:rPr>
                <w:rFonts w:ascii="Times New Roman" w:hAnsi="Times New Roman" w:cs="Times New Roman"/>
              </w:rPr>
            </w:pPr>
            <w:r>
              <w:rPr>
                <w:rFonts w:ascii="Times New Roman" w:hAnsi="Times New Roman" w:cs="Times New Roman"/>
              </w:rPr>
              <w:t>2014</w:t>
            </w:r>
          </w:p>
        </w:tc>
      </w:tr>
      <w:tr w:rsidR="00E626EB" w:rsidTr="000C4D7B">
        <w:tc>
          <w:tcPr>
            <w:tcW w:w="3192" w:type="dxa"/>
            <w:vAlign w:val="bottom"/>
          </w:tcPr>
          <w:p w:rsidR="00E626EB" w:rsidRDefault="00E626EB" w:rsidP="000C4D7B">
            <w:pPr>
              <w:jc w:val="center"/>
              <w:rPr>
                <w:rFonts w:ascii="Calibri" w:hAnsi="Calibri" w:cs="Calibri"/>
                <w:color w:val="000000"/>
              </w:rPr>
            </w:pPr>
            <w:r>
              <w:rPr>
                <w:rFonts w:ascii="Calibri" w:hAnsi="Calibri" w:cs="Calibri"/>
                <w:color w:val="000000"/>
              </w:rPr>
              <w:t>59.53</w:t>
            </w:r>
          </w:p>
        </w:tc>
        <w:tc>
          <w:tcPr>
            <w:tcW w:w="3192" w:type="dxa"/>
            <w:vAlign w:val="bottom"/>
          </w:tcPr>
          <w:p w:rsidR="00E626EB" w:rsidRDefault="00E626EB" w:rsidP="000C4D7B">
            <w:pPr>
              <w:jc w:val="center"/>
              <w:rPr>
                <w:rFonts w:ascii="Calibri" w:hAnsi="Calibri" w:cs="Calibri"/>
                <w:color w:val="000000"/>
              </w:rPr>
            </w:pPr>
            <w:r>
              <w:rPr>
                <w:rFonts w:ascii="Calibri" w:hAnsi="Calibri" w:cs="Calibri"/>
                <w:color w:val="000000"/>
              </w:rPr>
              <w:t>9.96</w:t>
            </w:r>
          </w:p>
        </w:tc>
        <w:tc>
          <w:tcPr>
            <w:tcW w:w="3192" w:type="dxa"/>
            <w:vAlign w:val="bottom"/>
          </w:tcPr>
          <w:p w:rsidR="00E626EB" w:rsidRDefault="00E626EB" w:rsidP="000C4D7B">
            <w:pPr>
              <w:jc w:val="center"/>
              <w:rPr>
                <w:rFonts w:ascii="Calibri" w:hAnsi="Calibri" w:cs="Calibri"/>
                <w:color w:val="000000"/>
              </w:rPr>
            </w:pPr>
            <w:r>
              <w:rPr>
                <w:rFonts w:ascii="Calibri" w:hAnsi="Calibri" w:cs="Calibri"/>
                <w:color w:val="000000"/>
              </w:rPr>
              <w:t>8.51</w:t>
            </w:r>
          </w:p>
        </w:tc>
      </w:tr>
    </w:tbl>
    <w:p w:rsidR="00E626EB" w:rsidRDefault="00E626EB" w:rsidP="00E626EB"/>
    <w:p w:rsidR="00E626EB" w:rsidRDefault="00E626EB" w:rsidP="00E626EB">
      <w:r w:rsidRPr="00E626EB">
        <w:rPr>
          <w:noProof/>
        </w:rPr>
        <w:drawing>
          <wp:inline distT="0" distB="0" distL="0" distR="0">
            <wp:extent cx="2609850" cy="1543050"/>
            <wp:effectExtent l="19050" t="0" r="19050" b="0"/>
            <wp:docPr id="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626EB" w:rsidRDefault="006341A2" w:rsidP="00E626EB">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ratio shows when the company make payment to its supplier. We get the ratio by cost of sales divided by average accounts payables. </w:t>
      </w:r>
      <w:r w:rsidR="00E626EB" w:rsidRPr="004D1ECD">
        <w:rPr>
          <w:rFonts w:ascii="Times New Roman" w:eastAsia="Times New Roman" w:hAnsi="Times New Roman" w:cs="Times New Roman"/>
          <w:sz w:val="24"/>
          <w:szCs w:val="24"/>
        </w:rPr>
        <w:t>Higher this ratio represent the company use its current asset in efficient way. Square textile LTD paya</w:t>
      </w:r>
      <w:r w:rsidR="00D13368">
        <w:rPr>
          <w:rFonts w:ascii="Times New Roman" w:eastAsia="Times New Roman" w:hAnsi="Times New Roman" w:cs="Times New Roman"/>
          <w:sz w:val="24"/>
          <w:szCs w:val="24"/>
        </w:rPr>
        <w:t>ble turnover ratio for year 2016 is 59.</w:t>
      </w:r>
      <w:r w:rsidR="00E626EB" w:rsidRPr="004D1ECD">
        <w:rPr>
          <w:rFonts w:ascii="Times New Roman" w:eastAsia="Times New Roman" w:hAnsi="Times New Roman" w:cs="Times New Roman"/>
          <w:sz w:val="24"/>
          <w:szCs w:val="24"/>
        </w:rPr>
        <w:t xml:space="preserve"> So, we have seen this company do more efficient in current asset from previous year to current year.</w:t>
      </w:r>
    </w:p>
    <w:p w:rsidR="00D13368" w:rsidRDefault="00D13368" w:rsidP="00E626EB">
      <w:pPr>
        <w:spacing w:after="200" w:line="276" w:lineRule="auto"/>
        <w:jc w:val="both"/>
        <w:rPr>
          <w:rFonts w:ascii="Times New Roman" w:eastAsia="Times New Roman" w:hAnsi="Times New Roman" w:cs="Times New Roman"/>
          <w:sz w:val="24"/>
          <w:szCs w:val="24"/>
        </w:rPr>
      </w:pPr>
    </w:p>
    <w:p w:rsidR="00CE70EB" w:rsidRDefault="00CE70EB" w:rsidP="00CE70EB">
      <w:pPr>
        <w:pStyle w:val="NoSpacing"/>
      </w:pPr>
    </w:p>
    <w:p w:rsidR="008473B1" w:rsidRPr="00A15E21" w:rsidRDefault="008473B1" w:rsidP="00CE70EB">
      <w:pPr>
        <w:pStyle w:val="NoSpacing"/>
      </w:pPr>
      <w:r w:rsidRPr="00A15E21">
        <w:t>Days Payable Outstanding</w:t>
      </w:r>
    </w:p>
    <w:p w:rsidR="008473B1" w:rsidRPr="008473B1" w:rsidRDefault="008473B1" w:rsidP="008473B1"/>
    <w:tbl>
      <w:tblPr>
        <w:tblStyle w:val="TableGrid"/>
        <w:tblW w:w="0" w:type="auto"/>
        <w:tblLook w:val="04A0" w:firstRow="1" w:lastRow="0" w:firstColumn="1" w:lastColumn="0" w:noHBand="0" w:noVBand="1"/>
      </w:tblPr>
      <w:tblGrid>
        <w:gridCol w:w="3192"/>
        <w:gridCol w:w="3192"/>
        <w:gridCol w:w="3192"/>
      </w:tblGrid>
      <w:tr w:rsidR="008473B1" w:rsidTr="000C4D7B">
        <w:tc>
          <w:tcPr>
            <w:tcW w:w="3192" w:type="dxa"/>
          </w:tcPr>
          <w:p w:rsidR="008473B1" w:rsidRDefault="008473B1"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8473B1" w:rsidRDefault="008473B1" w:rsidP="000C4D7B">
            <w:pPr>
              <w:jc w:val="center"/>
              <w:rPr>
                <w:rFonts w:ascii="Times New Roman" w:hAnsi="Times New Roman" w:cs="Times New Roman"/>
              </w:rPr>
            </w:pPr>
            <w:r>
              <w:rPr>
                <w:rFonts w:ascii="Times New Roman" w:hAnsi="Times New Roman" w:cs="Times New Roman"/>
              </w:rPr>
              <w:t>2015</w:t>
            </w:r>
          </w:p>
        </w:tc>
        <w:tc>
          <w:tcPr>
            <w:tcW w:w="3192" w:type="dxa"/>
          </w:tcPr>
          <w:p w:rsidR="008473B1" w:rsidRDefault="008473B1" w:rsidP="000C4D7B">
            <w:pPr>
              <w:jc w:val="center"/>
              <w:rPr>
                <w:rFonts w:ascii="Times New Roman" w:hAnsi="Times New Roman" w:cs="Times New Roman"/>
              </w:rPr>
            </w:pPr>
            <w:r>
              <w:rPr>
                <w:rFonts w:ascii="Times New Roman" w:hAnsi="Times New Roman" w:cs="Times New Roman"/>
              </w:rPr>
              <w:t>2014</w:t>
            </w:r>
          </w:p>
        </w:tc>
      </w:tr>
      <w:tr w:rsidR="008473B1" w:rsidTr="000C4D7B">
        <w:tc>
          <w:tcPr>
            <w:tcW w:w="3192" w:type="dxa"/>
            <w:vAlign w:val="bottom"/>
          </w:tcPr>
          <w:p w:rsidR="008473B1" w:rsidRDefault="008473B1" w:rsidP="000C4D7B">
            <w:pPr>
              <w:jc w:val="center"/>
              <w:rPr>
                <w:rFonts w:ascii="Calibri" w:hAnsi="Calibri" w:cs="Calibri"/>
                <w:color w:val="000000"/>
              </w:rPr>
            </w:pPr>
            <w:r>
              <w:rPr>
                <w:rFonts w:ascii="Calibri" w:hAnsi="Calibri" w:cs="Calibri"/>
                <w:color w:val="000000"/>
              </w:rPr>
              <w:t>6.13</w:t>
            </w:r>
          </w:p>
        </w:tc>
        <w:tc>
          <w:tcPr>
            <w:tcW w:w="3192" w:type="dxa"/>
            <w:vAlign w:val="bottom"/>
          </w:tcPr>
          <w:p w:rsidR="008473B1" w:rsidRDefault="008473B1" w:rsidP="000C4D7B">
            <w:pPr>
              <w:jc w:val="center"/>
              <w:rPr>
                <w:rFonts w:ascii="Calibri" w:hAnsi="Calibri" w:cs="Calibri"/>
                <w:color w:val="000000"/>
              </w:rPr>
            </w:pPr>
            <w:r>
              <w:rPr>
                <w:rFonts w:ascii="Calibri" w:hAnsi="Calibri" w:cs="Calibri"/>
                <w:color w:val="000000"/>
              </w:rPr>
              <w:t>36.61</w:t>
            </w:r>
          </w:p>
        </w:tc>
        <w:tc>
          <w:tcPr>
            <w:tcW w:w="3192" w:type="dxa"/>
            <w:vAlign w:val="bottom"/>
          </w:tcPr>
          <w:p w:rsidR="008473B1" w:rsidRDefault="008473B1" w:rsidP="000C4D7B">
            <w:pPr>
              <w:jc w:val="center"/>
              <w:rPr>
                <w:rFonts w:ascii="Calibri" w:hAnsi="Calibri" w:cs="Calibri"/>
                <w:color w:val="000000"/>
              </w:rPr>
            </w:pPr>
            <w:r>
              <w:rPr>
                <w:rFonts w:ascii="Calibri" w:hAnsi="Calibri" w:cs="Calibri"/>
                <w:color w:val="000000"/>
              </w:rPr>
              <w:t>42.86</w:t>
            </w:r>
          </w:p>
        </w:tc>
      </w:tr>
    </w:tbl>
    <w:p w:rsidR="00E626EB" w:rsidRDefault="00E626EB" w:rsidP="00E626EB"/>
    <w:p w:rsidR="008473B1" w:rsidRPr="00577752" w:rsidRDefault="008473B1" w:rsidP="00E626EB">
      <w:pPr>
        <w:rPr>
          <w:color w:val="4F81BD" w:themeColor="accent1"/>
        </w:rPr>
      </w:pPr>
      <w:r w:rsidRPr="008473B1">
        <w:rPr>
          <w:noProof/>
        </w:rPr>
        <w:drawing>
          <wp:inline distT="0" distB="0" distL="0" distR="0">
            <wp:extent cx="2609850" cy="1543050"/>
            <wp:effectExtent l="19050" t="0" r="19050" b="0"/>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473B1" w:rsidRDefault="008473B1" w:rsidP="008473B1">
      <w:pPr>
        <w:spacing w:after="200" w:line="276" w:lineRule="auto"/>
        <w:jc w:val="both"/>
        <w:rPr>
          <w:rFonts w:ascii="Times New Roman" w:eastAsia="Times New Roman" w:hAnsi="Times New Roman" w:cs="Times New Roman"/>
          <w:sz w:val="24"/>
          <w:szCs w:val="24"/>
        </w:rPr>
      </w:pPr>
      <w:r w:rsidRPr="004D1ECD">
        <w:rPr>
          <w:rFonts w:ascii="Times New Roman" w:eastAsia="Times New Roman" w:hAnsi="Times New Roman" w:cs="Times New Roman"/>
          <w:sz w:val="24"/>
          <w:szCs w:val="24"/>
        </w:rPr>
        <w:t xml:space="preserve">This ratio represent a company how delayed their payment to their supplier in a periodic time. This ratio higher means it delays more to pay their supplier and more efficient in their operation. In 2018 for square textile it is </w:t>
      </w:r>
      <w:r w:rsidR="0084270B">
        <w:rPr>
          <w:rFonts w:ascii="Times New Roman" w:eastAsia="Times New Roman" w:hAnsi="Times New Roman" w:cs="Times New Roman"/>
          <w:sz w:val="24"/>
          <w:szCs w:val="24"/>
        </w:rPr>
        <w:t>6.13.</w:t>
      </w:r>
      <w:r w:rsidRPr="004D1ECD">
        <w:rPr>
          <w:rFonts w:ascii="Times New Roman" w:eastAsia="Times New Roman" w:hAnsi="Times New Roman" w:cs="Times New Roman"/>
          <w:sz w:val="24"/>
          <w:szCs w:val="24"/>
        </w:rPr>
        <w:t xml:space="preserve">So in </w:t>
      </w:r>
      <w:r w:rsidR="0084270B">
        <w:rPr>
          <w:rFonts w:ascii="Times New Roman" w:eastAsia="Times New Roman" w:hAnsi="Times New Roman" w:cs="Times New Roman"/>
          <w:sz w:val="24"/>
          <w:szCs w:val="24"/>
        </w:rPr>
        <w:t>2016</w:t>
      </w:r>
      <w:r w:rsidRPr="004D1ECD">
        <w:rPr>
          <w:rFonts w:ascii="Times New Roman" w:eastAsia="Times New Roman" w:hAnsi="Times New Roman" w:cs="Times New Roman"/>
          <w:sz w:val="24"/>
          <w:szCs w:val="24"/>
        </w:rPr>
        <w:t xml:space="preserve"> square textile delayed more to their supplier.</w:t>
      </w:r>
    </w:p>
    <w:p w:rsidR="00DC095D" w:rsidRPr="00A15E21" w:rsidRDefault="00DC095D" w:rsidP="00CE70EB">
      <w:pPr>
        <w:pStyle w:val="NoSpacing"/>
      </w:pPr>
      <w:r w:rsidRPr="00A15E21">
        <w:t>Current Ratio</w:t>
      </w:r>
    </w:p>
    <w:tbl>
      <w:tblPr>
        <w:tblStyle w:val="TableGrid"/>
        <w:tblW w:w="0" w:type="auto"/>
        <w:tblLook w:val="04A0" w:firstRow="1" w:lastRow="0" w:firstColumn="1" w:lastColumn="0" w:noHBand="0" w:noVBand="1"/>
      </w:tblPr>
      <w:tblGrid>
        <w:gridCol w:w="3192"/>
        <w:gridCol w:w="3192"/>
        <w:gridCol w:w="3192"/>
      </w:tblGrid>
      <w:tr w:rsidR="00DC095D" w:rsidTr="000C4D7B">
        <w:tc>
          <w:tcPr>
            <w:tcW w:w="3192" w:type="dxa"/>
          </w:tcPr>
          <w:p w:rsidR="00DC095D" w:rsidRDefault="00DC095D"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DC095D" w:rsidRDefault="00DC095D" w:rsidP="000C4D7B">
            <w:pPr>
              <w:jc w:val="center"/>
              <w:rPr>
                <w:rFonts w:ascii="Times New Roman" w:hAnsi="Times New Roman" w:cs="Times New Roman"/>
              </w:rPr>
            </w:pPr>
            <w:r>
              <w:rPr>
                <w:rFonts w:ascii="Times New Roman" w:hAnsi="Times New Roman" w:cs="Times New Roman"/>
              </w:rPr>
              <w:t>2015</w:t>
            </w:r>
          </w:p>
        </w:tc>
        <w:tc>
          <w:tcPr>
            <w:tcW w:w="3192" w:type="dxa"/>
          </w:tcPr>
          <w:p w:rsidR="00DC095D" w:rsidRDefault="00DC095D" w:rsidP="000C4D7B">
            <w:pPr>
              <w:jc w:val="center"/>
              <w:rPr>
                <w:rFonts w:ascii="Times New Roman" w:hAnsi="Times New Roman" w:cs="Times New Roman"/>
              </w:rPr>
            </w:pPr>
            <w:r>
              <w:rPr>
                <w:rFonts w:ascii="Times New Roman" w:hAnsi="Times New Roman" w:cs="Times New Roman"/>
              </w:rPr>
              <w:t>2014</w:t>
            </w:r>
          </w:p>
        </w:tc>
      </w:tr>
      <w:tr w:rsidR="00DC095D" w:rsidTr="000C4D7B">
        <w:tc>
          <w:tcPr>
            <w:tcW w:w="3192" w:type="dxa"/>
            <w:vAlign w:val="bottom"/>
          </w:tcPr>
          <w:p w:rsidR="00DC095D" w:rsidRDefault="00DC095D" w:rsidP="000C4D7B">
            <w:pPr>
              <w:jc w:val="center"/>
              <w:rPr>
                <w:rFonts w:ascii="Calibri" w:hAnsi="Calibri" w:cs="Calibri"/>
                <w:color w:val="000000"/>
              </w:rPr>
            </w:pPr>
            <w:r>
              <w:rPr>
                <w:rFonts w:ascii="Calibri" w:hAnsi="Calibri" w:cs="Calibri"/>
                <w:color w:val="000000"/>
              </w:rPr>
              <w:t>2.04</w:t>
            </w:r>
          </w:p>
        </w:tc>
        <w:tc>
          <w:tcPr>
            <w:tcW w:w="3192" w:type="dxa"/>
            <w:vAlign w:val="bottom"/>
          </w:tcPr>
          <w:p w:rsidR="00DC095D" w:rsidRDefault="00DC095D" w:rsidP="000C4D7B">
            <w:pPr>
              <w:jc w:val="center"/>
              <w:rPr>
                <w:rFonts w:ascii="Calibri" w:hAnsi="Calibri" w:cs="Calibri"/>
                <w:color w:val="000000"/>
              </w:rPr>
            </w:pPr>
            <w:r>
              <w:rPr>
                <w:rFonts w:ascii="Calibri" w:hAnsi="Calibri" w:cs="Calibri"/>
                <w:color w:val="000000"/>
              </w:rPr>
              <w:t>2.96</w:t>
            </w:r>
          </w:p>
        </w:tc>
        <w:tc>
          <w:tcPr>
            <w:tcW w:w="3192" w:type="dxa"/>
            <w:vAlign w:val="bottom"/>
          </w:tcPr>
          <w:p w:rsidR="00DC095D" w:rsidRDefault="00DC095D" w:rsidP="000C4D7B">
            <w:pPr>
              <w:jc w:val="center"/>
              <w:rPr>
                <w:rFonts w:ascii="Calibri" w:hAnsi="Calibri" w:cs="Calibri"/>
                <w:color w:val="000000"/>
              </w:rPr>
            </w:pPr>
            <w:r>
              <w:rPr>
                <w:rFonts w:ascii="Calibri" w:hAnsi="Calibri" w:cs="Calibri"/>
                <w:color w:val="000000"/>
              </w:rPr>
              <w:t>2.73</w:t>
            </w:r>
          </w:p>
        </w:tc>
      </w:tr>
    </w:tbl>
    <w:p w:rsidR="00DC095D" w:rsidRPr="00DC095D" w:rsidRDefault="00DC095D" w:rsidP="00DC095D"/>
    <w:p w:rsidR="008473B1" w:rsidRDefault="00DC095D" w:rsidP="00E626EB">
      <w:r w:rsidRPr="00DC095D">
        <w:rPr>
          <w:noProof/>
        </w:rPr>
        <w:drawing>
          <wp:inline distT="0" distB="0" distL="0" distR="0">
            <wp:extent cx="2609850" cy="1543050"/>
            <wp:effectExtent l="19050" t="0" r="19050" b="0"/>
            <wp:docPr id="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C095D" w:rsidRDefault="00DC095D" w:rsidP="00DC095D">
      <w:pPr>
        <w:spacing w:after="200" w:line="276" w:lineRule="auto"/>
        <w:jc w:val="both"/>
        <w:rPr>
          <w:rFonts w:ascii="Times New Roman" w:eastAsia="Times New Roman" w:hAnsi="Times New Roman" w:cs="Times New Roman"/>
          <w:sz w:val="24"/>
          <w:szCs w:val="24"/>
        </w:rPr>
      </w:pPr>
      <w:r w:rsidRPr="004D1ECD">
        <w:rPr>
          <w:rFonts w:ascii="Times New Roman" w:eastAsia="Times New Roman" w:hAnsi="Times New Roman" w:cs="Times New Roman"/>
          <w:sz w:val="24"/>
          <w:szCs w:val="24"/>
        </w:rPr>
        <w:t xml:space="preserve">It’s a measure of liquidity. It indicates how company is able to pay its debt in a period of </w:t>
      </w:r>
      <w:r w:rsidR="00BA2BDB">
        <w:rPr>
          <w:rFonts w:ascii="Times New Roman" w:eastAsia="Times New Roman" w:hAnsi="Times New Roman" w:cs="Times New Roman"/>
          <w:sz w:val="24"/>
          <w:szCs w:val="24"/>
        </w:rPr>
        <w:t>time with current asset. Current ratios for the company 1:2.04, 1:2.96 and 1:2.73 consecutively for the years of 2016, 2015 and 2014.So they have enough liquidity to meet their creditors.</w:t>
      </w:r>
    </w:p>
    <w:p w:rsidR="000B179F" w:rsidRPr="00A15E21" w:rsidRDefault="000B179F" w:rsidP="00CE70EB">
      <w:pPr>
        <w:pStyle w:val="NoSpacing"/>
      </w:pPr>
      <w:r w:rsidRPr="00A15E21">
        <w:t>Quick ratio</w:t>
      </w:r>
    </w:p>
    <w:tbl>
      <w:tblPr>
        <w:tblStyle w:val="TableGrid"/>
        <w:tblW w:w="0" w:type="auto"/>
        <w:tblLook w:val="04A0" w:firstRow="1" w:lastRow="0" w:firstColumn="1" w:lastColumn="0" w:noHBand="0" w:noVBand="1"/>
      </w:tblPr>
      <w:tblGrid>
        <w:gridCol w:w="3192"/>
        <w:gridCol w:w="3192"/>
        <w:gridCol w:w="3192"/>
      </w:tblGrid>
      <w:tr w:rsidR="000B179F" w:rsidTr="000C4D7B">
        <w:tc>
          <w:tcPr>
            <w:tcW w:w="3192" w:type="dxa"/>
          </w:tcPr>
          <w:p w:rsidR="000B179F" w:rsidRDefault="000B179F"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0B179F" w:rsidRDefault="000B179F" w:rsidP="000C4D7B">
            <w:pPr>
              <w:jc w:val="center"/>
              <w:rPr>
                <w:rFonts w:ascii="Times New Roman" w:hAnsi="Times New Roman" w:cs="Times New Roman"/>
              </w:rPr>
            </w:pPr>
            <w:r>
              <w:rPr>
                <w:rFonts w:ascii="Times New Roman" w:hAnsi="Times New Roman" w:cs="Times New Roman"/>
              </w:rPr>
              <w:t>2015</w:t>
            </w:r>
          </w:p>
        </w:tc>
        <w:tc>
          <w:tcPr>
            <w:tcW w:w="3192" w:type="dxa"/>
          </w:tcPr>
          <w:p w:rsidR="000B179F" w:rsidRDefault="000B179F" w:rsidP="000C4D7B">
            <w:pPr>
              <w:jc w:val="center"/>
              <w:rPr>
                <w:rFonts w:ascii="Times New Roman" w:hAnsi="Times New Roman" w:cs="Times New Roman"/>
              </w:rPr>
            </w:pPr>
            <w:r>
              <w:rPr>
                <w:rFonts w:ascii="Times New Roman" w:hAnsi="Times New Roman" w:cs="Times New Roman"/>
              </w:rPr>
              <w:t>2014</w:t>
            </w:r>
          </w:p>
        </w:tc>
      </w:tr>
      <w:tr w:rsidR="000B179F" w:rsidTr="000C4D7B">
        <w:tc>
          <w:tcPr>
            <w:tcW w:w="3192" w:type="dxa"/>
            <w:vAlign w:val="bottom"/>
          </w:tcPr>
          <w:p w:rsidR="000B179F" w:rsidRDefault="000B179F" w:rsidP="000C4D7B">
            <w:pPr>
              <w:jc w:val="center"/>
              <w:rPr>
                <w:rFonts w:ascii="Calibri" w:hAnsi="Calibri" w:cs="Calibri"/>
                <w:color w:val="000000"/>
              </w:rPr>
            </w:pPr>
            <w:r>
              <w:rPr>
                <w:rFonts w:ascii="Calibri" w:hAnsi="Calibri" w:cs="Calibri"/>
                <w:color w:val="000000"/>
              </w:rPr>
              <w:t>1.07</w:t>
            </w:r>
          </w:p>
        </w:tc>
        <w:tc>
          <w:tcPr>
            <w:tcW w:w="3192" w:type="dxa"/>
            <w:vAlign w:val="bottom"/>
          </w:tcPr>
          <w:p w:rsidR="000B179F" w:rsidRDefault="000B179F" w:rsidP="000C4D7B">
            <w:pPr>
              <w:jc w:val="center"/>
              <w:rPr>
                <w:rFonts w:ascii="Calibri" w:hAnsi="Calibri" w:cs="Calibri"/>
                <w:color w:val="000000"/>
              </w:rPr>
            </w:pPr>
            <w:r>
              <w:rPr>
                <w:rFonts w:ascii="Calibri" w:hAnsi="Calibri" w:cs="Calibri"/>
                <w:color w:val="000000"/>
              </w:rPr>
              <w:t>1.58</w:t>
            </w:r>
          </w:p>
        </w:tc>
        <w:tc>
          <w:tcPr>
            <w:tcW w:w="3192" w:type="dxa"/>
            <w:vAlign w:val="bottom"/>
          </w:tcPr>
          <w:p w:rsidR="000B179F" w:rsidRDefault="000B179F" w:rsidP="000C4D7B">
            <w:pPr>
              <w:jc w:val="center"/>
              <w:rPr>
                <w:rFonts w:ascii="Calibri" w:hAnsi="Calibri" w:cs="Calibri"/>
                <w:color w:val="000000"/>
              </w:rPr>
            </w:pPr>
            <w:r>
              <w:rPr>
                <w:rFonts w:ascii="Calibri" w:hAnsi="Calibri" w:cs="Calibri"/>
                <w:color w:val="000000"/>
              </w:rPr>
              <w:t>1.51</w:t>
            </w:r>
          </w:p>
        </w:tc>
      </w:tr>
    </w:tbl>
    <w:p w:rsidR="000B179F" w:rsidRDefault="000B179F" w:rsidP="000B179F"/>
    <w:p w:rsidR="000B179F" w:rsidRPr="000B179F" w:rsidRDefault="000B179F" w:rsidP="000B179F">
      <w:r w:rsidRPr="000B179F">
        <w:rPr>
          <w:noProof/>
        </w:rPr>
        <w:lastRenderedPageBreak/>
        <w:drawing>
          <wp:inline distT="0" distB="0" distL="0" distR="0">
            <wp:extent cx="2609850" cy="1543050"/>
            <wp:effectExtent l="19050" t="0" r="19050" b="0"/>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B179F" w:rsidRPr="004D1ECD" w:rsidRDefault="00736A11" w:rsidP="000B179F">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Quick ratio</w:t>
      </w:r>
      <w:r w:rsidRPr="004D1ECD">
        <w:rPr>
          <w:rFonts w:ascii="Times New Roman" w:eastAsia="Times New Roman" w:hAnsi="Times New Roman" w:cs="Times New Roman"/>
          <w:sz w:val="24"/>
          <w:szCs w:val="24"/>
        </w:rPr>
        <w:t xml:space="preserve"> measures the ability to use its quick assets (cash and cash equivalents, marketable securities and accounts receivable) to pay its current liabilities. </w:t>
      </w:r>
      <w:r>
        <w:rPr>
          <w:rFonts w:ascii="Times New Roman" w:eastAsia="Times New Roman" w:hAnsi="Times New Roman" w:cs="Times New Roman"/>
          <w:sz w:val="24"/>
          <w:szCs w:val="24"/>
        </w:rPr>
        <w:t xml:space="preserve">This </w:t>
      </w:r>
      <w:r w:rsidRPr="004D1ECD">
        <w:rPr>
          <w:rFonts w:ascii="Times New Roman" w:eastAsia="Times New Roman" w:hAnsi="Times New Roman" w:cs="Times New Roman"/>
          <w:sz w:val="24"/>
          <w:szCs w:val="24"/>
        </w:rPr>
        <w:t xml:space="preserve">ratio higher means company has many cash or has facing problem in collecting accounts receivable. Lower of the ratio indicates they rely on inventory too much. </w:t>
      </w:r>
      <w:r w:rsidR="000B179F" w:rsidRPr="004D1ECD">
        <w:rPr>
          <w:rFonts w:ascii="Times New Roman" w:eastAsia="Times New Roman" w:hAnsi="Times New Roman" w:cs="Times New Roman"/>
          <w:sz w:val="24"/>
          <w:szCs w:val="24"/>
        </w:rPr>
        <w:t xml:space="preserve">Current year the ratio is </w:t>
      </w:r>
      <w:r w:rsidR="000B179F">
        <w:rPr>
          <w:rFonts w:ascii="Times New Roman" w:eastAsia="Times New Roman" w:hAnsi="Times New Roman" w:cs="Times New Roman"/>
          <w:sz w:val="24"/>
          <w:szCs w:val="24"/>
        </w:rPr>
        <w:t>1.07</w:t>
      </w:r>
      <w:r w:rsidR="000B179F" w:rsidRPr="004D1ECD">
        <w:rPr>
          <w:rFonts w:ascii="Times New Roman" w:eastAsia="Times New Roman" w:hAnsi="Times New Roman" w:cs="Times New Roman"/>
          <w:sz w:val="24"/>
          <w:szCs w:val="24"/>
        </w:rPr>
        <w:t xml:space="preserve"> so we can conclude this year company relies on inventory. In 201</w:t>
      </w:r>
      <w:r w:rsidR="000B179F">
        <w:rPr>
          <w:rFonts w:ascii="Times New Roman" w:eastAsia="Times New Roman" w:hAnsi="Times New Roman" w:cs="Times New Roman"/>
          <w:sz w:val="24"/>
          <w:szCs w:val="24"/>
        </w:rPr>
        <w:t>5 and 2014</w:t>
      </w:r>
      <w:r w:rsidR="000B179F" w:rsidRPr="004D1ECD">
        <w:rPr>
          <w:rFonts w:ascii="Times New Roman" w:eastAsia="Times New Roman" w:hAnsi="Times New Roman" w:cs="Times New Roman"/>
          <w:sz w:val="24"/>
          <w:szCs w:val="24"/>
        </w:rPr>
        <w:t xml:space="preserve"> that was 1.</w:t>
      </w:r>
      <w:r w:rsidR="000B179F">
        <w:rPr>
          <w:rFonts w:ascii="Times New Roman" w:eastAsia="Times New Roman" w:hAnsi="Times New Roman" w:cs="Times New Roman"/>
          <w:sz w:val="24"/>
          <w:szCs w:val="24"/>
        </w:rPr>
        <w:t>58 and 1.51. S</w:t>
      </w:r>
      <w:r w:rsidR="000B179F" w:rsidRPr="004D1ECD">
        <w:rPr>
          <w:rFonts w:ascii="Times New Roman" w:eastAsia="Times New Roman" w:hAnsi="Times New Roman" w:cs="Times New Roman"/>
          <w:sz w:val="24"/>
          <w:szCs w:val="24"/>
        </w:rPr>
        <w:t>o in previous year they have much cash in hand to meet the current liabilities.</w:t>
      </w:r>
    </w:p>
    <w:p w:rsidR="00DC095D" w:rsidRPr="00A15E21" w:rsidRDefault="00BA29FD" w:rsidP="00CE70EB">
      <w:pPr>
        <w:pStyle w:val="NoSpacing"/>
      </w:pPr>
      <w:r w:rsidRPr="00A15E21">
        <w:t>Cash Ratio</w:t>
      </w:r>
    </w:p>
    <w:tbl>
      <w:tblPr>
        <w:tblStyle w:val="TableGrid"/>
        <w:tblW w:w="0" w:type="auto"/>
        <w:tblLook w:val="04A0" w:firstRow="1" w:lastRow="0" w:firstColumn="1" w:lastColumn="0" w:noHBand="0" w:noVBand="1"/>
      </w:tblPr>
      <w:tblGrid>
        <w:gridCol w:w="3192"/>
        <w:gridCol w:w="3192"/>
        <w:gridCol w:w="3192"/>
      </w:tblGrid>
      <w:tr w:rsidR="00BA29FD" w:rsidTr="000C4D7B">
        <w:tc>
          <w:tcPr>
            <w:tcW w:w="3192" w:type="dxa"/>
          </w:tcPr>
          <w:p w:rsidR="00BA29FD" w:rsidRDefault="00BA29FD"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BA29FD" w:rsidRDefault="00BA29FD" w:rsidP="000C4D7B">
            <w:pPr>
              <w:jc w:val="center"/>
              <w:rPr>
                <w:rFonts w:ascii="Times New Roman" w:hAnsi="Times New Roman" w:cs="Times New Roman"/>
              </w:rPr>
            </w:pPr>
            <w:r>
              <w:rPr>
                <w:rFonts w:ascii="Times New Roman" w:hAnsi="Times New Roman" w:cs="Times New Roman"/>
              </w:rPr>
              <w:t>2015</w:t>
            </w:r>
          </w:p>
        </w:tc>
        <w:tc>
          <w:tcPr>
            <w:tcW w:w="3192" w:type="dxa"/>
          </w:tcPr>
          <w:p w:rsidR="00BA29FD" w:rsidRDefault="00BA29FD" w:rsidP="000C4D7B">
            <w:pPr>
              <w:jc w:val="center"/>
              <w:rPr>
                <w:rFonts w:ascii="Times New Roman" w:hAnsi="Times New Roman" w:cs="Times New Roman"/>
              </w:rPr>
            </w:pPr>
            <w:r>
              <w:rPr>
                <w:rFonts w:ascii="Times New Roman" w:hAnsi="Times New Roman" w:cs="Times New Roman"/>
              </w:rPr>
              <w:t>2014</w:t>
            </w:r>
          </w:p>
        </w:tc>
      </w:tr>
      <w:tr w:rsidR="00BA29FD" w:rsidTr="000C4D7B">
        <w:tc>
          <w:tcPr>
            <w:tcW w:w="3192" w:type="dxa"/>
            <w:vAlign w:val="bottom"/>
          </w:tcPr>
          <w:p w:rsidR="00BA29FD" w:rsidRDefault="00612C3F" w:rsidP="000C4D7B">
            <w:pPr>
              <w:jc w:val="center"/>
              <w:rPr>
                <w:rFonts w:ascii="Calibri" w:hAnsi="Calibri" w:cs="Calibri"/>
                <w:color w:val="000000"/>
              </w:rPr>
            </w:pPr>
            <w:r>
              <w:rPr>
                <w:rFonts w:ascii="Calibri" w:hAnsi="Calibri" w:cs="Calibri"/>
                <w:color w:val="000000"/>
              </w:rPr>
              <w:t>0.33</w:t>
            </w:r>
          </w:p>
        </w:tc>
        <w:tc>
          <w:tcPr>
            <w:tcW w:w="3192" w:type="dxa"/>
            <w:vAlign w:val="bottom"/>
          </w:tcPr>
          <w:p w:rsidR="00BA29FD" w:rsidRDefault="00612C3F" w:rsidP="000C4D7B">
            <w:pPr>
              <w:jc w:val="center"/>
              <w:rPr>
                <w:rFonts w:ascii="Calibri" w:hAnsi="Calibri" w:cs="Calibri"/>
                <w:color w:val="000000"/>
              </w:rPr>
            </w:pPr>
            <w:r>
              <w:rPr>
                <w:rFonts w:ascii="Calibri" w:hAnsi="Calibri" w:cs="Calibri"/>
                <w:color w:val="000000"/>
              </w:rPr>
              <w:t>0.72</w:t>
            </w:r>
          </w:p>
        </w:tc>
        <w:tc>
          <w:tcPr>
            <w:tcW w:w="3192" w:type="dxa"/>
            <w:vAlign w:val="bottom"/>
          </w:tcPr>
          <w:p w:rsidR="00BA29FD" w:rsidRDefault="00612C3F" w:rsidP="000C4D7B">
            <w:pPr>
              <w:jc w:val="center"/>
              <w:rPr>
                <w:rFonts w:ascii="Calibri" w:hAnsi="Calibri" w:cs="Calibri"/>
                <w:color w:val="000000"/>
              </w:rPr>
            </w:pPr>
            <w:r>
              <w:rPr>
                <w:rFonts w:ascii="Calibri" w:hAnsi="Calibri" w:cs="Calibri"/>
                <w:color w:val="000000"/>
              </w:rPr>
              <w:t>0.357</w:t>
            </w:r>
          </w:p>
        </w:tc>
      </w:tr>
    </w:tbl>
    <w:p w:rsidR="00BA29FD" w:rsidRPr="00BA29FD" w:rsidRDefault="00BA29FD" w:rsidP="00BA29FD"/>
    <w:p w:rsidR="00CC1F3F" w:rsidRDefault="00612C3F" w:rsidP="00034B65">
      <w:pPr>
        <w:rPr>
          <w:b/>
        </w:rPr>
      </w:pPr>
      <w:r w:rsidRPr="00612C3F">
        <w:rPr>
          <w:b/>
          <w:noProof/>
        </w:rPr>
        <w:drawing>
          <wp:inline distT="0" distB="0" distL="0" distR="0">
            <wp:extent cx="2609850" cy="1543050"/>
            <wp:effectExtent l="19050" t="0" r="19050" b="0"/>
            <wp:docPr id="1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12C3F" w:rsidRDefault="00052D2D" w:rsidP="00612C3F">
      <w:pPr>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ratio measures the liquidity of a company, the ability to pay its supplier short term liabilities with cash. Cash ratio is more liquid and stricter than quick ratio and current ratio. </w:t>
      </w:r>
      <w:r w:rsidR="00612C3F" w:rsidRPr="004D1ECD">
        <w:rPr>
          <w:rFonts w:ascii="Times New Roman" w:eastAsia="Times New Roman" w:hAnsi="Times New Roman" w:cs="Times New Roman"/>
          <w:sz w:val="24"/>
          <w:szCs w:val="24"/>
        </w:rPr>
        <w:t xml:space="preserve">Square textile cash ratio for year </w:t>
      </w:r>
      <w:r w:rsidR="00612C3F">
        <w:rPr>
          <w:rFonts w:ascii="Times New Roman" w:eastAsia="Times New Roman" w:hAnsi="Times New Roman" w:cs="Times New Roman"/>
          <w:sz w:val="24"/>
          <w:szCs w:val="24"/>
        </w:rPr>
        <w:t>these 3 years</w:t>
      </w:r>
      <w:r w:rsidR="0079106E">
        <w:rPr>
          <w:rFonts w:ascii="Times New Roman" w:eastAsia="Times New Roman" w:hAnsi="Times New Roman" w:cs="Times New Roman"/>
          <w:sz w:val="24"/>
          <w:szCs w:val="24"/>
        </w:rPr>
        <w:t xml:space="preserve"> </w:t>
      </w:r>
      <w:r w:rsidR="00612C3F">
        <w:rPr>
          <w:rFonts w:ascii="Times New Roman" w:eastAsia="Times New Roman" w:hAnsi="Times New Roman" w:cs="Times New Roman"/>
          <w:sz w:val="24"/>
          <w:szCs w:val="24"/>
        </w:rPr>
        <w:t xml:space="preserve">(2014-2016) is in small amount </w:t>
      </w:r>
      <w:r w:rsidR="00612C3F" w:rsidRPr="004D1ECD">
        <w:rPr>
          <w:rFonts w:ascii="Times New Roman" w:eastAsia="Times New Roman" w:hAnsi="Times New Roman" w:cs="Times New Roman"/>
          <w:sz w:val="24"/>
          <w:szCs w:val="24"/>
        </w:rPr>
        <w:t xml:space="preserve">So, company maintain lower cash to meet their suppliers. </w:t>
      </w:r>
    </w:p>
    <w:p w:rsidR="00AA4E14" w:rsidRDefault="00AA4E14" w:rsidP="00612C3F">
      <w:pPr>
        <w:spacing w:before="100" w:beforeAutospacing="1" w:after="100" w:afterAutospacing="1" w:line="276" w:lineRule="auto"/>
        <w:jc w:val="both"/>
        <w:rPr>
          <w:rFonts w:ascii="Times New Roman" w:eastAsia="Times New Roman" w:hAnsi="Times New Roman" w:cs="Times New Roman"/>
          <w:sz w:val="24"/>
          <w:szCs w:val="24"/>
        </w:rPr>
      </w:pPr>
    </w:p>
    <w:p w:rsidR="00AA4E14" w:rsidRDefault="00AA4E14" w:rsidP="00AA4E14">
      <w:pPr>
        <w:spacing w:before="100" w:beforeAutospacing="1" w:after="100" w:afterAutospacing="1" w:line="276" w:lineRule="auto"/>
        <w:jc w:val="center"/>
        <w:rPr>
          <w:rFonts w:ascii="Times New Roman" w:eastAsia="Times New Roman" w:hAnsi="Times New Roman" w:cs="Times New Roman"/>
          <w:b/>
          <w:sz w:val="48"/>
          <w:szCs w:val="48"/>
        </w:rPr>
      </w:pPr>
    </w:p>
    <w:p w:rsidR="009F0EF9" w:rsidRDefault="009F0EF9" w:rsidP="005B7EC9">
      <w:pPr>
        <w:pStyle w:val="Heading1"/>
        <w:jc w:val="center"/>
        <w:rPr>
          <w:rFonts w:eastAsia="Times New Roman"/>
          <w:sz w:val="40"/>
          <w:szCs w:val="40"/>
        </w:rPr>
      </w:pPr>
    </w:p>
    <w:p w:rsidR="00AA4E14" w:rsidRPr="00825250" w:rsidRDefault="0048745B" w:rsidP="00825250">
      <w:pPr>
        <w:pStyle w:val="Heading2"/>
        <w:jc w:val="center"/>
        <w:rPr>
          <w:rFonts w:eastAsia="Times New Roman"/>
          <w:sz w:val="48"/>
          <w:szCs w:val="48"/>
        </w:rPr>
      </w:pPr>
      <w:bookmarkStart w:id="19" w:name="_Toc18627802"/>
      <w:r>
        <w:rPr>
          <w:rFonts w:eastAsia="Times New Roman"/>
          <w:sz w:val="48"/>
          <w:szCs w:val="48"/>
        </w:rPr>
        <w:t>Ap</w:t>
      </w:r>
      <w:r w:rsidR="00AA4E14" w:rsidRPr="00825250">
        <w:rPr>
          <w:rFonts w:eastAsia="Times New Roman"/>
          <w:sz w:val="48"/>
          <w:szCs w:val="48"/>
        </w:rPr>
        <w:t>ex Textile Limited</w:t>
      </w:r>
      <w:bookmarkEnd w:id="19"/>
    </w:p>
    <w:p w:rsidR="009F0EF9" w:rsidRDefault="009F0EF9" w:rsidP="00B37540">
      <w:pPr>
        <w:pStyle w:val="Heading2"/>
        <w:jc w:val="both"/>
        <w:rPr>
          <w:rFonts w:ascii="Times New Roman" w:hAnsi="Times New Roman" w:cs="Times New Roman"/>
          <w:sz w:val="22"/>
          <w:szCs w:val="22"/>
        </w:rPr>
      </w:pPr>
    </w:p>
    <w:p w:rsidR="009F0EF9" w:rsidRDefault="009F0EF9" w:rsidP="00B37540">
      <w:pPr>
        <w:pStyle w:val="Heading2"/>
        <w:jc w:val="both"/>
        <w:rPr>
          <w:rFonts w:ascii="Times New Roman" w:hAnsi="Times New Roman" w:cs="Times New Roman"/>
          <w:sz w:val="22"/>
          <w:szCs w:val="22"/>
        </w:rPr>
      </w:pPr>
    </w:p>
    <w:p w:rsidR="00B37540" w:rsidRDefault="00B37540" w:rsidP="00B823E5">
      <w:pPr>
        <w:pStyle w:val="Heading3"/>
      </w:pPr>
      <w:bookmarkStart w:id="20" w:name="_Toc18627803"/>
      <w:r w:rsidRPr="008C418C">
        <w:t>Company profile</w:t>
      </w:r>
      <w:bookmarkEnd w:id="20"/>
    </w:p>
    <w:p w:rsidR="00C9433F" w:rsidRDefault="0048745B" w:rsidP="00B37540">
      <w:pPr>
        <w:spacing w:line="276" w:lineRule="auto"/>
        <w:jc w:val="both"/>
        <w:rPr>
          <w:rFonts w:ascii="Times New Roman" w:hAnsi="Times New Roman" w:cs="Times New Roman"/>
          <w:sz w:val="24"/>
          <w:szCs w:val="24"/>
        </w:rPr>
      </w:pPr>
      <w:r>
        <w:rPr>
          <w:rFonts w:ascii="Times New Roman" w:hAnsi="Times New Roman" w:cs="Times New Roman"/>
          <w:sz w:val="24"/>
          <w:szCs w:val="24"/>
        </w:rPr>
        <w:t>Apex spinning and knitting mills was established in 1990. This company produces high quality garments for men, ladies and children. They are using house fabric for production.</w:t>
      </w:r>
      <w:r w:rsidR="00045E5E">
        <w:rPr>
          <w:rFonts w:ascii="Times New Roman" w:hAnsi="Times New Roman" w:cs="Times New Roman"/>
          <w:sz w:val="24"/>
          <w:szCs w:val="24"/>
        </w:rPr>
        <w:t xml:space="preserve"> They produce a bulk amount of fabric and design what are provided by </w:t>
      </w:r>
      <w:r w:rsidR="004C7026">
        <w:rPr>
          <w:rFonts w:ascii="Times New Roman" w:hAnsi="Times New Roman" w:cs="Times New Roman"/>
          <w:sz w:val="24"/>
          <w:szCs w:val="24"/>
        </w:rPr>
        <w:t>customers. ASKML works with variety of fabric like knit, wrap knit, cotton, polyester, nylon etc. For producing garments they equipped 52 sewing lines. The production capacity of the company is 2500000 pieces per month.</w:t>
      </w:r>
    </w:p>
    <w:p w:rsidR="008F3038" w:rsidRPr="00B37540" w:rsidRDefault="008F3038" w:rsidP="00B37540">
      <w:pPr>
        <w:spacing w:line="276"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Following Analys</w:t>
      </w:r>
      <w:r w:rsidR="00EB0730">
        <w:rPr>
          <w:rFonts w:ascii="Times New Roman" w:eastAsia="Times New Roman" w:hAnsi="Times New Roman" w:cs="Times New Roman"/>
          <w:color w:val="000000"/>
          <w:sz w:val="24"/>
          <w:szCs w:val="24"/>
          <w:shd w:val="clear" w:color="auto" w:fill="FFFFFF"/>
        </w:rPr>
        <w:t>es</w:t>
      </w:r>
      <w:r w:rsidR="0048745B">
        <w:rPr>
          <w:rFonts w:ascii="Times New Roman" w:eastAsia="Times New Roman" w:hAnsi="Times New Roman" w:cs="Times New Roman"/>
          <w:color w:val="000000"/>
          <w:sz w:val="24"/>
          <w:szCs w:val="24"/>
          <w:shd w:val="clear" w:color="auto" w:fill="FFFFFF"/>
        </w:rPr>
        <w:t xml:space="preserve"> are based on A</w:t>
      </w:r>
      <w:r>
        <w:rPr>
          <w:rFonts w:ascii="Times New Roman" w:eastAsia="Times New Roman" w:hAnsi="Times New Roman" w:cs="Times New Roman"/>
          <w:color w:val="000000"/>
          <w:sz w:val="24"/>
          <w:szCs w:val="24"/>
          <w:shd w:val="clear" w:color="auto" w:fill="FFFFFF"/>
        </w:rPr>
        <w:t>pex textile</w:t>
      </w:r>
      <w:r w:rsidR="0079106E">
        <w:rPr>
          <w:rFonts w:ascii="Times New Roman" w:eastAsia="Times New Roman" w:hAnsi="Times New Roman" w:cs="Times New Roman"/>
          <w:color w:val="000000"/>
          <w:sz w:val="24"/>
          <w:szCs w:val="24"/>
          <w:shd w:val="clear" w:color="auto" w:fill="FFFFFF"/>
        </w:rPr>
        <w:t xml:space="preserve"> </w:t>
      </w:r>
      <w:r w:rsidR="00F316DF">
        <w:rPr>
          <w:rFonts w:ascii="Times New Roman" w:eastAsia="Times New Roman" w:hAnsi="Times New Roman" w:cs="Times New Roman"/>
          <w:color w:val="000000"/>
          <w:sz w:val="24"/>
          <w:szCs w:val="24"/>
          <w:shd w:val="clear" w:color="auto" w:fill="FFFFFF"/>
        </w:rPr>
        <w:t>limited’s</w:t>
      </w:r>
      <w:r>
        <w:rPr>
          <w:rFonts w:ascii="Times New Roman" w:eastAsia="Times New Roman" w:hAnsi="Times New Roman" w:cs="Times New Roman"/>
          <w:color w:val="000000"/>
          <w:sz w:val="24"/>
          <w:szCs w:val="24"/>
          <w:shd w:val="clear" w:color="auto" w:fill="FFFFFF"/>
        </w:rPr>
        <w:t xml:space="preserve"> annual report (2104-2016).</w:t>
      </w:r>
      <w:sdt>
        <w:sdtPr>
          <w:rPr>
            <w:rFonts w:ascii="Times New Roman" w:eastAsia="Times New Roman" w:hAnsi="Times New Roman" w:cs="Times New Roman"/>
            <w:color w:val="000000"/>
            <w:sz w:val="24"/>
            <w:szCs w:val="24"/>
            <w:shd w:val="clear" w:color="auto" w:fill="FFFFFF"/>
          </w:rPr>
          <w:id w:val="611291"/>
          <w:citation/>
        </w:sdtPr>
        <w:sdtEndPr/>
        <w:sdtContent>
          <w:r w:rsidR="00C31EB1">
            <w:rPr>
              <w:rFonts w:ascii="Times New Roman" w:eastAsia="Times New Roman" w:hAnsi="Times New Roman" w:cs="Times New Roman"/>
              <w:color w:val="000000"/>
              <w:sz w:val="24"/>
              <w:szCs w:val="24"/>
              <w:shd w:val="clear" w:color="auto" w:fill="FFFFFF"/>
            </w:rPr>
            <w:fldChar w:fldCharType="begin"/>
          </w:r>
          <w:r>
            <w:rPr>
              <w:rFonts w:ascii="Times New Roman" w:eastAsia="Times New Roman" w:hAnsi="Times New Roman" w:cs="Times New Roman"/>
              <w:color w:val="000000"/>
              <w:sz w:val="24"/>
              <w:szCs w:val="24"/>
              <w:shd w:val="clear" w:color="auto" w:fill="FFFFFF"/>
            </w:rPr>
            <w:instrText xml:space="preserve"> CITATION App161 \l 1033 </w:instrText>
          </w:r>
          <w:r w:rsidR="00C31EB1">
            <w:rPr>
              <w:rFonts w:ascii="Times New Roman" w:eastAsia="Times New Roman" w:hAnsi="Times New Roman" w:cs="Times New Roman"/>
              <w:color w:val="000000"/>
              <w:sz w:val="24"/>
              <w:szCs w:val="24"/>
              <w:shd w:val="clear" w:color="auto" w:fill="FFFFFF"/>
            </w:rPr>
            <w:fldChar w:fldCharType="separate"/>
          </w:r>
          <w:r w:rsidRPr="008F3038">
            <w:rPr>
              <w:rFonts w:ascii="Times New Roman" w:eastAsia="Times New Roman" w:hAnsi="Times New Roman" w:cs="Times New Roman"/>
              <w:noProof/>
              <w:color w:val="000000"/>
              <w:sz w:val="24"/>
              <w:szCs w:val="24"/>
              <w:shd w:val="clear" w:color="auto" w:fill="FFFFFF"/>
            </w:rPr>
            <w:t>(Appex textile Limited, 2014-2016)</w:t>
          </w:r>
          <w:r w:rsidR="00C31EB1">
            <w:rPr>
              <w:rFonts w:ascii="Times New Roman" w:eastAsia="Times New Roman" w:hAnsi="Times New Roman" w:cs="Times New Roman"/>
              <w:color w:val="000000"/>
              <w:sz w:val="24"/>
              <w:szCs w:val="24"/>
              <w:shd w:val="clear" w:color="auto" w:fill="FFFFFF"/>
            </w:rPr>
            <w:fldChar w:fldCharType="end"/>
          </w:r>
        </w:sdtContent>
      </w:sdt>
    </w:p>
    <w:p w:rsidR="00B37540" w:rsidRDefault="00B37540" w:rsidP="00AA4E14">
      <w:pPr>
        <w:pStyle w:val="Heading2"/>
        <w:spacing w:line="276" w:lineRule="auto"/>
        <w:jc w:val="both"/>
        <w:rPr>
          <w:rFonts w:ascii="Times New Roman" w:eastAsia="Times New Roman" w:hAnsi="Times New Roman" w:cs="Times New Roman"/>
          <w:b/>
          <w:sz w:val="24"/>
          <w:szCs w:val="24"/>
        </w:rPr>
      </w:pPr>
    </w:p>
    <w:p w:rsidR="00AA4E14" w:rsidRPr="0009451F" w:rsidRDefault="00AA4E14" w:rsidP="00B823E5">
      <w:pPr>
        <w:pStyle w:val="Heading3"/>
        <w:rPr>
          <w:rFonts w:eastAsia="Times New Roman"/>
        </w:rPr>
      </w:pPr>
      <w:bookmarkStart w:id="21" w:name="_Toc18627804"/>
      <w:r w:rsidRPr="004D1ECD">
        <w:rPr>
          <w:rFonts w:eastAsia="Times New Roman"/>
        </w:rPr>
        <w:t xml:space="preserve">Analysis of Cash </w:t>
      </w:r>
      <w:r w:rsidRPr="005B7EC9">
        <w:t>Conversion</w:t>
      </w:r>
      <w:r w:rsidRPr="004D1ECD">
        <w:rPr>
          <w:rFonts w:eastAsia="Times New Roman"/>
        </w:rPr>
        <w:t xml:space="preserve"> Cycle</w:t>
      </w:r>
      <w:bookmarkEnd w:id="21"/>
    </w:p>
    <w:p w:rsidR="000531A2" w:rsidRPr="003F1D4F" w:rsidRDefault="000531A2" w:rsidP="000531A2">
      <w:pPr>
        <w:spacing w:line="276" w:lineRule="auto"/>
        <w:jc w:val="both"/>
        <w:rPr>
          <w:rFonts w:ascii="Times New Roman" w:hAnsi="Times New Roman" w:cs="Times New Roman"/>
          <w:sz w:val="24"/>
          <w:szCs w:val="24"/>
        </w:rPr>
      </w:pPr>
      <w:r w:rsidRPr="003F1D4F">
        <w:rPr>
          <w:rFonts w:ascii="Times New Roman" w:hAnsi="Times New Roman" w:cs="Times New Roman"/>
          <w:sz w:val="24"/>
          <w:szCs w:val="24"/>
        </w:rPr>
        <w:t>The cash conversion cycle is a cash flow calculation that measure the time it takes a company to companies invest and inventory and resources inputs to cash. Cash conversion cycle gives a total view for effective working capital.</w:t>
      </w:r>
    </w:p>
    <w:p w:rsidR="000531A2" w:rsidRDefault="000531A2" w:rsidP="000531A2">
      <w:pPr>
        <w:tabs>
          <w:tab w:val="left" w:pos="6168"/>
        </w:tabs>
        <w:spacing w:after="0" w:line="276" w:lineRule="auto"/>
        <w:jc w:val="both"/>
        <w:rPr>
          <w:rFonts w:ascii="Times New Roman" w:eastAsia="Times New Roman" w:hAnsi="Times New Roman" w:cs="Times New Roman"/>
          <w:bCs/>
          <w:color w:val="000000"/>
          <w:sz w:val="24"/>
          <w:szCs w:val="24"/>
          <w:bdr w:val="none" w:sz="0" w:space="0" w:color="auto" w:frame="1"/>
          <w:shd w:val="clear" w:color="auto" w:fill="FFFFFF"/>
        </w:rPr>
      </w:pPr>
      <w:r w:rsidRPr="004D1ECD">
        <w:rPr>
          <w:rFonts w:ascii="Times New Roman" w:eastAsia="Times New Roman" w:hAnsi="Times New Roman" w:cs="Times New Roman"/>
          <w:noProof/>
          <w:color w:val="000000"/>
          <w:sz w:val="24"/>
          <w:szCs w:val="24"/>
        </w:rPr>
        <w:t>Cash Conversion Cyle (CCC)</w:t>
      </w:r>
      <w:r w:rsidRPr="004D1ECD">
        <w:rPr>
          <w:rFonts w:ascii="Times New Roman" w:eastAsia="Times New Roman" w:hAnsi="Times New Roman" w:cs="Times New Roman"/>
          <w:b/>
          <w:noProof/>
          <w:color w:val="000000"/>
          <w:sz w:val="24"/>
          <w:szCs w:val="24"/>
        </w:rPr>
        <w:t xml:space="preserve">= </w:t>
      </w:r>
      <w:r w:rsidRPr="004D1ECD">
        <w:rPr>
          <w:rFonts w:ascii="Times New Roman" w:eastAsia="Times New Roman" w:hAnsi="Times New Roman" w:cs="Times New Roman"/>
          <w:bCs/>
          <w:color w:val="000000"/>
          <w:sz w:val="24"/>
          <w:szCs w:val="24"/>
          <w:bdr w:val="none" w:sz="0" w:space="0" w:color="auto" w:frame="1"/>
          <w:shd w:val="clear" w:color="auto" w:fill="FFFFFF"/>
        </w:rPr>
        <w:t>DSO + DIO – DPO</w:t>
      </w:r>
    </w:p>
    <w:p w:rsidR="000531A2" w:rsidRDefault="000531A2" w:rsidP="000531A2">
      <w:pPr>
        <w:tabs>
          <w:tab w:val="left" w:pos="6168"/>
        </w:tabs>
        <w:spacing w:after="0" w:line="276" w:lineRule="auto"/>
        <w:jc w:val="both"/>
        <w:rPr>
          <w:rFonts w:ascii="Times New Roman" w:eastAsia="Times New Roman" w:hAnsi="Times New Roman" w:cs="Times New Roman"/>
          <w:bCs/>
          <w:color w:val="000000"/>
          <w:sz w:val="24"/>
          <w:szCs w:val="24"/>
          <w:bdr w:val="none" w:sz="0" w:space="0" w:color="auto" w:frame="1"/>
          <w:shd w:val="clear" w:color="auto" w:fill="FFFFFF"/>
        </w:rPr>
      </w:pPr>
    </w:p>
    <w:p w:rsidR="000531A2" w:rsidRDefault="000531A2" w:rsidP="000531A2">
      <w:pPr>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In </w:t>
      </w:r>
      <w:r w:rsidRPr="004D1ECD">
        <w:rPr>
          <w:rFonts w:ascii="Times New Roman" w:eastAsia="Times New Roman" w:hAnsi="Times New Roman" w:cs="Times New Roman"/>
          <w:color w:val="000000"/>
          <w:sz w:val="24"/>
          <w:szCs w:val="24"/>
          <w:shd w:val="clear" w:color="auto" w:fill="FFFFFF"/>
        </w:rPr>
        <w:t xml:space="preserve">cash flow calculations, shorter </w:t>
      </w:r>
      <w:r>
        <w:rPr>
          <w:rFonts w:ascii="Times New Roman" w:eastAsia="Times New Roman" w:hAnsi="Times New Roman" w:cs="Times New Roman"/>
          <w:color w:val="000000"/>
          <w:sz w:val="24"/>
          <w:szCs w:val="24"/>
          <w:shd w:val="clear" w:color="auto" w:fill="FFFFFF"/>
        </w:rPr>
        <w:t>value</w:t>
      </w:r>
      <w:r w:rsidRPr="004D1ECD">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is</w:t>
      </w:r>
      <w:r w:rsidRPr="004D1ECD">
        <w:rPr>
          <w:rFonts w:ascii="Times New Roman" w:eastAsia="Times New Roman" w:hAnsi="Times New Roman" w:cs="Times New Roman"/>
          <w:color w:val="000000"/>
          <w:sz w:val="24"/>
          <w:szCs w:val="24"/>
          <w:shd w:val="clear" w:color="auto" w:fill="FFFFFF"/>
        </w:rPr>
        <w:t xml:space="preserve"> almost good</w:t>
      </w:r>
      <w:r>
        <w:rPr>
          <w:rFonts w:ascii="Times New Roman" w:eastAsia="Times New Roman" w:hAnsi="Times New Roman" w:cs="Times New Roman"/>
          <w:color w:val="000000"/>
          <w:sz w:val="24"/>
          <w:szCs w:val="24"/>
          <w:shd w:val="clear" w:color="auto" w:fill="FFFFFF"/>
        </w:rPr>
        <w:t xml:space="preserve"> </w:t>
      </w:r>
      <w:r w:rsidRPr="004D1ECD">
        <w:rPr>
          <w:rFonts w:ascii="Times New Roman" w:eastAsia="Times New Roman" w:hAnsi="Times New Roman" w:cs="Times New Roman"/>
          <w:color w:val="000000"/>
          <w:sz w:val="24"/>
          <w:szCs w:val="24"/>
          <w:shd w:val="clear" w:color="auto" w:fill="FFFFFF"/>
        </w:rPr>
        <w:t xml:space="preserve">always. A </w:t>
      </w:r>
      <w:r>
        <w:rPr>
          <w:rFonts w:ascii="Times New Roman" w:eastAsia="Times New Roman" w:hAnsi="Times New Roman" w:cs="Times New Roman"/>
          <w:color w:val="000000"/>
          <w:sz w:val="24"/>
          <w:szCs w:val="24"/>
          <w:shd w:val="clear" w:color="auto" w:fill="FFFFFF"/>
        </w:rPr>
        <w:t>low</w:t>
      </w:r>
      <w:r w:rsidRPr="004D1ECD">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cash conversion cycle</w:t>
      </w:r>
      <w:r w:rsidRPr="004D1ECD">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describes</w:t>
      </w:r>
      <w:r w:rsidRPr="004D1ECD">
        <w:rPr>
          <w:rFonts w:ascii="Times New Roman" w:eastAsia="Times New Roman" w:hAnsi="Times New Roman" w:cs="Times New Roman"/>
          <w:color w:val="000000"/>
          <w:sz w:val="24"/>
          <w:szCs w:val="24"/>
          <w:shd w:val="clear" w:color="auto" w:fill="FFFFFF"/>
        </w:rPr>
        <w:t xml:space="preserve"> that company’s money is </w:t>
      </w:r>
      <w:r>
        <w:rPr>
          <w:rFonts w:ascii="Times New Roman" w:eastAsia="Times New Roman" w:hAnsi="Times New Roman" w:cs="Times New Roman"/>
          <w:color w:val="000000"/>
          <w:sz w:val="24"/>
          <w:szCs w:val="24"/>
          <w:shd w:val="clear" w:color="auto" w:fill="FFFFFF"/>
        </w:rPr>
        <w:t>active</w:t>
      </w:r>
      <w:r w:rsidRPr="004D1ECD">
        <w:rPr>
          <w:rFonts w:ascii="Times New Roman" w:eastAsia="Times New Roman" w:hAnsi="Times New Roman" w:cs="Times New Roman"/>
          <w:color w:val="000000"/>
          <w:sz w:val="24"/>
          <w:szCs w:val="24"/>
          <w:shd w:val="clear" w:color="auto" w:fill="FFFFFF"/>
        </w:rPr>
        <w:t xml:space="preserve"> in inventory </w:t>
      </w:r>
      <w:r>
        <w:rPr>
          <w:rFonts w:ascii="Times New Roman" w:eastAsia="Times New Roman" w:hAnsi="Times New Roman" w:cs="Times New Roman"/>
          <w:color w:val="000000"/>
          <w:sz w:val="24"/>
          <w:szCs w:val="24"/>
          <w:shd w:val="clear" w:color="auto" w:fill="FFFFFF"/>
        </w:rPr>
        <w:t>for smaller time.</w:t>
      </w:r>
    </w:p>
    <w:p w:rsidR="00AA4E14" w:rsidRPr="00C00A73" w:rsidRDefault="00AA4E14" w:rsidP="000531A2">
      <w:pPr>
        <w:tabs>
          <w:tab w:val="left" w:pos="6168"/>
        </w:tabs>
        <w:spacing w:after="0" w:line="276" w:lineRule="auto"/>
        <w:jc w:val="both"/>
        <w:rPr>
          <w:rFonts w:ascii="Times New Roman" w:eastAsia="Times New Roman" w:hAnsi="Times New Roman" w:cs="Times New Roman"/>
          <w:bCs/>
          <w:color w:val="000000"/>
          <w:sz w:val="24"/>
          <w:szCs w:val="24"/>
          <w:bdr w:val="none" w:sz="0" w:space="0" w:color="auto" w:frame="1"/>
          <w:shd w:val="clear" w:color="auto" w:fill="FFFFFF"/>
        </w:rPr>
      </w:pPr>
      <w:r w:rsidRPr="004D1ECD">
        <w:rPr>
          <w:rFonts w:ascii="Times New Roman" w:eastAsia="Times New Roman" w:hAnsi="Times New Roman" w:cs="Times New Roman"/>
          <w:color w:val="000000"/>
          <w:sz w:val="24"/>
          <w:szCs w:val="24"/>
          <w:shd w:val="clear" w:color="auto" w:fill="FFFFFF"/>
        </w:rPr>
        <w:t xml:space="preserve">In the </w:t>
      </w:r>
      <w:r w:rsidR="00805DD5">
        <w:rPr>
          <w:rFonts w:ascii="Times New Roman" w:eastAsia="Times New Roman" w:hAnsi="Times New Roman" w:cs="Times New Roman"/>
          <w:noProof/>
          <w:color w:val="000000"/>
          <w:sz w:val="24"/>
          <w:szCs w:val="24"/>
        </w:rPr>
        <w:t>Appex</w:t>
      </w:r>
      <w:r w:rsidRPr="004D1ECD">
        <w:rPr>
          <w:rFonts w:ascii="Times New Roman" w:eastAsia="Times New Roman" w:hAnsi="Times New Roman" w:cs="Times New Roman"/>
          <w:noProof/>
          <w:color w:val="000000"/>
          <w:sz w:val="24"/>
          <w:szCs w:val="24"/>
        </w:rPr>
        <w:t xml:space="preserve"> Textiles Limited, the Cash Convertion Cycle (CCC) is </w:t>
      </w:r>
      <w:r>
        <w:rPr>
          <w:rFonts w:ascii="Times New Roman" w:eastAsia="Times New Roman" w:hAnsi="Times New Roman" w:cs="Times New Roman"/>
          <w:noProof/>
          <w:color w:val="000000"/>
          <w:sz w:val="24"/>
          <w:szCs w:val="24"/>
        </w:rPr>
        <w:t xml:space="preserve">-17,-2 and -11.317 for consecutively for year of 2016,2015 and  2014.So, </w:t>
      </w:r>
      <w:r w:rsidRPr="004D1ECD">
        <w:rPr>
          <w:rFonts w:ascii="Times New Roman" w:eastAsia="Times New Roman" w:hAnsi="Times New Roman" w:cs="Times New Roman"/>
          <w:noProof/>
          <w:color w:val="000000"/>
          <w:sz w:val="24"/>
          <w:szCs w:val="24"/>
        </w:rPr>
        <w:t xml:space="preserve">that is </w:t>
      </w:r>
      <w:r>
        <w:rPr>
          <w:rFonts w:ascii="Times New Roman" w:eastAsia="Times New Roman" w:hAnsi="Times New Roman" w:cs="Times New Roman"/>
          <w:noProof/>
          <w:color w:val="000000"/>
          <w:sz w:val="24"/>
          <w:szCs w:val="24"/>
        </w:rPr>
        <w:t>really satisfactory for the company.</w:t>
      </w:r>
    </w:p>
    <w:p w:rsidR="00AA4E14" w:rsidRPr="005B7EC9" w:rsidRDefault="005B7EC9" w:rsidP="00B823E5">
      <w:pPr>
        <w:pStyle w:val="Heading3"/>
        <w:rPr>
          <w:rFonts w:eastAsia="Times New Roman"/>
          <w:noProof/>
        </w:rPr>
      </w:pPr>
      <w:bookmarkStart w:id="22" w:name="_Toc18627805"/>
      <w:r w:rsidRPr="005B7EC9">
        <w:rPr>
          <w:rFonts w:eastAsia="Times New Roman"/>
          <w:noProof/>
        </w:rPr>
        <w:t>Ratio Analysis</w:t>
      </w:r>
      <w:bookmarkEnd w:id="22"/>
    </w:p>
    <w:p w:rsidR="00AA4E14" w:rsidRDefault="00AA4E14" w:rsidP="00AA4E14">
      <w:pPr>
        <w:tabs>
          <w:tab w:val="left" w:pos="6168"/>
        </w:tabs>
        <w:spacing w:after="0" w:line="276" w:lineRule="auto"/>
        <w:jc w:val="both"/>
        <w:rPr>
          <w:rFonts w:ascii="Times New Roman" w:eastAsia="Times New Roman" w:hAnsi="Times New Roman" w:cs="Times New Roman"/>
          <w:noProof/>
          <w:color w:val="000000"/>
          <w:sz w:val="24"/>
          <w:szCs w:val="24"/>
        </w:rPr>
      </w:pPr>
    </w:p>
    <w:p w:rsidR="00AA4E14" w:rsidRPr="00D0708E" w:rsidRDefault="00AA4E14" w:rsidP="00AA4E14">
      <w:pPr>
        <w:rPr>
          <w:rFonts w:ascii="Times New Roman" w:hAnsi="Times New Roman" w:cs="Times New Roman"/>
        </w:rPr>
      </w:pPr>
    </w:p>
    <w:p w:rsidR="00AA4E14" w:rsidRPr="004668A8" w:rsidRDefault="00AA4E14" w:rsidP="00CE70EB">
      <w:pPr>
        <w:pStyle w:val="NoSpacing"/>
      </w:pPr>
      <w:r w:rsidRPr="004668A8">
        <w:t>Working Capital Turnover Ratio</w:t>
      </w:r>
    </w:p>
    <w:tbl>
      <w:tblPr>
        <w:tblStyle w:val="TableGrid"/>
        <w:tblW w:w="0" w:type="auto"/>
        <w:tblLook w:val="04A0" w:firstRow="1" w:lastRow="0" w:firstColumn="1" w:lastColumn="0" w:noHBand="0" w:noVBand="1"/>
      </w:tblPr>
      <w:tblGrid>
        <w:gridCol w:w="3192"/>
        <w:gridCol w:w="3192"/>
        <w:gridCol w:w="3192"/>
      </w:tblGrid>
      <w:tr w:rsidR="00AA4E14" w:rsidTr="00AA4E14">
        <w:tc>
          <w:tcPr>
            <w:tcW w:w="3192" w:type="dxa"/>
          </w:tcPr>
          <w:p w:rsidR="00AA4E14" w:rsidRDefault="00AA4E14" w:rsidP="00AA4E14">
            <w:pPr>
              <w:jc w:val="center"/>
              <w:rPr>
                <w:rFonts w:ascii="Times New Roman" w:hAnsi="Times New Roman" w:cs="Times New Roman"/>
              </w:rPr>
            </w:pPr>
            <w:r>
              <w:rPr>
                <w:rFonts w:ascii="Times New Roman" w:hAnsi="Times New Roman" w:cs="Times New Roman"/>
                <w:noProof/>
              </w:rPr>
              <w:t>2016</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2015</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2014</w:t>
            </w:r>
          </w:p>
        </w:tc>
      </w:tr>
      <w:tr w:rsidR="00AA4E14" w:rsidTr="00AA4E14">
        <w:tc>
          <w:tcPr>
            <w:tcW w:w="3192" w:type="dxa"/>
            <w:vAlign w:val="bottom"/>
          </w:tcPr>
          <w:p w:rsidR="00AA4E14" w:rsidRDefault="00AA4E14" w:rsidP="00AA4E14">
            <w:pPr>
              <w:jc w:val="center"/>
              <w:rPr>
                <w:rFonts w:ascii="Calibri" w:hAnsi="Calibri" w:cs="Calibri"/>
                <w:color w:val="000000"/>
              </w:rPr>
            </w:pPr>
            <w:r>
              <w:rPr>
                <w:rFonts w:ascii="Calibri" w:hAnsi="Calibri" w:cs="Calibri"/>
                <w:color w:val="000000"/>
              </w:rPr>
              <w:t>21</w:t>
            </w:r>
          </w:p>
        </w:tc>
        <w:tc>
          <w:tcPr>
            <w:tcW w:w="3192" w:type="dxa"/>
            <w:vAlign w:val="bottom"/>
          </w:tcPr>
          <w:p w:rsidR="00AA4E14" w:rsidRDefault="00AA4E14" w:rsidP="00AA4E14">
            <w:pPr>
              <w:jc w:val="center"/>
              <w:rPr>
                <w:rFonts w:ascii="Calibri" w:hAnsi="Calibri" w:cs="Calibri"/>
                <w:color w:val="000000"/>
              </w:rPr>
            </w:pPr>
            <w:r>
              <w:rPr>
                <w:rFonts w:ascii="Calibri" w:hAnsi="Calibri" w:cs="Calibri"/>
                <w:color w:val="000000"/>
              </w:rPr>
              <w:t>24.98</w:t>
            </w:r>
          </w:p>
        </w:tc>
        <w:tc>
          <w:tcPr>
            <w:tcW w:w="3192" w:type="dxa"/>
            <w:vAlign w:val="bottom"/>
          </w:tcPr>
          <w:p w:rsidR="00AA4E14" w:rsidRDefault="00AA4E14" w:rsidP="00AA4E14">
            <w:pPr>
              <w:jc w:val="center"/>
              <w:rPr>
                <w:rFonts w:ascii="Calibri" w:hAnsi="Calibri" w:cs="Calibri"/>
                <w:color w:val="000000"/>
              </w:rPr>
            </w:pPr>
            <w:r>
              <w:rPr>
                <w:rFonts w:ascii="Calibri" w:hAnsi="Calibri" w:cs="Calibri"/>
                <w:color w:val="000000"/>
              </w:rPr>
              <w:t>20.24</w:t>
            </w:r>
          </w:p>
        </w:tc>
      </w:tr>
    </w:tbl>
    <w:p w:rsidR="00AA4E14" w:rsidRDefault="00AA4E14" w:rsidP="00AA4E14"/>
    <w:p w:rsidR="00AA4E14" w:rsidRDefault="00AA4E14" w:rsidP="00AA4E14">
      <w:r w:rsidRPr="002016C3">
        <w:rPr>
          <w:noProof/>
        </w:rPr>
        <w:lastRenderedPageBreak/>
        <w:drawing>
          <wp:inline distT="0" distB="0" distL="0" distR="0">
            <wp:extent cx="2609850" cy="1543050"/>
            <wp:effectExtent l="19050" t="0" r="19050" b="0"/>
            <wp:docPr id="5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A4E14" w:rsidRDefault="000531A2" w:rsidP="000531A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turnover ratio measures the efficiency to use company’s working capital supporting a certain level of sales. It finds the relationship between funds using in finance and in operation in company.</w:t>
      </w:r>
      <w:r w:rsidR="00AA4E14" w:rsidRPr="004D1ECD">
        <w:rPr>
          <w:rFonts w:ascii="Times New Roman" w:eastAsia="Times New Roman" w:hAnsi="Times New Roman" w:cs="Times New Roman"/>
          <w:color w:val="000000"/>
          <w:sz w:val="24"/>
          <w:szCs w:val="24"/>
        </w:rPr>
        <w:t xml:space="preserve"> </w:t>
      </w:r>
      <w:r w:rsidR="00AA4E14">
        <w:rPr>
          <w:rFonts w:ascii="Times New Roman" w:eastAsia="Times New Roman" w:hAnsi="Times New Roman" w:cs="Times New Roman"/>
          <w:noProof/>
          <w:color w:val="000000"/>
          <w:sz w:val="24"/>
          <w:szCs w:val="24"/>
        </w:rPr>
        <w:t>Appex Textile</w:t>
      </w:r>
      <w:r w:rsidR="00AA4E14" w:rsidRPr="004D1ECD">
        <w:rPr>
          <w:rFonts w:ascii="Times New Roman" w:eastAsia="Times New Roman" w:hAnsi="Times New Roman" w:cs="Times New Roman"/>
          <w:noProof/>
          <w:color w:val="000000"/>
          <w:sz w:val="24"/>
          <w:szCs w:val="24"/>
        </w:rPr>
        <w:t xml:space="preserve"> Limited</w:t>
      </w:r>
      <w:r w:rsidR="00AA4E14" w:rsidRPr="004D1ECD">
        <w:rPr>
          <w:rFonts w:ascii="Times New Roman" w:eastAsia="Times New Roman" w:hAnsi="Times New Roman" w:cs="Times New Roman"/>
          <w:color w:val="000000"/>
          <w:sz w:val="24"/>
          <w:szCs w:val="24"/>
        </w:rPr>
        <w:t xml:space="preserve"> Workin</w:t>
      </w:r>
      <w:r w:rsidR="00AA4E14">
        <w:rPr>
          <w:rFonts w:ascii="Times New Roman" w:eastAsia="Times New Roman" w:hAnsi="Times New Roman" w:cs="Times New Roman"/>
          <w:color w:val="000000"/>
          <w:sz w:val="24"/>
          <w:szCs w:val="24"/>
        </w:rPr>
        <w:t>g capital turnover ratio in 2016</w:t>
      </w:r>
      <w:r w:rsidR="00AA4E14" w:rsidRPr="004D1ECD">
        <w:rPr>
          <w:rFonts w:ascii="Times New Roman" w:eastAsia="Times New Roman" w:hAnsi="Times New Roman" w:cs="Times New Roman"/>
          <w:color w:val="000000"/>
          <w:sz w:val="24"/>
          <w:szCs w:val="24"/>
        </w:rPr>
        <w:t xml:space="preserve"> is </w:t>
      </w:r>
      <w:r w:rsidR="00AA4E14">
        <w:rPr>
          <w:rFonts w:ascii="Times New Roman" w:eastAsia="Times New Roman" w:hAnsi="Times New Roman" w:cs="Times New Roman"/>
          <w:color w:val="000000"/>
          <w:sz w:val="24"/>
          <w:szCs w:val="24"/>
        </w:rPr>
        <w:t>21 and in 2015</w:t>
      </w:r>
      <w:r w:rsidR="00AA4E14" w:rsidRPr="004D1ECD">
        <w:rPr>
          <w:rFonts w:ascii="Times New Roman" w:eastAsia="Times New Roman" w:hAnsi="Times New Roman" w:cs="Times New Roman"/>
          <w:color w:val="000000"/>
          <w:sz w:val="24"/>
          <w:szCs w:val="24"/>
        </w:rPr>
        <w:t>is</w:t>
      </w:r>
      <w:r w:rsidR="00AA4E14">
        <w:rPr>
          <w:rFonts w:ascii="Times New Roman" w:eastAsia="Times New Roman" w:hAnsi="Times New Roman" w:cs="Times New Roman"/>
          <w:color w:val="000000"/>
          <w:sz w:val="24"/>
          <w:szCs w:val="24"/>
        </w:rPr>
        <w:t xml:space="preserve">24.98 and in 2014 is 20.24. </w:t>
      </w:r>
      <w:r w:rsidR="0079106E">
        <w:rPr>
          <w:rFonts w:ascii="Times New Roman" w:eastAsia="Times New Roman" w:hAnsi="Times New Roman" w:cs="Times New Roman"/>
          <w:color w:val="000000"/>
          <w:sz w:val="24"/>
          <w:szCs w:val="24"/>
        </w:rPr>
        <w:t xml:space="preserve">Company has </w:t>
      </w:r>
      <w:r w:rsidR="00AA4E14">
        <w:rPr>
          <w:rFonts w:ascii="Times New Roman" w:eastAsia="Times New Roman" w:hAnsi="Times New Roman" w:cs="Times New Roman"/>
          <w:color w:val="000000"/>
          <w:sz w:val="24"/>
          <w:szCs w:val="24"/>
        </w:rPr>
        <w:t>average</w:t>
      </w:r>
      <w:r w:rsidR="00AA4E14" w:rsidRPr="004D1ECD">
        <w:rPr>
          <w:rFonts w:ascii="Times New Roman" w:eastAsia="Times New Roman" w:hAnsi="Times New Roman" w:cs="Times New Roman"/>
          <w:color w:val="000000"/>
          <w:sz w:val="24"/>
          <w:szCs w:val="24"/>
        </w:rPr>
        <w:t xml:space="preserve"> turnover ratio in </w:t>
      </w:r>
      <w:r w:rsidR="00AA4E14">
        <w:rPr>
          <w:rFonts w:ascii="Times New Roman" w:eastAsia="Times New Roman" w:hAnsi="Times New Roman" w:cs="Times New Roman"/>
          <w:color w:val="000000"/>
          <w:sz w:val="24"/>
          <w:szCs w:val="24"/>
        </w:rPr>
        <w:t xml:space="preserve">these years </w:t>
      </w:r>
      <w:r w:rsidR="00AA4E14" w:rsidRPr="004D1ECD">
        <w:rPr>
          <w:rFonts w:ascii="Times New Roman" w:eastAsia="Times New Roman" w:hAnsi="Times New Roman" w:cs="Times New Roman"/>
          <w:color w:val="000000"/>
          <w:sz w:val="24"/>
          <w:szCs w:val="24"/>
        </w:rPr>
        <w:t>that means company</w:t>
      </w:r>
      <w:r w:rsidR="00870082">
        <w:rPr>
          <w:rFonts w:ascii="Times New Roman" w:eastAsia="Times New Roman" w:hAnsi="Times New Roman" w:cs="Times New Roman"/>
          <w:color w:val="000000"/>
          <w:sz w:val="24"/>
          <w:szCs w:val="24"/>
        </w:rPr>
        <w:t xml:space="preserve"> </w:t>
      </w:r>
      <w:r w:rsidR="00AA4E14" w:rsidRPr="004D1ECD">
        <w:rPr>
          <w:rFonts w:ascii="Times New Roman" w:eastAsia="Times New Roman" w:hAnsi="Times New Roman" w:cs="Times New Roman"/>
          <w:color w:val="000000"/>
          <w:sz w:val="24"/>
          <w:szCs w:val="24"/>
        </w:rPr>
        <w:t>manage its short-term assets and liabilities for supporting sales efficiently.</w:t>
      </w:r>
    </w:p>
    <w:p w:rsidR="00AA4E14" w:rsidRPr="00A15E21" w:rsidRDefault="00AA4E14" w:rsidP="00CE70EB">
      <w:pPr>
        <w:pStyle w:val="NoSpacing"/>
      </w:pPr>
      <w:r w:rsidRPr="00A15E21">
        <w:t>Current asset turnover ratio</w:t>
      </w:r>
    </w:p>
    <w:tbl>
      <w:tblPr>
        <w:tblStyle w:val="TableGrid"/>
        <w:tblW w:w="0" w:type="auto"/>
        <w:tblLook w:val="04A0" w:firstRow="1" w:lastRow="0" w:firstColumn="1" w:lastColumn="0" w:noHBand="0" w:noVBand="1"/>
      </w:tblPr>
      <w:tblGrid>
        <w:gridCol w:w="3192"/>
        <w:gridCol w:w="3192"/>
        <w:gridCol w:w="3192"/>
      </w:tblGrid>
      <w:tr w:rsidR="00AA4E14" w:rsidTr="00AA4E14">
        <w:tc>
          <w:tcPr>
            <w:tcW w:w="3192" w:type="dxa"/>
          </w:tcPr>
          <w:p w:rsidR="00AA4E14" w:rsidRDefault="00AA4E14" w:rsidP="00AA4E14">
            <w:pPr>
              <w:jc w:val="center"/>
              <w:rPr>
                <w:rFonts w:ascii="Times New Roman" w:hAnsi="Times New Roman" w:cs="Times New Roman"/>
              </w:rPr>
            </w:pPr>
            <w:r>
              <w:rPr>
                <w:rFonts w:ascii="Times New Roman" w:hAnsi="Times New Roman" w:cs="Times New Roman"/>
                <w:noProof/>
              </w:rPr>
              <w:t>2016</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2015</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2014</w:t>
            </w:r>
          </w:p>
        </w:tc>
      </w:tr>
      <w:tr w:rsidR="00AA4E14" w:rsidTr="00AA4E14">
        <w:tc>
          <w:tcPr>
            <w:tcW w:w="3192" w:type="dxa"/>
            <w:vAlign w:val="bottom"/>
          </w:tcPr>
          <w:p w:rsidR="00AA4E14" w:rsidRDefault="00AA4E14" w:rsidP="00AA4E14">
            <w:pPr>
              <w:jc w:val="center"/>
              <w:rPr>
                <w:rFonts w:ascii="Calibri" w:hAnsi="Calibri" w:cs="Calibri"/>
                <w:color w:val="000000"/>
              </w:rPr>
            </w:pPr>
            <w:r>
              <w:rPr>
                <w:rFonts w:ascii="Calibri" w:hAnsi="Calibri" w:cs="Calibri"/>
                <w:color w:val="000000"/>
              </w:rPr>
              <w:t>2.65</w:t>
            </w:r>
          </w:p>
        </w:tc>
        <w:tc>
          <w:tcPr>
            <w:tcW w:w="3192" w:type="dxa"/>
            <w:vAlign w:val="bottom"/>
          </w:tcPr>
          <w:p w:rsidR="00AA4E14" w:rsidRDefault="00AA4E14" w:rsidP="00AA4E14">
            <w:pPr>
              <w:jc w:val="center"/>
              <w:rPr>
                <w:rFonts w:ascii="Calibri" w:hAnsi="Calibri" w:cs="Calibri"/>
                <w:color w:val="000000"/>
              </w:rPr>
            </w:pPr>
            <w:r>
              <w:rPr>
                <w:rFonts w:ascii="Calibri" w:hAnsi="Calibri" w:cs="Calibri"/>
                <w:color w:val="000000"/>
              </w:rPr>
              <w:t>2.56</w:t>
            </w:r>
          </w:p>
        </w:tc>
        <w:tc>
          <w:tcPr>
            <w:tcW w:w="3192" w:type="dxa"/>
            <w:vAlign w:val="bottom"/>
          </w:tcPr>
          <w:p w:rsidR="00AA4E14" w:rsidRDefault="00AA4E14" w:rsidP="00AA4E14">
            <w:pPr>
              <w:jc w:val="center"/>
              <w:rPr>
                <w:rFonts w:ascii="Calibri" w:hAnsi="Calibri" w:cs="Calibri"/>
                <w:color w:val="000000"/>
              </w:rPr>
            </w:pPr>
            <w:r>
              <w:rPr>
                <w:rFonts w:ascii="Calibri" w:hAnsi="Calibri" w:cs="Calibri"/>
                <w:color w:val="000000"/>
              </w:rPr>
              <w:t>2.72</w:t>
            </w:r>
          </w:p>
        </w:tc>
      </w:tr>
    </w:tbl>
    <w:p w:rsidR="00AA4E14" w:rsidRDefault="00AA4E14" w:rsidP="00AA4E14">
      <w:pPr>
        <w:rPr>
          <w:rFonts w:ascii="Times New Roman" w:hAnsi="Times New Roman" w:cs="Times New Roman"/>
        </w:rPr>
      </w:pPr>
    </w:p>
    <w:p w:rsidR="00AA4E14" w:rsidRDefault="00AA4E14" w:rsidP="00AA4E14">
      <w:pPr>
        <w:rPr>
          <w:rFonts w:ascii="Times New Roman" w:hAnsi="Times New Roman" w:cs="Times New Roman"/>
        </w:rPr>
      </w:pPr>
      <w:r>
        <w:rPr>
          <w:rFonts w:ascii="Times New Roman" w:hAnsi="Times New Roman" w:cs="Times New Roman"/>
          <w:noProof/>
        </w:rPr>
        <w:drawing>
          <wp:inline distT="0" distB="0" distL="0" distR="0">
            <wp:extent cx="2867025" cy="1800225"/>
            <wp:effectExtent l="19050" t="0" r="9525" b="0"/>
            <wp:docPr id="5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A4E14" w:rsidRPr="000531A2" w:rsidRDefault="000531A2" w:rsidP="0033717B">
      <w:pPr>
        <w:jc w:val="both"/>
        <w:rPr>
          <w:rFonts w:ascii="Times New Roman" w:eastAsia="Times New Roman" w:hAnsi="Times New Roman" w:cs="Times New Roman"/>
          <w:b/>
          <w:color w:val="000000"/>
          <w:sz w:val="24"/>
          <w:szCs w:val="24"/>
          <w:shd w:val="clear" w:color="auto" w:fill="FFFFFF"/>
        </w:rPr>
      </w:pPr>
      <w:r>
        <w:rPr>
          <w:rFonts w:ascii="Times New Roman" w:eastAsia="Times New Roman" w:hAnsi="Times New Roman" w:cs="Times New Roman"/>
          <w:color w:val="000000"/>
          <w:sz w:val="24"/>
          <w:szCs w:val="24"/>
        </w:rPr>
        <w:t>Current asset turnover ratio</w:t>
      </w:r>
      <w:r w:rsidRPr="004D1EC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shows</w:t>
      </w:r>
      <w:r w:rsidRPr="004D1EC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the</w:t>
      </w:r>
      <w:r w:rsidRPr="004D1ECD">
        <w:rPr>
          <w:rFonts w:ascii="Times New Roman" w:eastAsia="Times New Roman" w:hAnsi="Times New Roman" w:cs="Times New Roman"/>
          <w:color w:val="000000"/>
          <w:sz w:val="24"/>
          <w:szCs w:val="24"/>
        </w:rPr>
        <w:t xml:space="preserve"> efficiently</w:t>
      </w:r>
      <w:r>
        <w:rPr>
          <w:rFonts w:ascii="Times New Roman" w:eastAsia="Times New Roman" w:hAnsi="Times New Roman" w:cs="Times New Roman"/>
          <w:color w:val="000000"/>
          <w:sz w:val="24"/>
          <w:szCs w:val="24"/>
        </w:rPr>
        <w:t xml:space="preserve"> of</w:t>
      </w:r>
      <w:r w:rsidRPr="004D1ECD">
        <w:rPr>
          <w:rFonts w:ascii="Times New Roman" w:eastAsia="Times New Roman" w:hAnsi="Times New Roman" w:cs="Times New Roman"/>
          <w:color w:val="000000"/>
          <w:sz w:val="24"/>
          <w:szCs w:val="24"/>
        </w:rPr>
        <w:t xml:space="preserve"> firm</w:t>
      </w:r>
      <w:r>
        <w:rPr>
          <w:rFonts w:ascii="Times New Roman" w:eastAsia="Times New Roman" w:hAnsi="Times New Roman" w:cs="Times New Roman"/>
          <w:color w:val="000000"/>
          <w:sz w:val="24"/>
          <w:szCs w:val="24"/>
        </w:rPr>
        <w:t xml:space="preserve"> how they are using its current asset for making revenue. </w:t>
      </w:r>
      <w:r w:rsidRPr="000531A2">
        <w:rPr>
          <w:rFonts w:ascii="Times New Roman" w:eastAsia="Times New Roman" w:hAnsi="Times New Roman" w:cs="Times New Roman"/>
          <w:color w:val="000000"/>
          <w:sz w:val="24"/>
          <w:szCs w:val="24"/>
          <w:shd w:val="clear" w:color="auto" w:fill="FFFFFF"/>
        </w:rPr>
        <w:t>I</w:t>
      </w:r>
      <w:r w:rsidR="00AA4E14" w:rsidRPr="004D1ECD">
        <w:rPr>
          <w:rFonts w:ascii="Times New Roman" w:eastAsia="Times New Roman" w:hAnsi="Times New Roman" w:cs="Times New Roman"/>
          <w:color w:val="000000"/>
          <w:sz w:val="24"/>
          <w:szCs w:val="24"/>
        </w:rPr>
        <w:t>n 201</w:t>
      </w:r>
      <w:r w:rsidR="00AA4E14">
        <w:rPr>
          <w:rFonts w:ascii="Times New Roman" w:eastAsia="Times New Roman" w:hAnsi="Times New Roman" w:cs="Times New Roman"/>
          <w:color w:val="000000"/>
          <w:sz w:val="24"/>
          <w:szCs w:val="24"/>
        </w:rPr>
        <w:t>6</w:t>
      </w:r>
      <w:r w:rsidR="00AA4E14" w:rsidRPr="004D1ECD">
        <w:rPr>
          <w:rFonts w:ascii="Times New Roman" w:eastAsia="Times New Roman" w:hAnsi="Times New Roman" w:cs="Times New Roman"/>
          <w:color w:val="000000"/>
          <w:sz w:val="24"/>
          <w:szCs w:val="24"/>
        </w:rPr>
        <w:t xml:space="preserve"> is </w:t>
      </w:r>
      <w:r w:rsidR="00AA4E14">
        <w:rPr>
          <w:rFonts w:ascii="Times New Roman" w:eastAsia="Times New Roman" w:hAnsi="Times New Roman" w:cs="Times New Roman"/>
          <w:color w:val="000000"/>
          <w:sz w:val="24"/>
          <w:szCs w:val="24"/>
        </w:rPr>
        <w:t xml:space="preserve">2.65 times, in 2015 </w:t>
      </w:r>
      <w:r>
        <w:rPr>
          <w:rFonts w:ascii="Times New Roman" w:eastAsia="Times New Roman" w:hAnsi="Times New Roman" w:cs="Times New Roman"/>
          <w:color w:val="000000"/>
          <w:sz w:val="24"/>
          <w:szCs w:val="24"/>
        </w:rPr>
        <w:t>are</w:t>
      </w:r>
      <w:r w:rsidR="00AA4E14">
        <w:rPr>
          <w:rFonts w:ascii="Times New Roman" w:eastAsia="Times New Roman" w:hAnsi="Times New Roman" w:cs="Times New Roman"/>
          <w:color w:val="000000"/>
          <w:sz w:val="24"/>
          <w:szCs w:val="24"/>
        </w:rPr>
        <w:t xml:space="preserve"> 2.56 and in 2014 is 2.72</w:t>
      </w:r>
      <w:r w:rsidR="00AA4E14" w:rsidRPr="004D1ECD">
        <w:rPr>
          <w:rFonts w:ascii="Times New Roman" w:eastAsia="Times New Roman" w:hAnsi="Times New Roman" w:cs="Times New Roman"/>
          <w:color w:val="000000"/>
          <w:sz w:val="24"/>
          <w:szCs w:val="24"/>
        </w:rPr>
        <w:t xml:space="preserve"> Ratio is above than 1× indicates firm using its current asset efficiently in </w:t>
      </w:r>
      <w:r w:rsidR="00AA4E14">
        <w:rPr>
          <w:rFonts w:ascii="Times New Roman" w:eastAsia="Times New Roman" w:hAnsi="Times New Roman" w:cs="Times New Roman"/>
          <w:color w:val="000000"/>
          <w:sz w:val="24"/>
          <w:szCs w:val="24"/>
        </w:rPr>
        <w:t xml:space="preserve">these years. So, </w:t>
      </w:r>
      <w:r w:rsidR="008850DA">
        <w:rPr>
          <w:rFonts w:ascii="Times New Roman" w:eastAsia="Times New Roman" w:hAnsi="Times New Roman" w:cs="Times New Roman"/>
          <w:noProof/>
          <w:color w:val="000000"/>
          <w:sz w:val="24"/>
          <w:szCs w:val="24"/>
        </w:rPr>
        <w:t>Appex Textile</w:t>
      </w:r>
      <w:r w:rsidR="008850DA" w:rsidRPr="004D1ECD">
        <w:rPr>
          <w:rFonts w:ascii="Times New Roman" w:eastAsia="Times New Roman" w:hAnsi="Times New Roman" w:cs="Times New Roman"/>
          <w:noProof/>
          <w:color w:val="000000"/>
          <w:sz w:val="24"/>
          <w:szCs w:val="24"/>
        </w:rPr>
        <w:t xml:space="preserve"> Limited</w:t>
      </w:r>
      <w:r w:rsidR="00870082">
        <w:rPr>
          <w:rFonts w:ascii="Times New Roman" w:eastAsia="Times New Roman" w:hAnsi="Times New Roman" w:cs="Times New Roman"/>
          <w:noProof/>
          <w:color w:val="000000"/>
          <w:sz w:val="24"/>
          <w:szCs w:val="24"/>
        </w:rPr>
        <w:t xml:space="preserve"> </w:t>
      </w:r>
      <w:r w:rsidR="00AA4E14">
        <w:rPr>
          <w:rFonts w:ascii="Times New Roman" w:eastAsia="Times New Roman" w:hAnsi="Times New Roman" w:cs="Times New Roman"/>
          <w:color w:val="000000"/>
          <w:sz w:val="24"/>
          <w:szCs w:val="24"/>
        </w:rPr>
        <w:t>used current asset efficiently in every year of 2014.</w:t>
      </w:r>
    </w:p>
    <w:p w:rsidR="00AA4E14" w:rsidRPr="002F725F" w:rsidRDefault="00AA4E14" w:rsidP="00AA4E14">
      <w:pPr>
        <w:spacing w:after="200" w:line="276" w:lineRule="auto"/>
        <w:jc w:val="both"/>
        <w:rPr>
          <w:rFonts w:ascii="Times New Roman" w:eastAsia="Times New Roman" w:hAnsi="Times New Roman" w:cs="Times New Roman"/>
          <w:b/>
          <w:color w:val="000000"/>
          <w:sz w:val="24"/>
          <w:szCs w:val="24"/>
        </w:rPr>
      </w:pPr>
    </w:p>
    <w:p w:rsidR="00AA4E14" w:rsidRPr="00A15E21" w:rsidRDefault="00AA4E14" w:rsidP="00CE70EB">
      <w:pPr>
        <w:pStyle w:val="NoSpacing"/>
      </w:pPr>
      <w:r w:rsidRPr="00A15E21">
        <w:t>Inventory turnover Ratio</w:t>
      </w:r>
    </w:p>
    <w:tbl>
      <w:tblPr>
        <w:tblStyle w:val="TableGrid"/>
        <w:tblW w:w="0" w:type="auto"/>
        <w:tblLook w:val="04A0" w:firstRow="1" w:lastRow="0" w:firstColumn="1" w:lastColumn="0" w:noHBand="0" w:noVBand="1"/>
      </w:tblPr>
      <w:tblGrid>
        <w:gridCol w:w="3192"/>
        <w:gridCol w:w="3192"/>
        <w:gridCol w:w="3192"/>
      </w:tblGrid>
      <w:tr w:rsidR="00AA4E14" w:rsidTr="00AA4E14">
        <w:tc>
          <w:tcPr>
            <w:tcW w:w="3192" w:type="dxa"/>
          </w:tcPr>
          <w:p w:rsidR="00AA4E14" w:rsidRDefault="00AA4E14" w:rsidP="00AA4E14">
            <w:pPr>
              <w:jc w:val="center"/>
              <w:rPr>
                <w:rFonts w:ascii="Times New Roman" w:hAnsi="Times New Roman" w:cs="Times New Roman"/>
              </w:rPr>
            </w:pPr>
            <w:r>
              <w:rPr>
                <w:rFonts w:ascii="Times New Roman" w:hAnsi="Times New Roman" w:cs="Times New Roman"/>
                <w:noProof/>
              </w:rPr>
              <w:t>2016</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2015</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2014</w:t>
            </w:r>
          </w:p>
        </w:tc>
      </w:tr>
      <w:tr w:rsidR="00AA4E14" w:rsidTr="00AA4E14">
        <w:tc>
          <w:tcPr>
            <w:tcW w:w="3192" w:type="dxa"/>
            <w:vAlign w:val="bottom"/>
          </w:tcPr>
          <w:p w:rsidR="00AA4E14" w:rsidRDefault="00C85851" w:rsidP="00AA4E14">
            <w:pPr>
              <w:jc w:val="center"/>
              <w:rPr>
                <w:rFonts w:ascii="Calibri" w:hAnsi="Calibri" w:cs="Calibri"/>
                <w:color w:val="000000"/>
              </w:rPr>
            </w:pPr>
            <w:r>
              <w:rPr>
                <w:rFonts w:ascii="Calibri" w:hAnsi="Calibri" w:cs="Calibri"/>
                <w:color w:val="000000"/>
              </w:rPr>
              <w:t>16.36</w:t>
            </w:r>
          </w:p>
        </w:tc>
        <w:tc>
          <w:tcPr>
            <w:tcW w:w="3192" w:type="dxa"/>
            <w:vAlign w:val="bottom"/>
          </w:tcPr>
          <w:p w:rsidR="00AA4E14" w:rsidRDefault="00C85851" w:rsidP="00AA4E14">
            <w:pPr>
              <w:jc w:val="center"/>
              <w:rPr>
                <w:rFonts w:ascii="Calibri" w:hAnsi="Calibri" w:cs="Calibri"/>
                <w:color w:val="000000"/>
              </w:rPr>
            </w:pPr>
            <w:r>
              <w:rPr>
                <w:rFonts w:ascii="Calibri" w:hAnsi="Calibri" w:cs="Calibri"/>
                <w:color w:val="000000"/>
              </w:rPr>
              <w:t>14.41</w:t>
            </w:r>
          </w:p>
        </w:tc>
        <w:tc>
          <w:tcPr>
            <w:tcW w:w="3192" w:type="dxa"/>
            <w:vAlign w:val="bottom"/>
          </w:tcPr>
          <w:p w:rsidR="00AA4E14" w:rsidRDefault="00C85851" w:rsidP="00AA4E14">
            <w:pPr>
              <w:jc w:val="center"/>
              <w:rPr>
                <w:rFonts w:ascii="Calibri" w:hAnsi="Calibri" w:cs="Calibri"/>
                <w:color w:val="000000"/>
              </w:rPr>
            </w:pPr>
            <w:r>
              <w:rPr>
                <w:rFonts w:ascii="Calibri" w:hAnsi="Calibri" w:cs="Calibri"/>
                <w:color w:val="000000"/>
              </w:rPr>
              <w:t>11.68</w:t>
            </w:r>
          </w:p>
        </w:tc>
      </w:tr>
    </w:tbl>
    <w:p w:rsidR="00AA4E14" w:rsidRDefault="00AA4E14" w:rsidP="00AA4E14">
      <w:pPr>
        <w:rPr>
          <w:rFonts w:ascii="Times New Roman" w:hAnsi="Times New Roman" w:cs="Times New Roman"/>
        </w:rPr>
      </w:pPr>
    </w:p>
    <w:p w:rsidR="00AA4E14" w:rsidRDefault="00AA4E14" w:rsidP="00AA4E14">
      <w:pPr>
        <w:rPr>
          <w:rFonts w:ascii="Times New Roman" w:hAnsi="Times New Roman" w:cs="Times New Roman"/>
        </w:rPr>
      </w:pPr>
      <w:r w:rsidRPr="00960615">
        <w:rPr>
          <w:rFonts w:ascii="Times New Roman" w:hAnsi="Times New Roman" w:cs="Times New Roman"/>
          <w:noProof/>
        </w:rPr>
        <w:lastRenderedPageBreak/>
        <w:drawing>
          <wp:inline distT="0" distB="0" distL="0" distR="0">
            <wp:extent cx="2733675" cy="1676400"/>
            <wp:effectExtent l="19050" t="0" r="9525" b="0"/>
            <wp:docPr id="5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A4E14" w:rsidRDefault="00AA4E14" w:rsidP="00AA4E14">
      <w:pPr>
        <w:spacing w:after="200" w:line="276" w:lineRule="auto"/>
        <w:jc w:val="both"/>
        <w:rPr>
          <w:rFonts w:ascii="Times New Roman" w:eastAsia="Times New Roman" w:hAnsi="Times New Roman" w:cs="Times New Roman"/>
          <w:color w:val="000000"/>
          <w:sz w:val="24"/>
          <w:szCs w:val="24"/>
        </w:rPr>
      </w:pPr>
      <w:r w:rsidRPr="004D1ECD">
        <w:rPr>
          <w:rFonts w:ascii="Times New Roman" w:eastAsia="Times New Roman" w:hAnsi="Times New Roman" w:cs="Times New Roman"/>
          <w:color w:val="000000"/>
          <w:sz w:val="24"/>
          <w:szCs w:val="24"/>
        </w:rPr>
        <w:t>Inventory turnover ratio indicates the way management has used inventory to conduct the operations of the business. Inventory turnover of</w:t>
      </w:r>
      <w:r w:rsidR="00870082">
        <w:rPr>
          <w:rFonts w:ascii="Times New Roman" w:eastAsia="Times New Roman" w:hAnsi="Times New Roman" w:cs="Times New Roman"/>
          <w:color w:val="000000"/>
          <w:sz w:val="24"/>
          <w:szCs w:val="24"/>
        </w:rPr>
        <w:t xml:space="preserve"> </w:t>
      </w:r>
      <w:r w:rsidR="00C85851">
        <w:rPr>
          <w:rFonts w:ascii="Times New Roman" w:eastAsia="Times New Roman" w:hAnsi="Times New Roman" w:cs="Times New Roman"/>
          <w:noProof/>
          <w:color w:val="000000"/>
          <w:sz w:val="24"/>
          <w:szCs w:val="24"/>
        </w:rPr>
        <w:t>Appex Textile</w:t>
      </w:r>
      <w:r w:rsidR="00C85851" w:rsidRPr="004D1ECD">
        <w:rPr>
          <w:rFonts w:ascii="Times New Roman" w:eastAsia="Times New Roman" w:hAnsi="Times New Roman" w:cs="Times New Roman"/>
          <w:noProof/>
          <w:color w:val="000000"/>
          <w:sz w:val="24"/>
          <w:szCs w:val="24"/>
        </w:rPr>
        <w:t xml:space="preserve"> Limited</w:t>
      </w:r>
      <w:r w:rsidR="00870082">
        <w:rPr>
          <w:rFonts w:ascii="Times New Roman" w:eastAsia="Times New Roman" w:hAnsi="Times New Roman" w:cs="Times New Roman"/>
          <w:noProof/>
          <w:color w:val="000000"/>
          <w:sz w:val="24"/>
          <w:szCs w:val="24"/>
        </w:rPr>
        <w:t xml:space="preserve"> </w:t>
      </w:r>
      <w:r>
        <w:rPr>
          <w:rFonts w:ascii="Times New Roman" w:eastAsia="Times New Roman" w:hAnsi="Times New Roman" w:cs="Times New Roman"/>
          <w:color w:val="000000"/>
          <w:sz w:val="24"/>
          <w:szCs w:val="24"/>
        </w:rPr>
        <w:t>of the year 2016</w:t>
      </w:r>
      <w:r w:rsidRPr="004D1ECD">
        <w:rPr>
          <w:rFonts w:ascii="Times New Roman" w:eastAsia="Times New Roman" w:hAnsi="Times New Roman" w:cs="Times New Roman"/>
          <w:color w:val="000000"/>
          <w:sz w:val="24"/>
          <w:szCs w:val="24"/>
        </w:rPr>
        <w:t xml:space="preserve"> is </w:t>
      </w:r>
      <w:r w:rsidR="00C85851">
        <w:rPr>
          <w:rFonts w:ascii="Times New Roman" w:eastAsia="Times New Roman" w:hAnsi="Times New Roman" w:cs="Times New Roman"/>
          <w:color w:val="000000"/>
          <w:sz w:val="24"/>
          <w:szCs w:val="24"/>
        </w:rPr>
        <w:t>16.36</w:t>
      </w:r>
      <w:r>
        <w:rPr>
          <w:rFonts w:ascii="Times New Roman" w:eastAsia="Times New Roman" w:hAnsi="Times New Roman" w:cs="Times New Roman"/>
          <w:color w:val="000000"/>
          <w:sz w:val="24"/>
          <w:szCs w:val="24"/>
        </w:rPr>
        <w:t xml:space="preserve"> and 2015</w:t>
      </w:r>
      <w:r w:rsidRPr="004D1ECD">
        <w:rPr>
          <w:rFonts w:ascii="Times New Roman" w:eastAsia="Times New Roman" w:hAnsi="Times New Roman" w:cs="Times New Roman"/>
          <w:color w:val="000000"/>
          <w:sz w:val="24"/>
          <w:szCs w:val="24"/>
        </w:rPr>
        <w:t xml:space="preserve"> is </w:t>
      </w:r>
      <w:r w:rsidR="00C85851">
        <w:rPr>
          <w:rFonts w:ascii="Times New Roman" w:eastAsia="Times New Roman" w:hAnsi="Times New Roman" w:cs="Times New Roman"/>
          <w:color w:val="000000"/>
          <w:sz w:val="24"/>
          <w:szCs w:val="24"/>
        </w:rPr>
        <w:t>14.41</w:t>
      </w:r>
      <w:r>
        <w:rPr>
          <w:rFonts w:ascii="Times New Roman" w:eastAsia="Times New Roman" w:hAnsi="Times New Roman" w:cs="Times New Roman"/>
          <w:color w:val="000000"/>
          <w:sz w:val="24"/>
          <w:szCs w:val="24"/>
        </w:rPr>
        <w:t xml:space="preserve"> and 2014 is </w:t>
      </w:r>
      <w:r w:rsidR="00C85851">
        <w:rPr>
          <w:rFonts w:ascii="Times New Roman" w:eastAsia="Times New Roman" w:hAnsi="Times New Roman" w:cs="Times New Roman"/>
          <w:color w:val="000000"/>
          <w:sz w:val="24"/>
          <w:szCs w:val="24"/>
        </w:rPr>
        <w:t>11.68</w:t>
      </w:r>
      <w:r>
        <w:rPr>
          <w:rFonts w:ascii="Times New Roman" w:eastAsia="Times New Roman" w:hAnsi="Times New Roman" w:cs="Times New Roman"/>
          <w:color w:val="000000"/>
          <w:sz w:val="24"/>
          <w:szCs w:val="24"/>
        </w:rPr>
        <w:t xml:space="preserve">. </w:t>
      </w:r>
      <w:r w:rsidR="00C85851">
        <w:rPr>
          <w:rFonts w:ascii="Times New Roman" w:eastAsia="Times New Roman" w:hAnsi="Times New Roman" w:cs="Times New Roman"/>
          <w:color w:val="000000"/>
          <w:sz w:val="24"/>
          <w:szCs w:val="24"/>
        </w:rPr>
        <w:t>Every year</w:t>
      </w:r>
      <w:r w:rsidRPr="004D1ECD">
        <w:rPr>
          <w:rFonts w:ascii="Times New Roman" w:eastAsia="Times New Roman" w:hAnsi="Times New Roman" w:cs="Times New Roman"/>
          <w:color w:val="000000"/>
          <w:sz w:val="24"/>
          <w:szCs w:val="24"/>
        </w:rPr>
        <w:t xml:space="preserve"> the company h</w:t>
      </w:r>
      <w:r w:rsidR="0089708B">
        <w:rPr>
          <w:rFonts w:ascii="Times New Roman" w:eastAsia="Times New Roman" w:hAnsi="Times New Roman" w:cs="Times New Roman"/>
          <w:color w:val="000000"/>
          <w:sz w:val="24"/>
          <w:szCs w:val="24"/>
        </w:rPr>
        <w:t xml:space="preserve">ad the high amount of inventory </w:t>
      </w:r>
      <w:r w:rsidRPr="004D1ECD">
        <w:rPr>
          <w:rFonts w:ascii="Times New Roman" w:eastAsia="Times New Roman" w:hAnsi="Times New Roman" w:cs="Times New Roman"/>
          <w:color w:val="000000"/>
          <w:sz w:val="24"/>
          <w:szCs w:val="24"/>
        </w:rPr>
        <w:t>which is good for firm because higher the inventory turnover the better for the company.</w:t>
      </w:r>
    </w:p>
    <w:p w:rsidR="00AA4E14" w:rsidRPr="00A15E21" w:rsidRDefault="00AA4E14" w:rsidP="00CE70EB">
      <w:pPr>
        <w:pStyle w:val="NoSpacing"/>
      </w:pPr>
      <w:r w:rsidRPr="00A15E21">
        <w:t>Daily Inventories Held</w:t>
      </w:r>
    </w:p>
    <w:tbl>
      <w:tblPr>
        <w:tblStyle w:val="TableGrid"/>
        <w:tblW w:w="0" w:type="auto"/>
        <w:tblLook w:val="04A0" w:firstRow="1" w:lastRow="0" w:firstColumn="1" w:lastColumn="0" w:noHBand="0" w:noVBand="1"/>
      </w:tblPr>
      <w:tblGrid>
        <w:gridCol w:w="3192"/>
        <w:gridCol w:w="3192"/>
        <w:gridCol w:w="3192"/>
      </w:tblGrid>
      <w:tr w:rsidR="00AA4E14" w:rsidTr="00AA4E14">
        <w:tc>
          <w:tcPr>
            <w:tcW w:w="3192" w:type="dxa"/>
          </w:tcPr>
          <w:p w:rsidR="00AA4E14" w:rsidRDefault="00AA4E14" w:rsidP="00AA4E14">
            <w:pPr>
              <w:jc w:val="center"/>
              <w:rPr>
                <w:rFonts w:ascii="Times New Roman" w:hAnsi="Times New Roman" w:cs="Times New Roman"/>
              </w:rPr>
            </w:pPr>
            <w:r>
              <w:rPr>
                <w:rFonts w:ascii="Times New Roman" w:hAnsi="Times New Roman" w:cs="Times New Roman"/>
                <w:noProof/>
              </w:rPr>
              <w:t>2016</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2015</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2014</w:t>
            </w:r>
          </w:p>
        </w:tc>
      </w:tr>
      <w:tr w:rsidR="00AA4E14" w:rsidTr="00AA4E14">
        <w:tc>
          <w:tcPr>
            <w:tcW w:w="3192" w:type="dxa"/>
            <w:vAlign w:val="bottom"/>
          </w:tcPr>
          <w:p w:rsidR="00AA4E14" w:rsidRDefault="00C85851" w:rsidP="00AA4E14">
            <w:pPr>
              <w:jc w:val="center"/>
              <w:rPr>
                <w:rFonts w:ascii="Calibri" w:hAnsi="Calibri" w:cs="Calibri"/>
                <w:color w:val="000000"/>
              </w:rPr>
            </w:pPr>
            <w:r>
              <w:rPr>
                <w:rFonts w:ascii="Calibri" w:hAnsi="Calibri" w:cs="Calibri"/>
                <w:color w:val="000000"/>
              </w:rPr>
              <w:t>22.29</w:t>
            </w:r>
          </w:p>
        </w:tc>
        <w:tc>
          <w:tcPr>
            <w:tcW w:w="3192" w:type="dxa"/>
            <w:vAlign w:val="bottom"/>
          </w:tcPr>
          <w:p w:rsidR="00AA4E14" w:rsidRDefault="00C85851" w:rsidP="00AA4E14">
            <w:pPr>
              <w:jc w:val="center"/>
              <w:rPr>
                <w:rFonts w:ascii="Calibri" w:hAnsi="Calibri" w:cs="Calibri"/>
                <w:color w:val="000000"/>
              </w:rPr>
            </w:pPr>
            <w:r>
              <w:rPr>
                <w:rFonts w:ascii="Calibri" w:hAnsi="Calibri" w:cs="Calibri"/>
                <w:color w:val="000000"/>
              </w:rPr>
              <w:t>25.33</w:t>
            </w:r>
          </w:p>
        </w:tc>
        <w:tc>
          <w:tcPr>
            <w:tcW w:w="3192" w:type="dxa"/>
            <w:vAlign w:val="bottom"/>
          </w:tcPr>
          <w:p w:rsidR="00AA4E14" w:rsidRDefault="00C85851" w:rsidP="00AA4E14">
            <w:pPr>
              <w:jc w:val="center"/>
              <w:rPr>
                <w:rFonts w:ascii="Calibri" w:hAnsi="Calibri" w:cs="Calibri"/>
                <w:color w:val="000000"/>
              </w:rPr>
            </w:pPr>
            <w:r>
              <w:rPr>
                <w:rFonts w:ascii="Calibri" w:hAnsi="Calibri" w:cs="Calibri"/>
                <w:color w:val="000000"/>
              </w:rPr>
              <w:t>31.22</w:t>
            </w:r>
          </w:p>
        </w:tc>
      </w:tr>
    </w:tbl>
    <w:p w:rsidR="00AA4E14" w:rsidRDefault="00AA4E14" w:rsidP="00AA4E14">
      <w:pPr>
        <w:rPr>
          <w:rFonts w:ascii="Times New Roman" w:hAnsi="Times New Roman" w:cs="Times New Roman"/>
        </w:rPr>
      </w:pPr>
    </w:p>
    <w:p w:rsidR="00AA4E14" w:rsidRDefault="00AA4E14" w:rsidP="00AA4E14">
      <w:pPr>
        <w:rPr>
          <w:rFonts w:ascii="Times New Roman" w:hAnsi="Times New Roman" w:cs="Times New Roman"/>
        </w:rPr>
      </w:pPr>
      <w:r w:rsidRPr="00C950F4">
        <w:rPr>
          <w:rFonts w:ascii="Times New Roman" w:hAnsi="Times New Roman" w:cs="Times New Roman"/>
          <w:noProof/>
        </w:rPr>
        <w:drawing>
          <wp:inline distT="0" distB="0" distL="0" distR="0">
            <wp:extent cx="2857500" cy="1885950"/>
            <wp:effectExtent l="19050" t="0" r="19050" b="0"/>
            <wp:docPr id="7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A4E14" w:rsidRDefault="00AA4E14" w:rsidP="00AA4E14">
      <w:pPr>
        <w:spacing w:after="200" w:line="276" w:lineRule="auto"/>
        <w:jc w:val="both"/>
        <w:rPr>
          <w:rFonts w:ascii="Times New Roman" w:eastAsia="Times New Roman" w:hAnsi="Times New Roman" w:cs="Times New Roman"/>
          <w:bCs/>
          <w:color w:val="000000"/>
          <w:sz w:val="24"/>
          <w:szCs w:val="24"/>
          <w:shd w:val="clear" w:color="auto" w:fill="FFFFFF"/>
        </w:rPr>
      </w:pPr>
      <w:r w:rsidRPr="004D1ECD">
        <w:rPr>
          <w:rFonts w:ascii="Times New Roman" w:eastAsia="Times New Roman" w:hAnsi="Times New Roman" w:cs="Times New Roman"/>
          <w:color w:val="000000"/>
          <w:sz w:val="24"/>
          <w:szCs w:val="24"/>
          <w:shd w:val="clear" w:color="auto" w:fill="FFFFFF"/>
        </w:rPr>
        <w:t> Measures the number of </w:t>
      </w:r>
      <w:r w:rsidRPr="004D1ECD">
        <w:rPr>
          <w:rFonts w:ascii="Times New Roman" w:eastAsia="Times New Roman" w:hAnsi="Times New Roman" w:cs="Times New Roman"/>
          <w:b/>
          <w:bCs/>
          <w:color w:val="000000"/>
          <w:sz w:val="24"/>
          <w:szCs w:val="24"/>
          <w:shd w:val="clear" w:color="auto" w:fill="FFFFFF"/>
        </w:rPr>
        <w:t>days</w:t>
      </w:r>
      <w:r w:rsidRPr="004D1ECD">
        <w:rPr>
          <w:rFonts w:ascii="Times New Roman" w:eastAsia="Times New Roman" w:hAnsi="Times New Roman" w:cs="Times New Roman"/>
          <w:color w:val="000000"/>
          <w:sz w:val="24"/>
          <w:szCs w:val="24"/>
          <w:shd w:val="clear" w:color="auto" w:fill="FFFFFF"/>
        </w:rPr>
        <w:t> it will take a company to sell its entire </w:t>
      </w:r>
      <w:r w:rsidRPr="004D1ECD">
        <w:rPr>
          <w:rFonts w:ascii="Times New Roman" w:eastAsia="Times New Roman" w:hAnsi="Times New Roman" w:cs="Times New Roman"/>
          <w:bCs/>
          <w:color w:val="000000"/>
          <w:sz w:val="24"/>
          <w:szCs w:val="24"/>
          <w:shd w:val="clear" w:color="auto" w:fill="FFFFFF"/>
        </w:rPr>
        <w:t>inventory. This company DIH in 201</w:t>
      </w:r>
      <w:r>
        <w:rPr>
          <w:rFonts w:ascii="Times New Roman" w:eastAsia="Times New Roman" w:hAnsi="Times New Roman" w:cs="Times New Roman"/>
          <w:bCs/>
          <w:color w:val="000000"/>
          <w:sz w:val="24"/>
          <w:szCs w:val="24"/>
          <w:shd w:val="clear" w:color="auto" w:fill="FFFFFF"/>
        </w:rPr>
        <w:t xml:space="preserve">6 is </w:t>
      </w:r>
      <w:r w:rsidR="00C85851">
        <w:rPr>
          <w:rFonts w:ascii="Times New Roman" w:eastAsia="Times New Roman" w:hAnsi="Times New Roman" w:cs="Times New Roman"/>
          <w:bCs/>
          <w:color w:val="000000"/>
          <w:sz w:val="24"/>
          <w:szCs w:val="24"/>
          <w:shd w:val="clear" w:color="auto" w:fill="FFFFFF"/>
        </w:rPr>
        <w:t>22</w:t>
      </w:r>
      <w:r w:rsidRPr="004D1ECD">
        <w:rPr>
          <w:rFonts w:ascii="Times New Roman" w:eastAsia="Times New Roman" w:hAnsi="Times New Roman" w:cs="Times New Roman"/>
          <w:bCs/>
          <w:color w:val="000000"/>
          <w:sz w:val="24"/>
          <w:szCs w:val="24"/>
          <w:shd w:val="clear" w:color="auto" w:fill="FFFFFF"/>
        </w:rPr>
        <w:t xml:space="preserve"> days and in 201</w:t>
      </w:r>
      <w:r>
        <w:rPr>
          <w:rFonts w:ascii="Times New Roman" w:eastAsia="Times New Roman" w:hAnsi="Times New Roman" w:cs="Times New Roman"/>
          <w:bCs/>
          <w:color w:val="000000"/>
          <w:sz w:val="24"/>
          <w:szCs w:val="24"/>
          <w:shd w:val="clear" w:color="auto" w:fill="FFFFFF"/>
        </w:rPr>
        <w:t>5</w:t>
      </w:r>
      <w:r w:rsidRPr="004D1ECD">
        <w:rPr>
          <w:rFonts w:ascii="Times New Roman" w:eastAsia="Times New Roman" w:hAnsi="Times New Roman" w:cs="Times New Roman"/>
          <w:bCs/>
          <w:color w:val="000000"/>
          <w:sz w:val="24"/>
          <w:szCs w:val="24"/>
          <w:shd w:val="clear" w:color="auto" w:fill="FFFFFF"/>
        </w:rPr>
        <w:t xml:space="preserve"> it takes</w:t>
      </w:r>
      <w:r w:rsidR="00C85851">
        <w:rPr>
          <w:rFonts w:ascii="Times New Roman" w:eastAsia="Times New Roman" w:hAnsi="Times New Roman" w:cs="Times New Roman"/>
          <w:bCs/>
          <w:color w:val="000000"/>
          <w:sz w:val="24"/>
          <w:szCs w:val="24"/>
          <w:shd w:val="clear" w:color="auto" w:fill="FFFFFF"/>
        </w:rPr>
        <w:t>25</w:t>
      </w:r>
      <w:r>
        <w:rPr>
          <w:rFonts w:ascii="Times New Roman" w:eastAsia="Times New Roman" w:hAnsi="Times New Roman" w:cs="Times New Roman"/>
          <w:bCs/>
          <w:color w:val="000000"/>
          <w:sz w:val="24"/>
          <w:szCs w:val="24"/>
          <w:shd w:val="clear" w:color="auto" w:fill="FFFFFF"/>
        </w:rPr>
        <w:t xml:space="preserve"> days and 2014 takes</w:t>
      </w:r>
      <w:r w:rsidR="00C85851">
        <w:rPr>
          <w:rFonts w:ascii="Times New Roman" w:eastAsia="Times New Roman" w:hAnsi="Times New Roman" w:cs="Times New Roman"/>
          <w:bCs/>
          <w:color w:val="000000"/>
          <w:sz w:val="24"/>
          <w:szCs w:val="24"/>
          <w:shd w:val="clear" w:color="auto" w:fill="FFFFFF"/>
        </w:rPr>
        <w:t>31</w:t>
      </w:r>
      <w:r>
        <w:rPr>
          <w:rFonts w:ascii="Times New Roman" w:eastAsia="Times New Roman" w:hAnsi="Times New Roman" w:cs="Times New Roman"/>
          <w:bCs/>
          <w:color w:val="000000"/>
          <w:sz w:val="24"/>
          <w:szCs w:val="24"/>
          <w:shd w:val="clear" w:color="auto" w:fill="FFFFFF"/>
        </w:rPr>
        <w:t xml:space="preserve">days. So, </w:t>
      </w:r>
      <w:r w:rsidR="00C85851">
        <w:rPr>
          <w:rFonts w:ascii="Times New Roman" w:eastAsia="Times New Roman" w:hAnsi="Times New Roman" w:cs="Times New Roman"/>
          <w:bCs/>
          <w:color w:val="000000"/>
          <w:sz w:val="24"/>
          <w:szCs w:val="24"/>
          <w:shd w:val="clear" w:color="auto" w:fill="FFFFFF"/>
        </w:rPr>
        <w:t xml:space="preserve">each </w:t>
      </w:r>
      <w:r>
        <w:rPr>
          <w:rFonts w:ascii="Times New Roman" w:eastAsia="Times New Roman" w:hAnsi="Times New Roman" w:cs="Times New Roman"/>
          <w:bCs/>
          <w:color w:val="000000"/>
          <w:sz w:val="24"/>
          <w:szCs w:val="24"/>
          <w:shd w:val="clear" w:color="auto" w:fill="FFFFFF"/>
        </w:rPr>
        <w:t>year company did well to sale inventory.</w:t>
      </w:r>
    </w:p>
    <w:p w:rsidR="00AA4E14" w:rsidRPr="00A15E21" w:rsidRDefault="00AA4E14" w:rsidP="00CE70EB">
      <w:pPr>
        <w:pStyle w:val="NoSpacing"/>
        <w:rPr>
          <w:shd w:val="clear" w:color="auto" w:fill="FFFFFF"/>
        </w:rPr>
      </w:pPr>
      <w:r w:rsidRPr="00A15E21">
        <w:rPr>
          <w:shd w:val="clear" w:color="auto" w:fill="FFFFFF"/>
        </w:rPr>
        <w:t>Raw Materials Inventory Turnover</w:t>
      </w:r>
    </w:p>
    <w:p w:rsidR="00AA4E14" w:rsidRDefault="00AA4E14" w:rsidP="00AA4E14"/>
    <w:tbl>
      <w:tblPr>
        <w:tblStyle w:val="TableGrid"/>
        <w:tblW w:w="0" w:type="auto"/>
        <w:tblLook w:val="04A0" w:firstRow="1" w:lastRow="0" w:firstColumn="1" w:lastColumn="0" w:noHBand="0" w:noVBand="1"/>
      </w:tblPr>
      <w:tblGrid>
        <w:gridCol w:w="3192"/>
        <w:gridCol w:w="3192"/>
        <w:gridCol w:w="3192"/>
      </w:tblGrid>
      <w:tr w:rsidR="00AA4E14" w:rsidTr="00AA4E14">
        <w:tc>
          <w:tcPr>
            <w:tcW w:w="3192" w:type="dxa"/>
          </w:tcPr>
          <w:p w:rsidR="00AA4E14" w:rsidRDefault="00AA4E14" w:rsidP="00AA4E14">
            <w:pPr>
              <w:jc w:val="center"/>
              <w:rPr>
                <w:rFonts w:ascii="Times New Roman" w:hAnsi="Times New Roman" w:cs="Times New Roman"/>
              </w:rPr>
            </w:pPr>
            <w:r>
              <w:rPr>
                <w:rFonts w:ascii="Times New Roman" w:hAnsi="Times New Roman" w:cs="Times New Roman"/>
                <w:noProof/>
              </w:rPr>
              <w:t>2016</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2015</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2014</w:t>
            </w:r>
          </w:p>
        </w:tc>
      </w:tr>
      <w:tr w:rsidR="00AA4E14" w:rsidTr="00AA4E14">
        <w:tc>
          <w:tcPr>
            <w:tcW w:w="3192" w:type="dxa"/>
            <w:vAlign w:val="bottom"/>
          </w:tcPr>
          <w:p w:rsidR="00AA4E14" w:rsidRDefault="00C85851" w:rsidP="00AA4E14">
            <w:pPr>
              <w:jc w:val="center"/>
              <w:rPr>
                <w:rFonts w:ascii="Calibri" w:hAnsi="Calibri" w:cs="Calibri"/>
                <w:color w:val="000000"/>
              </w:rPr>
            </w:pPr>
            <w:r>
              <w:rPr>
                <w:rFonts w:ascii="Calibri" w:hAnsi="Calibri" w:cs="Calibri"/>
                <w:color w:val="000000"/>
              </w:rPr>
              <w:t>1.26</w:t>
            </w:r>
          </w:p>
        </w:tc>
        <w:tc>
          <w:tcPr>
            <w:tcW w:w="3192" w:type="dxa"/>
            <w:vAlign w:val="bottom"/>
          </w:tcPr>
          <w:p w:rsidR="00AA4E14" w:rsidRDefault="00C85851" w:rsidP="00AA4E14">
            <w:pPr>
              <w:jc w:val="center"/>
              <w:rPr>
                <w:rFonts w:ascii="Calibri" w:hAnsi="Calibri" w:cs="Calibri"/>
                <w:color w:val="000000"/>
              </w:rPr>
            </w:pPr>
            <w:r>
              <w:rPr>
                <w:rFonts w:ascii="Calibri" w:hAnsi="Calibri" w:cs="Calibri"/>
                <w:color w:val="000000"/>
              </w:rPr>
              <w:t>1.22</w:t>
            </w:r>
          </w:p>
        </w:tc>
        <w:tc>
          <w:tcPr>
            <w:tcW w:w="3192" w:type="dxa"/>
          </w:tcPr>
          <w:p w:rsidR="00AA4E14" w:rsidRDefault="00C85851" w:rsidP="00AA4E14">
            <w:pPr>
              <w:jc w:val="center"/>
              <w:rPr>
                <w:rFonts w:ascii="Calibri" w:hAnsi="Calibri" w:cs="Calibri"/>
                <w:color w:val="000000"/>
              </w:rPr>
            </w:pPr>
            <w:r>
              <w:rPr>
                <w:rFonts w:ascii="Calibri" w:hAnsi="Calibri" w:cs="Calibri"/>
                <w:color w:val="000000"/>
              </w:rPr>
              <w:t>0.81</w:t>
            </w:r>
          </w:p>
        </w:tc>
      </w:tr>
    </w:tbl>
    <w:p w:rsidR="00AA4E14" w:rsidRDefault="00AA4E14" w:rsidP="00AA4E14">
      <w:pPr>
        <w:rPr>
          <w:rFonts w:ascii="Times New Roman" w:hAnsi="Times New Roman" w:cs="Times New Roman"/>
        </w:rPr>
      </w:pPr>
    </w:p>
    <w:p w:rsidR="00AA4E14" w:rsidRDefault="00AA4E14" w:rsidP="00AA4E14">
      <w:pPr>
        <w:rPr>
          <w:rFonts w:ascii="Times New Roman" w:hAnsi="Times New Roman" w:cs="Times New Roman"/>
        </w:rPr>
      </w:pPr>
      <w:r w:rsidRPr="00C950F4">
        <w:rPr>
          <w:rFonts w:ascii="Times New Roman" w:hAnsi="Times New Roman" w:cs="Times New Roman"/>
          <w:noProof/>
        </w:rPr>
        <w:lastRenderedPageBreak/>
        <w:drawing>
          <wp:inline distT="0" distB="0" distL="0" distR="0">
            <wp:extent cx="2857500" cy="1885950"/>
            <wp:effectExtent l="19050" t="0" r="19050" b="0"/>
            <wp:docPr id="8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A4E14" w:rsidRPr="004D1ECD" w:rsidRDefault="00AA4E14" w:rsidP="00AA4E14">
      <w:pPr>
        <w:spacing w:after="200" w:line="276" w:lineRule="auto"/>
        <w:jc w:val="both"/>
        <w:rPr>
          <w:rFonts w:ascii="Times New Roman" w:eastAsia="Times New Roman" w:hAnsi="Times New Roman" w:cs="Times New Roman"/>
          <w:color w:val="000000"/>
          <w:sz w:val="24"/>
          <w:szCs w:val="24"/>
        </w:rPr>
      </w:pPr>
      <w:r w:rsidRPr="004D1ECD">
        <w:rPr>
          <w:rFonts w:ascii="Times New Roman" w:eastAsia="Times New Roman" w:hAnsi="Times New Roman" w:cs="Times New Roman"/>
          <w:color w:val="000000"/>
          <w:sz w:val="24"/>
          <w:szCs w:val="24"/>
        </w:rPr>
        <w:t>This ratio indicates the rate of utilization of raw material.</w:t>
      </w:r>
    </w:p>
    <w:p w:rsidR="00AA4E14" w:rsidRDefault="00AA4E14" w:rsidP="0033717B">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2016</w:t>
      </w:r>
      <w:r w:rsidRPr="004D1ECD">
        <w:rPr>
          <w:rFonts w:ascii="Times New Roman" w:eastAsia="Times New Roman" w:hAnsi="Times New Roman" w:cs="Times New Roman"/>
          <w:color w:val="000000"/>
          <w:sz w:val="24"/>
          <w:szCs w:val="24"/>
        </w:rPr>
        <w:t xml:space="preserve"> this ratio is </w:t>
      </w:r>
      <w:r w:rsidR="00C85851">
        <w:rPr>
          <w:rFonts w:ascii="Times New Roman" w:eastAsia="Times New Roman" w:hAnsi="Times New Roman" w:cs="Times New Roman"/>
          <w:color w:val="000000"/>
          <w:sz w:val="24"/>
          <w:szCs w:val="24"/>
        </w:rPr>
        <w:t>1.26</w:t>
      </w:r>
      <w:r>
        <w:rPr>
          <w:rFonts w:ascii="Times New Roman" w:eastAsia="Times New Roman" w:hAnsi="Times New Roman" w:cs="Times New Roman"/>
          <w:color w:val="000000"/>
          <w:sz w:val="24"/>
          <w:szCs w:val="24"/>
        </w:rPr>
        <w:t xml:space="preserve"> and in 2015</w:t>
      </w:r>
      <w:r w:rsidRPr="004D1ECD">
        <w:rPr>
          <w:rFonts w:ascii="Times New Roman" w:eastAsia="Times New Roman" w:hAnsi="Times New Roman" w:cs="Times New Roman"/>
          <w:color w:val="000000"/>
          <w:sz w:val="24"/>
          <w:szCs w:val="24"/>
        </w:rPr>
        <w:t xml:space="preserve"> it was </w:t>
      </w:r>
      <w:r w:rsidR="00C85851">
        <w:rPr>
          <w:rFonts w:ascii="Times New Roman" w:eastAsia="Times New Roman" w:hAnsi="Times New Roman" w:cs="Times New Roman"/>
          <w:color w:val="000000"/>
          <w:sz w:val="24"/>
          <w:szCs w:val="24"/>
        </w:rPr>
        <w:t>1.22</w:t>
      </w:r>
      <w:r>
        <w:rPr>
          <w:rFonts w:ascii="Times New Roman" w:eastAsia="Times New Roman" w:hAnsi="Times New Roman" w:cs="Times New Roman"/>
          <w:color w:val="000000"/>
          <w:sz w:val="24"/>
          <w:szCs w:val="24"/>
        </w:rPr>
        <w:t xml:space="preserve"> and in 2014 </w:t>
      </w:r>
      <w:r w:rsidR="00C85851">
        <w:rPr>
          <w:rFonts w:ascii="Times New Roman" w:eastAsia="Times New Roman" w:hAnsi="Times New Roman" w:cs="Times New Roman"/>
          <w:color w:val="000000"/>
          <w:sz w:val="24"/>
          <w:szCs w:val="24"/>
        </w:rPr>
        <w:t>0.81.</w:t>
      </w:r>
      <w:r w:rsidRPr="004D1ECD">
        <w:rPr>
          <w:rFonts w:ascii="Times New Roman" w:eastAsia="Times New Roman" w:hAnsi="Times New Roman" w:cs="Times New Roman"/>
          <w:color w:val="000000"/>
          <w:sz w:val="24"/>
          <w:szCs w:val="24"/>
        </w:rPr>
        <w:t xml:space="preserve"> This </w:t>
      </w:r>
      <w:r w:rsidR="00C85851">
        <w:rPr>
          <w:rFonts w:ascii="Times New Roman" w:eastAsia="Times New Roman" w:hAnsi="Times New Roman" w:cs="Times New Roman"/>
          <w:color w:val="000000"/>
          <w:sz w:val="24"/>
          <w:szCs w:val="24"/>
        </w:rPr>
        <w:t>lower</w:t>
      </w:r>
      <w:r w:rsidRPr="004D1ECD">
        <w:rPr>
          <w:rFonts w:ascii="Times New Roman" w:eastAsia="Times New Roman" w:hAnsi="Times New Roman" w:cs="Times New Roman"/>
          <w:color w:val="000000"/>
          <w:sz w:val="24"/>
          <w:szCs w:val="24"/>
        </w:rPr>
        <w:t xml:space="preserve"> turnover ratio of raw material inventory over a period of time indicates </w:t>
      </w:r>
      <w:r w:rsidR="00C85851">
        <w:rPr>
          <w:rFonts w:ascii="Times New Roman" w:eastAsia="Times New Roman" w:hAnsi="Times New Roman" w:cs="Times New Roman"/>
          <w:noProof/>
          <w:color w:val="000000"/>
          <w:sz w:val="24"/>
          <w:szCs w:val="24"/>
        </w:rPr>
        <w:t>Appex Textile</w:t>
      </w:r>
      <w:r w:rsidR="00C85851" w:rsidRPr="004D1ECD">
        <w:rPr>
          <w:rFonts w:ascii="Times New Roman" w:eastAsia="Times New Roman" w:hAnsi="Times New Roman" w:cs="Times New Roman"/>
          <w:noProof/>
          <w:color w:val="000000"/>
          <w:sz w:val="24"/>
          <w:szCs w:val="24"/>
        </w:rPr>
        <w:t xml:space="preserve"> Limited</w:t>
      </w:r>
      <w:r w:rsidR="00870082">
        <w:rPr>
          <w:rFonts w:ascii="Times New Roman" w:eastAsia="Times New Roman" w:hAnsi="Times New Roman" w:cs="Times New Roman"/>
          <w:noProof/>
          <w:color w:val="000000"/>
          <w:sz w:val="24"/>
          <w:szCs w:val="24"/>
        </w:rPr>
        <w:t xml:space="preserve"> </w:t>
      </w:r>
      <w:r w:rsidRPr="004D1ECD">
        <w:rPr>
          <w:rFonts w:ascii="Times New Roman" w:eastAsia="Times New Roman" w:hAnsi="Times New Roman" w:cs="Times New Roman"/>
          <w:color w:val="000000"/>
          <w:sz w:val="24"/>
          <w:szCs w:val="24"/>
        </w:rPr>
        <w:t>Company</w:t>
      </w:r>
      <w:r w:rsidR="00870082">
        <w:rPr>
          <w:rFonts w:ascii="Times New Roman" w:eastAsia="Times New Roman" w:hAnsi="Times New Roman" w:cs="Times New Roman"/>
          <w:color w:val="000000"/>
          <w:sz w:val="24"/>
          <w:szCs w:val="24"/>
        </w:rPr>
        <w:t xml:space="preserve"> </w:t>
      </w:r>
      <w:r w:rsidR="00C85851">
        <w:rPr>
          <w:rFonts w:ascii="Times New Roman" w:eastAsia="Times New Roman" w:hAnsi="Times New Roman" w:cs="Times New Roman"/>
          <w:color w:val="000000"/>
          <w:sz w:val="24"/>
          <w:szCs w:val="24"/>
        </w:rPr>
        <w:t xml:space="preserve">was not </w:t>
      </w:r>
      <w:r>
        <w:rPr>
          <w:rFonts w:ascii="Times New Roman" w:eastAsia="Times New Roman" w:hAnsi="Times New Roman" w:cs="Times New Roman"/>
          <w:color w:val="000000"/>
          <w:sz w:val="24"/>
          <w:szCs w:val="24"/>
        </w:rPr>
        <w:t>maintaining</w:t>
      </w:r>
      <w:r w:rsidRPr="004D1ECD">
        <w:rPr>
          <w:rFonts w:ascii="Times New Roman" w:eastAsia="Times New Roman" w:hAnsi="Times New Roman" w:cs="Times New Roman"/>
          <w:color w:val="000000"/>
          <w:sz w:val="24"/>
          <w:szCs w:val="24"/>
        </w:rPr>
        <w:t xml:space="preserve"> its utilization</w:t>
      </w:r>
      <w:r>
        <w:rPr>
          <w:rFonts w:ascii="Times New Roman" w:eastAsia="Times New Roman" w:hAnsi="Times New Roman" w:cs="Times New Roman"/>
          <w:color w:val="000000"/>
          <w:sz w:val="24"/>
          <w:szCs w:val="24"/>
        </w:rPr>
        <w:t>.</w:t>
      </w:r>
    </w:p>
    <w:p w:rsidR="00AA4E14" w:rsidRDefault="00AA4E14" w:rsidP="00AA4E14">
      <w:pPr>
        <w:rPr>
          <w:rFonts w:ascii="Times New Roman" w:eastAsia="Times New Roman" w:hAnsi="Times New Roman" w:cs="Times New Roman"/>
          <w:color w:val="000000"/>
          <w:sz w:val="24"/>
          <w:szCs w:val="24"/>
        </w:rPr>
      </w:pPr>
    </w:p>
    <w:p w:rsidR="00AA4E14" w:rsidRPr="00A15E21" w:rsidRDefault="00AA4E14" w:rsidP="00CE70EB">
      <w:pPr>
        <w:pStyle w:val="NoSpacing"/>
      </w:pPr>
      <w:r w:rsidRPr="00A15E21">
        <w:t>Number of days holdings Raw materials</w:t>
      </w:r>
    </w:p>
    <w:tbl>
      <w:tblPr>
        <w:tblStyle w:val="TableGrid"/>
        <w:tblW w:w="0" w:type="auto"/>
        <w:tblLook w:val="04A0" w:firstRow="1" w:lastRow="0" w:firstColumn="1" w:lastColumn="0" w:noHBand="0" w:noVBand="1"/>
      </w:tblPr>
      <w:tblGrid>
        <w:gridCol w:w="3192"/>
        <w:gridCol w:w="3192"/>
        <w:gridCol w:w="3192"/>
      </w:tblGrid>
      <w:tr w:rsidR="00AA4E14" w:rsidTr="00AA4E14">
        <w:tc>
          <w:tcPr>
            <w:tcW w:w="3192" w:type="dxa"/>
          </w:tcPr>
          <w:p w:rsidR="00AA4E14" w:rsidRDefault="00AA4E14" w:rsidP="00AA4E14">
            <w:pPr>
              <w:jc w:val="center"/>
              <w:rPr>
                <w:rFonts w:ascii="Times New Roman" w:hAnsi="Times New Roman" w:cs="Times New Roman"/>
              </w:rPr>
            </w:pPr>
            <w:r>
              <w:rPr>
                <w:rFonts w:ascii="Times New Roman" w:hAnsi="Times New Roman" w:cs="Times New Roman"/>
                <w:noProof/>
              </w:rPr>
              <w:t>2016</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2015</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2014</w:t>
            </w:r>
          </w:p>
        </w:tc>
      </w:tr>
      <w:tr w:rsidR="00AA4E14" w:rsidTr="00AA4E14">
        <w:tc>
          <w:tcPr>
            <w:tcW w:w="3192" w:type="dxa"/>
            <w:vAlign w:val="bottom"/>
          </w:tcPr>
          <w:p w:rsidR="00AA4E14" w:rsidRDefault="00C85851" w:rsidP="00C85851">
            <w:pPr>
              <w:jc w:val="center"/>
              <w:rPr>
                <w:rFonts w:ascii="Calibri" w:hAnsi="Calibri" w:cs="Calibri"/>
                <w:color w:val="000000"/>
              </w:rPr>
            </w:pPr>
            <w:r>
              <w:rPr>
                <w:rFonts w:ascii="Calibri" w:hAnsi="Calibri" w:cs="Calibri"/>
                <w:color w:val="000000"/>
              </w:rPr>
              <w:t>287</w:t>
            </w:r>
          </w:p>
        </w:tc>
        <w:tc>
          <w:tcPr>
            <w:tcW w:w="3192" w:type="dxa"/>
            <w:vAlign w:val="bottom"/>
          </w:tcPr>
          <w:p w:rsidR="00AA4E14" w:rsidRDefault="00C85851" w:rsidP="00AA4E14">
            <w:pPr>
              <w:jc w:val="center"/>
              <w:rPr>
                <w:rFonts w:ascii="Calibri" w:hAnsi="Calibri" w:cs="Calibri"/>
                <w:color w:val="000000"/>
              </w:rPr>
            </w:pPr>
            <w:r>
              <w:rPr>
                <w:rFonts w:ascii="Calibri" w:hAnsi="Calibri" w:cs="Calibri"/>
                <w:color w:val="000000"/>
              </w:rPr>
              <w:t>297</w:t>
            </w:r>
          </w:p>
        </w:tc>
        <w:tc>
          <w:tcPr>
            <w:tcW w:w="3192" w:type="dxa"/>
          </w:tcPr>
          <w:p w:rsidR="00AA4E14" w:rsidRDefault="00C85851" w:rsidP="00AA4E14">
            <w:pPr>
              <w:jc w:val="center"/>
              <w:rPr>
                <w:rFonts w:ascii="Calibri" w:hAnsi="Calibri" w:cs="Calibri"/>
                <w:color w:val="000000"/>
              </w:rPr>
            </w:pPr>
            <w:r>
              <w:rPr>
                <w:rFonts w:ascii="Calibri" w:hAnsi="Calibri" w:cs="Calibri"/>
                <w:color w:val="000000"/>
              </w:rPr>
              <w:t>447</w:t>
            </w:r>
          </w:p>
        </w:tc>
      </w:tr>
    </w:tbl>
    <w:p w:rsidR="00AA4E14" w:rsidRDefault="00AA4E14" w:rsidP="00AA4E14"/>
    <w:p w:rsidR="00AA4E14" w:rsidRDefault="00AA4E14" w:rsidP="00AA4E14">
      <w:pPr>
        <w:rPr>
          <w:rFonts w:ascii="Times New Roman" w:hAnsi="Times New Roman" w:cs="Times New Roman"/>
        </w:rPr>
      </w:pPr>
      <w:r w:rsidRPr="00BF0FF5">
        <w:rPr>
          <w:noProof/>
        </w:rPr>
        <w:drawing>
          <wp:inline distT="0" distB="0" distL="0" distR="0">
            <wp:extent cx="2857500" cy="1885950"/>
            <wp:effectExtent l="19050" t="0" r="19050" b="0"/>
            <wp:docPr id="8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A4E14" w:rsidRDefault="00C85851" w:rsidP="0033717B">
      <w:pPr>
        <w:jc w:val="both"/>
        <w:rPr>
          <w:b/>
          <w:sz w:val="28"/>
          <w:szCs w:val="28"/>
          <w:shd w:val="clear" w:color="auto" w:fill="FFFFFF"/>
        </w:rPr>
      </w:pPr>
      <w:bookmarkStart w:id="23" w:name="_Toc18627806"/>
      <w:r>
        <w:rPr>
          <w:noProof/>
        </w:rPr>
        <w:t>Appex Textile</w:t>
      </w:r>
      <w:r w:rsidRPr="004D1ECD">
        <w:rPr>
          <w:noProof/>
        </w:rPr>
        <w:t xml:space="preserve"> Limited</w:t>
      </w:r>
      <w:r>
        <w:t>hold their raw materials</w:t>
      </w:r>
      <w:r w:rsidR="00AA4E14">
        <w:t xml:space="preserve"> time throughout the years.</w:t>
      </w:r>
      <w:bookmarkEnd w:id="23"/>
    </w:p>
    <w:p w:rsidR="00AA4E14" w:rsidRPr="00A15E21" w:rsidRDefault="00AA4E14" w:rsidP="00CE70EB">
      <w:pPr>
        <w:pStyle w:val="NoSpacing"/>
        <w:rPr>
          <w:shd w:val="clear" w:color="auto" w:fill="FFFFFF"/>
        </w:rPr>
      </w:pPr>
      <w:r w:rsidRPr="00A15E21">
        <w:rPr>
          <w:shd w:val="clear" w:color="auto" w:fill="FFFFFF"/>
        </w:rPr>
        <w:t>Work in process Inventory turnover</w:t>
      </w:r>
    </w:p>
    <w:tbl>
      <w:tblPr>
        <w:tblStyle w:val="TableGrid"/>
        <w:tblW w:w="0" w:type="auto"/>
        <w:tblLook w:val="04A0" w:firstRow="1" w:lastRow="0" w:firstColumn="1" w:lastColumn="0" w:noHBand="0" w:noVBand="1"/>
      </w:tblPr>
      <w:tblGrid>
        <w:gridCol w:w="3192"/>
        <w:gridCol w:w="3192"/>
        <w:gridCol w:w="3192"/>
      </w:tblGrid>
      <w:tr w:rsidR="00AA4E14" w:rsidTr="00AA4E14">
        <w:tc>
          <w:tcPr>
            <w:tcW w:w="3192" w:type="dxa"/>
          </w:tcPr>
          <w:p w:rsidR="00AA4E14" w:rsidRDefault="00AA4E14" w:rsidP="00AA4E14">
            <w:pPr>
              <w:jc w:val="center"/>
              <w:rPr>
                <w:rFonts w:ascii="Times New Roman" w:hAnsi="Times New Roman" w:cs="Times New Roman"/>
              </w:rPr>
            </w:pPr>
            <w:r>
              <w:rPr>
                <w:rFonts w:ascii="Times New Roman" w:hAnsi="Times New Roman" w:cs="Times New Roman"/>
                <w:noProof/>
              </w:rPr>
              <w:t>2016</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2015</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2014</w:t>
            </w:r>
          </w:p>
        </w:tc>
      </w:tr>
      <w:tr w:rsidR="00AA4E14" w:rsidTr="00AA4E14">
        <w:tc>
          <w:tcPr>
            <w:tcW w:w="3192" w:type="dxa"/>
            <w:vAlign w:val="bottom"/>
          </w:tcPr>
          <w:p w:rsidR="00AA4E14" w:rsidRDefault="00C85851" w:rsidP="00AA4E14">
            <w:pPr>
              <w:jc w:val="center"/>
              <w:rPr>
                <w:rFonts w:ascii="Calibri" w:hAnsi="Calibri" w:cs="Calibri"/>
                <w:color w:val="000000"/>
              </w:rPr>
            </w:pPr>
            <w:r>
              <w:rPr>
                <w:rFonts w:ascii="Calibri" w:hAnsi="Calibri" w:cs="Calibri"/>
                <w:color w:val="000000"/>
              </w:rPr>
              <w:t>51.17</w:t>
            </w:r>
          </w:p>
        </w:tc>
        <w:tc>
          <w:tcPr>
            <w:tcW w:w="3192" w:type="dxa"/>
            <w:vAlign w:val="bottom"/>
          </w:tcPr>
          <w:p w:rsidR="00AA4E14" w:rsidRDefault="00C85851" w:rsidP="00AA4E14">
            <w:pPr>
              <w:jc w:val="center"/>
              <w:rPr>
                <w:rFonts w:ascii="Calibri" w:hAnsi="Calibri" w:cs="Calibri"/>
                <w:color w:val="000000"/>
              </w:rPr>
            </w:pPr>
            <w:r>
              <w:rPr>
                <w:rFonts w:ascii="Calibri" w:hAnsi="Calibri" w:cs="Calibri"/>
                <w:color w:val="000000"/>
              </w:rPr>
              <w:t>49.22</w:t>
            </w:r>
          </w:p>
        </w:tc>
        <w:tc>
          <w:tcPr>
            <w:tcW w:w="3192" w:type="dxa"/>
            <w:vAlign w:val="bottom"/>
          </w:tcPr>
          <w:p w:rsidR="00AA4E14" w:rsidRDefault="00C85851" w:rsidP="00AA4E14">
            <w:pPr>
              <w:jc w:val="center"/>
              <w:rPr>
                <w:rFonts w:ascii="Calibri" w:hAnsi="Calibri" w:cs="Calibri"/>
                <w:color w:val="000000"/>
              </w:rPr>
            </w:pPr>
            <w:r>
              <w:rPr>
                <w:rFonts w:ascii="Calibri" w:hAnsi="Calibri" w:cs="Calibri"/>
                <w:color w:val="000000"/>
              </w:rPr>
              <w:t>31.13</w:t>
            </w:r>
          </w:p>
        </w:tc>
      </w:tr>
    </w:tbl>
    <w:p w:rsidR="00AA4E14" w:rsidRDefault="00AA4E14" w:rsidP="00AA4E14">
      <w:pPr>
        <w:rPr>
          <w:b/>
        </w:rPr>
      </w:pPr>
    </w:p>
    <w:p w:rsidR="00AA4E14" w:rsidRDefault="00C85851" w:rsidP="00AA4E14">
      <w:pPr>
        <w:rPr>
          <w:b/>
        </w:rPr>
      </w:pPr>
      <w:r w:rsidRPr="00C85851">
        <w:rPr>
          <w:b/>
          <w:noProof/>
        </w:rPr>
        <w:lastRenderedPageBreak/>
        <w:drawing>
          <wp:inline distT="0" distB="0" distL="0" distR="0">
            <wp:extent cx="2857500" cy="1885950"/>
            <wp:effectExtent l="19050" t="0" r="19050" b="0"/>
            <wp:docPr id="10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A4E14" w:rsidRDefault="00AA4E14" w:rsidP="00AA4E14">
      <w:pPr>
        <w:rPr>
          <w:b/>
        </w:rPr>
      </w:pPr>
    </w:p>
    <w:p w:rsidR="003B4FD0" w:rsidRDefault="003B4FD0" w:rsidP="003B4FD0">
      <w:p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Working process inventory turnover ratio higher means accumulation of inventory is lower and few active with working capital. In opposite this ratio gone high indicates management has lags in controlling or external factors delay their production movements. We will compare the ratios with acceptable standards.</w:t>
      </w:r>
    </w:p>
    <w:p w:rsidR="00AA4E14" w:rsidRPr="004D1ECD" w:rsidRDefault="00AA4E14" w:rsidP="00AA4E14">
      <w:pPr>
        <w:autoSpaceDE w:val="0"/>
        <w:autoSpaceDN w:val="0"/>
        <w:adjustRightInd w:val="0"/>
        <w:spacing w:after="0" w:line="276" w:lineRule="auto"/>
        <w:jc w:val="both"/>
        <w:rPr>
          <w:rFonts w:ascii="Times New Roman" w:eastAsia="Times New Roman" w:hAnsi="Times New Roman" w:cs="Times New Roman"/>
          <w:sz w:val="24"/>
          <w:szCs w:val="24"/>
        </w:rPr>
      </w:pPr>
    </w:p>
    <w:p w:rsidR="00AA4E14" w:rsidRDefault="00AA4E14" w:rsidP="00AA4E14">
      <w:pPr>
        <w:autoSpaceDE w:val="0"/>
        <w:autoSpaceDN w:val="0"/>
        <w:adjustRightInd w:val="0"/>
        <w:spacing w:after="0" w:line="276" w:lineRule="auto"/>
        <w:jc w:val="both"/>
        <w:rPr>
          <w:rFonts w:ascii="Times New Roman" w:eastAsia="Times New Roman" w:hAnsi="Times New Roman" w:cs="Times New Roman"/>
          <w:sz w:val="24"/>
          <w:szCs w:val="24"/>
        </w:rPr>
      </w:pPr>
      <w:r w:rsidRPr="004D1ECD">
        <w:rPr>
          <w:rFonts w:ascii="Times New Roman" w:eastAsia="Times New Roman" w:hAnsi="Times New Roman" w:cs="Times New Roman"/>
          <w:sz w:val="24"/>
          <w:szCs w:val="24"/>
        </w:rPr>
        <w:t>Here, Work-in-proc</w:t>
      </w:r>
      <w:r>
        <w:rPr>
          <w:rFonts w:ascii="Times New Roman" w:eastAsia="Times New Roman" w:hAnsi="Times New Roman" w:cs="Times New Roman"/>
          <w:sz w:val="24"/>
          <w:szCs w:val="24"/>
        </w:rPr>
        <w:t xml:space="preserve">ess inventory turnover are </w:t>
      </w:r>
      <w:r w:rsidR="00ED1EF8">
        <w:rPr>
          <w:rFonts w:ascii="Times New Roman" w:eastAsia="Times New Roman" w:hAnsi="Times New Roman" w:cs="Times New Roman"/>
          <w:sz w:val="24"/>
          <w:szCs w:val="24"/>
        </w:rPr>
        <w:t>51.17</w:t>
      </w:r>
      <w:r w:rsidRPr="004D1ECD">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imes in 2016 &amp;</w:t>
      </w:r>
      <w:r w:rsidR="00ED1EF8">
        <w:rPr>
          <w:rFonts w:ascii="Times New Roman" w:eastAsia="Times New Roman" w:hAnsi="Times New Roman" w:cs="Times New Roman"/>
          <w:sz w:val="24"/>
          <w:szCs w:val="24"/>
        </w:rPr>
        <w:t>49.22</w:t>
      </w:r>
      <w:r>
        <w:rPr>
          <w:rFonts w:ascii="Times New Roman" w:eastAsia="Times New Roman" w:hAnsi="Times New Roman" w:cs="Times New Roman"/>
          <w:sz w:val="24"/>
          <w:szCs w:val="24"/>
        </w:rPr>
        <w:t xml:space="preserve">times in 2015and in 2014 it was </w:t>
      </w:r>
      <w:r w:rsidR="00ED1EF8">
        <w:rPr>
          <w:rFonts w:ascii="Times New Roman" w:eastAsia="Times New Roman" w:hAnsi="Times New Roman" w:cs="Times New Roman"/>
          <w:sz w:val="24"/>
          <w:szCs w:val="24"/>
        </w:rPr>
        <w:t>31.13</w:t>
      </w:r>
      <w:r>
        <w:rPr>
          <w:rFonts w:ascii="Times New Roman" w:eastAsia="Times New Roman" w:hAnsi="Times New Roman" w:cs="Times New Roman"/>
          <w:sz w:val="24"/>
          <w:szCs w:val="24"/>
        </w:rPr>
        <w:t xml:space="preserve">. So, the company worked efficiently </w:t>
      </w:r>
      <w:r w:rsidR="00ED1EF8">
        <w:rPr>
          <w:rFonts w:ascii="Times New Roman" w:eastAsia="Times New Roman" w:hAnsi="Times New Roman" w:cs="Times New Roman"/>
          <w:sz w:val="24"/>
          <w:szCs w:val="24"/>
        </w:rPr>
        <w:t>through the years.</w:t>
      </w:r>
    </w:p>
    <w:p w:rsidR="00AA4E14" w:rsidRDefault="00AA4E14" w:rsidP="00AA4E14">
      <w:pPr>
        <w:autoSpaceDE w:val="0"/>
        <w:autoSpaceDN w:val="0"/>
        <w:adjustRightInd w:val="0"/>
        <w:spacing w:after="0" w:line="276" w:lineRule="auto"/>
        <w:jc w:val="both"/>
        <w:rPr>
          <w:rFonts w:ascii="Times New Roman" w:eastAsia="Times New Roman" w:hAnsi="Times New Roman" w:cs="Times New Roman"/>
          <w:sz w:val="24"/>
          <w:szCs w:val="24"/>
        </w:rPr>
      </w:pPr>
    </w:p>
    <w:p w:rsidR="00AA4E14" w:rsidRDefault="00AA4E14" w:rsidP="00AA4E14">
      <w:pPr>
        <w:spacing w:after="200" w:line="276" w:lineRule="auto"/>
        <w:jc w:val="both"/>
        <w:rPr>
          <w:rFonts w:ascii="Times New Roman" w:eastAsia="Times New Roman" w:hAnsi="Times New Roman" w:cs="Times New Roman"/>
          <w:bCs/>
          <w:color w:val="000000"/>
          <w:sz w:val="24"/>
          <w:szCs w:val="24"/>
          <w:shd w:val="clear" w:color="auto" w:fill="FFFFFF"/>
        </w:rPr>
      </w:pPr>
    </w:p>
    <w:p w:rsidR="00AA4E14" w:rsidRPr="00495E1E" w:rsidRDefault="00AA4E14" w:rsidP="00AA4E14">
      <w:pPr>
        <w:spacing w:after="200" w:line="276" w:lineRule="auto"/>
        <w:jc w:val="both"/>
        <w:rPr>
          <w:rFonts w:ascii="Times New Roman" w:eastAsia="Times New Roman" w:hAnsi="Times New Roman" w:cs="Times New Roman"/>
          <w:bCs/>
          <w:color w:val="000000"/>
          <w:sz w:val="24"/>
          <w:szCs w:val="24"/>
          <w:shd w:val="clear" w:color="auto" w:fill="FFFFFF"/>
        </w:rPr>
      </w:pPr>
    </w:p>
    <w:p w:rsidR="00AA4E14" w:rsidRPr="00A15E21" w:rsidRDefault="00AA4E14" w:rsidP="00CE70EB">
      <w:pPr>
        <w:pStyle w:val="NoSpacing"/>
      </w:pPr>
      <w:r w:rsidRPr="00A15E21">
        <w:t>Finished Goods Inventory turnover</w:t>
      </w:r>
    </w:p>
    <w:p w:rsidR="00AA4E14" w:rsidRDefault="00AA4E14" w:rsidP="00AA4E14"/>
    <w:tbl>
      <w:tblPr>
        <w:tblStyle w:val="TableGrid"/>
        <w:tblW w:w="0" w:type="auto"/>
        <w:tblLook w:val="04A0" w:firstRow="1" w:lastRow="0" w:firstColumn="1" w:lastColumn="0" w:noHBand="0" w:noVBand="1"/>
      </w:tblPr>
      <w:tblGrid>
        <w:gridCol w:w="3192"/>
        <w:gridCol w:w="3192"/>
        <w:gridCol w:w="3192"/>
      </w:tblGrid>
      <w:tr w:rsidR="00AA4E14" w:rsidTr="00AA4E14">
        <w:tc>
          <w:tcPr>
            <w:tcW w:w="3192" w:type="dxa"/>
          </w:tcPr>
          <w:p w:rsidR="00AA4E14" w:rsidRDefault="00AA4E14" w:rsidP="00AA4E14">
            <w:pPr>
              <w:jc w:val="center"/>
              <w:rPr>
                <w:rFonts w:ascii="Times New Roman" w:hAnsi="Times New Roman" w:cs="Times New Roman"/>
              </w:rPr>
            </w:pPr>
            <w:r>
              <w:rPr>
                <w:rFonts w:ascii="Times New Roman" w:hAnsi="Times New Roman" w:cs="Times New Roman"/>
                <w:noProof/>
              </w:rPr>
              <w:t>2016</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2015</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2014</w:t>
            </w:r>
          </w:p>
        </w:tc>
      </w:tr>
      <w:tr w:rsidR="00AA4E14" w:rsidTr="00AA4E14">
        <w:tc>
          <w:tcPr>
            <w:tcW w:w="3192" w:type="dxa"/>
            <w:vAlign w:val="bottom"/>
          </w:tcPr>
          <w:p w:rsidR="00ED1EF8" w:rsidRDefault="00ED1EF8" w:rsidP="00ED1EF8">
            <w:pPr>
              <w:jc w:val="center"/>
              <w:rPr>
                <w:rFonts w:ascii="Calibri" w:hAnsi="Calibri" w:cs="Calibri"/>
                <w:color w:val="000000"/>
              </w:rPr>
            </w:pPr>
            <w:r>
              <w:rPr>
                <w:rFonts w:ascii="Calibri" w:hAnsi="Calibri" w:cs="Calibri"/>
                <w:color w:val="000000"/>
              </w:rPr>
              <w:t>66.31</w:t>
            </w:r>
          </w:p>
        </w:tc>
        <w:tc>
          <w:tcPr>
            <w:tcW w:w="3192" w:type="dxa"/>
            <w:vAlign w:val="bottom"/>
          </w:tcPr>
          <w:p w:rsidR="00AA4E14" w:rsidRDefault="00ED1EF8" w:rsidP="00AA4E14">
            <w:pPr>
              <w:jc w:val="center"/>
              <w:rPr>
                <w:rFonts w:ascii="Calibri" w:hAnsi="Calibri" w:cs="Calibri"/>
                <w:color w:val="000000"/>
              </w:rPr>
            </w:pPr>
            <w:r>
              <w:rPr>
                <w:rFonts w:ascii="Calibri" w:hAnsi="Calibri" w:cs="Calibri"/>
                <w:color w:val="000000"/>
              </w:rPr>
              <w:t>85.91</w:t>
            </w:r>
          </w:p>
        </w:tc>
        <w:tc>
          <w:tcPr>
            <w:tcW w:w="3192" w:type="dxa"/>
            <w:vAlign w:val="bottom"/>
          </w:tcPr>
          <w:p w:rsidR="00AA4E14" w:rsidRDefault="00ED1EF8" w:rsidP="00AA4E14">
            <w:pPr>
              <w:jc w:val="center"/>
              <w:rPr>
                <w:rFonts w:ascii="Calibri" w:hAnsi="Calibri" w:cs="Calibri"/>
                <w:color w:val="000000"/>
              </w:rPr>
            </w:pPr>
            <w:r>
              <w:rPr>
                <w:rFonts w:ascii="Calibri" w:hAnsi="Calibri" w:cs="Calibri"/>
                <w:color w:val="000000"/>
              </w:rPr>
              <w:t>918.37</w:t>
            </w:r>
          </w:p>
        </w:tc>
      </w:tr>
    </w:tbl>
    <w:p w:rsidR="00AA4E14" w:rsidRDefault="00AA4E14" w:rsidP="00AA4E14">
      <w:pPr>
        <w:rPr>
          <w:b/>
        </w:rPr>
      </w:pPr>
    </w:p>
    <w:p w:rsidR="00AA4E14" w:rsidRDefault="00AA4E14" w:rsidP="00AA4E14">
      <w:pPr>
        <w:rPr>
          <w:b/>
        </w:rPr>
      </w:pPr>
      <w:r w:rsidRPr="00F61E25">
        <w:rPr>
          <w:b/>
          <w:noProof/>
        </w:rPr>
        <w:drawing>
          <wp:inline distT="0" distB="0" distL="0" distR="0">
            <wp:extent cx="3133725" cy="1647825"/>
            <wp:effectExtent l="19050" t="0" r="9525" b="0"/>
            <wp:docPr id="9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A4E14" w:rsidRDefault="003B4FD0" w:rsidP="00AA4E14">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w:t>
      </w:r>
      <w:r w:rsidR="00AA4E14" w:rsidRPr="004D1ECD">
        <w:rPr>
          <w:rFonts w:ascii="Times New Roman" w:eastAsia="Times New Roman" w:hAnsi="Times New Roman" w:cs="Times New Roman"/>
          <w:sz w:val="24"/>
          <w:szCs w:val="24"/>
        </w:rPr>
        <w:t xml:space="preserve">inished goods inventory turnover ratio that is: </w:t>
      </w:r>
      <w:r w:rsidR="00ED1EF8">
        <w:rPr>
          <w:rFonts w:ascii="Times New Roman" w:eastAsia="Times New Roman" w:hAnsi="Times New Roman" w:cs="Times New Roman"/>
          <w:sz w:val="24"/>
          <w:szCs w:val="24"/>
        </w:rPr>
        <w:t>66.31</w:t>
      </w:r>
      <w:r w:rsidR="00AA4E14" w:rsidRPr="004D1ECD">
        <w:rPr>
          <w:rFonts w:ascii="Times New Roman" w:eastAsia="Times New Roman" w:hAnsi="Times New Roman" w:cs="Times New Roman"/>
          <w:sz w:val="24"/>
          <w:szCs w:val="24"/>
        </w:rPr>
        <w:t>times in 201</w:t>
      </w:r>
      <w:r w:rsidR="00AA4E14">
        <w:rPr>
          <w:rFonts w:ascii="Times New Roman" w:eastAsia="Times New Roman" w:hAnsi="Times New Roman" w:cs="Times New Roman"/>
          <w:sz w:val="24"/>
          <w:szCs w:val="24"/>
        </w:rPr>
        <w:t xml:space="preserve">6 </w:t>
      </w:r>
      <w:r w:rsidR="00AA4E14" w:rsidRPr="004D1ECD">
        <w:rPr>
          <w:rFonts w:ascii="Times New Roman" w:eastAsia="Times New Roman" w:hAnsi="Times New Roman" w:cs="Times New Roman"/>
          <w:sz w:val="24"/>
          <w:szCs w:val="24"/>
        </w:rPr>
        <w:t>&amp;</w:t>
      </w:r>
      <w:r w:rsidR="00ED1EF8">
        <w:rPr>
          <w:rFonts w:ascii="Times New Roman" w:eastAsia="Times New Roman" w:hAnsi="Times New Roman" w:cs="Times New Roman"/>
          <w:sz w:val="24"/>
          <w:szCs w:val="24"/>
        </w:rPr>
        <w:t>85.91</w:t>
      </w:r>
      <w:r w:rsidR="00AA4E14" w:rsidRPr="004D1ECD">
        <w:rPr>
          <w:rFonts w:ascii="Times New Roman" w:eastAsia="Times New Roman" w:hAnsi="Times New Roman" w:cs="Times New Roman"/>
          <w:sz w:val="24"/>
          <w:szCs w:val="24"/>
        </w:rPr>
        <w:t xml:space="preserve"> times in 201</w:t>
      </w:r>
      <w:r w:rsidR="00AA4E14">
        <w:rPr>
          <w:rFonts w:ascii="Times New Roman" w:eastAsia="Times New Roman" w:hAnsi="Times New Roman" w:cs="Times New Roman"/>
          <w:sz w:val="24"/>
          <w:szCs w:val="24"/>
        </w:rPr>
        <w:t xml:space="preserve">5 and </w:t>
      </w:r>
      <w:r w:rsidR="00ED1EF8">
        <w:rPr>
          <w:rFonts w:ascii="Times New Roman" w:eastAsia="Times New Roman" w:hAnsi="Times New Roman" w:cs="Times New Roman"/>
          <w:sz w:val="24"/>
          <w:szCs w:val="24"/>
        </w:rPr>
        <w:t>918.37</w:t>
      </w:r>
      <w:r w:rsidR="00AA4E14">
        <w:rPr>
          <w:rFonts w:ascii="Times New Roman" w:eastAsia="Times New Roman" w:hAnsi="Times New Roman" w:cs="Times New Roman"/>
          <w:sz w:val="24"/>
          <w:szCs w:val="24"/>
        </w:rPr>
        <w:t xml:space="preserve"> in 2014.So </w:t>
      </w:r>
      <w:r w:rsidR="00AA4E14" w:rsidRPr="004D1ECD">
        <w:rPr>
          <w:rFonts w:ascii="Times New Roman" w:eastAsia="Times New Roman" w:hAnsi="Times New Roman" w:cs="Times New Roman"/>
          <w:sz w:val="24"/>
          <w:szCs w:val="24"/>
        </w:rPr>
        <w:t>that is</w:t>
      </w:r>
      <w:r w:rsidR="00AA4E14">
        <w:rPr>
          <w:rFonts w:ascii="Times New Roman" w:eastAsia="Times New Roman" w:hAnsi="Times New Roman" w:cs="Times New Roman"/>
          <w:sz w:val="24"/>
          <w:szCs w:val="24"/>
        </w:rPr>
        <w:t xml:space="preserve"> good for t</w:t>
      </w:r>
      <w:r w:rsidR="00ED1EF8">
        <w:rPr>
          <w:rFonts w:ascii="Times New Roman" w:eastAsia="Times New Roman" w:hAnsi="Times New Roman" w:cs="Times New Roman"/>
          <w:sz w:val="24"/>
          <w:szCs w:val="24"/>
        </w:rPr>
        <w:t>he company for the year of 2016 and 2015. In the year of 2014 the company delayed a lot.</w:t>
      </w:r>
    </w:p>
    <w:p w:rsidR="00AA4E14" w:rsidRDefault="00AA4E14" w:rsidP="00AA4E14">
      <w:pPr>
        <w:spacing w:after="200" w:line="276" w:lineRule="auto"/>
        <w:jc w:val="both"/>
        <w:rPr>
          <w:rFonts w:ascii="Times New Roman" w:eastAsia="Times New Roman" w:hAnsi="Times New Roman" w:cs="Times New Roman"/>
          <w:sz w:val="24"/>
          <w:szCs w:val="24"/>
        </w:rPr>
      </w:pPr>
    </w:p>
    <w:p w:rsidR="00AA4E14" w:rsidRPr="00A15E21" w:rsidRDefault="00AA4E14" w:rsidP="00CE70EB">
      <w:pPr>
        <w:pStyle w:val="NoSpacing"/>
      </w:pPr>
      <w:r w:rsidRPr="00A15E21">
        <w:t xml:space="preserve">Finished Goods Storage Period </w:t>
      </w:r>
    </w:p>
    <w:p w:rsidR="00AA4E14" w:rsidRDefault="00AA4E14" w:rsidP="00AA4E14"/>
    <w:tbl>
      <w:tblPr>
        <w:tblStyle w:val="TableGrid"/>
        <w:tblW w:w="0" w:type="auto"/>
        <w:tblLook w:val="04A0" w:firstRow="1" w:lastRow="0" w:firstColumn="1" w:lastColumn="0" w:noHBand="0" w:noVBand="1"/>
      </w:tblPr>
      <w:tblGrid>
        <w:gridCol w:w="3192"/>
        <w:gridCol w:w="3192"/>
        <w:gridCol w:w="3192"/>
      </w:tblGrid>
      <w:tr w:rsidR="00AA4E14" w:rsidTr="00AA4E14">
        <w:tc>
          <w:tcPr>
            <w:tcW w:w="3192" w:type="dxa"/>
          </w:tcPr>
          <w:p w:rsidR="00AA4E14" w:rsidRDefault="00AA4E14" w:rsidP="00AA4E14">
            <w:pPr>
              <w:jc w:val="center"/>
              <w:rPr>
                <w:rFonts w:ascii="Times New Roman" w:hAnsi="Times New Roman" w:cs="Times New Roman"/>
              </w:rPr>
            </w:pPr>
            <w:r>
              <w:rPr>
                <w:rFonts w:ascii="Times New Roman" w:hAnsi="Times New Roman" w:cs="Times New Roman"/>
                <w:noProof/>
              </w:rPr>
              <w:t>2016</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2015</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2014</w:t>
            </w:r>
          </w:p>
        </w:tc>
      </w:tr>
      <w:tr w:rsidR="00AA4E14" w:rsidTr="00AA4E14">
        <w:tc>
          <w:tcPr>
            <w:tcW w:w="3192" w:type="dxa"/>
            <w:vAlign w:val="bottom"/>
          </w:tcPr>
          <w:p w:rsidR="00AA4E14" w:rsidRDefault="00ED1EF8" w:rsidP="00AA4E14">
            <w:pPr>
              <w:jc w:val="center"/>
              <w:rPr>
                <w:rFonts w:ascii="Calibri" w:hAnsi="Calibri" w:cs="Calibri"/>
                <w:color w:val="000000"/>
              </w:rPr>
            </w:pPr>
            <w:r>
              <w:rPr>
                <w:rFonts w:ascii="Calibri" w:hAnsi="Calibri" w:cs="Calibri"/>
                <w:color w:val="000000"/>
              </w:rPr>
              <w:t>5.50</w:t>
            </w:r>
          </w:p>
        </w:tc>
        <w:tc>
          <w:tcPr>
            <w:tcW w:w="3192" w:type="dxa"/>
            <w:vAlign w:val="bottom"/>
          </w:tcPr>
          <w:p w:rsidR="00AA4E14" w:rsidRDefault="00ED1EF8" w:rsidP="00AA4E14">
            <w:pPr>
              <w:jc w:val="center"/>
              <w:rPr>
                <w:rFonts w:ascii="Calibri" w:hAnsi="Calibri" w:cs="Calibri"/>
                <w:color w:val="000000"/>
              </w:rPr>
            </w:pPr>
            <w:r>
              <w:rPr>
                <w:rFonts w:ascii="Calibri" w:hAnsi="Calibri" w:cs="Calibri"/>
                <w:color w:val="000000"/>
              </w:rPr>
              <w:t>4.24</w:t>
            </w:r>
          </w:p>
        </w:tc>
        <w:tc>
          <w:tcPr>
            <w:tcW w:w="3192" w:type="dxa"/>
            <w:vAlign w:val="bottom"/>
          </w:tcPr>
          <w:p w:rsidR="00AA4E14" w:rsidRDefault="00ED1EF8" w:rsidP="00AA4E14">
            <w:pPr>
              <w:jc w:val="center"/>
              <w:rPr>
                <w:rFonts w:ascii="Calibri" w:hAnsi="Calibri" w:cs="Calibri"/>
                <w:color w:val="000000"/>
              </w:rPr>
            </w:pPr>
            <w:r>
              <w:rPr>
                <w:rFonts w:ascii="Calibri" w:hAnsi="Calibri" w:cs="Calibri"/>
                <w:color w:val="000000"/>
              </w:rPr>
              <w:t>0.39</w:t>
            </w:r>
          </w:p>
        </w:tc>
      </w:tr>
    </w:tbl>
    <w:p w:rsidR="00AA4E14" w:rsidRDefault="00AA4E14" w:rsidP="00AA4E14">
      <w:pPr>
        <w:spacing w:after="200" w:line="276" w:lineRule="auto"/>
        <w:jc w:val="both"/>
      </w:pPr>
    </w:p>
    <w:p w:rsidR="00AA4E14" w:rsidRPr="004D1ECD" w:rsidRDefault="00AA4E14" w:rsidP="00AA4E14">
      <w:pPr>
        <w:spacing w:after="200" w:line="276" w:lineRule="auto"/>
        <w:jc w:val="both"/>
        <w:rPr>
          <w:rFonts w:ascii="Times New Roman" w:eastAsia="Times New Roman" w:hAnsi="Times New Roman" w:cs="Times New Roman"/>
          <w:sz w:val="24"/>
          <w:szCs w:val="24"/>
        </w:rPr>
      </w:pPr>
      <w:r w:rsidRPr="00612BB7">
        <w:rPr>
          <w:rFonts w:ascii="Times New Roman" w:eastAsia="Times New Roman" w:hAnsi="Times New Roman" w:cs="Times New Roman"/>
          <w:noProof/>
          <w:sz w:val="24"/>
          <w:szCs w:val="24"/>
        </w:rPr>
        <w:drawing>
          <wp:inline distT="0" distB="0" distL="0" distR="0">
            <wp:extent cx="2609850" cy="1647825"/>
            <wp:effectExtent l="19050" t="0" r="19050" b="0"/>
            <wp:docPr id="9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A4E14" w:rsidRDefault="003B4FD0" w:rsidP="00AA4E14">
      <w:p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Usually Shorter finished good storage period is considered as a good but too low period is risky for company. So</w:t>
      </w:r>
      <w:r w:rsidR="00AA4E14">
        <w:rPr>
          <w:rFonts w:ascii="Times New Roman" w:eastAsia="Times New Roman" w:hAnsi="Times New Roman" w:cs="Times New Roman"/>
          <w:sz w:val="24"/>
          <w:szCs w:val="24"/>
        </w:rPr>
        <w:t xml:space="preserve"> we can conclude </w:t>
      </w:r>
      <w:r w:rsidR="00ED1EF8">
        <w:rPr>
          <w:rFonts w:ascii="Times New Roman" w:eastAsia="Times New Roman" w:hAnsi="Times New Roman" w:cs="Times New Roman"/>
          <w:sz w:val="24"/>
          <w:szCs w:val="24"/>
        </w:rPr>
        <w:t>the company worked well in 2016 and 2015.</w:t>
      </w:r>
    </w:p>
    <w:p w:rsidR="00AA4E14" w:rsidRDefault="00AA4E14" w:rsidP="00AA4E14">
      <w:pPr>
        <w:autoSpaceDE w:val="0"/>
        <w:autoSpaceDN w:val="0"/>
        <w:adjustRightInd w:val="0"/>
        <w:spacing w:after="0" w:line="276" w:lineRule="auto"/>
        <w:jc w:val="both"/>
        <w:rPr>
          <w:rFonts w:ascii="Times New Roman" w:eastAsia="Times New Roman" w:hAnsi="Times New Roman" w:cs="Times New Roman"/>
          <w:sz w:val="24"/>
          <w:szCs w:val="24"/>
        </w:rPr>
      </w:pPr>
    </w:p>
    <w:p w:rsidR="00AA4E14" w:rsidRPr="00A15E21" w:rsidRDefault="00AA4E14" w:rsidP="00CE70EB">
      <w:pPr>
        <w:pStyle w:val="NoSpacing"/>
      </w:pPr>
      <w:r w:rsidRPr="00A15E21">
        <w:t>Receivable Turnover</w:t>
      </w:r>
    </w:p>
    <w:p w:rsidR="00AA4E14" w:rsidRPr="00612BB7" w:rsidRDefault="00AA4E14" w:rsidP="00AA4E14"/>
    <w:tbl>
      <w:tblPr>
        <w:tblStyle w:val="TableGrid"/>
        <w:tblW w:w="0" w:type="auto"/>
        <w:tblLook w:val="04A0" w:firstRow="1" w:lastRow="0" w:firstColumn="1" w:lastColumn="0" w:noHBand="0" w:noVBand="1"/>
      </w:tblPr>
      <w:tblGrid>
        <w:gridCol w:w="3192"/>
        <w:gridCol w:w="3192"/>
        <w:gridCol w:w="3192"/>
      </w:tblGrid>
      <w:tr w:rsidR="00AA4E14" w:rsidTr="00AA4E14">
        <w:tc>
          <w:tcPr>
            <w:tcW w:w="3192" w:type="dxa"/>
          </w:tcPr>
          <w:p w:rsidR="00AA4E14" w:rsidRDefault="00AA4E14" w:rsidP="00AA4E14">
            <w:pPr>
              <w:jc w:val="center"/>
              <w:rPr>
                <w:rFonts w:ascii="Times New Roman" w:hAnsi="Times New Roman" w:cs="Times New Roman"/>
              </w:rPr>
            </w:pPr>
            <w:r>
              <w:rPr>
                <w:rFonts w:ascii="Times New Roman" w:hAnsi="Times New Roman" w:cs="Times New Roman"/>
                <w:noProof/>
              </w:rPr>
              <w:t>2016</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2015</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2014</w:t>
            </w:r>
          </w:p>
        </w:tc>
      </w:tr>
      <w:tr w:rsidR="00AA4E14" w:rsidTr="00AA4E14">
        <w:tc>
          <w:tcPr>
            <w:tcW w:w="3192" w:type="dxa"/>
            <w:vAlign w:val="bottom"/>
          </w:tcPr>
          <w:p w:rsidR="00AA4E14" w:rsidRDefault="00ED1EF8" w:rsidP="00AA4E14">
            <w:pPr>
              <w:jc w:val="center"/>
              <w:rPr>
                <w:rFonts w:ascii="Calibri" w:hAnsi="Calibri" w:cs="Calibri"/>
                <w:color w:val="000000"/>
              </w:rPr>
            </w:pPr>
            <w:r>
              <w:rPr>
                <w:rFonts w:ascii="Calibri" w:hAnsi="Calibri" w:cs="Calibri"/>
                <w:color w:val="000000"/>
              </w:rPr>
              <w:t>7.83</w:t>
            </w:r>
          </w:p>
        </w:tc>
        <w:tc>
          <w:tcPr>
            <w:tcW w:w="3192" w:type="dxa"/>
            <w:vAlign w:val="bottom"/>
          </w:tcPr>
          <w:p w:rsidR="00AA4E14" w:rsidRDefault="00ED1EF8" w:rsidP="00AA4E14">
            <w:pPr>
              <w:jc w:val="center"/>
              <w:rPr>
                <w:rFonts w:ascii="Calibri" w:hAnsi="Calibri" w:cs="Calibri"/>
                <w:color w:val="000000"/>
              </w:rPr>
            </w:pPr>
            <w:r>
              <w:rPr>
                <w:rFonts w:ascii="Calibri" w:hAnsi="Calibri" w:cs="Calibri"/>
                <w:color w:val="000000"/>
              </w:rPr>
              <w:t>5</w:t>
            </w:r>
          </w:p>
        </w:tc>
        <w:tc>
          <w:tcPr>
            <w:tcW w:w="3192" w:type="dxa"/>
          </w:tcPr>
          <w:p w:rsidR="00AA4E14" w:rsidRDefault="00ED1EF8" w:rsidP="00AA4E14">
            <w:pPr>
              <w:jc w:val="center"/>
              <w:rPr>
                <w:rFonts w:ascii="Calibri" w:hAnsi="Calibri" w:cs="Calibri"/>
                <w:color w:val="000000"/>
              </w:rPr>
            </w:pPr>
            <w:r>
              <w:rPr>
                <w:rFonts w:ascii="Calibri" w:hAnsi="Calibri" w:cs="Calibri"/>
                <w:color w:val="000000"/>
              </w:rPr>
              <w:t>7.45</w:t>
            </w:r>
          </w:p>
        </w:tc>
      </w:tr>
    </w:tbl>
    <w:p w:rsidR="00AA4E14" w:rsidRDefault="00AA4E14" w:rsidP="00AA4E14">
      <w:pPr>
        <w:rPr>
          <w:b/>
        </w:rPr>
      </w:pPr>
    </w:p>
    <w:p w:rsidR="00AA4E14" w:rsidRDefault="00AA4E14" w:rsidP="00AA4E14">
      <w:pPr>
        <w:rPr>
          <w:b/>
        </w:rPr>
      </w:pPr>
      <w:r w:rsidRPr="006E7FA4">
        <w:rPr>
          <w:b/>
          <w:noProof/>
        </w:rPr>
        <w:drawing>
          <wp:inline distT="0" distB="0" distL="0" distR="0">
            <wp:extent cx="2609850" cy="1647825"/>
            <wp:effectExtent l="19050" t="0" r="19050" b="0"/>
            <wp:docPr id="9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AA4E14" w:rsidRDefault="003B4FD0" w:rsidP="0033717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Receivable ratio lower means the firm relies on credit sales. If firm has no receivables then firm may face solvency problem. Receivable turnover ratio </w:t>
      </w:r>
      <w:r w:rsidR="00AA4E14">
        <w:rPr>
          <w:rFonts w:ascii="Times New Roman" w:eastAsia="Times New Roman" w:hAnsi="Times New Roman" w:cs="Times New Roman"/>
          <w:sz w:val="24"/>
          <w:szCs w:val="24"/>
        </w:rPr>
        <w:t xml:space="preserve">are </w:t>
      </w:r>
      <w:r w:rsidR="00ED1EF8">
        <w:rPr>
          <w:rFonts w:ascii="Times New Roman" w:eastAsia="Times New Roman" w:hAnsi="Times New Roman" w:cs="Times New Roman"/>
          <w:sz w:val="24"/>
          <w:szCs w:val="24"/>
        </w:rPr>
        <w:t>7.83</w:t>
      </w:r>
      <w:r w:rsidR="00AA4E14">
        <w:rPr>
          <w:rFonts w:ascii="Times New Roman" w:eastAsia="Times New Roman" w:hAnsi="Times New Roman" w:cs="Times New Roman"/>
          <w:sz w:val="24"/>
          <w:szCs w:val="24"/>
        </w:rPr>
        <w:t xml:space="preserve"> times in 2016 and </w:t>
      </w:r>
      <w:r w:rsidR="00ED1EF8">
        <w:rPr>
          <w:rFonts w:ascii="Times New Roman" w:eastAsia="Times New Roman" w:hAnsi="Times New Roman" w:cs="Times New Roman"/>
          <w:sz w:val="24"/>
          <w:szCs w:val="24"/>
        </w:rPr>
        <w:t>5</w:t>
      </w:r>
      <w:r w:rsidR="00AA4E14">
        <w:rPr>
          <w:rFonts w:ascii="Times New Roman" w:eastAsia="Times New Roman" w:hAnsi="Times New Roman" w:cs="Times New Roman"/>
          <w:sz w:val="24"/>
          <w:szCs w:val="24"/>
        </w:rPr>
        <w:t xml:space="preserve"> in 2015 and </w:t>
      </w:r>
      <w:r w:rsidR="00ED1EF8">
        <w:rPr>
          <w:rFonts w:ascii="Times New Roman" w:eastAsia="Times New Roman" w:hAnsi="Times New Roman" w:cs="Times New Roman"/>
          <w:sz w:val="24"/>
          <w:szCs w:val="24"/>
        </w:rPr>
        <w:t>7.45</w:t>
      </w:r>
      <w:r w:rsidR="00AA4E14">
        <w:rPr>
          <w:rFonts w:ascii="Times New Roman" w:eastAsia="Times New Roman" w:hAnsi="Times New Roman" w:cs="Times New Roman"/>
          <w:sz w:val="24"/>
          <w:szCs w:val="24"/>
        </w:rPr>
        <w:t xml:space="preserve"> in 2014</w:t>
      </w:r>
      <w:r w:rsidR="00AA4E14" w:rsidRPr="004D1ECD">
        <w:rPr>
          <w:rFonts w:ascii="Times New Roman" w:eastAsia="Times New Roman" w:hAnsi="Times New Roman" w:cs="Times New Roman"/>
          <w:sz w:val="24"/>
          <w:szCs w:val="24"/>
        </w:rPr>
        <w:t xml:space="preserve">. </w:t>
      </w:r>
      <w:r w:rsidR="00AA4E14">
        <w:rPr>
          <w:rFonts w:ascii="Times New Roman" w:eastAsia="Times New Roman" w:hAnsi="Times New Roman" w:cs="Times New Roman"/>
          <w:sz w:val="24"/>
          <w:szCs w:val="24"/>
        </w:rPr>
        <w:t>So, company becoming dependent on credit sales.</w:t>
      </w:r>
    </w:p>
    <w:p w:rsidR="00AA4E14" w:rsidRPr="00A15E21" w:rsidRDefault="00AA4E14" w:rsidP="00CE70EB">
      <w:pPr>
        <w:pStyle w:val="NoSpacing"/>
      </w:pPr>
      <w:r w:rsidRPr="00A15E21">
        <w:t>Days Sales Outstanding</w:t>
      </w:r>
    </w:p>
    <w:p w:rsidR="00AA4E14" w:rsidRPr="00581C17" w:rsidRDefault="00AA4E14" w:rsidP="00AA4E14"/>
    <w:tbl>
      <w:tblPr>
        <w:tblStyle w:val="TableGrid"/>
        <w:tblW w:w="0" w:type="auto"/>
        <w:tblLook w:val="04A0" w:firstRow="1" w:lastRow="0" w:firstColumn="1" w:lastColumn="0" w:noHBand="0" w:noVBand="1"/>
      </w:tblPr>
      <w:tblGrid>
        <w:gridCol w:w="3192"/>
        <w:gridCol w:w="3192"/>
        <w:gridCol w:w="3192"/>
      </w:tblGrid>
      <w:tr w:rsidR="00AA4E14" w:rsidTr="00AA4E14">
        <w:tc>
          <w:tcPr>
            <w:tcW w:w="3192" w:type="dxa"/>
          </w:tcPr>
          <w:p w:rsidR="00AA4E14" w:rsidRDefault="00AA4E14" w:rsidP="00AA4E14">
            <w:pPr>
              <w:jc w:val="center"/>
              <w:rPr>
                <w:rFonts w:ascii="Times New Roman" w:hAnsi="Times New Roman" w:cs="Times New Roman"/>
              </w:rPr>
            </w:pPr>
            <w:r>
              <w:rPr>
                <w:rFonts w:ascii="Times New Roman" w:hAnsi="Times New Roman" w:cs="Times New Roman"/>
                <w:noProof/>
              </w:rPr>
              <w:t>2016</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2015</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2014</w:t>
            </w:r>
          </w:p>
        </w:tc>
      </w:tr>
      <w:tr w:rsidR="00AA4E14" w:rsidTr="00AA4E14">
        <w:tc>
          <w:tcPr>
            <w:tcW w:w="3192" w:type="dxa"/>
            <w:vAlign w:val="bottom"/>
          </w:tcPr>
          <w:p w:rsidR="00AA4E14" w:rsidRDefault="00ED1EF8" w:rsidP="00AA4E14">
            <w:pPr>
              <w:jc w:val="center"/>
              <w:rPr>
                <w:rFonts w:ascii="Calibri" w:hAnsi="Calibri" w:cs="Calibri"/>
                <w:color w:val="000000"/>
              </w:rPr>
            </w:pPr>
            <w:r>
              <w:rPr>
                <w:rFonts w:ascii="Calibri" w:hAnsi="Calibri" w:cs="Calibri"/>
                <w:color w:val="000000"/>
              </w:rPr>
              <w:t>46.57</w:t>
            </w:r>
          </w:p>
        </w:tc>
        <w:tc>
          <w:tcPr>
            <w:tcW w:w="3192" w:type="dxa"/>
            <w:vAlign w:val="bottom"/>
          </w:tcPr>
          <w:p w:rsidR="00AA4E14" w:rsidRDefault="00ED1EF8" w:rsidP="00AA4E14">
            <w:pPr>
              <w:jc w:val="center"/>
              <w:rPr>
                <w:rFonts w:ascii="Calibri" w:hAnsi="Calibri" w:cs="Calibri"/>
                <w:color w:val="000000"/>
              </w:rPr>
            </w:pPr>
            <w:r>
              <w:rPr>
                <w:rFonts w:ascii="Calibri" w:hAnsi="Calibri" w:cs="Calibri"/>
                <w:color w:val="000000"/>
              </w:rPr>
              <w:t>72.86</w:t>
            </w:r>
          </w:p>
        </w:tc>
        <w:tc>
          <w:tcPr>
            <w:tcW w:w="3192" w:type="dxa"/>
          </w:tcPr>
          <w:p w:rsidR="00AA4E14" w:rsidRDefault="00ED1EF8" w:rsidP="00AA4E14">
            <w:pPr>
              <w:jc w:val="center"/>
              <w:rPr>
                <w:rFonts w:ascii="Calibri" w:hAnsi="Calibri" w:cs="Calibri"/>
                <w:color w:val="000000"/>
              </w:rPr>
            </w:pPr>
            <w:r>
              <w:rPr>
                <w:rFonts w:ascii="Calibri" w:hAnsi="Calibri" w:cs="Calibri"/>
                <w:color w:val="000000"/>
              </w:rPr>
              <w:t>48.96</w:t>
            </w:r>
          </w:p>
        </w:tc>
      </w:tr>
    </w:tbl>
    <w:p w:rsidR="00AA4E14" w:rsidRDefault="00AA4E14" w:rsidP="00AA4E14"/>
    <w:p w:rsidR="00AA4E14" w:rsidRDefault="00AA4E14" w:rsidP="00AA4E14">
      <w:pPr>
        <w:rPr>
          <w:b/>
        </w:rPr>
      </w:pPr>
      <w:r w:rsidRPr="00581C17">
        <w:rPr>
          <w:noProof/>
        </w:rPr>
        <w:drawing>
          <wp:inline distT="0" distB="0" distL="0" distR="0">
            <wp:extent cx="2609850" cy="1647825"/>
            <wp:effectExtent l="19050" t="0" r="19050" b="0"/>
            <wp:docPr id="9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AA4E14" w:rsidRDefault="00AA4E14" w:rsidP="00AA4E14">
      <w:pPr>
        <w:spacing w:after="200" w:line="276" w:lineRule="auto"/>
        <w:jc w:val="both"/>
        <w:rPr>
          <w:rFonts w:ascii="Times New Roman" w:eastAsia="Times New Roman" w:hAnsi="Times New Roman" w:cs="Times New Roman"/>
          <w:sz w:val="24"/>
          <w:szCs w:val="24"/>
        </w:rPr>
      </w:pPr>
      <w:r w:rsidRPr="004D1ECD">
        <w:rPr>
          <w:rFonts w:ascii="Times New Roman" w:eastAsia="Times New Roman" w:hAnsi="Times New Roman" w:cs="Times New Roman"/>
          <w:sz w:val="24"/>
          <w:szCs w:val="24"/>
        </w:rPr>
        <w:t>In the company, Days Sales Outstand</w:t>
      </w:r>
      <w:r>
        <w:rPr>
          <w:rFonts w:ascii="Times New Roman" w:eastAsia="Times New Roman" w:hAnsi="Times New Roman" w:cs="Times New Roman"/>
          <w:sz w:val="24"/>
          <w:szCs w:val="24"/>
        </w:rPr>
        <w:t xml:space="preserve">ing (DSO) is </w:t>
      </w:r>
      <w:r w:rsidR="00ED1EF8">
        <w:rPr>
          <w:rFonts w:ascii="Times New Roman" w:eastAsia="Times New Roman" w:hAnsi="Times New Roman" w:cs="Times New Roman"/>
          <w:sz w:val="24"/>
          <w:szCs w:val="24"/>
        </w:rPr>
        <w:t>46</w:t>
      </w:r>
      <w:r>
        <w:rPr>
          <w:rFonts w:ascii="Times New Roman" w:eastAsia="Times New Roman" w:hAnsi="Times New Roman" w:cs="Times New Roman"/>
          <w:sz w:val="24"/>
          <w:szCs w:val="24"/>
        </w:rPr>
        <w:t xml:space="preserve"> days in 2016and </w:t>
      </w:r>
      <w:r w:rsidR="00ED1EF8">
        <w:rPr>
          <w:rFonts w:ascii="Times New Roman" w:eastAsia="Times New Roman" w:hAnsi="Times New Roman" w:cs="Times New Roman"/>
          <w:sz w:val="24"/>
          <w:szCs w:val="24"/>
        </w:rPr>
        <w:t>72</w:t>
      </w:r>
      <w:r>
        <w:rPr>
          <w:rFonts w:ascii="Times New Roman" w:eastAsia="Times New Roman" w:hAnsi="Times New Roman" w:cs="Times New Roman"/>
          <w:sz w:val="24"/>
          <w:szCs w:val="24"/>
        </w:rPr>
        <w:t>days for 2015 and</w:t>
      </w:r>
      <w:r w:rsidR="00ED1EF8">
        <w:rPr>
          <w:rFonts w:ascii="Times New Roman" w:eastAsia="Times New Roman" w:hAnsi="Times New Roman" w:cs="Times New Roman"/>
          <w:sz w:val="24"/>
          <w:szCs w:val="24"/>
        </w:rPr>
        <w:t>48.96</w:t>
      </w:r>
      <w:r>
        <w:rPr>
          <w:rFonts w:ascii="Times New Roman" w:eastAsia="Times New Roman" w:hAnsi="Times New Roman" w:cs="Times New Roman"/>
          <w:sz w:val="24"/>
          <w:szCs w:val="24"/>
        </w:rPr>
        <w:t xml:space="preserve"> days in 2014. This company performed </w:t>
      </w:r>
      <w:r w:rsidR="00ED1EF8">
        <w:rPr>
          <w:rFonts w:ascii="Times New Roman" w:eastAsia="Times New Roman" w:hAnsi="Times New Roman" w:cs="Times New Roman"/>
          <w:sz w:val="24"/>
          <w:szCs w:val="24"/>
        </w:rPr>
        <w:t>better comparatively in the years of 2016 and 2015.</w:t>
      </w:r>
    </w:p>
    <w:p w:rsidR="00AA4E14" w:rsidRPr="00A15E21" w:rsidRDefault="00AA4E14" w:rsidP="00CE70EB">
      <w:pPr>
        <w:pStyle w:val="NoSpacing"/>
      </w:pPr>
      <w:r w:rsidRPr="00A15E21">
        <w:t>Cash Turnover Ratio</w:t>
      </w:r>
    </w:p>
    <w:p w:rsidR="00AA4E14" w:rsidRPr="00CC1F3F" w:rsidRDefault="00AA4E14" w:rsidP="00AA4E14"/>
    <w:tbl>
      <w:tblPr>
        <w:tblStyle w:val="TableGrid"/>
        <w:tblW w:w="0" w:type="auto"/>
        <w:tblLook w:val="04A0" w:firstRow="1" w:lastRow="0" w:firstColumn="1" w:lastColumn="0" w:noHBand="0" w:noVBand="1"/>
      </w:tblPr>
      <w:tblGrid>
        <w:gridCol w:w="3192"/>
        <w:gridCol w:w="3192"/>
        <w:gridCol w:w="3192"/>
      </w:tblGrid>
      <w:tr w:rsidR="00AA4E14" w:rsidTr="00AA4E14">
        <w:tc>
          <w:tcPr>
            <w:tcW w:w="3192" w:type="dxa"/>
          </w:tcPr>
          <w:p w:rsidR="00AA4E14" w:rsidRDefault="00AA4E14" w:rsidP="00AA4E14">
            <w:pPr>
              <w:jc w:val="center"/>
              <w:rPr>
                <w:rFonts w:ascii="Times New Roman" w:hAnsi="Times New Roman" w:cs="Times New Roman"/>
              </w:rPr>
            </w:pPr>
            <w:r>
              <w:rPr>
                <w:rFonts w:ascii="Times New Roman" w:hAnsi="Times New Roman" w:cs="Times New Roman"/>
                <w:noProof/>
              </w:rPr>
              <w:t>2016</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2015</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2014</w:t>
            </w:r>
          </w:p>
        </w:tc>
      </w:tr>
      <w:tr w:rsidR="00AA4E14" w:rsidTr="00AA4E14">
        <w:tc>
          <w:tcPr>
            <w:tcW w:w="3192" w:type="dxa"/>
            <w:vAlign w:val="bottom"/>
          </w:tcPr>
          <w:p w:rsidR="00AA4E14" w:rsidRDefault="00AA4E14" w:rsidP="001E159A">
            <w:pPr>
              <w:jc w:val="center"/>
              <w:rPr>
                <w:rFonts w:ascii="Calibri" w:hAnsi="Calibri" w:cs="Calibri"/>
                <w:color w:val="000000"/>
              </w:rPr>
            </w:pPr>
            <w:r>
              <w:rPr>
                <w:rFonts w:ascii="Calibri" w:hAnsi="Calibri" w:cs="Calibri"/>
                <w:color w:val="000000"/>
              </w:rPr>
              <w:t>0</w:t>
            </w:r>
            <w:r w:rsidR="001E159A">
              <w:rPr>
                <w:rFonts w:ascii="Calibri" w:hAnsi="Calibri" w:cs="Calibri"/>
                <w:color w:val="000000"/>
              </w:rPr>
              <w:t>.58</w:t>
            </w:r>
          </w:p>
        </w:tc>
        <w:tc>
          <w:tcPr>
            <w:tcW w:w="3192" w:type="dxa"/>
            <w:vAlign w:val="bottom"/>
          </w:tcPr>
          <w:p w:rsidR="00AA4E14" w:rsidRDefault="001E159A" w:rsidP="00AA4E14">
            <w:pPr>
              <w:jc w:val="center"/>
              <w:rPr>
                <w:rFonts w:ascii="Calibri" w:hAnsi="Calibri" w:cs="Calibri"/>
                <w:color w:val="000000"/>
              </w:rPr>
            </w:pPr>
            <w:r>
              <w:rPr>
                <w:rFonts w:ascii="Calibri" w:hAnsi="Calibri" w:cs="Calibri"/>
                <w:color w:val="000000"/>
              </w:rPr>
              <w:t>1.058</w:t>
            </w:r>
          </w:p>
        </w:tc>
        <w:tc>
          <w:tcPr>
            <w:tcW w:w="3192" w:type="dxa"/>
            <w:vAlign w:val="bottom"/>
          </w:tcPr>
          <w:p w:rsidR="00AA4E14" w:rsidRDefault="001E159A" w:rsidP="00AA4E14">
            <w:pPr>
              <w:jc w:val="center"/>
              <w:rPr>
                <w:rFonts w:ascii="Calibri" w:hAnsi="Calibri" w:cs="Calibri"/>
                <w:color w:val="000000"/>
              </w:rPr>
            </w:pPr>
            <w:r>
              <w:rPr>
                <w:rFonts w:ascii="Calibri" w:hAnsi="Calibri" w:cs="Calibri"/>
                <w:color w:val="000000"/>
              </w:rPr>
              <w:t>0.72</w:t>
            </w:r>
          </w:p>
        </w:tc>
      </w:tr>
    </w:tbl>
    <w:p w:rsidR="00AA4E14" w:rsidRDefault="00AA4E14" w:rsidP="00AA4E14">
      <w:pPr>
        <w:rPr>
          <w:b/>
        </w:rPr>
      </w:pPr>
    </w:p>
    <w:p w:rsidR="00AA4E14" w:rsidRDefault="00AA4E14" w:rsidP="00AA4E14">
      <w:pPr>
        <w:rPr>
          <w:b/>
        </w:rPr>
      </w:pPr>
      <w:r w:rsidRPr="00CC1F3F">
        <w:rPr>
          <w:b/>
          <w:noProof/>
        </w:rPr>
        <w:drawing>
          <wp:inline distT="0" distB="0" distL="0" distR="0">
            <wp:extent cx="2609850" cy="1543050"/>
            <wp:effectExtent l="19050" t="0" r="19050" b="0"/>
            <wp:docPr id="9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AA4E14" w:rsidRDefault="001E159A" w:rsidP="00AA4E14">
      <w:pPr>
        <w:rPr>
          <w:rFonts w:ascii="Times New Roman" w:hAnsi="Times New Roman" w:cs="Times New Roman"/>
          <w:sz w:val="24"/>
          <w:szCs w:val="24"/>
        </w:rPr>
      </w:pPr>
      <w:r>
        <w:rPr>
          <w:rFonts w:ascii="Times New Roman" w:hAnsi="Times New Roman" w:cs="Times New Roman"/>
          <w:sz w:val="24"/>
          <w:szCs w:val="24"/>
        </w:rPr>
        <w:t xml:space="preserve">Through </w:t>
      </w:r>
      <w:r w:rsidR="00870082">
        <w:rPr>
          <w:rFonts w:ascii="Times New Roman" w:hAnsi="Times New Roman" w:cs="Times New Roman"/>
          <w:sz w:val="24"/>
          <w:szCs w:val="24"/>
        </w:rPr>
        <w:t>These years</w:t>
      </w:r>
      <w:r w:rsidR="00AA4E14">
        <w:rPr>
          <w:rFonts w:ascii="Times New Roman" w:hAnsi="Times New Roman" w:cs="Times New Roman"/>
          <w:sz w:val="24"/>
          <w:szCs w:val="24"/>
        </w:rPr>
        <w:t xml:space="preserve"> of 2015 company used their cash efficiently.</w:t>
      </w:r>
    </w:p>
    <w:p w:rsidR="00AA4E14" w:rsidRDefault="00AA4E14" w:rsidP="00AA4E14">
      <w:pPr>
        <w:pStyle w:val="Heading2"/>
        <w:rPr>
          <w:b/>
          <w:sz w:val="28"/>
          <w:szCs w:val="28"/>
        </w:rPr>
      </w:pPr>
    </w:p>
    <w:p w:rsidR="00AA4E14" w:rsidRPr="00A15E21" w:rsidRDefault="00AA4E14" w:rsidP="00CE70EB">
      <w:pPr>
        <w:pStyle w:val="NoSpacing"/>
      </w:pPr>
      <w:r w:rsidRPr="00A15E21">
        <w:t>Payable Turnover</w:t>
      </w:r>
    </w:p>
    <w:tbl>
      <w:tblPr>
        <w:tblStyle w:val="TableGrid"/>
        <w:tblW w:w="0" w:type="auto"/>
        <w:tblLook w:val="04A0" w:firstRow="1" w:lastRow="0" w:firstColumn="1" w:lastColumn="0" w:noHBand="0" w:noVBand="1"/>
      </w:tblPr>
      <w:tblGrid>
        <w:gridCol w:w="3192"/>
        <w:gridCol w:w="3192"/>
        <w:gridCol w:w="3192"/>
      </w:tblGrid>
      <w:tr w:rsidR="001E159A" w:rsidTr="00B37540">
        <w:tc>
          <w:tcPr>
            <w:tcW w:w="3192" w:type="dxa"/>
          </w:tcPr>
          <w:p w:rsidR="001E159A" w:rsidRDefault="001E159A" w:rsidP="00AA4E14">
            <w:pPr>
              <w:jc w:val="center"/>
              <w:rPr>
                <w:rFonts w:ascii="Times New Roman" w:hAnsi="Times New Roman" w:cs="Times New Roman"/>
              </w:rPr>
            </w:pPr>
            <w:r>
              <w:rPr>
                <w:rFonts w:ascii="Times New Roman" w:hAnsi="Times New Roman" w:cs="Times New Roman"/>
                <w:noProof/>
              </w:rPr>
              <w:lastRenderedPageBreak/>
              <w:t>2016</w:t>
            </w:r>
          </w:p>
        </w:tc>
        <w:tc>
          <w:tcPr>
            <w:tcW w:w="3192" w:type="dxa"/>
          </w:tcPr>
          <w:p w:rsidR="001E159A" w:rsidRDefault="001E159A" w:rsidP="00AA4E14">
            <w:pPr>
              <w:jc w:val="center"/>
              <w:rPr>
                <w:rFonts w:ascii="Times New Roman" w:hAnsi="Times New Roman" w:cs="Times New Roman"/>
              </w:rPr>
            </w:pPr>
            <w:r>
              <w:rPr>
                <w:rFonts w:ascii="Times New Roman" w:hAnsi="Times New Roman" w:cs="Times New Roman"/>
              </w:rPr>
              <w:t>2015</w:t>
            </w:r>
          </w:p>
        </w:tc>
        <w:tc>
          <w:tcPr>
            <w:tcW w:w="3192" w:type="dxa"/>
          </w:tcPr>
          <w:p w:rsidR="001E159A" w:rsidRDefault="001E159A" w:rsidP="00AA4E14">
            <w:pPr>
              <w:jc w:val="center"/>
              <w:rPr>
                <w:rFonts w:ascii="Times New Roman" w:hAnsi="Times New Roman" w:cs="Times New Roman"/>
              </w:rPr>
            </w:pPr>
            <w:r>
              <w:rPr>
                <w:rFonts w:ascii="Times New Roman" w:hAnsi="Times New Roman" w:cs="Times New Roman"/>
              </w:rPr>
              <w:t>2014</w:t>
            </w:r>
          </w:p>
        </w:tc>
      </w:tr>
      <w:tr w:rsidR="001E159A" w:rsidTr="00B37540">
        <w:tc>
          <w:tcPr>
            <w:tcW w:w="3192" w:type="dxa"/>
            <w:vAlign w:val="bottom"/>
          </w:tcPr>
          <w:p w:rsidR="001E159A" w:rsidRDefault="001E159A" w:rsidP="00AA4E14">
            <w:pPr>
              <w:jc w:val="center"/>
              <w:rPr>
                <w:rFonts w:ascii="Calibri" w:hAnsi="Calibri" w:cs="Calibri"/>
                <w:color w:val="000000"/>
              </w:rPr>
            </w:pPr>
            <w:r>
              <w:rPr>
                <w:rFonts w:ascii="Calibri" w:hAnsi="Calibri" w:cs="Calibri"/>
                <w:color w:val="000000"/>
              </w:rPr>
              <w:t>4.24</w:t>
            </w:r>
          </w:p>
        </w:tc>
        <w:tc>
          <w:tcPr>
            <w:tcW w:w="3192" w:type="dxa"/>
            <w:vAlign w:val="bottom"/>
          </w:tcPr>
          <w:p w:rsidR="001E159A" w:rsidRDefault="001E159A" w:rsidP="00AA4E14">
            <w:pPr>
              <w:jc w:val="center"/>
              <w:rPr>
                <w:rFonts w:ascii="Calibri" w:hAnsi="Calibri" w:cs="Calibri"/>
                <w:color w:val="000000"/>
              </w:rPr>
            </w:pPr>
            <w:r>
              <w:rPr>
                <w:rFonts w:ascii="Calibri" w:hAnsi="Calibri" w:cs="Calibri"/>
                <w:color w:val="000000"/>
              </w:rPr>
              <w:t>3.63</w:t>
            </w:r>
          </w:p>
        </w:tc>
        <w:tc>
          <w:tcPr>
            <w:tcW w:w="3192" w:type="dxa"/>
          </w:tcPr>
          <w:p w:rsidR="001E159A" w:rsidRDefault="001E159A" w:rsidP="00AA4E14">
            <w:pPr>
              <w:jc w:val="center"/>
              <w:rPr>
                <w:rFonts w:ascii="Calibri" w:hAnsi="Calibri" w:cs="Calibri"/>
                <w:color w:val="000000"/>
              </w:rPr>
            </w:pPr>
            <w:r>
              <w:rPr>
                <w:rFonts w:ascii="Calibri" w:hAnsi="Calibri" w:cs="Calibri"/>
                <w:color w:val="000000"/>
              </w:rPr>
              <w:t>3.98</w:t>
            </w:r>
          </w:p>
        </w:tc>
      </w:tr>
    </w:tbl>
    <w:p w:rsidR="00AA4E14" w:rsidRDefault="00AA4E14" w:rsidP="00AA4E14"/>
    <w:p w:rsidR="00AA4E14" w:rsidRDefault="00AA4E14" w:rsidP="00AA4E14">
      <w:r w:rsidRPr="00E626EB">
        <w:rPr>
          <w:noProof/>
        </w:rPr>
        <w:drawing>
          <wp:inline distT="0" distB="0" distL="0" distR="0">
            <wp:extent cx="2609850" cy="1543050"/>
            <wp:effectExtent l="19050" t="0" r="19050" b="0"/>
            <wp:docPr id="9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A4E14" w:rsidRDefault="003B4FD0" w:rsidP="0033717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ratio shows when the company make payment to its supplier. We get the ratio by cost of sales divided by average accounts payables. </w:t>
      </w:r>
      <w:r w:rsidRPr="004D1ECD">
        <w:rPr>
          <w:rFonts w:ascii="Times New Roman" w:eastAsia="Times New Roman" w:hAnsi="Times New Roman" w:cs="Times New Roman"/>
          <w:sz w:val="24"/>
          <w:szCs w:val="24"/>
        </w:rPr>
        <w:t>Higher this ratio represent the company use its current asset in efficient way.</w:t>
      </w:r>
      <w:r>
        <w:rPr>
          <w:rFonts w:ascii="Times New Roman" w:eastAsia="Times New Roman" w:hAnsi="Times New Roman" w:cs="Times New Roman"/>
          <w:sz w:val="24"/>
          <w:szCs w:val="24"/>
        </w:rPr>
        <w:t xml:space="preserve"> </w:t>
      </w:r>
      <w:r w:rsidR="001E159A">
        <w:rPr>
          <w:rFonts w:ascii="Times New Roman" w:eastAsia="Times New Roman" w:hAnsi="Times New Roman" w:cs="Times New Roman"/>
          <w:sz w:val="24"/>
          <w:szCs w:val="24"/>
        </w:rPr>
        <w:t>Lower</w:t>
      </w:r>
      <w:r w:rsidR="00AA4E14" w:rsidRPr="004D1ECD">
        <w:rPr>
          <w:rFonts w:ascii="Times New Roman" w:eastAsia="Times New Roman" w:hAnsi="Times New Roman" w:cs="Times New Roman"/>
          <w:sz w:val="24"/>
          <w:szCs w:val="24"/>
        </w:rPr>
        <w:t xml:space="preserve"> this ratio represent the company use its current asset in efficient way</w:t>
      </w:r>
      <w:r w:rsidR="0089708B">
        <w:rPr>
          <w:rFonts w:ascii="Times New Roman" w:eastAsia="Times New Roman" w:hAnsi="Times New Roman" w:cs="Times New Roman"/>
          <w:sz w:val="24"/>
          <w:szCs w:val="24"/>
        </w:rPr>
        <w:t xml:space="preserve"> </w:t>
      </w:r>
      <w:r w:rsidR="001E159A">
        <w:rPr>
          <w:rFonts w:ascii="Times New Roman" w:eastAsia="Times New Roman" w:hAnsi="Times New Roman" w:cs="Times New Roman"/>
          <w:sz w:val="24"/>
          <w:szCs w:val="24"/>
        </w:rPr>
        <w:t>Appex Textile Limited</w:t>
      </w:r>
      <w:r w:rsidR="0089708B">
        <w:rPr>
          <w:rFonts w:ascii="Times New Roman" w:eastAsia="Times New Roman" w:hAnsi="Times New Roman" w:cs="Times New Roman"/>
          <w:sz w:val="24"/>
          <w:szCs w:val="24"/>
        </w:rPr>
        <w:t xml:space="preserve"> </w:t>
      </w:r>
      <w:r w:rsidR="001E159A">
        <w:rPr>
          <w:rFonts w:ascii="Times New Roman" w:eastAsia="Times New Roman" w:hAnsi="Times New Roman" w:cs="Times New Roman"/>
          <w:sz w:val="24"/>
          <w:szCs w:val="24"/>
        </w:rPr>
        <w:t>used their payable amount properly.</w:t>
      </w:r>
    </w:p>
    <w:p w:rsidR="00AA4E14" w:rsidRDefault="00AA4E14" w:rsidP="00AA4E14">
      <w:pPr>
        <w:spacing w:after="200" w:line="276" w:lineRule="auto"/>
        <w:jc w:val="both"/>
        <w:rPr>
          <w:rFonts w:ascii="Times New Roman" w:eastAsia="Times New Roman" w:hAnsi="Times New Roman" w:cs="Times New Roman"/>
          <w:sz w:val="24"/>
          <w:szCs w:val="24"/>
        </w:rPr>
      </w:pPr>
    </w:p>
    <w:p w:rsidR="00CE70EB" w:rsidRDefault="00CE70EB" w:rsidP="00AA4E14">
      <w:pPr>
        <w:spacing w:after="200" w:line="276" w:lineRule="auto"/>
        <w:jc w:val="both"/>
        <w:rPr>
          <w:rFonts w:ascii="Times New Roman" w:eastAsia="Times New Roman" w:hAnsi="Times New Roman" w:cs="Times New Roman"/>
          <w:sz w:val="24"/>
          <w:szCs w:val="24"/>
        </w:rPr>
      </w:pPr>
    </w:p>
    <w:p w:rsidR="00AA4E14" w:rsidRPr="00A15E21" w:rsidRDefault="00AA4E14" w:rsidP="00CE70EB">
      <w:pPr>
        <w:pStyle w:val="NoSpacing"/>
      </w:pPr>
      <w:r w:rsidRPr="00A15E21">
        <w:t>Days Payable Outstanding</w:t>
      </w:r>
    </w:p>
    <w:p w:rsidR="00AA4E14" w:rsidRPr="008473B1" w:rsidRDefault="00AA4E14" w:rsidP="00AA4E14"/>
    <w:tbl>
      <w:tblPr>
        <w:tblStyle w:val="TableGrid"/>
        <w:tblW w:w="0" w:type="auto"/>
        <w:tblLook w:val="04A0" w:firstRow="1" w:lastRow="0" w:firstColumn="1" w:lastColumn="0" w:noHBand="0" w:noVBand="1"/>
      </w:tblPr>
      <w:tblGrid>
        <w:gridCol w:w="3192"/>
        <w:gridCol w:w="3192"/>
        <w:gridCol w:w="3192"/>
      </w:tblGrid>
      <w:tr w:rsidR="001E159A" w:rsidTr="00B37540">
        <w:tc>
          <w:tcPr>
            <w:tcW w:w="3192" w:type="dxa"/>
          </w:tcPr>
          <w:p w:rsidR="001E159A" w:rsidRDefault="001E159A" w:rsidP="00AA4E14">
            <w:pPr>
              <w:jc w:val="center"/>
              <w:rPr>
                <w:rFonts w:ascii="Times New Roman" w:hAnsi="Times New Roman" w:cs="Times New Roman"/>
              </w:rPr>
            </w:pPr>
            <w:r>
              <w:rPr>
                <w:rFonts w:ascii="Times New Roman" w:hAnsi="Times New Roman" w:cs="Times New Roman"/>
                <w:noProof/>
              </w:rPr>
              <w:t>2016</w:t>
            </w:r>
          </w:p>
        </w:tc>
        <w:tc>
          <w:tcPr>
            <w:tcW w:w="3192" w:type="dxa"/>
          </w:tcPr>
          <w:p w:rsidR="001E159A" w:rsidRDefault="001E159A" w:rsidP="00AA4E14">
            <w:pPr>
              <w:jc w:val="center"/>
              <w:rPr>
                <w:rFonts w:ascii="Times New Roman" w:hAnsi="Times New Roman" w:cs="Times New Roman"/>
              </w:rPr>
            </w:pPr>
            <w:r>
              <w:rPr>
                <w:rFonts w:ascii="Times New Roman" w:hAnsi="Times New Roman" w:cs="Times New Roman"/>
              </w:rPr>
              <w:t>2015</w:t>
            </w:r>
          </w:p>
        </w:tc>
        <w:tc>
          <w:tcPr>
            <w:tcW w:w="3192" w:type="dxa"/>
          </w:tcPr>
          <w:p w:rsidR="001E159A" w:rsidRDefault="001E159A" w:rsidP="00AA4E14">
            <w:pPr>
              <w:jc w:val="center"/>
              <w:rPr>
                <w:rFonts w:ascii="Times New Roman" w:hAnsi="Times New Roman" w:cs="Times New Roman"/>
              </w:rPr>
            </w:pPr>
            <w:r>
              <w:rPr>
                <w:rFonts w:ascii="Times New Roman" w:hAnsi="Times New Roman" w:cs="Times New Roman"/>
              </w:rPr>
              <w:t>2014</w:t>
            </w:r>
          </w:p>
        </w:tc>
      </w:tr>
      <w:tr w:rsidR="001E159A" w:rsidTr="00B37540">
        <w:tc>
          <w:tcPr>
            <w:tcW w:w="3192" w:type="dxa"/>
            <w:vAlign w:val="bottom"/>
          </w:tcPr>
          <w:p w:rsidR="001E159A" w:rsidRDefault="001E159A" w:rsidP="00AA4E14">
            <w:pPr>
              <w:jc w:val="center"/>
              <w:rPr>
                <w:rFonts w:ascii="Calibri" w:hAnsi="Calibri" w:cs="Calibri"/>
                <w:color w:val="000000"/>
              </w:rPr>
            </w:pPr>
            <w:r>
              <w:rPr>
                <w:rFonts w:ascii="Calibri" w:hAnsi="Calibri" w:cs="Calibri"/>
                <w:color w:val="000000"/>
              </w:rPr>
              <w:t>86</w:t>
            </w:r>
          </w:p>
        </w:tc>
        <w:tc>
          <w:tcPr>
            <w:tcW w:w="3192" w:type="dxa"/>
            <w:vAlign w:val="bottom"/>
          </w:tcPr>
          <w:p w:rsidR="001E159A" w:rsidRDefault="001E159A" w:rsidP="00AA4E14">
            <w:pPr>
              <w:jc w:val="center"/>
              <w:rPr>
                <w:rFonts w:ascii="Calibri" w:hAnsi="Calibri" w:cs="Calibri"/>
                <w:color w:val="000000"/>
              </w:rPr>
            </w:pPr>
            <w:r>
              <w:rPr>
                <w:rFonts w:ascii="Calibri" w:hAnsi="Calibri" w:cs="Calibri"/>
                <w:color w:val="000000"/>
              </w:rPr>
              <w:t>100</w:t>
            </w:r>
          </w:p>
        </w:tc>
        <w:tc>
          <w:tcPr>
            <w:tcW w:w="3192" w:type="dxa"/>
          </w:tcPr>
          <w:p w:rsidR="001E159A" w:rsidRDefault="001E159A" w:rsidP="00AA4E14">
            <w:pPr>
              <w:jc w:val="center"/>
              <w:rPr>
                <w:rFonts w:ascii="Calibri" w:hAnsi="Calibri" w:cs="Calibri"/>
                <w:color w:val="000000"/>
              </w:rPr>
            </w:pPr>
            <w:r>
              <w:rPr>
                <w:rFonts w:ascii="Calibri" w:hAnsi="Calibri" w:cs="Calibri"/>
                <w:color w:val="000000"/>
              </w:rPr>
              <w:t>91</w:t>
            </w:r>
          </w:p>
        </w:tc>
      </w:tr>
    </w:tbl>
    <w:p w:rsidR="00AA4E14" w:rsidRDefault="00AA4E14" w:rsidP="00AA4E14"/>
    <w:p w:rsidR="00AA4E14" w:rsidRDefault="00AA4E14" w:rsidP="00AA4E14">
      <w:r w:rsidRPr="008473B1">
        <w:rPr>
          <w:noProof/>
        </w:rPr>
        <w:drawing>
          <wp:inline distT="0" distB="0" distL="0" distR="0">
            <wp:extent cx="2609850" cy="1543050"/>
            <wp:effectExtent l="19050" t="0" r="19050" b="0"/>
            <wp:docPr id="9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AA4E14" w:rsidRDefault="00AA4E14" w:rsidP="00AA4E14">
      <w:pPr>
        <w:spacing w:after="200" w:line="276" w:lineRule="auto"/>
        <w:jc w:val="both"/>
        <w:rPr>
          <w:rFonts w:ascii="Times New Roman" w:eastAsia="Times New Roman" w:hAnsi="Times New Roman" w:cs="Times New Roman"/>
          <w:sz w:val="24"/>
          <w:szCs w:val="24"/>
        </w:rPr>
      </w:pPr>
      <w:r w:rsidRPr="004D1ECD">
        <w:rPr>
          <w:rFonts w:ascii="Times New Roman" w:eastAsia="Times New Roman" w:hAnsi="Times New Roman" w:cs="Times New Roman"/>
          <w:sz w:val="24"/>
          <w:szCs w:val="24"/>
        </w:rPr>
        <w:t>This ratio represent a company how delayed their payment to their supplier in a periodic time. This ratio higher means it delays more to pay their supplier and more effic</w:t>
      </w:r>
      <w:r>
        <w:rPr>
          <w:rFonts w:ascii="Times New Roman" w:eastAsia="Times New Roman" w:hAnsi="Times New Roman" w:cs="Times New Roman"/>
          <w:sz w:val="24"/>
          <w:szCs w:val="24"/>
        </w:rPr>
        <w:t xml:space="preserve">ient in their operation. So, </w:t>
      </w:r>
      <w:r w:rsidR="008D3E89">
        <w:rPr>
          <w:rFonts w:ascii="Times New Roman" w:eastAsia="Times New Roman" w:hAnsi="Times New Roman" w:cs="Times New Roman"/>
          <w:sz w:val="24"/>
          <w:szCs w:val="24"/>
        </w:rPr>
        <w:t>through these years</w:t>
      </w:r>
      <w:r w:rsidR="00870082">
        <w:rPr>
          <w:rFonts w:ascii="Times New Roman" w:eastAsia="Times New Roman" w:hAnsi="Times New Roman" w:cs="Times New Roman"/>
          <w:sz w:val="24"/>
          <w:szCs w:val="24"/>
        </w:rPr>
        <w:t xml:space="preserve"> </w:t>
      </w:r>
      <w:r w:rsidR="008D3E89">
        <w:rPr>
          <w:rFonts w:ascii="Times New Roman" w:eastAsia="Times New Roman" w:hAnsi="Times New Roman" w:cs="Times New Roman"/>
          <w:sz w:val="24"/>
          <w:szCs w:val="24"/>
        </w:rPr>
        <w:t>Appex Textile Limited</w:t>
      </w:r>
      <w:r w:rsidR="00870082">
        <w:rPr>
          <w:rFonts w:ascii="Times New Roman" w:eastAsia="Times New Roman" w:hAnsi="Times New Roman" w:cs="Times New Roman"/>
          <w:sz w:val="24"/>
          <w:szCs w:val="24"/>
        </w:rPr>
        <w:t xml:space="preserve"> d</w:t>
      </w:r>
      <w:r>
        <w:rPr>
          <w:rFonts w:ascii="Times New Roman" w:eastAsia="Times New Roman" w:hAnsi="Times New Roman" w:cs="Times New Roman"/>
          <w:sz w:val="24"/>
          <w:szCs w:val="24"/>
        </w:rPr>
        <w:t>elayed more to their suppliers to pay.</w:t>
      </w:r>
    </w:p>
    <w:p w:rsidR="00AA4E14" w:rsidRPr="00A15E21" w:rsidRDefault="00AA4E14" w:rsidP="00CE70EB">
      <w:pPr>
        <w:pStyle w:val="NoSpacing"/>
      </w:pPr>
      <w:r w:rsidRPr="00A15E21">
        <w:t>Current Ratio</w:t>
      </w:r>
    </w:p>
    <w:tbl>
      <w:tblPr>
        <w:tblStyle w:val="TableGrid"/>
        <w:tblW w:w="0" w:type="auto"/>
        <w:tblLook w:val="04A0" w:firstRow="1" w:lastRow="0" w:firstColumn="1" w:lastColumn="0" w:noHBand="0" w:noVBand="1"/>
      </w:tblPr>
      <w:tblGrid>
        <w:gridCol w:w="3192"/>
        <w:gridCol w:w="3192"/>
        <w:gridCol w:w="3192"/>
      </w:tblGrid>
      <w:tr w:rsidR="00AA4E14" w:rsidTr="00AA4E14">
        <w:tc>
          <w:tcPr>
            <w:tcW w:w="3192" w:type="dxa"/>
          </w:tcPr>
          <w:p w:rsidR="00AA4E14" w:rsidRDefault="00AA4E14" w:rsidP="00AA4E14">
            <w:pPr>
              <w:jc w:val="center"/>
              <w:rPr>
                <w:rFonts w:ascii="Times New Roman" w:hAnsi="Times New Roman" w:cs="Times New Roman"/>
              </w:rPr>
            </w:pPr>
            <w:r>
              <w:rPr>
                <w:rFonts w:ascii="Times New Roman" w:hAnsi="Times New Roman" w:cs="Times New Roman"/>
                <w:noProof/>
              </w:rPr>
              <w:lastRenderedPageBreak/>
              <w:t>2016</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2015</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2014</w:t>
            </w:r>
          </w:p>
        </w:tc>
      </w:tr>
      <w:tr w:rsidR="00AA4E14" w:rsidTr="00AA4E14">
        <w:tc>
          <w:tcPr>
            <w:tcW w:w="3192" w:type="dxa"/>
            <w:vAlign w:val="bottom"/>
          </w:tcPr>
          <w:p w:rsidR="00AA4E14" w:rsidRDefault="00B26F80" w:rsidP="00AA4E14">
            <w:pPr>
              <w:jc w:val="center"/>
              <w:rPr>
                <w:rFonts w:ascii="Calibri" w:hAnsi="Calibri" w:cs="Calibri"/>
                <w:color w:val="000000"/>
              </w:rPr>
            </w:pPr>
            <w:r>
              <w:rPr>
                <w:rFonts w:ascii="Calibri" w:hAnsi="Calibri" w:cs="Calibri"/>
                <w:color w:val="000000"/>
              </w:rPr>
              <w:t>1.16</w:t>
            </w:r>
          </w:p>
        </w:tc>
        <w:tc>
          <w:tcPr>
            <w:tcW w:w="3192" w:type="dxa"/>
            <w:vAlign w:val="bottom"/>
          </w:tcPr>
          <w:p w:rsidR="00AA4E14" w:rsidRDefault="00B26F80" w:rsidP="00AA4E14">
            <w:pPr>
              <w:jc w:val="center"/>
              <w:rPr>
                <w:rFonts w:ascii="Calibri" w:hAnsi="Calibri" w:cs="Calibri"/>
                <w:color w:val="000000"/>
              </w:rPr>
            </w:pPr>
            <w:r>
              <w:rPr>
                <w:rFonts w:ascii="Calibri" w:hAnsi="Calibri" w:cs="Calibri"/>
                <w:color w:val="000000"/>
              </w:rPr>
              <w:t>1.12</w:t>
            </w:r>
          </w:p>
        </w:tc>
        <w:tc>
          <w:tcPr>
            <w:tcW w:w="3192" w:type="dxa"/>
            <w:vAlign w:val="bottom"/>
          </w:tcPr>
          <w:p w:rsidR="00AA4E14" w:rsidRDefault="00B26F80" w:rsidP="00AA4E14">
            <w:pPr>
              <w:jc w:val="center"/>
              <w:rPr>
                <w:rFonts w:ascii="Calibri" w:hAnsi="Calibri" w:cs="Calibri"/>
                <w:color w:val="000000"/>
              </w:rPr>
            </w:pPr>
            <w:r>
              <w:rPr>
                <w:rFonts w:ascii="Calibri" w:hAnsi="Calibri" w:cs="Calibri"/>
                <w:color w:val="000000"/>
              </w:rPr>
              <w:t>1.17</w:t>
            </w:r>
          </w:p>
        </w:tc>
      </w:tr>
    </w:tbl>
    <w:p w:rsidR="00AA4E14" w:rsidRPr="00DC095D" w:rsidRDefault="00AA4E14" w:rsidP="00AA4E14"/>
    <w:p w:rsidR="00AA4E14" w:rsidRDefault="00AA4E14" w:rsidP="00AA4E14">
      <w:r w:rsidRPr="00DC095D">
        <w:rPr>
          <w:noProof/>
        </w:rPr>
        <w:drawing>
          <wp:inline distT="0" distB="0" distL="0" distR="0">
            <wp:extent cx="2609850" cy="1543050"/>
            <wp:effectExtent l="19050" t="0" r="19050" b="0"/>
            <wp:docPr id="10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AA4E14" w:rsidRDefault="00AA4E14" w:rsidP="00AA4E14">
      <w:pPr>
        <w:spacing w:after="200" w:line="276" w:lineRule="auto"/>
        <w:jc w:val="both"/>
        <w:rPr>
          <w:rFonts w:ascii="Times New Roman" w:eastAsia="Times New Roman" w:hAnsi="Times New Roman" w:cs="Times New Roman"/>
          <w:sz w:val="24"/>
          <w:szCs w:val="24"/>
        </w:rPr>
      </w:pPr>
      <w:r w:rsidRPr="004D1ECD">
        <w:rPr>
          <w:rFonts w:ascii="Times New Roman" w:eastAsia="Times New Roman" w:hAnsi="Times New Roman" w:cs="Times New Roman"/>
          <w:sz w:val="24"/>
          <w:szCs w:val="24"/>
        </w:rPr>
        <w:t xml:space="preserve">It’s a measure of liquidity. It indicates how company is able to pay its debt in a period of </w:t>
      </w:r>
      <w:r>
        <w:rPr>
          <w:rFonts w:ascii="Times New Roman" w:eastAsia="Times New Roman" w:hAnsi="Times New Roman" w:cs="Times New Roman"/>
          <w:sz w:val="24"/>
          <w:szCs w:val="24"/>
        </w:rPr>
        <w:t>time with current asset. Current ratios for the company 1:</w:t>
      </w:r>
      <w:r w:rsidR="00B26F80">
        <w:rPr>
          <w:rFonts w:ascii="Times New Roman" w:hAnsi="Times New Roman" w:cs="Times New Roman"/>
          <w:color w:val="000000"/>
          <w:sz w:val="24"/>
          <w:szCs w:val="24"/>
        </w:rPr>
        <w:t>1.16</w:t>
      </w:r>
      <w:r>
        <w:rPr>
          <w:rFonts w:ascii="Times New Roman" w:eastAsia="Times New Roman" w:hAnsi="Times New Roman" w:cs="Times New Roman"/>
          <w:sz w:val="24"/>
          <w:szCs w:val="24"/>
        </w:rPr>
        <w:t>, 1:</w:t>
      </w:r>
      <w:r w:rsidR="00B26F80">
        <w:rPr>
          <w:rFonts w:ascii="Times New Roman" w:eastAsia="Times New Roman" w:hAnsi="Times New Roman" w:cs="Times New Roman"/>
          <w:sz w:val="24"/>
          <w:szCs w:val="24"/>
        </w:rPr>
        <w:t>1.12,</w:t>
      </w:r>
      <w:r>
        <w:rPr>
          <w:rFonts w:ascii="Times New Roman" w:eastAsia="Times New Roman" w:hAnsi="Times New Roman" w:cs="Times New Roman"/>
          <w:sz w:val="24"/>
          <w:szCs w:val="24"/>
        </w:rPr>
        <w:t xml:space="preserve"> 1:</w:t>
      </w:r>
      <w:r w:rsidR="00B26F80">
        <w:rPr>
          <w:rFonts w:ascii="Times New Roman" w:eastAsia="Times New Roman" w:hAnsi="Times New Roman" w:cs="Times New Roman"/>
          <w:sz w:val="24"/>
          <w:szCs w:val="24"/>
        </w:rPr>
        <w:t>1.17</w:t>
      </w:r>
      <w:r>
        <w:rPr>
          <w:rFonts w:ascii="Times New Roman" w:eastAsia="Times New Roman" w:hAnsi="Times New Roman" w:cs="Times New Roman"/>
          <w:sz w:val="24"/>
          <w:szCs w:val="24"/>
        </w:rPr>
        <w:t xml:space="preserve"> consecutively for the years of 2016, 2015 and 2014.So they have</w:t>
      </w:r>
      <w:r w:rsidR="00B26F80">
        <w:rPr>
          <w:rFonts w:ascii="Times New Roman" w:eastAsia="Times New Roman" w:hAnsi="Times New Roman" w:cs="Times New Roman"/>
          <w:sz w:val="24"/>
          <w:szCs w:val="24"/>
        </w:rPr>
        <w:t xml:space="preserve"> enough liquidity to meet their creditors.</w:t>
      </w:r>
    </w:p>
    <w:p w:rsidR="00AA4E14" w:rsidRPr="00A15E21" w:rsidRDefault="00AA4E14" w:rsidP="00CE70EB">
      <w:pPr>
        <w:pStyle w:val="NoSpacing"/>
      </w:pPr>
      <w:r w:rsidRPr="00A15E21">
        <w:t>Quick ratio</w:t>
      </w:r>
    </w:p>
    <w:tbl>
      <w:tblPr>
        <w:tblStyle w:val="TableGrid"/>
        <w:tblW w:w="0" w:type="auto"/>
        <w:tblLook w:val="04A0" w:firstRow="1" w:lastRow="0" w:firstColumn="1" w:lastColumn="0" w:noHBand="0" w:noVBand="1"/>
      </w:tblPr>
      <w:tblGrid>
        <w:gridCol w:w="3192"/>
        <w:gridCol w:w="3192"/>
        <w:gridCol w:w="3192"/>
      </w:tblGrid>
      <w:tr w:rsidR="00AA4E14" w:rsidTr="00AA4E14">
        <w:tc>
          <w:tcPr>
            <w:tcW w:w="3192" w:type="dxa"/>
          </w:tcPr>
          <w:p w:rsidR="00AA4E14" w:rsidRDefault="00AA4E14" w:rsidP="00AA4E14">
            <w:pPr>
              <w:jc w:val="center"/>
              <w:rPr>
                <w:rFonts w:ascii="Times New Roman" w:hAnsi="Times New Roman" w:cs="Times New Roman"/>
              </w:rPr>
            </w:pPr>
            <w:r>
              <w:rPr>
                <w:rFonts w:ascii="Times New Roman" w:hAnsi="Times New Roman" w:cs="Times New Roman"/>
                <w:noProof/>
              </w:rPr>
              <w:t>2016</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2015</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2014</w:t>
            </w:r>
          </w:p>
        </w:tc>
      </w:tr>
      <w:tr w:rsidR="00AA4E14" w:rsidTr="00AA4E14">
        <w:tc>
          <w:tcPr>
            <w:tcW w:w="3192" w:type="dxa"/>
            <w:vAlign w:val="bottom"/>
          </w:tcPr>
          <w:p w:rsidR="00AA4E14" w:rsidRDefault="00B26F80" w:rsidP="00AA4E14">
            <w:pPr>
              <w:jc w:val="center"/>
              <w:rPr>
                <w:rFonts w:ascii="Calibri" w:hAnsi="Calibri" w:cs="Calibri"/>
                <w:color w:val="000000"/>
              </w:rPr>
            </w:pPr>
            <w:r>
              <w:rPr>
                <w:rFonts w:ascii="Calibri" w:hAnsi="Calibri" w:cs="Calibri"/>
                <w:color w:val="000000"/>
              </w:rPr>
              <w:t>0.81</w:t>
            </w:r>
          </w:p>
        </w:tc>
        <w:tc>
          <w:tcPr>
            <w:tcW w:w="3192" w:type="dxa"/>
            <w:vAlign w:val="bottom"/>
          </w:tcPr>
          <w:p w:rsidR="00AA4E14" w:rsidRDefault="00B26F80" w:rsidP="00AA4E14">
            <w:pPr>
              <w:jc w:val="center"/>
              <w:rPr>
                <w:rFonts w:ascii="Calibri" w:hAnsi="Calibri" w:cs="Calibri"/>
                <w:color w:val="000000"/>
              </w:rPr>
            </w:pPr>
            <w:r>
              <w:rPr>
                <w:rFonts w:ascii="Calibri" w:hAnsi="Calibri" w:cs="Calibri"/>
                <w:color w:val="000000"/>
              </w:rPr>
              <w:t>0.87</w:t>
            </w:r>
          </w:p>
        </w:tc>
        <w:tc>
          <w:tcPr>
            <w:tcW w:w="3192" w:type="dxa"/>
            <w:vAlign w:val="bottom"/>
          </w:tcPr>
          <w:p w:rsidR="00AA4E14" w:rsidRDefault="00B26F80" w:rsidP="00AA4E14">
            <w:pPr>
              <w:jc w:val="center"/>
              <w:rPr>
                <w:rFonts w:ascii="Calibri" w:hAnsi="Calibri" w:cs="Calibri"/>
                <w:color w:val="000000"/>
              </w:rPr>
            </w:pPr>
            <w:r>
              <w:rPr>
                <w:rFonts w:ascii="Calibri" w:hAnsi="Calibri" w:cs="Calibri"/>
                <w:color w:val="000000"/>
              </w:rPr>
              <w:t>0.83</w:t>
            </w:r>
          </w:p>
        </w:tc>
      </w:tr>
    </w:tbl>
    <w:p w:rsidR="00AA4E14" w:rsidRDefault="00AA4E14" w:rsidP="00AA4E14"/>
    <w:p w:rsidR="00AA4E14" w:rsidRPr="000B179F" w:rsidRDefault="00AA4E14" w:rsidP="00AA4E14">
      <w:r w:rsidRPr="000B179F">
        <w:rPr>
          <w:noProof/>
        </w:rPr>
        <w:drawing>
          <wp:inline distT="0" distB="0" distL="0" distR="0">
            <wp:extent cx="2609850" cy="1543050"/>
            <wp:effectExtent l="19050" t="0" r="19050" b="0"/>
            <wp:docPr id="10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AA4E14" w:rsidRPr="004D1ECD" w:rsidRDefault="00736A11" w:rsidP="00AA4E14">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Quick ratio</w:t>
      </w:r>
      <w:r w:rsidRPr="004D1ECD">
        <w:rPr>
          <w:rFonts w:ascii="Times New Roman" w:eastAsia="Times New Roman" w:hAnsi="Times New Roman" w:cs="Times New Roman"/>
          <w:sz w:val="24"/>
          <w:szCs w:val="24"/>
        </w:rPr>
        <w:t xml:space="preserve"> measures the ability to use its quick assets (cash and cash equivalents, marketable securities and accounts receivable) to pay its current liabilities. </w:t>
      </w:r>
      <w:r>
        <w:rPr>
          <w:rFonts w:ascii="Times New Roman" w:eastAsia="Times New Roman" w:hAnsi="Times New Roman" w:cs="Times New Roman"/>
          <w:sz w:val="24"/>
          <w:szCs w:val="24"/>
        </w:rPr>
        <w:t xml:space="preserve">This </w:t>
      </w:r>
      <w:r w:rsidRPr="004D1ECD">
        <w:rPr>
          <w:rFonts w:ascii="Times New Roman" w:eastAsia="Times New Roman" w:hAnsi="Times New Roman" w:cs="Times New Roman"/>
          <w:sz w:val="24"/>
          <w:szCs w:val="24"/>
        </w:rPr>
        <w:t xml:space="preserve">ratio higher means company has many cash or has facing problem in collecting accounts receivable. Lower of the ratio indicates they rely on inventory too much. </w:t>
      </w:r>
      <w:r w:rsidR="00AA4E14">
        <w:rPr>
          <w:rFonts w:ascii="Times New Roman" w:eastAsia="Times New Roman" w:hAnsi="Times New Roman" w:cs="Times New Roman"/>
          <w:sz w:val="24"/>
          <w:szCs w:val="24"/>
        </w:rPr>
        <w:t>S</w:t>
      </w:r>
      <w:r w:rsidR="00AA4E14" w:rsidRPr="004D1ECD">
        <w:rPr>
          <w:rFonts w:ascii="Times New Roman" w:eastAsia="Times New Roman" w:hAnsi="Times New Roman" w:cs="Times New Roman"/>
          <w:sz w:val="24"/>
          <w:szCs w:val="24"/>
        </w:rPr>
        <w:t xml:space="preserve">o we can conclude </w:t>
      </w:r>
      <w:r w:rsidR="00AA4E14">
        <w:rPr>
          <w:rFonts w:ascii="Times New Roman" w:eastAsia="Times New Roman" w:hAnsi="Times New Roman" w:cs="Times New Roman"/>
          <w:sz w:val="24"/>
          <w:szCs w:val="24"/>
        </w:rPr>
        <w:t>these ye</w:t>
      </w:r>
      <w:r w:rsidR="00B26F80">
        <w:rPr>
          <w:rFonts w:ascii="Times New Roman" w:eastAsia="Times New Roman" w:hAnsi="Times New Roman" w:cs="Times New Roman"/>
          <w:sz w:val="24"/>
          <w:szCs w:val="24"/>
        </w:rPr>
        <w:t>ars company relies on inventory.</w:t>
      </w:r>
    </w:p>
    <w:p w:rsidR="00AA4E14" w:rsidRPr="00A15E21" w:rsidRDefault="00AA4E14" w:rsidP="00CE70EB">
      <w:pPr>
        <w:pStyle w:val="NoSpacing"/>
      </w:pPr>
      <w:r w:rsidRPr="00A15E21">
        <w:t>Cash Ratio</w:t>
      </w:r>
    </w:p>
    <w:tbl>
      <w:tblPr>
        <w:tblStyle w:val="TableGrid"/>
        <w:tblW w:w="0" w:type="auto"/>
        <w:tblLook w:val="04A0" w:firstRow="1" w:lastRow="0" w:firstColumn="1" w:lastColumn="0" w:noHBand="0" w:noVBand="1"/>
      </w:tblPr>
      <w:tblGrid>
        <w:gridCol w:w="3192"/>
        <w:gridCol w:w="3192"/>
        <w:gridCol w:w="3192"/>
      </w:tblGrid>
      <w:tr w:rsidR="00AA4E14" w:rsidTr="00AA4E14">
        <w:tc>
          <w:tcPr>
            <w:tcW w:w="3192" w:type="dxa"/>
          </w:tcPr>
          <w:p w:rsidR="00AA4E14" w:rsidRDefault="00AA4E14" w:rsidP="00AA4E14">
            <w:pPr>
              <w:jc w:val="center"/>
              <w:rPr>
                <w:rFonts w:ascii="Times New Roman" w:hAnsi="Times New Roman" w:cs="Times New Roman"/>
              </w:rPr>
            </w:pPr>
            <w:r>
              <w:rPr>
                <w:rFonts w:ascii="Times New Roman" w:hAnsi="Times New Roman" w:cs="Times New Roman"/>
                <w:noProof/>
              </w:rPr>
              <w:t>2016</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2015</w:t>
            </w:r>
          </w:p>
        </w:tc>
        <w:tc>
          <w:tcPr>
            <w:tcW w:w="3192" w:type="dxa"/>
          </w:tcPr>
          <w:p w:rsidR="00AA4E14" w:rsidRDefault="00AA4E14" w:rsidP="00AA4E14">
            <w:pPr>
              <w:jc w:val="center"/>
              <w:rPr>
                <w:rFonts w:ascii="Times New Roman" w:hAnsi="Times New Roman" w:cs="Times New Roman"/>
              </w:rPr>
            </w:pPr>
            <w:r>
              <w:rPr>
                <w:rFonts w:ascii="Times New Roman" w:hAnsi="Times New Roman" w:cs="Times New Roman"/>
              </w:rPr>
              <w:t>2014</w:t>
            </w:r>
          </w:p>
        </w:tc>
      </w:tr>
      <w:tr w:rsidR="00AA4E14" w:rsidTr="00AA4E14">
        <w:tc>
          <w:tcPr>
            <w:tcW w:w="3192" w:type="dxa"/>
            <w:vAlign w:val="bottom"/>
          </w:tcPr>
          <w:p w:rsidR="00AA4E14" w:rsidRDefault="00B26F80" w:rsidP="00AA4E14">
            <w:pPr>
              <w:jc w:val="center"/>
              <w:rPr>
                <w:rFonts w:ascii="Calibri" w:hAnsi="Calibri" w:cs="Calibri"/>
                <w:color w:val="000000"/>
              </w:rPr>
            </w:pPr>
            <w:r>
              <w:rPr>
                <w:rFonts w:ascii="Calibri" w:hAnsi="Calibri" w:cs="Calibri"/>
                <w:color w:val="000000"/>
              </w:rPr>
              <w:t>0.38</w:t>
            </w:r>
          </w:p>
        </w:tc>
        <w:tc>
          <w:tcPr>
            <w:tcW w:w="3192" w:type="dxa"/>
            <w:vAlign w:val="bottom"/>
          </w:tcPr>
          <w:p w:rsidR="00B26F80" w:rsidRDefault="00B26F80" w:rsidP="00B26F80">
            <w:pPr>
              <w:jc w:val="center"/>
              <w:rPr>
                <w:rFonts w:ascii="Calibri" w:hAnsi="Calibri" w:cs="Calibri"/>
                <w:color w:val="000000"/>
              </w:rPr>
            </w:pPr>
            <w:r>
              <w:rPr>
                <w:rFonts w:ascii="Calibri" w:hAnsi="Calibri" w:cs="Calibri"/>
                <w:color w:val="000000"/>
              </w:rPr>
              <w:t>0.21</w:t>
            </w:r>
          </w:p>
        </w:tc>
        <w:tc>
          <w:tcPr>
            <w:tcW w:w="3192" w:type="dxa"/>
            <w:vAlign w:val="bottom"/>
          </w:tcPr>
          <w:p w:rsidR="00AA4E14" w:rsidRDefault="00B26F80" w:rsidP="00AA4E14">
            <w:pPr>
              <w:jc w:val="center"/>
              <w:rPr>
                <w:rFonts w:ascii="Calibri" w:hAnsi="Calibri" w:cs="Calibri"/>
                <w:color w:val="000000"/>
              </w:rPr>
            </w:pPr>
            <w:r>
              <w:rPr>
                <w:rFonts w:ascii="Calibri" w:hAnsi="Calibri" w:cs="Calibri"/>
                <w:color w:val="000000"/>
              </w:rPr>
              <w:t>0.36</w:t>
            </w:r>
          </w:p>
        </w:tc>
      </w:tr>
    </w:tbl>
    <w:p w:rsidR="00AA4E14" w:rsidRPr="00BA29FD" w:rsidRDefault="00AA4E14" w:rsidP="00AA4E14"/>
    <w:p w:rsidR="00AA4E14" w:rsidRDefault="00AA4E14" w:rsidP="00AA4E14">
      <w:pPr>
        <w:rPr>
          <w:b/>
        </w:rPr>
      </w:pPr>
      <w:r w:rsidRPr="00612C3F">
        <w:rPr>
          <w:b/>
          <w:noProof/>
        </w:rPr>
        <w:lastRenderedPageBreak/>
        <w:drawing>
          <wp:inline distT="0" distB="0" distL="0" distR="0">
            <wp:extent cx="2609850" cy="1543050"/>
            <wp:effectExtent l="19050" t="0" r="19050" b="0"/>
            <wp:docPr id="10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A4E14" w:rsidRPr="003B4FD0" w:rsidRDefault="003B4FD0" w:rsidP="003B4FD0">
      <w:pPr>
        <w:jc w:val="both"/>
        <w:rPr>
          <w:b/>
        </w:rPr>
      </w:pPr>
      <w:r>
        <w:rPr>
          <w:rFonts w:ascii="Times New Roman" w:eastAsia="Times New Roman" w:hAnsi="Times New Roman" w:cs="Times New Roman"/>
          <w:sz w:val="24"/>
          <w:szCs w:val="24"/>
        </w:rPr>
        <w:t>This ratio measures the liquidity of a company, the ability to pay its supplier short term liabilities with cash. Cash ratio is more liquid and stricter than quick ratio and current ratio.</w:t>
      </w:r>
      <w:r w:rsidR="005A352C">
        <w:rPr>
          <w:rFonts w:ascii="Times New Roman" w:eastAsia="Times New Roman" w:hAnsi="Times New Roman" w:cs="Times New Roman"/>
          <w:sz w:val="24"/>
          <w:szCs w:val="24"/>
        </w:rPr>
        <w:t>Appex Textile Limited</w:t>
      </w:r>
      <w:r w:rsidR="00870082">
        <w:rPr>
          <w:rFonts w:ascii="Times New Roman" w:eastAsia="Times New Roman" w:hAnsi="Times New Roman" w:cs="Times New Roman"/>
          <w:sz w:val="24"/>
          <w:szCs w:val="24"/>
        </w:rPr>
        <w:t xml:space="preserve"> </w:t>
      </w:r>
      <w:r w:rsidR="00AA4E14">
        <w:rPr>
          <w:rFonts w:ascii="Times New Roman" w:eastAsia="Times New Roman" w:hAnsi="Times New Roman" w:cs="Times New Roman"/>
          <w:sz w:val="24"/>
          <w:szCs w:val="24"/>
        </w:rPr>
        <w:t xml:space="preserve">cash ratio for </w:t>
      </w:r>
      <w:r w:rsidR="005A352C">
        <w:rPr>
          <w:rFonts w:ascii="Times New Roman" w:eastAsia="Times New Roman" w:hAnsi="Times New Roman" w:cs="Times New Roman"/>
          <w:sz w:val="24"/>
          <w:szCs w:val="24"/>
        </w:rPr>
        <w:t>each year</w:t>
      </w:r>
      <w:r w:rsidR="00AA4E14">
        <w:rPr>
          <w:rFonts w:ascii="Times New Roman" w:eastAsia="Times New Roman" w:hAnsi="Times New Roman" w:cs="Times New Roman"/>
          <w:sz w:val="24"/>
          <w:szCs w:val="24"/>
        </w:rPr>
        <w:t xml:space="preserve"> (is in small amount</w:t>
      </w:r>
      <w:r w:rsidR="005A352C">
        <w:rPr>
          <w:rFonts w:ascii="Times New Roman" w:eastAsia="Times New Roman" w:hAnsi="Times New Roman" w:cs="Times New Roman"/>
          <w:sz w:val="24"/>
          <w:szCs w:val="24"/>
        </w:rPr>
        <w:t>.</w:t>
      </w:r>
    </w:p>
    <w:p w:rsidR="00AA4E14" w:rsidRPr="00AA4E14" w:rsidRDefault="00AA4E14" w:rsidP="00AA4E14">
      <w:pPr>
        <w:spacing w:before="100" w:beforeAutospacing="1" w:after="100" w:afterAutospacing="1" w:line="276" w:lineRule="auto"/>
        <w:rPr>
          <w:rFonts w:ascii="Times New Roman" w:eastAsia="Times New Roman" w:hAnsi="Times New Roman" w:cs="Times New Roman"/>
        </w:rPr>
      </w:pPr>
    </w:p>
    <w:p w:rsidR="00612C3F" w:rsidRDefault="00612C3F" w:rsidP="00034B65">
      <w:pPr>
        <w:rPr>
          <w:b/>
        </w:rPr>
      </w:pPr>
    </w:p>
    <w:p w:rsidR="002016C3" w:rsidRDefault="002016C3" w:rsidP="00034B65">
      <w:pPr>
        <w:rPr>
          <w:b/>
        </w:rPr>
      </w:pPr>
    </w:p>
    <w:p w:rsidR="002016C3" w:rsidRDefault="002016C3" w:rsidP="00034B65">
      <w:pPr>
        <w:rPr>
          <w:b/>
        </w:rPr>
      </w:pPr>
    </w:p>
    <w:p w:rsidR="00825250" w:rsidRPr="00825250" w:rsidRDefault="00825250" w:rsidP="00825250">
      <w:pPr>
        <w:pStyle w:val="Heading1"/>
        <w:jc w:val="center"/>
        <w:rPr>
          <w:b/>
          <w:color w:val="4F6228" w:themeColor="accent3" w:themeShade="80"/>
          <w:sz w:val="56"/>
          <w:szCs w:val="56"/>
        </w:rPr>
      </w:pPr>
      <w:bookmarkStart w:id="24" w:name="_Toc18627807"/>
      <w:r w:rsidRPr="00825250">
        <w:rPr>
          <w:b/>
          <w:color w:val="4F6228" w:themeColor="accent3" w:themeShade="80"/>
          <w:sz w:val="56"/>
          <w:szCs w:val="56"/>
        </w:rPr>
        <w:t>Food Companies</w:t>
      </w:r>
      <w:bookmarkEnd w:id="24"/>
    </w:p>
    <w:p w:rsidR="00B2533F" w:rsidRPr="001A0D6A" w:rsidRDefault="00D0708E" w:rsidP="001A0D6A">
      <w:pPr>
        <w:pStyle w:val="Heading2"/>
        <w:jc w:val="center"/>
        <w:rPr>
          <w:sz w:val="48"/>
          <w:szCs w:val="48"/>
        </w:rPr>
      </w:pPr>
      <w:bookmarkStart w:id="25" w:name="_Toc18627808"/>
      <w:r w:rsidRPr="00825250">
        <w:rPr>
          <w:sz w:val="48"/>
          <w:szCs w:val="48"/>
        </w:rPr>
        <w:t>ACI FOOD</w:t>
      </w:r>
      <w:r w:rsidR="002016C3" w:rsidRPr="00825250">
        <w:rPr>
          <w:sz w:val="48"/>
          <w:szCs w:val="48"/>
        </w:rPr>
        <w:t xml:space="preserve"> LIMIED</w:t>
      </w:r>
      <w:bookmarkEnd w:id="25"/>
    </w:p>
    <w:p w:rsidR="00B37540" w:rsidRPr="00B2533F" w:rsidRDefault="00B37540" w:rsidP="00B823E5">
      <w:pPr>
        <w:pStyle w:val="Heading3"/>
        <w:rPr>
          <w:sz w:val="40"/>
          <w:szCs w:val="40"/>
        </w:rPr>
      </w:pPr>
      <w:bookmarkStart w:id="26" w:name="_Toc18627809"/>
      <w:r>
        <w:rPr>
          <w:rFonts w:eastAsia="Times New Roman"/>
        </w:rPr>
        <w:t>Company Profile</w:t>
      </w:r>
      <w:bookmarkEnd w:id="26"/>
    </w:p>
    <w:p w:rsidR="00301958" w:rsidRDefault="00301958" w:rsidP="00104AB3">
      <w:pPr>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ACI is the dominant company in Bangladesh for their consumer product. They are lust with the heritage of multinational operates across the country. They are focusing on business excellence to meet quality as per customer demand. They are following international standards on quality measure.</w:t>
      </w:r>
    </w:p>
    <w:p w:rsidR="00301958" w:rsidRDefault="00301958" w:rsidP="00104AB3">
      <w:pPr>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They operate their two sub brand in food product in the names of PURE and FUN. There are many products line in their portfolio spices, edible oil, snacks and confectionary categories. They have market place outside this country like </w:t>
      </w:r>
      <w:r w:rsidR="00104AB3">
        <w:rPr>
          <w:rFonts w:ascii="Times New Roman" w:eastAsia="Times New Roman" w:hAnsi="Times New Roman" w:cs="Times New Roman"/>
          <w:sz w:val="24"/>
          <w:szCs w:val="24"/>
        </w:rPr>
        <w:t>Qatar, Saudi Arabia, UAE, Australia etc,</w:t>
      </w:r>
    </w:p>
    <w:p w:rsidR="00F96521" w:rsidRPr="00B37540" w:rsidRDefault="00EB0730" w:rsidP="00B37540">
      <w:pPr>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Following Analyses are</w:t>
      </w:r>
      <w:r w:rsidR="00F96521">
        <w:rPr>
          <w:rFonts w:ascii="Times New Roman" w:eastAsia="Times New Roman" w:hAnsi="Times New Roman" w:cs="Times New Roman"/>
          <w:color w:val="000000"/>
          <w:sz w:val="24"/>
          <w:szCs w:val="24"/>
          <w:shd w:val="clear" w:color="auto" w:fill="FFFFFF"/>
        </w:rPr>
        <w:t xml:space="preserve"> based on ACI food limited’s annual report (2104-2016).</w:t>
      </w:r>
    </w:p>
    <w:p w:rsidR="00B37540" w:rsidRDefault="00B37540" w:rsidP="00D0708E">
      <w:pPr>
        <w:pStyle w:val="Heading2"/>
        <w:spacing w:line="276" w:lineRule="auto"/>
        <w:jc w:val="both"/>
        <w:rPr>
          <w:rFonts w:ascii="Times New Roman" w:eastAsia="Times New Roman" w:hAnsi="Times New Roman" w:cs="Times New Roman"/>
          <w:b/>
          <w:sz w:val="24"/>
          <w:szCs w:val="24"/>
        </w:rPr>
      </w:pPr>
    </w:p>
    <w:p w:rsidR="00D0708E" w:rsidRPr="0009451F" w:rsidRDefault="00D0708E" w:rsidP="00B823E5">
      <w:pPr>
        <w:pStyle w:val="Heading3"/>
        <w:rPr>
          <w:rFonts w:eastAsia="Times New Roman"/>
        </w:rPr>
      </w:pPr>
      <w:bookmarkStart w:id="27" w:name="_Toc18627810"/>
      <w:r w:rsidRPr="004D1ECD">
        <w:rPr>
          <w:rFonts w:eastAsia="Times New Roman"/>
        </w:rPr>
        <w:t>Analysis of Cash Conversion Cycle</w:t>
      </w:r>
      <w:bookmarkEnd w:id="27"/>
    </w:p>
    <w:p w:rsidR="002E5341" w:rsidRPr="003F1D4F" w:rsidRDefault="002E5341" w:rsidP="002E5341">
      <w:pPr>
        <w:spacing w:line="276" w:lineRule="auto"/>
        <w:jc w:val="both"/>
        <w:rPr>
          <w:rFonts w:ascii="Times New Roman" w:hAnsi="Times New Roman" w:cs="Times New Roman"/>
          <w:sz w:val="24"/>
          <w:szCs w:val="24"/>
        </w:rPr>
      </w:pPr>
      <w:r w:rsidRPr="003F1D4F">
        <w:rPr>
          <w:rFonts w:ascii="Times New Roman" w:hAnsi="Times New Roman" w:cs="Times New Roman"/>
          <w:sz w:val="24"/>
          <w:szCs w:val="24"/>
        </w:rPr>
        <w:t>The cash conversion cycle is a cash flow calculation that measure the time it takes a company to companies invest and inventory and resources inputs to cash. Cash conversion cycle gives a total view for effective working capital.</w:t>
      </w:r>
    </w:p>
    <w:p w:rsidR="002E5341" w:rsidRDefault="002E5341" w:rsidP="002E5341">
      <w:pPr>
        <w:tabs>
          <w:tab w:val="left" w:pos="6168"/>
        </w:tabs>
        <w:spacing w:after="0" w:line="276" w:lineRule="auto"/>
        <w:jc w:val="both"/>
        <w:rPr>
          <w:rFonts w:ascii="Times New Roman" w:eastAsia="Times New Roman" w:hAnsi="Times New Roman" w:cs="Times New Roman"/>
          <w:bCs/>
          <w:color w:val="000000"/>
          <w:sz w:val="24"/>
          <w:szCs w:val="24"/>
          <w:bdr w:val="none" w:sz="0" w:space="0" w:color="auto" w:frame="1"/>
          <w:shd w:val="clear" w:color="auto" w:fill="FFFFFF"/>
        </w:rPr>
      </w:pPr>
      <w:r w:rsidRPr="004D1ECD">
        <w:rPr>
          <w:rFonts w:ascii="Times New Roman" w:eastAsia="Times New Roman" w:hAnsi="Times New Roman" w:cs="Times New Roman"/>
          <w:noProof/>
          <w:color w:val="000000"/>
          <w:sz w:val="24"/>
          <w:szCs w:val="24"/>
        </w:rPr>
        <w:t>Cash Conversion Cyle (CCC)</w:t>
      </w:r>
      <w:r w:rsidRPr="004D1ECD">
        <w:rPr>
          <w:rFonts w:ascii="Times New Roman" w:eastAsia="Times New Roman" w:hAnsi="Times New Roman" w:cs="Times New Roman"/>
          <w:b/>
          <w:noProof/>
          <w:color w:val="000000"/>
          <w:sz w:val="24"/>
          <w:szCs w:val="24"/>
        </w:rPr>
        <w:t xml:space="preserve">= </w:t>
      </w:r>
      <w:r w:rsidRPr="004D1ECD">
        <w:rPr>
          <w:rFonts w:ascii="Times New Roman" w:eastAsia="Times New Roman" w:hAnsi="Times New Roman" w:cs="Times New Roman"/>
          <w:bCs/>
          <w:color w:val="000000"/>
          <w:sz w:val="24"/>
          <w:szCs w:val="24"/>
          <w:bdr w:val="none" w:sz="0" w:space="0" w:color="auto" w:frame="1"/>
          <w:shd w:val="clear" w:color="auto" w:fill="FFFFFF"/>
        </w:rPr>
        <w:t>DSO + DIO – DPO</w:t>
      </w:r>
    </w:p>
    <w:p w:rsidR="002E5341" w:rsidRDefault="002E5341" w:rsidP="002E5341">
      <w:pPr>
        <w:tabs>
          <w:tab w:val="left" w:pos="6168"/>
        </w:tabs>
        <w:spacing w:after="0" w:line="276" w:lineRule="auto"/>
        <w:jc w:val="both"/>
        <w:rPr>
          <w:rFonts w:ascii="Times New Roman" w:eastAsia="Times New Roman" w:hAnsi="Times New Roman" w:cs="Times New Roman"/>
          <w:bCs/>
          <w:color w:val="000000"/>
          <w:sz w:val="24"/>
          <w:szCs w:val="24"/>
          <w:bdr w:val="none" w:sz="0" w:space="0" w:color="auto" w:frame="1"/>
          <w:shd w:val="clear" w:color="auto" w:fill="FFFFFF"/>
        </w:rPr>
      </w:pPr>
    </w:p>
    <w:p w:rsidR="002E5341" w:rsidRDefault="002E5341" w:rsidP="002E5341">
      <w:pPr>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In </w:t>
      </w:r>
      <w:r w:rsidRPr="004D1ECD">
        <w:rPr>
          <w:rFonts w:ascii="Times New Roman" w:eastAsia="Times New Roman" w:hAnsi="Times New Roman" w:cs="Times New Roman"/>
          <w:color w:val="000000"/>
          <w:sz w:val="24"/>
          <w:szCs w:val="24"/>
          <w:shd w:val="clear" w:color="auto" w:fill="FFFFFF"/>
        </w:rPr>
        <w:t xml:space="preserve">cash flow calculations, shorter </w:t>
      </w:r>
      <w:r>
        <w:rPr>
          <w:rFonts w:ascii="Times New Roman" w:eastAsia="Times New Roman" w:hAnsi="Times New Roman" w:cs="Times New Roman"/>
          <w:color w:val="000000"/>
          <w:sz w:val="24"/>
          <w:szCs w:val="24"/>
          <w:shd w:val="clear" w:color="auto" w:fill="FFFFFF"/>
        </w:rPr>
        <w:t>value</w:t>
      </w:r>
      <w:r w:rsidRPr="004D1ECD">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is</w:t>
      </w:r>
      <w:r w:rsidRPr="004D1ECD">
        <w:rPr>
          <w:rFonts w:ascii="Times New Roman" w:eastAsia="Times New Roman" w:hAnsi="Times New Roman" w:cs="Times New Roman"/>
          <w:color w:val="000000"/>
          <w:sz w:val="24"/>
          <w:szCs w:val="24"/>
          <w:shd w:val="clear" w:color="auto" w:fill="FFFFFF"/>
        </w:rPr>
        <w:t xml:space="preserve"> almost good</w:t>
      </w:r>
      <w:r>
        <w:rPr>
          <w:rFonts w:ascii="Times New Roman" w:eastAsia="Times New Roman" w:hAnsi="Times New Roman" w:cs="Times New Roman"/>
          <w:color w:val="000000"/>
          <w:sz w:val="24"/>
          <w:szCs w:val="24"/>
          <w:shd w:val="clear" w:color="auto" w:fill="FFFFFF"/>
        </w:rPr>
        <w:t xml:space="preserve"> </w:t>
      </w:r>
      <w:r w:rsidRPr="004D1ECD">
        <w:rPr>
          <w:rFonts w:ascii="Times New Roman" w:eastAsia="Times New Roman" w:hAnsi="Times New Roman" w:cs="Times New Roman"/>
          <w:color w:val="000000"/>
          <w:sz w:val="24"/>
          <w:szCs w:val="24"/>
          <w:shd w:val="clear" w:color="auto" w:fill="FFFFFF"/>
        </w:rPr>
        <w:t xml:space="preserve">always. A </w:t>
      </w:r>
      <w:r>
        <w:rPr>
          <w:rFonts w:ascii="Times New Roman" w:eastAsia="Times New Roman" w:hAnsi="Times New Roman" w:cs="Times New Roman"/>
          <w:color w:val="000000"/>
          <w:sz w:val="24"/>
          <w:szCs w:val="24"/>
          <w:shd w:val="clear" w:color="auto" w:fill="FFFFFF"/>
        </w:rPr>
        <w:t>low</w:t>
      </w:r>
      <w:r w:rsidRPr="004D1ECD">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cash conversion cycle</w:t>
      </w:r>
      <w:r w:rsidRPr="004D1ECD">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describes</w:t>
      </w:r>
      <w:r w:rsidRPr="004D1ECD">
        <w:rPr>
          <w:rFonts w:ascii="Times New Roman" w:eastAsia="Times New Roman" w:hAnsi="Times New Roman" w:cs="Times New Roman"/>
          <w:color w:val="000000"/>
          <w:sz w:val="24"/>
          <w:szCs w:val="24"/>
          <w:shd w:val="clear" w:color="auto" w:fill="FFFFFF"/>
        </w:rPr>
        <w:t xml:space="preserve"> that company’s money is </w:t>
      </w:r>
      <w:r>
        <w:rPr>
          <w:rFonts w:ascii="Times New Roman" w:eastAsia="Times New Roman" w:hAnsi="Times New Roman" w:cs="Times New Roman"/>
          <w:color w:val="000000"/>
          <w:sz w:val="24"/>
          <w:szCs w:val="24"/>
          <w:shd w:val="clear" w:color="auto" w:fill="FFFFFF"/>
        </w:rPr>
        <w:t>active</w:t>
      </w:r>
      <w:r w:rsidRPr="004D1ECD">
        <w:rPr>
          <w:rFonts w:ascii="Times New Roman" w:eastAsia="Times New Roman" w:hAnsi="Times New Roman" w:cs="Times New Roman"/>
          <w:color w:val="000000"/>
          <w:sz w:val="24"/>
          <w:szCs w:val="24"/>
          <w:shd w:val="clear" w:color="auto" w:fill="FFFFFF"/>
        </w:rPr>
        <w:t xml:space="preserve"> in inventory </w:t>
      </w:r>
      <w:r>
        <w:rPr>
          <w:rFonts w:ascii="Times New Roman" w:eastAsia="Times New Roman" w:hAnsi="Times New Roman" w:cs="Times New Roman"/>
          <w:color w:val="000000"/>
          <w:sz w:val="24"/>
          <w:szCs w:val="24"/>
          <w:shd w:val="clear" w:color="auto" w:fill="FFFFFF"/>
        </w:rPr>
        <w:t>for smaller time.</w:t>
      </w:r>
    </w:p>
    <w:p w:rsidR="00D0708E" w:rsidRDefault="00D0708E" w:rsidP="00805DD5">
      <w:pPr>
        <w:tabs>
          <w:tab w:val="left" w:pos="6168"/>
        </w:tabs>
        <w:spacing w:after="0" w:line="276" w:lineRule="auto"/>
        <w:jc w:val="both"/>
        <w:rPr>
          <w:rFonts w:ascii="Times New Roman" w:eastAsia="Times New Roman" w:hAnsi="Times New Roman" w:cs="Times New Roman"/>
          <w:noProof/>
          <w:color w:val="000000"/>
          <w:sz w:val="24"/>
          <w:szCs w:val="24"/>
        </w:rPr>
      </w:pPr>
      <w:r w:rsidRPr="004D1ECD">
        <w:rPr>
          <w:rFonts w:ascii="Times New Roman" w:eastAsia="Times New Roman" w:hAnsi="Times New Roman" w:cs="Times New Roman"/>
          <w:color w:val="000000"/>
          <w:sz w:val="24"/>
          <w:szCs w:val="24"/>
          <w:shd w:val="clear" w:color="auto" w:fill="FFFFFF"/>
        </w:rPr>
        <w:t xml:space="preserve">In the </w:t>
      </w:r>
      <w:r>
        <w:rPr>
          <w:rFonts w:ascii="Times New Roman" w:eastAsia="Times New Roman" w:hAnsi="Times New Roman" w:cs="Times New Roman"/>
          <w:noProof/>
          <w:color w:val="000000"/>
          <w:sz w:val="24"/>
          <w:szCs w:val="24"/>
        </w:rPr>
        <w:t>ACI Food</w:t>
      </w:r>
      <w:r w:rsidRPr="004D1ECD">
        <w:rPr>
          <w:rFonts w:ascii="Times New Roman" w:eastAsia="Times New Roman" w:hAnsi="Times New Roman" w:cs="Times New Roman"/>
          <w:noProof/>
          <w:color w:val="000000"/>
          <w:sz w:val="24"/>
          <w:szCs w:val="24"/>
        </w:rPr>
        <w:t xml:space="preserve"> Limited, the Cash Convertion Cycle (CCC) is </w:t>
      </w:r>
      <w:r>
        <w:rPr>
          <w:rFonts w:ascii="Times New Roman" w:eastAsia="Times New Roman" w:hAnsi="Times New Roman" w:cs="Times New Roman"/>
          <w:noProof/>
          <w:color w:val="000000"/>
          <w:sz w:val="24"/>
          <w:szCs w:val="24"/>
        </w:rPr>
        <w:t xml:space="preserve">133,194,172 days for consecutively for year of 2016,2015,2014.So, </w:t>
      </w:r>
      <w:r w:rsidRPr="004D1ECD">
        <w:rPr>
          <w:rFonts w:ascii="Times New Roman" w:eastAsia="Times New Roman" w:hAnsi="Times New Roman" w:cs="Times New Roman"/>
          <w:noProof/>
          <w:color w:val="000000"/>
          <w:sz w:val="24"/>
          <w:szCs w:val="24"/>
        </w:rPr>
        <w:t>that is n</w:t>
      </w:r>
      <w:r>
        <w:rPr>
          <w:rFonts w:ascii="Times New Roman" w:eastAsia="Times New Roman" w:hAnsi="Times New Roman" w:cs="Times New Roman"/>
          <w:noProof/>
          <w:color w:val="000000"/>
          <w:sz w:val="24"/>
          <w:szCs w:val="24"/>
        </w:rPr>
        <w:t>ot satisfactory for the company.</w:t>
      </w:r>
    </w:p>
    <w:p w:rsidR="00D0708E" w:rsidRDefault="00D0708E" w:rsidP="00D0708E">
      <w:pPr>
        <w:rPr>
          <w:rFonts w:ascii="Times New Roman" w:hAnsi="Times New Roman" w:cs="Times New Roman"/>
        </w:rPr>
      </w:pPr>
    </w:p>
    <w:p w:rsidR="00D0708E" w:rsidRPr="005B7EC9" w:rsidRDefault="00B37540" w:rsidP="00B823E5">
      <w:pPr>
        <w:pStyle w:val="Heading3"/>
      </w:pPr>
      <w:bookmarkStart w:id="28" w:name="_Toc18627811"/>
      <w:r w:rsidRPr="005B7EC9">
        <w:t>Ratio Analysis</w:t>
      </w:r>
      <w:bookmarkEnd w:id="28"/>
    </w:p>
    <w:p w:rsidR="00B37540" w:rsidRPr="00B37540" w:rsidRDefault="00B37540" w:rsidP="00B37540"/>
    <w:p w:rsidR="002016C3" w:rsidRDefault="002016C3" w:rsidP="00CE70EB">
      <w:pPr>
        <w:pStyle w:val="NoSpacing"/>
      </w:pPr>
      <w:r w:rsidRPr="002016C3">
        <w:t xml:space="preserve">Working </w:t>
      </w:r>
      <w:r>
        <w:t>Capital Turnover Ratio</w:t>
      </w:r>
    </w:p>
    <w:tbl>
      <w:tblPr>
        <w:tblStyle w:val="TableGrid"/>
        <w:tblW w:w="0" w:type="auto"/>
        <w:tblLook w:val="04A0" w:firstRow="1" w:lastRow="0" w:firstColumn="1" w:lastColumn="0" w:noHBand="0" w:noVBand="1"/>
      </w:tblPr>
      <w:tblGrid>
        <w:gridCol w:w="3192"/>
        <w:gridCol w:w="3192"/>
        <w:gridCol w:w="3192"/>
      </w:tblGrid>
      <w:tr w:rsidR="002016C3" w:rsidTr="000C4D7B">
        <w:tc>
          <w:tcPr>
            <w:tcW w:w="3192" w:type="dxa"/>
          </w:tcPr>
          <w:p w:rsidR="002016C3" w:rsidRDefault="002016C3"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2016C3" w:rsidRDefault="002016C3" w:rsidP="000C4D7B">
            <w:pPr>
              <w:jc w:val="center"/>
              <w:rPr>
                <w:rFonts w:ascii="Times New Roman" w:hAnsi="Times New Roman" w:cs="Times New Roman"/>
              </w:rPr>
            </w:pPr>
            <w:r>
              <w:rPr>
                <w:rFonts w:ascii="Times New Roman" w:hAnsi="Times New Roman" w:cs="Times New Roman"/>
              </w:rPr>
              <w:t>2015</w:t>
            </w:r>
          </w:p>
        </w:tc>
        <w:tc>
          <w:tcPr>
            <w:tcW w:w="3192" w:type="dxa"/>
          </w:tcPr>
          <w:p w:rsidR="002016C3" w:rsidRDefault="002016C3" w:rsidP="000C4D7B">
            <w:pPr>
              <w:jc w:val="center"/>
              <w:rPr>
                <w:rFonts w:ascii="Times New Roman" w:hAnsi="Times New Roman" w:cs="Times New Roman"/>
              </w:rPr>
            </w:pPr>
            <w:r>
              <w:rPr>
                <w:rFonts w:ascii="Times New Roman" w:hAnsi="Times New Roman" w:cs="Times New Roman"/>
              </w:rPr>
              <w:t>2014</w:t>
            </w:r>
          </w:p>
        </w:tc>
      </w:tr>
      <w:tr w:rsidR="002016C3" w:rsidTr="000C4D7B">
        <w:tc>
          <w:tcPr>
            <w:tcW w:w="3192" w:type="dxa"/>
            <w:vAlign w:val="bottom"/>
          </w:tcPr>
          <w:p w:rsidR="002016C3" w:rsidRDefault="002016C3" w:rsidP="000C4D7B">
            <w:pPr>
              <w:jc w:val="center"/>
              <w:rPr>
                <w:rFonts w:ascii="Calibri" w:hAnsi="Calibri" w:cs="Calibri"/>
                <w:color w:val="000000"/>
              </w:rPr>
            </w:pPr>
            <w:r>
              <w:rPr>
                <w:rFonts w:ascii="Calibri" w:hAnsi="Calibri" w:cs="Calibri"/>
                <w:color w:val="000000"/>
              </w:rPr>
              <w:t>5</w:t>
            </w:r>
          </w:p>
        </w:tc>
        <w:tc>
          <w:tcPr>
            <w:tcW w:w="3192" w:type="dxa"/>
            <w:vAlign w:val="bottom"/>
          </w:tcPr>
          <w:p w:rsidR="002016C3" w:rsidRDefault="002016C3" w:rsidP="000C4D7B">
            <w:pPr>
              <w:jc w:val="center"/>
              <w:rPr>
                <w:rFonts w:ascii="Calibri" w:hAnsi="Calibri" w:cs="Calibri"/>
                <w:color w:val="000000"/>
              </w:rPr>
            </w:pPr>
            <w:r>
              <w:rPr>
                <w:rFonts w:ascii="Calibri" w:hAnsi="Calibri" w:cs="Calibri"/>
                <w:color w:val="000000"/>
              </w:rPr>
              <w:t>3.3</w:t>
            </w:r>
          </w:p>
        </w:tc>
        <w:tc>
          <w:tcPr>
            <w:tcW w:w="3192" w:type="dxa"/>
            <w:vAlign w:val="bottom"/>
          </w:tcPr>
          <w:p w:rsidR="002016C3" w:rsidRDefault="002016C3" w:rsidP="000C4D7B">
            <w:pPr>
              <w:jc w:val="center"/>
              <w:rPr>
                <w:rFonts w:ascii="Calibri" w:hAnsi="Calibri" w:cs="Calibri"/>
                <w:color w:val="000000"/>
              </w:rPr>
            </w:pPr>
            <w:r>
              <w:rPr>
                <w:rFonts w:ascii="Calibri" w:hAnsi="Calibri" w:cs="Calibri"/>
                <w:color w:val="000000"/>
              </w:rPr>
              <w:t>7.85</w:t>
            </w:r>
          </w:p>
        </w:tc>
      </w:tr>
    </w:tbl>
    <w:p w:rsidR="002016C3" w:rsidRDefault="002016C3" w:rsidP="002016C3"/>
    <w:p w:rsidR="002016C3" w:rsidRDefault="002016C3" w:rsidP="002016C3">
      <w:r w:rsidRPr="002016C3">
        <w:rPr>
          <w:noProof/>
        </w:rPr>
        <w:drawing>
          <wp:inline distT="0" distB="0" distL="0" distR="0">
            <wp:extent cx="2609850" cy="1543050"/>
            <wp:effectExtent l="19050" t="0" r="19050" b="0"/>
            <wp:docPr id="2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2E5341" w:rsidRDefault="002E5341" w:rsidP="002E5341">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turnover ratio measures the efficiency to use company’s working capital supporting a certain level of sales. It finds the relationship between funds using in finance and in operation in company.</w:t>
      </w:r>
    </w:p>
    <w:p w:rsidR="002016C3" w:rsidRDefault="002016C3" w:rsidP="002016C3">
      <w:pPr>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ACI food limited</w:t>
      </w:r>
      <w:r w:rsidRPr="004D1ECD">
        <w:rPr>
          <w:rFonts w:ascii="Times New Roman" w:eastAsia="Times New Roman" w:hAnsi="Times New Roman" w:cs="Times New Roman"/>
          <w:color w:val="000000"/>
          <w:sz w:val="24"/>
          <w:szCs w:val="24"/>
        </w:rPr>
        <w:t xml:space="preserve"> Workin</w:t>
      </w:r>
      <w:r>
        <w:rPr>
          <w:rFonts w:ascii="Times New Roman" w:eastAsia="Times New Roman" w:hAnsi="Times New Roman" w:cs="Times New Roman"/>
          <w:color w:val="000000"/>
          <w:sz w:val="24"/>
          <w:szCs w:val="24"/>
        </w:rPr>
        <w:t>g capital turnover ratio in 2016</w:t>
      </w:r>
      <w:r w:rsidRPr="004D1ECD">
        <w:rPr>
          <w:rFonts w:ascii="Times New Roman" w:eastAsia="Times New Roman" w:hAnsi="Times New Roman" w:cs="Times New Roman"/>
          <w:color w:val="000000"/>
          <w:sz w:val="24"/>
          <w:szCs w:val="24"/>
        </w:rPr>
        <w:t xml:space="preserve"> is </w:t>
      </w:r>
      <w:r>
        <w:rPr>
          <w:rFonts w:ascii="Times New Roman" w:eastAsia="Times New Roman" w:hAnsi="Times New Roman" w:cs="Times New Roman"/>
          <w:color w:val="000000"/>
          <w:sz w:val="24"/>
          <w:szCs w:val="24"/>
        </w:rPr>
        <w:t>5 and in 2015</w:t>
      </w:r>
      <w:r w:rsidRPr="004D1ECD">
        <w:rPr>
          <w:rFonts w:ascii="Times New Roman" w:eastAsia="Times New Roman" w:hAnsi="Times New Roman" w:cs="Times New Roman"/>
          <w:color w:val="000000"/>
          <w:sz w:val="24"/>
          <w:szCs w:val="24"/>
        </w:rPr>
        <w:t>is</w:t>
      </w:r>
      <w:r>
        <w:rPr>
          <w:rFonts w:ascii="Times New Roman" w:eastAsia="Times New Roman" w:hAnsi="Times New Roman" w:cs="Times New Roman"/>
          <w:color w:val="000000"/>
          <w:sz w:val="24"/>
          <w:szCs w:val="24"/>
        </w:rPr>
        <w:t xml:space="preserve">3.3 and in 2014 is 7.85. </w:t>
      </w:r>
      <w:r w:rsidRPr="004D1ECD">
        <w:rPr>
          <w:rFonts w:ascii="Times New Roman" w:eastAsia="Times New Roman" w:hAnsi="Times New Roman" w:cs="Times New Roman"/>
          <w:color w:val="000000"/>
          <w:sz w:val="24"/>
          <w:szCs w:val="24"/>
        </w:rPr>
        <w:t>Company has a high turnover ratio in 201</w:t>
      </w:r>
      <w:r>
        <w:rPr>
          <w:rFonts w:ascii="Times New Roman" w:eastAsia="Times New Roman" w:hAnsi="Times New Roman" w:cs="Times New Roman"/>
          <w:color w:val="000000"/>
          <w:sz w:val="24"/>
          <w:szCs w:val="24"/>
        </w:rPr>
        <w:t>6 and 2014</w:t>
      </w:r>
      <w:r w:rsidRPr="004D1ECD">
        <w:rPr>
          <w:rFonts w:ascii="Times New Roman" w:eastAsia="Times New Roman" w:hAnsi="Times New Roman" w:cs="Times New Roman"/>
          <w:color w:val="000000"/>
          <w:sz w:val="24"/>
          <w:szCs w:val="24"/>
        </w:rPr>
        <w:t>that means company manages its short-term assets and liabilities for supporting sales very efficiently.</w:t>
      </w:r>
    </w:p>
    <w:p w:rsidR="000C4D7B" w:rsidRPr="00A15E21" w:rsidRDefault="000C4D7B" w:rsidP="00CE70EB">
      <w:pPr>
        <w:pStyle w:val="NoSpacing"/>
      </w:pPr>
      <w:r w:rsidRPr="00A15E21">
        <w:t>Current asset turnover ratio</w:t>
      </w:r>
    </w:p>
    <w:tbl>
      <w:tblPr>
        <w:tblStyle w:val="TableGrid"/>
        <w:tblW w:w="0" w:type="auto"/>
        <w:tblLook w:val="04A0" w:firstRow="1" w:lastRow="0" w:firstColumn="1" w:lastColumn="0" w:noHBand="0" w:noVBand="1"/>
      </w:tblPr>
      <w:tblGrid>
        <w:gridCol w:w="3192"/>
        <w:gridCol w:w="3192"/>
        <w:gridCol w:w="3192"/>
      </w:tblGrid>
      <w:tr w:rsidR="000C4D7B" w:rsidTr="000C4D7B">
        <w:tc>
          <w:tcPr>
            <w:tcW w:w="3192" w:type="dxa"/>
          </w:tcPr>
          <w:p w:rsidR="000C4D7B" w:rsidRDefault="000C4D7B"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2015</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2014</w:t>
            </w:r>
          </w:p>
        </w:tc>
      </w:tr>
      <w:tr w:rsidR="000C4D7B" w:rsidTr="000C4D7B">
        <w:tc>
          <w:tcPr>
            <w:tcW w:w="3192" w:type="dxa"/>
            <w:vAlign w:val="bottom"/>
          </w:tcPr>
          <w:p w:rsidR="000C4D7B" w:rsidRDefault="000C4D7B" w:rsidP="000C4D7B">
            <w:pPr>
              <w:jc w:val="center"/>
              <w:rPr>
                <w:rFonts w:ascii="Calibri" w:hAnsi="Calibri" w:cs="Calibri"/>
                <w:color w:val="000000"/>
              </w:rPr>
            </w:pPr>
            <w:r>
              <w:rPr>
                <w:rFonts w:ascii="Calibri" w:hAnsi="Calibri" w:cs="Calibri"/>
                <w:color w:val="000000"/>
              </w:rPr>
              <w:lastRenderedPageBreak/>
              <w:t>1.006</w:t>
            </w:r>
          </w:p>
        </w:tc>
        <w:tc>
          <w:tcPr>
            <w:tcW w:w="3192" w:type="dxa"/>
            <w:vAlign w:val="bottom"/>
          </w:tcPr>
          <w:p w:rsidR="000C4D7B" w:rsidRDefault="000C4D7B" w:rsidP="000C4D7B">
            <w:pPr>
              <w:jc w:val="center"/>
              <w:rPr>
                <w:rFonts w:ascii="Calibri" w:hAnsi="Calibri" w:cs="Calibri"/>
                <w:color w:val="000000"/>
              </w:rPr>
            </w:pPr>
            <w:r>
              <w:rPr>
                <w:rFonts w:ascii="Calibri" w:hAnsi="Calibri" w:cs="Calibri"/>
                <w:color w:val="000000"/>
              </w:rPr>
              <w:t>0.757</w:t>
            </w:r>
          </w:p>
        </w:tc>
        <w:tc>
          <w:tcPr>
            <w:tcW w:w="3192" w:type="dxa"/>
            <w:vAlign w:val="bottom"/>
          </w:tcPr>
          <w:p w:rsidR="000C4D7B" w:rsidRDefault="000C4D7B" w:rsidP="000C4D7B">
            <w:pPr>
              <w:jc w:val="center"/>
              <w:rPr>
                <w:rFonts w:ascii="Calibri" w:hAnsi="Calibri" w:cs="Calibri"/>
                <w:color w:val="000000"/>
              </w:rPr>
            </w:pPr>
            <w:r>
              <w:rPr>
                <w:rFonts w:ascii="Calibri" w:hAnsi="Calibri" w:cs="Calibri"/>
                <w:color w:val="000000"/>
              </w:rPr>
              <w:t>0.72</w:t>
            </w:r>
          </w:p>
        </w:tc>
      </w:tr>
    </w:tbl>
    <w:p w:rsidR="000C4D7B" w:rsidRDefault="000C4D7B" w:rsidP="000C4D7B">
      <w:pPr>
        <w:rPr>
          <w:rFonts w:ascii="Times New Roman" w:hAnsi="Times New Roman" w:cs="Times New Roman"/>
        </w:rPr>
      </w:pPr>
    </w:p>
    <w:p w:rsidR="000C4D7B" w:rsidRDefault="000C4D7B" w:rsidP="000C4D7B">
      <w:pPr>
        <w:rPr>
          <w:rFonts w:ascii="Times New Roman" w:hAnsi="Times New Roman" w:cs="Times New Roman"/>
        </w:rPr>
      </w:pPr>
      <w:r>
        <w:rPr>
          <w:rFonts w:ascii="Times New Roman" w:hAnsi="Times New Roman" w:cs="Times New Roman"/>
          <w:noProof/>
        </w:rPr>
        <w:drawing>
          <wp:inline distT="0" distB="0" distL="0" distR="0">
            <wp:extent cx="2867025" cy="1800225"/>
            <wp:effectExtent l="19050" t="0" r="9525" b="0"/>
            <wp:docPr id="2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2E5341" w:rsidRPr="00926891" w:rsidRDefault="002E5341" w:rsidP="002E5341">
      <w:pPr>
        <w:jc w:val="both"/>
        <w:rPr>
          <w:rFonts w:ascii="Times New Roman" w:eastAsia="Times New Roman" w:hAnsi="Times New Roman" w:cs="Times New Roman"/>
          <w:b/>
          <w:color w:val="000000"/>
          <w:sz w:val="24"/>
          <w:szCs w:val="24"/>
          <w:shd w:val="clear" w:color="auto" w:fill="FFFFFF"/>
        </w:rPr>
      </w:pPr>
      <w:r>
        <w:rPr>
          <w:rFonts w:ascii="Times New Roman" w:eastAsia="Times New Roman" w:hAnsi="Times New Roman" w:cs="Times New Roman"/>
          <w:color w:val="000000"/>
          <w:sz w:val="24"/>
          <w:szCs w:val="24"/>
        </w:rPr>
        <w:t>Current asset turnover ratio</w:t>
      </w:r>
      <w:r w:rsidRPr="004D1EC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shows</w:t>
      </w:r>
      <w:r w:rsidRPr="004D1EC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the</w:t>
      </w:r>
      <w:r w:rsidRPr="004D1ECD">
        <w:rPr>
          <w:rFonts w:ascii="Times New Roman" w:eastAsia="Times New Roman" w:hAnsi="Times New Roman" w:cs="Times New Roman"/>
          <w:color w:val="000000"/>
          <w:sz w:val="24"/>
          <w:szCs w:val="24"/>
        </w:rPr>
        <w:t xml:space="preserve"> efficiently</w:t>
      </w:r>
      <w:r>
        <w:rPr>
          <w:rFonts w:ascii="Times New Roman" w:eastAsia="Times New Roman" w:hAnsi="Times New Roman" w:cs="Times New Roman"/>
          <w:color w:val="000000"/>
          <w:sz w:val="24"/>
          <w:szCs w:val="24"/>
        </w:rPr>
        <w:t xml:space="preserve"> of</w:t>
      </w:r>
      <w:r w:rsidRPr="004D1ECD">
        <w:rPr>
          <w:rFonts w:ascii="Times New Roman" w:eastAsia="Times New Roman" w:hAnsi="Times New Roman" w:cs="Times New Roman"/>
          <w:color w:val="000000"/>
          <w:sz w:val="24"/>
          <w:szCs w:val="24"/>
        </w:rPr>
        <w:t xml:space="preserve"> firm</w:t>
      </w:r>
      <w:r>
        <w:rPr>
          <w:rFonts w:ascii="Times New Roman" w:eastAsia="Times New Roman" w:hAnsi="Times New Roman" w:cs="Times New Roman"/>
          <w:color w:val="000000"/>
          <w:sz w:val="24"/>
          <w:szCs w:val="24"/>
        </w:rPr>
        <w:t xml:space="preserve"> how they are using its current asset for making revenue</w:t>
      </w:r>
    </w:p>
    <w:p w:rsidR="000C4D7B" w:rsidRDefault="000C4D7B" w:rsidP="000C4D7B">
      <w:pPr>
        <w:spacing w:after="200" w:line="276" w:lineRule="auto"/>
        <w:jc w:val="both"/>
        <w:rPr>
          <w:rFonts w:ascii="Times New Roman" w:eastAsia="Times New Roman" w:hAnsi="Times New Roman" w:cs="Times New Roman"/>
          <w:color w:val="000000"/>
          <w:sz w:val="24"/>
          <w:szCs w:val="24"/>
        </w:rPr>
      </w:pPr>
      <w:r w:rsidRPr="004D1ECD">
        <w:rPr>
          <w:rFonts w:ascii="Times New Roman" w:eastAsia="Times New Roman" w:hAnsi="Times New Roman" w:cs="Times New Roman"/>
          <w:color w:val="000000"/>
          <w:sz w:val="24"/>
          <w:szCs w:val="24"/>
        </w:rPr>
        <w:t>This firm current asset turnover ratio in 201</w:t>
      </w:r>
      <w:r>
        <w:rPr>
          <w:rFonts w:ascii="Times New Roman" w:eastAsia="Times New Roman" w:hAnsi="Times New Roman" w:cs="Times New Roman"/>
          <w:color w:val="000000"/>
          <w:sz w:val="24"/>
          <w:szCs w:val="24"/>
        </w:rPr>
        <w:t>6</w:t>
      </w:r>
      <w:r w:rsidRPr="004D1ECD">
        <w:rPr>
          <w:rFonts w:ascii="Times New Roman" w:eastAsia="Times New Roman" w:hAnsi="Times New Roman" w:cs="Times New Roman"/>
          <w:color w:val="000000"/>
          <w:sz w:val="24"/>
          <w:szCs w:val="24"/>
        </w:rPr>
        <w:t xml:space="preserve"> is </w:t>
      </w:r>
      <w:r>
        <w:rPr>
          <w:rFonts w:ascii="Times New Roman" w:eastAsia="Times New Roman" w:hAnsi="Times New Roman" w:cs="Times New Roman"/>
          <w:color w:val="000000"/>
          <w:sz w:val="24"/>
          <w:szCs w:val="24"/>
        </w:rPr>
        <w:t>1.006 times, in 2015 is 0.757 and in 2014 is 0.72</w:t>
      </w:r>
      <w:r w:rsidRPr="004D1ECD">
        <w:rPr>
          <w:rFonts w:ascii="Times New Roman" w:eastAsia="Times New Roman" w:hAnsi="Times New Roman" w:cs="Times New Roman"/>
          <w:color w:val="000000"/>
          <w:sz w:val="24"/>
          <w:szCs w:val="24"/>
        </w:rPr>
        <w:t xml:space="preserve">. Ratio is above than 1× indicates firm using its current asset efficiently in </w:t>
      </w:r>
      <w:r>
        <w:rPr>
          <w:rFonts w:ascii="Times New Roman" w:eastAsia="Times New Roman" w:hAnsi="Times New Roman" w:cs="Times New Roman"/>
          <w:color w:val="000000"/>
          <w:sz w:val="24"/>
          <w:szCs w:val="24"/>
        </w:rPr>
        <w:t>these years. So, they used current asset efficiently in 2016.</w:t>
      </w:r>
    </w:p>
    <w:p w:rsidR="000C4D7B" w:rsidRPr="002F725F" w:rsidRDefault="000C4D7B" w:rsidP="000C4D7B">
      <w:pPr>
        <w:spacing w:after="200" w:line="276" w:lineRule="auto"/>
        <w:jc w:val="both"/>
        <w:rPr>
          <w:rFonts w:ascii="Times New Roman" w:eastAsia="Times New Roman" w:hAnsi="Times New Roman" w:cs="Times New Roman"/>
          <w:b/>
          <w:color w:val="000000"/>
          <w:sz w:val="24"/>
          <w:szCs w:val="24"/>
        </w:rPr>
      </w:pPr>
    </w:p>
    <w:p w:rsidR="000C4D7B" w:rsidRPr="00A15E21" w:rsidRDefault="000C4D7B" w:rsidP="00CE70EB">
      <w:pPr>
        <w:pStyle w:val="NoSpacing"/>
      </w:pPr>
      <w:r w:rsidRPr="00A15E21">
        <w:t>Inventory turnover Ratio</w:t>
      </w:r>
    </w:p>
    <w:tbl>
      <w:tblPr>
        <w:tblStyle w:val="TableGrid"/>
        <w:tblW w:w="0" w:type="auto"/>
        <w:tblLook w:val="04A0" w:firstRow="1" w:lastRow="0" w:firstColumn="1" w:lastColumn="0" w:noHBand="0" w:noVBand="1"/>
      </w:tblPr>
      <w:tblGrid>
        <w:gridCol w:w="3192"/>
        <w:gridCol w:w="3192"/>
        <w:gridCol w:w="3192"/>
      </w:tblGrid>
      <w:tr w:rsidR="000C4D7B" w:rsidTr="000C4D7B">
        <w:tc>
          <w:tcPr>
            <w:tcW w:w="3192" w:type="dxa"/>
          </w:tcPr>
          <w:p w:rsidR="000C4D7B" w:rsidRDefault="000C4D7B"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2015</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2014</w:t>
            </w:r>
          </w:p>
        </w:tc>
      </w:tr>
      <w:tr w:rsidR="000C4D7B" w:rsidTr="000C4D7B">
        <w:tc>
          <w:tcPr>
            <w:tcW w:w="3192" w:type="dxa"/>
            <w:vAlign w:val="bottom"/>
          </w:tcPr>
          <w:p w:rsidR="000C4D7B" w:rsidRDefault="000C4D7B" w:rsidP="000C4D7B">
            <w:pPr>
              <w:jc w:val="center"/>
              <w:rPr>
                <w:rFonts w:ascii="Calibri" w:hAnsi="Calibri" w:cs="Calibri"/>
                <w:color w:val="000000"/>
              </w:rPr>
            </w:pPr>
            <w:r>
              <w:rPr>
                <w:rFonts w:ascii="Calibri" w:hAnsi="Calibri" w:cs="Calibri"/>
                <w:color w:val="000000"/>
              </w:rPr>
              <w:t>3.20</w:t>
            </w:r>
          </w:p>
        </w:tc>
        <w:tc>
          <w:tcPr>
            <w:tcW w:w="3192" w:type="dxa"/>
            <w:vAlign w:val="bottom"/>
          </w:tcPr>
          <w:p w:rsidR="000C4D7B" w:rsidRDefault="000C4D7B" w:rsidP="000C4D7B">
            <w:pPr>
              <w:jc w:val="center"/>
              <w:rPr>
                <w:rFonts w:ascii="Calibri" w:hAnsi="Calibri" w:cs="Calibri"/>
                <w:color w:val="000000"/>
              </w:rPr>
            </w:pPr>
            <w:r>
              <w:rPr>
                <w:rFonts w:ascii="Calibri" w:hAnsi="Calibri" w:cs="Calibri"/>
                <w:color w:val="000000"/>
              </w:rPr>
              <w:t>2.10</w:t>
            </w:r>
          </w:p>
        </w:tc>
        <w:tc>
          <w:tcPr>
            <w:tcW w:w="3192" w:type="dxa"/>
            <w:vAlign w:val="bottom"/>
          </w:tcPr>
          <w:p w:rsidR="000C4D7B" w:rsidRDefault="000C4D7B" w:rsidP="000C4D7B">
            <w:pPr>
              <w:jc w:val="center"/>
              <w:rPr>
                <w:rFonts w:ascii="Calibri" w:hAnsi="Calibri" w:cs="Calibri"/>
                <w:color w:val="000000"/>
              </w:rPr>
            </w:pPr>
            <w:r>
              <w:rPr>
                <w:rFonts w:ascii="Calibri" w:hAnsi="Calibri" w:cs="Calibri"/>
                <w:color w:val="000000"/>
              </w:rPr>
              <w:t>2.41</w:t>
            </w:r>
          </w:p>
        </w:tc>
      </w:tr>
    </w:tbl>
    <w:p w:rsidR="000C4D7B" w:rsidRDefault="000C4D7B" w:rsidP="000C4D7B">
      <w:pPr>
        <w:rPr>
          <w:rFonts w:ascii="Times New Roman" w:hAnsi="Times New Roman" w:cs="Times New Roman"/>
        </w:rPr>
      </w:pPr>
    </w:p>
    <w:p w:rsidR="000C4D7B" w:rsidRDefault="000C4D7B" w:rsidP="000C4D7B">
      <w:pPr>
        <w:rPr>
          <w:rFonts w:ascii="Times New Roman" w:hAnsi="Times New Roman" w:cs="Times New Roman"/>
        </w:rPr>
      </w:pPr>
      <w:r w:rsidRPr="00960615">
        <w:rPr>
          <w:rFonts w:ascii="Times New Roman" w:hAnsi="Times New Roman" w:cs="Times New Roman"/>
          <w:noProof/>
        </w:rPr>
        <w:drawing>
          <wp:inline distT="0" distB="0" distL="0" distR="0">
            <wp:extent cx="2733675" cy="1676400"/>
            <wp:effectExtent l="19050" t="0" r="9525"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0C4D7B" w:rsidRDefault="000C4D7B" w:rsidP="000C4D7B">
      <w:pPr>
        <w:spacing w:after="200" w:line="276" w:lineRule="auto"/>
        <w:jc w:val="both"/>
        <w:rPr>
          <w:rFonts w:ascii="Times New Roman" w:eastAsia="Times New Roman" w:hAnsi="Times New Roman" w:cs="Times New Roman"/>
          <w:color w:val="000000"/>
          <w:sz w:val="24"/>
          <w:szCs w:val="24"/>
        </w:rPr>
      </w:pPr>
      <w:r w:rsidRPr="004D1ECD">
        <w:rPr>
          <w:rFonts w:ascii="Times New Roman" w:eastAsia="Times New Roman" w:hAnsi="Times New Roman" w:cs="Times New Roman"/>
          <w:color w:val="000000"/>
          <w:sz w:val="24"/>
          <w:szCs w:val="24"/>
        </w:rPr>
        <w:t>Inventory turnover ratio indicates the way management has used inventory to conduct the operations of the business. Inventory turnover of</w:t>
      </w:r>
      <w:r>
        <w:rPr>
          <w:rFonts w:ascii="Times New Roman" w:eastAsia="Times New Roman" w:hAnsi="Times New Roman" w:cs="Times New Roman"/>
          <w:color w:val="000000"/>
          <w:sz w:val="24"/>
          <w:szCs w:val="24"/>
        </w:rPr>
        <w:t xml:space="preserve"> ACI food of the year 2016</w:t>
      </w:r>
      <w:r w:rsidRPr="004D1ECD">
        <w:rPr>
          <w:rFonts w:ascii="Times New Roman" w:eastAsia="Times New Roman" w:hAnsi="Times New Roman" w:cs="Times New Roman"/>
          <w:color w:val="000000"/>
          <w:sz w:val="24"/>
          <w:szCs w:val="24"/>
        </w:rPr>
        <w:t xml:space="preserve"> is 3.</w:t>
      </w:r>
      <w:r>
        <w:rPr>
          <w:rFonts w:ascii="Times New Roman" w:eastAsia="Times New Roman" w:hAnsi="Times New Roman" w:cs="Times New Roman"/>
          <w:color w:val="000000"/>
          <w:sz w:val="24"/>
          <w:szCs w:val="24"/>
        </w:rPr>
        <w:t>2 and 2015</w:t>
      </w:r>
      <w:r w:rsidRPr="004D1ECD">
        <w:rPr>
          <w:rFonts w:ascii="Times New Roman" w:eastAsia="Times New Roman" w:hAnsi="Times New Roman" w:cs="Times New Roman"/>
          <w:color w:val="000000"/>
          <w:sz w:val="24"/>
          <w:szCs w:val="24"/>
        </w:rPr>
        <w:t xml:space="preserve"> is </w:t>
      </w:r>
      <w:r>
        <w:rPr>
          <w:rFonts w:ascii="Times New Roman" w:eastAsia="Times New Roman" w:hAnsi="Times New Roman" w:cs="Times New Roman"/>
          <w:color w:val="000000"/>
          <w:sz w:val="24"/>
          <w:szCs w:val="24"/>
        </w:rPr>
        <w:t>2.10 and 2014 is 2.41</w:t>
      </w:r>
      <w:r w:rsidRPr="004D1ECD">
        <w:rPr>
          <w:rFonts w:ascii="Times New Roman" w:eastAsia="Times New Roman" w:hAnsi="Times New Roman" w:cs="Times New Roman"/>
          <w:color w:val="000000"/>
          <w:sz w:val="24"/>
          <w:szCs w:val="24"/>
        </w:rPr>
        <w:t>Comparing the</w:t>
      </w:r>
      <w:r>
        <w:rPr>
          <w:rFonts w:ascii="Times New Roman" w:eastAsia="Times New Roman" w:hAnsi="Times New Roman" w:cs="Times New Roman"/>
          <w:color w:val="000000"/>
          <w:sz w:val="24"/>
          <w:szCs w:val="24"/>
        </w:rPr>
        <w:t>se</w:t>
      </w:r>
      <w:r w:rsidRPr="004D1ECD">
        <w:rPr>
          <w:rFonts w:ascii="Times New Roman" w:eastAsia="Times New Roman" w:hAnsi="Times New Roman" w:cs="Times New Roman"/>
          <w:color w:val="000000"/>
          <w:sz w:val="24"/>
          <w:szCs w:val="24"/>
        </w:rPr>
        <w:t xml:space="preserve"> t</w:t>
      </w:r>
      <w:r>
        <w:rPr>
          <w:rFonts w:ascii="Times New Roman" w:eastAsia="Times New Roman" w:hAnsi="Times New Roman" w:cs="Times New Roman"/>
          <w:color w:val="000000"/>
          <w:sz w:val="24"/>
          <w:szCs w:val="24"/>
        </w:rPr>
        <w:t>hree</w:t>
      </w:r>
      <w:r w:rsidRPr="004D1ECD">
        <w:rPr>
          <w:rFonts w:ascii="Times New Roman" w:eastAsia="Times New Roman" w:hAnsi="Times New Roman" w:cs="Times New Roman"/>
          <w:color w:val="000000"/>
          <w:sz w:val="24"/>
          <w:szCs w:val="24"/>
        </w:rPr>
        <w:t xml:space="preserve"> year</w:t>
      </w:r>
      <w:r>
        <w:rPr>
          <w:rFonts w:ascii="Times New Roman" w:eastAsia="Times New Roman" w:hAnsi="Times New Roman" w:cs="Times New Roman"/>
          <w:color w:val="000000"/>
          <w:sz w:val="24"/>
          <w:szCs w:val="24"/>
        </w:rPr>
        <w:t>s</w:t>
      </w:r>
      <w:r w:rsidRPr="004D1ECD">
        <w:rPr>
          <w:rFonts w:ascii="Times New Roman" w:eastAsia="Times New Roman" w:hAnsi="Times New Roman" w:cs="Times New Roman"/>
          <w:color w:val="000000"/>
          <w:sz w:val="24"/>
          <w:szCs w:val="24"/>
        </w:rPr>
        <w:t xml:space="preserve"> the company had the high amount of inventory which is good for firm because higher the inventory turnover the better for the company.</w:t>
      </w:r>
    </w:p>
    <w:p w:rsidR="000C4D7B" w:rsidRPr="00A15E21" w:rsidRDefault="000C4D7B" w:rsidP="00CE70EB">
      <w:pPr>
        <w:pStyle w:val="NoSpacing"/>
      </w:pPr>
      <w:r w:rsidRPr="00A15E21">
        <w:lastRenderedPageBreak/>
        <w:t>Daily Inventories Held</w:t>
      </w:r>
    </w:p>
    <w:tbl>
      <w:tblPr>
        <w:tblStyle w:val="TableGrid"/>
        <w:tblW w:w="0" w:type="auto"/>
        <w:tblLook w:val="04A0" w:firstRow="1" w:lastRow="0" w:firstColumn="1" w:lastColumn="0" w:noHBand="0" w:noVBand="1"/>
      </w:tblPr>
      <w:tblGrid>
        <w:gridCol w:w="3192"/>
        <w:gridCol w:w="3192"/>
        <w:gridCol w:w="3192"/>
      </w:tblGrid>
      <w:tr w:rsidR="000C4D7B" w:rsidTr="000C4D7B">
        <w:tc>
          <w:tcPr>
            <w:tcW w:w="3192" w:type="dxa"/>
          </w:tcPr>
          <w:p w:rsidR="000C4D7B" w:rsidRDefault="000C4D7B"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2015</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2014</w:t>
            </w:r>
          </w:p>
        </w:tc>
      </w:tr>
      <w:tr w:rsidR="000C4D7B" w:rsidTr="000C4D7B">
        <w:tc>
          <w:tcPr>
            <w:tcW w:w="3192" w:type="dxa"/>
            <w:vAlign w:val="bottom"/>
          </w:tcPr>
          <w:p w:rsidR="000C4D7B" w:rsidRDefault="00E2404F" w:rsidP="000C4D7B">
            <w:pPr>
              <w:jc w:val="center"/>
              <w:rPr>
                <w:rFonts w:ascii="Calibri" w:hAnsi="Calibri" w:cs="Calibri"/>
                <w:color w:val="000000"/>
              </w:rPr>
            </w:pPr>
            <w:r>
              <w:rPr>
                <w:rFonts w:ascii="Calibri" w:hAnsi="Calibri" w:cs="Calibri"/>
                <w:color w:val="000000"/>
              </w:rPr>
              <w:t>113.77</w:t>
            </w:r>
          </w:p>
        </w:tc>
        <w:tc>
          <w:tcPr>
            <w:tcW w:w="3192" w:type="dxa"/>
            <w:vAlign w:val="bottom"/>
          </w:tcPr>
          <w:p w:rsidR="000C4D7B" w:rsidRDefault="00E2404F" w:rsidP="000C4D7B">
            <w:pPr>
              <w:jc w:val="center"/>
              <w:rPr>
                <w:rFonts w:ascii="Calibri" w:hAnsi="Calibri" w:cs="Calibri"/>
                <w:color w:val="000000"/>
              </w:rPr>
            </w:pPr>
            <w:r>
              <w:rPr>
                <w:rFonts w:ascii="Calibri" w:hAnsi="Calibri" w:cs="Calibri"/>
                <w:color w:val="000000"/>
              </w:rPr>
              <w:t>173.56</w:t>
            </w:r>
          </w:p>
        </w:tc>
        <w:tc>
          <w:tcPr>
            <w:tcW w:w="3192" w:type="dxa"/>
            <w:vAlign w:val="bottom"/>
          </w:tcPr>
          <w:p w:rsidR="000C4D7B" w:rsidRDefault="00E2404F" w:rsidP="000C4D7B">
            <w:pPr>
              <w:jc w:val="center"/>
              <w:rPr>
                <w:rFonts w:ascii="Calibri" w:hAnsi="Calibri" w:cs="Calibri"/>
                <w:color w:val="000000"/>
              </w:rPr>
            </w:pPr>
            <w:r>
              <w:rPr>
                <w:rFonts w:ascii="Calibri" w:hAnsi="Calibri" w:cs="Calibri"/>
                <w:color w:val="000000"/>
              </w:rPr>
              <w:t>151.20</w:t>
            </w:r>
          </w:p>
        </w:tc>
      </w:tr>
    </w:tbl>
    <w:p w:rsidR="000C4D7B" w:rsidRDefault="000C4D7B" w:rsidP="000C4D7B">
      <w:pPr>
        <w:rPr>
          <w:rFonts w:ascii="Times New Roman" w:hAnsi="Times New Roman" w:cs="Times New Roman"/>
        </w:rPr>
      </w:pPr>
    </w:p>
    <w:p w:rsidR="000C4D7B" w:rsidRDefault="000C4D7B" w:rsidP="000C4D7B">
      <w:pPr>
        <w:rPr>
          <w:rFonts w:ascii="Times New Roman" w:hAnsi="Times New Roman" w:cs="Times New Roman"/>
        </w:rPr>
      </w:pPr>
      <w:r w:rsidRPr="00C950F4">
        <w:rPr>
          <w:rFonts w:ascii="Times New Roman" w:hAnsi="Times New Roman" w:cs="Times New Roman"/>
          <w:noProof/>
        </w:rPr>
        <w:drawing>
          <wp:inline distT="0" distB="0" distL="0" distR="0">
            <wp:extent cx="2857500" cy="1885950"/>
            <wp:effectExtent l="19050" t="0" r="19050" b="0"/>
            <wp:docPr id="2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0C4D7B" w:rsidRDefault="000C4D7B" w:rsidP="000C4D7B">
      <w:pPr>
        <w:spacing w:after="200" w:line="276" w:lineRule="auto"/>
        <w:jc w:val="both"/>
        <w:rPr>
          <w:rFonts w:ascii="Times New Roman" w:eastAsia="Times New Roman" w:hAnsi="Times New Roman" w:cs="Times New Roman"/>
          <w:bCs/>
          <w:color w:val="000000"/>
          <w:sz w:val="24"/>
          <w:szCs w:val="24"/>
          <w:shd w:val="clear" w:color="auto" w:fill="FFFFFF"/>
        </w:rPr>
      </w:pPr>
      <w:r w:rsidRPr="004D1ECD">
        <w:rPr>
          <w:rFonts w:ascii="Times New Roman" w:eastAsia="Times New Roman" w:hAnsi="Times New Roman" w:cs="Times New Roman"/>
          <w:color w:val="000000"/>
          <w:sz w:val="24"/>
          <w:szCs w:val="24"/>
          <w:shd w:val="clear" w:color="auto" w:fill="FFFFFF"/>
        </w:rPr>
        <w:t> measures the number of </w:t>
      </w:r>
      <w:r w:rsidRPr="004D1ECD">
        <w:rPr>
          <w:rFonts w:ascii="Times New Roman" w:eastAsia="Times New Roman" w:hAnsi="Times New Roman" w:cs="Times New Roman"/>
          <w:b/>
          <w:bCs/>
          <w:color w:val="000000"/>
          <w:sz w:val="24"/>
          <w:szCs w:val="24"/>
          <w:shd w:val="clear" w:color="auto" w:fill="FFFFFF"/>
        </w:rPr>
        <w:t>days</w:t>
      </w:r>
      <w:r w:rsidRPr="004D1ECD">
        <w:rPr>
          <w:rFonts w:ascii="Times New Roman" w:eastAsia="Times New Roman" w:hAnsi="Times New Roman" w:cs="Times New Roman"/>
          <w:color w:val="000000"/>
          <w:sz w:val="24"/>
          <w:szCs w:val="24"/>
          <w:shd w:val="clear" w:color="auto" w:fill="FFFFFF"/>
        </w:rPr>
        <w:t> it will take a company to sell all of its </w:t>
      </w:r>
      <w:r w:rsidRPr="004D1ECD">
        <w:rPr>
          <w:rFonts w:ascii="Times New Roman" w:eastAsia="Times New Roman" w:hAnsi="Times New Roman" w:cs="Times New Roman"/>
          <w:bCs/>
          <w:color w:val="000000"/>
          <w:sz w:val="24"/>
          <w:szCs w:val="24"/>
          <w:shd w:val="clear" w:color="auto" w:fill="FFFFFF"/>
        </w:rPr>
        <w:t>inventory. This company DIH in 201</w:t>
      </w:r>
      <w:r>
        <w:rPr>
          <w:rFonts w:ascii="Times New Roman" w:eastAsia="Times New Roman" w:hAnsi="Times New Roman" w:cs="Times New Roman"/>
          <w:bCs/>
          <w:color w:val="000000"/>
          <w:sz w:val="24"/>
          <w:szCs w:val="24"/>
          <w:shd w:val="clear" w:color="auto" w:fill="FFFFFF"/>
        </w:rPr>
        <w:t>6 is 1</w:t>
      </w:r>
      <w:r w:rsidR="00E2404F">
        <w:rPr>
          <w:rFonts w:ascii="Times New Roman" w:eastAsia="Times New Roman" w:hAnsi="Times New Roman" w:cs="Times New Roman"/>
          <w:bCs/>
          <w:color w:val="000000"/>
          <w:sz w:val="24"/>
          <w:szCs w:val="24"/>
          <w:shd w:val="clear" w:color="auto" w:fill="FFFFFF"/>
        </w:rPr>
        <w:t>13</w:t>
      </w:r>
      <w:r w:rsidRPr="004D1ECD">
        <w:rPr>
          <w:rFonts w:ascii="Times New Roman" w:eastAsia="Times New Roman" w:hAnsi="Times New Roman" w:cs="Times New Roman"/>
          <w:bCs/>
          <w:color w:val="000000"/>
          <w:sz w:val="24"/>
          <w:szCs w:val="24"/>
          <w:shd w:val="clear" w:color="auto" w:fill="FFFFFF"/>
        </w:rPr>
        <w:t xml:space="preserve"> days and in 201</w:t>
      </w:r>
      <w:r>
        <w:rPr>
          <w:rFonts w:ascii="Times New Roman" w:eastAsia="Times New Roman" w:hAnsi="Times New Roman" w:cs="Times New Roman"/>
          <w:bCs/>
          <w:color w:val="000000"/>
          <w:sz w:val="24"/>
          <w:szCs w:val="24"/>
          <w:shd w:val="clear" w:color="auto" w:fill="FFFFFF"/>
        </w:rPr>
        <w:t>5</w:t>
      </w:r>
      <w:r w:rsidRPr="004D1ECD">
        <w:rPr>
          <w:rFonts w:ascii="Times New Roman" w:eastAsia="Times New Roman" w:hAnsi="Times New Roman" w:cs="Times New Roman"/>
          <w:bCs/>
          <w:color w:val="000000"/>
          <w:sz w:val="24"/>
          <w:szCs w:val="24"/>
          <w:shd w:val="clear" w:color="auto" w:fill="FFFFFF"/>
        </w:rPr>
        <w:t xml:space="preserve"> it takes </w:t>
      </w:r>
      <w:r w:rsidR="00E2404F">
        <w:rPr>
          <w:rFonts w:ascii="Times New Roman" w:eastAsia="Times New Roman" w:hAnsi="Times New Roman" w:cs="Times New Roman"/>
          <w:bCs/>
          <w:color w:val="000000"/>
          <w:sz w:val="24"/>
          <w:szCs w:val="24"/>
          <w:shd w:val="clear" w:color="auto" w:fill="FFFFFF"/>
        </w:rPr>
        <w:t>173</w:t>
      </w:r>
      <w:r>
        <w:rPr>
          <w:rFonts w:ascii="Times New Roman" w:eastAsia="Times New Roman" w:hAnsi="Times New Roman" w:cs="Times New Roman"/>
          <w:bCs/>
          <w:color w:val="000000"/>
          <w:sz w:val="24"/>
          <w:szCs w:val="24"/>
          <w:shd w:val="clear" w:color="auto" w:fill="FFFFFF"/>
        </w:rPr>
        <w:t xml:space="preserve"> days and 2014 takes </w:t>
      </w:r>
      <w:r w:rsidR="00E2404F">
        <w:rPr>
          <w:rFonts w:ascii="Times New Roman" w:eastAsia="Times New Roman" w:hAnsi="Times New Roman" w:cs="Times New Roman"/>
          <w:bCs/>
          <w:color w:val="000000"/>
          <w:sz w:val="24"/>
          <w:szCs w:val="24"/>
          <w:shd w:val="clear" w:color="auto" w:fill="FFFFFF"/>
        </w:rPr>
        <w:t>151</w:t>
      </w:r>
      <w:r>
        <w:rPr>
          <w:rFonts w:ascii="Times New Roman" w:eastAsia="Times New Roman" w:hAnsi="Times New Roman" w:cs="Times New Roman"/>
          <w:bCs/>
          <w:color w:val="000000"/>
          <w:sz w:val="24"/>
          <w:szCs w:val="24"/>
          <w:shd w:val="clear" w:color="auto" w:fill="FFFFFF"/>
        </w:rPr>
        <w:t xml:space="preserve"> days</w:t>
      </w:r>
      <w:r w:rsidRPr="004D1ECD">
        <w:rPr>
          <w:rFonts w:ascii="Times New Roman" w:eastAsia="Times New Roman" w:hAnsi="Times New Roman" w:cs="Times New Roman"/>
          <w:bCs/>
          <w:color w:val="000000"/>
          <w:sz w:val="24"/>
          <w:szCs w:val="24"/>
          <w:shd w:val="clear" w:color="auto" w:fill="FFFFFF"/>
        </w:rPr>
        <w:t xml:space="preserve"> Comparing th</w:t>
      </w:r>
      <w:r>
        <w:rPr>
          <w:rFonts w:ascii="Times New Roman" w:eastAsia="Times New Roman" w:hAnsi="Times New Roman" w:cs="Times New Roman"/>
          <w:bCs/>
          <w:color w:val="000000"/>
          <w:sz w:val="24"/>
          <w:szCs w:val="24"/>
          <w:shd w:val="clear" w:color="auto" w:fill="FFFFFF"/>
        </w:rPr>
        <w:t xml:space="preserve">ese years </w:t>
      </w:r>
      <w:r w:rsidRPr="004D1ECD">
        <w:rPr>
          <w:rFonts w:ascii="Times New Roman" w:eastAsia="Times New Roman" w:hAnsi="Times New Roman" w:cs="Times New Roman"/>
          <w:bCs/>
          <w:color w:val="000000"/>
          <w:sz w:val="24"/>
          <w:szCs w:val="24"/>
          <w:shd w:val="clear" w:color="auto" w:fill="FFFFFF"/>
        </w:rPr>
        <w:t xml:space="preserve">firm takes shorter time </w:t>
      </w:r>
      <w:r w:rsidR="00E2404F">
        <w:rPr>
          <w:rFonts w:ascii="Times New Roman" w:eastAsia="Times New Roman" w:hAnsi="Times New Roman" w:cs="Times New Roman"/>
          <w:bCs/>
          <w:color w:val="000000"/>
          <w:sz w:val="24"/>
          <w:szCs w:val="24"/>
          <w:shd w:val="clear" w:color="auto" w:fill="FFFFFF"/>
        </w:rPr>
        <w:t>in 2016</w:t>
      </w:r>
      <w:r>
        <w:rPr>
          <w:rFonts w:ascii="Times New Roman" w:eastAsia="Times New Roman" w:hAnsi="Times New Roman" w:cs="Times New Roman"/>
          <w:bCs/>
          <w:color w:val="000000"/>
          <w:sz w:val="24"/>
          <w:szCs w:val="24"/>
          <w:shd w:val="clear" w:color="auto" w:fill="FFFFFF"/>
        </w:rPr>
        <w:t>.</w:t>
      </w:r>
    </w:p>
    <w:p w:rsidR="000C4D7B" w:rsidRPr="00A15E21" w:rsidRDefault="000C4D7B" w:rsidP="00CE70EB">
      <w:pPr>
        <w:pStyle w:val="NoSpacing"/>
        <w:rPr>
          <w:shd w:val="clear" w:color="auto" w:fill="FFFFFF"/>
        </w:rPr>
      </w:pPr>
      <w:r w:rsidRPr="00A15E21">
        <w:rPr>
          <w:shd w:val="clear" w:color="auto" w:fill="FFFFFF"/>
        </w:rPr>
        <w:t>Raw Materials Inventory Turnover</w:t>
      </w:r>
    </w:p>
    <w:p w:rsidR="000C4D7B" w:rsidRDefault="000C4D7B" w:rsidP="000C4D7B"/>
    <w:tbl>
      <w:tblPr>
        <w:tblStyle w:val="TableGrid"/>
        <w:tblW w:w="0" w:type="auto"/>
        <w:tblLook w:val="04A0" w:firstRow="1" w:lastRow="0" w:firstColumn="1" w:lastColumn="0" w:noHBand="0" w:noVBand="1"/>
      </w:tblPr>
      <w:tblGrid>
        <w:gridCol w:w="3192"/>
        <w:gridCol w:w="3192"/>
        <w:gridCol w:w="3192"/>
      </w:tblGrid>
      <w:tr w:rsidR="00E80F16" w:rsidTr="005A2715">
        <w:tc>
          <w:tcPr>
            <w:tcW w:w="3192" w:type="dxa"/>
          </w:tcPr>
          <w:p w:rsidR="00E80F16" w:rsidRDefault="00E80F16"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E80F16" w:rsidRDefault="00E80F16" w:rsidP="000C4D7B">
            <w:pPr>
              <w:jc w:val="center"/>
              <w:rPr>
                <w:rFonts w:ascii="Times New Roman" w:hAnsi="Times New Roman" w:cs="Times New Roman"/>
              </w:rPr>
            </w:pPr>
            <w:r>
              <w:rPr>
                <w:rFonts w:ascii="Times New Roman" w:hAnsi="Times New Roman" w:cs="Times New Roman"/>
              </w:rPr>
              <w:t>2015</w:t>
            </w:r>
          </w:p>
        </w:tc>
        <w:tc>
          <w:tcPr>
            <w:tcW w:w="3192" w:type="dxa"/>
          </w:tcPr>
          <w:p w:rsidR="00E80F16" w:rsidRDefault="00E80F16" w:rsidP="000C4D7B">
            <w:pPr>
              <w:jc w:val="center"/>
              <w:rPr>
                <w:rFonts w:ascii="Times New Roman" w:hAnsi="Times New Roman" w:cs="Times New Roman"/>
              </w:rPr>
            </w:pPr>
            <w:r>
              <w:rPr>
                <w:rFonts w:ascii="Times New Roman" w:hAnsi="Times New Roman" w:cs="Times New Roman"/>
              </w:rPr>
              <w:t>2014</w:t>
            </w:r>
          </w:p>
        </w:tc>
      </w:tr>
      <w:tr w:rsidR="00E80F16" w:rsidTr="005A2715">
        <w:tc>
          <w:tcPr>
            <w:tcW w:w="3192" w:type="dxa"/>
            <w:vAlign w:val="bottom"/>
          </w:tcPr>
          <w:p w:rsidR="00E80F16" w:rsidRDefault="00E80F16" w:rsidP="000C4D7B">
            <w:pPr>
              <w:jc w:val="center"/>
              <w:rPr>
                <w:rFonts w:ascii="Calibri" w:hAnsi="Calibri" w:cs="Calibri"/>
                <w:color w:val="000000"/>
              </w:rPr>
            </w:pPr>
            <w:r>
              <w:rPr>
                <w:rFonts w:ascii="Calibri" w:hAnsi="Calibri" w:cs="Calibri"/>
                <w:color w:val="000000"/>
              </w:rPr>
              <w:t>2.09</w:t>
            </w:r>
          </w:p>
        </w:tc>
        <w:tc>
          <w:tcPr>
            <w:tcW w:w="3192" w:type="dxa"/>
            <w:vAlign w:val="bottom"/>
          </w:tcPr>
          <w:p w:rsidR="00E80F16" w:rsidRDefault="00E80F16" w:rsidP="000C4D7B">
            <w:pPr>
              <w:jc w:val="center"/>
              <w:rPr>
                <w:rFonts w:ascii="Calibri" w:hAnsi="Calibri" w:cs="Calibri"/>
                <w:color w:val="000000"/>
              </w:rPr>
            </w:pPr>
            <w:r>
              <w:rPr>
                <w:rFonts w:ascii="Calibri" w:hAnsi="Calibri" w:cs="Calibri"/>
                <w:color w:val="000000"/>
              </w:rPr>
              <w:t>4.02</w:t>
            </w:r>
          </w:p>
        </w:tc>
        <w:tc>
          <w:tcPr>
            <w:tcW w:w="3192" w:type="dxa"/>
          </w:tcPr>
          <w:p w:rsidR="00E80F16" w:rsidRDefault="00E80F16" w:rsidP="000C4D7B">
            <w:pPr>
              <w:jc w:val="center"/>
              <w:rPr>
                <w:rFonts w:ascii="Calibri" w:hAnsi="Calibri" w:cs="Calibri"/>
                <w:color w:val="000000"/>
              </w:rPr>
            </w:pPr>
            <w:r>
              <w:rPr>
                <w:rFonts w:ascii="Calibri" w:hAnsi="Calibri" w:cs="Calibri"/>
                <w:color w:val="000000"/>
              </w:rPr>
              <w:t>3.93</w:t>
            </w:r>
          </w:p>
        </w:tc>
      </w:tr>
    </w:tbl>
    <w:p w:rsidR="000C4D7B" w:rsidRDefault="000C4D7B" w:rsidP="000C4D7B">
      <w:pPr>
        <w:rPr>
          <w:rFonts w:ascii="Times New Roman" w:hAnsi="Times New Roman" w:cs="Times New Roman"/>
        </w:rPr>
      </w:pPr>
    </w:p>
    <w:p w:rsidR="000C4D7B" w:rsidRDefault="000C4D7B" w:rsidP="000C4D7B">
      <w:pPr>
        <w:rPr>
          <w:rFonts w:ascii="Times New Roman" w:hAnsi="Times New Roman" w:cs="Times New Roman"/>
        </w:rPr>
      </w:pPr>
      <w:r w:rsidRPr="00C950F4">
        <w:rPr>
          <w:rFonts w:ascii="Times New Roman" w:hAnsi="Times New Roman" w:cs="Times New Roman"/>
          <w:noProof/>
        </w:rPr>
        <w:drawing>
          <wp:inline distT="0" distB="0" distL="0" distR="0">
            <wp:extent cx="2857500" cy="1885950"/>
            <wp:effectExtent l="19050" t="0" r="19050" b="0"/>
            <wp:docPr id="2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0C4D7B" w:rsidRPr="004D1ECD" w:rsidRDefault="000C4D7B" w:rsidP="000C4D7B">
      <w:pPr>
        <w:spacing w:after="200" w:line="276" w:lineRule="auto"/>
        <w:jc w:val="both"/>
        <w:rPr>
          <w:rFonts w:ascii="Times New Roman" w:eastAsia="Times New Roman" w:hAnsi="Times New Roman" w:cs="Times New Roman"/>
          <w:color w:val="000000"/>
          <w:sz w:val="24"/>
          <w:szCs w:val="24"/>
        </w:rPr>
      </w:pPr>
      <w:r w:rsidRPr="004D1ECD">
        <w:rPr>
          <w:rFonts w:ascii="Times New Roman" w:eastAsia="Times New Roman" w:hAnsi="Times New Roman" w:cs="Times New Roman"/>
          <w:color w:val="000000"/>
          <w:sz w:val="24"/>
          <w:szCs w:val="24"/>
        </w:rPr>
        <w:t>This ratio indicates the rate of utilization of raw material.</w:t>
      </w:r>
    </w:p>
    <w:p w:rsidR="000C4D7B" w:rsidRDefault="0067766B" w:rsidP="0033717B">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2015</w:t>
      </w:r>
      <w:r w:rsidR="000C4D7B" w:rsidRPr="004D1ECD">
        <w:rPr>
          <w:rFonts w:ascii="Times New Roman" w:eastAsia="Times New Roman" w:hAnsi="Times New Roman" w:cs="Times New Roman"/>
          <w:color w:val="000000"/>
          <w:sz w:val="24"/>
          <w:szCs w:val="24"/>
        </w:rPr>
        <w:t xml:space="preserve"> this ratio </w:t>
      </w:r>
      <w:r>
        <w:rPr>
          <w:rFonts w:ascii="Times New Roman" w:eastAsia="Times New Roman" w:hAnsi="Times New Roman" w:cs="Times New Roman"/>
          <w:color w:val="000000"/>
          <w:sz w:val="24"/>
          <w:szCs w:val="24"/>
        </w:rPr>
        <w:t>was 40.2 and in 2014</w:t>
      </w:r>
      <w:r w:rsidR="000C4D7B" w:rsidRPr="004D1ECD">
        <w:rPr>
          <w:rFonts w:ascii="Times New Roman" w:eastAsia="Times New Roman" w:hAnsi="Times New Roman" w:cs="Times New Roman"/>
          <w:color w:val="000000"/>
          <w:sz w:val="24"/>
          <w:szCs w:val="24"/>
        </w:rPr>
        <w:t xml:space="preserve"> it was </w:t>
      </w:r>
      <w:r>
        <w:rPr>
          <w:rFonts w:ascii="Times New Roman" w:eastAsia="Times New Roman" w:hAnsi="Times New Roman" w:cs="Times New Roman"/>
          <w:color w:val="000000"/>
          <w:sz w:val="24"/>
          <w:szCs w:val="24"/>
        </w:rPr>
        <w:t>3.93. This higher turnover ratio</w:t>
      </w:r>
      <w:r w:rsidR="000C4D7B" w:rsidRPr="004D1ECD">
        <w:rPr>
          <w:rFonts w:ascii="Times New Roman" w:eastAsia="Times New Roman" w:hAnsi="Times New Roman" w:cs="Times New Roman"/>
          <w:color w:val="000000"/>
          <w:sz w:val="24"/>
          <w:szCs w:val="24"/>
        </w:rPr>
        <w:t xml:space="preserve"> of raw material inventory over a period of time indicates </w:t>
      </w:r>
      <w:r>
        <w:rPr>
          <w:rFonts w:ascii="Times New Roman" w:eastAsia="Times New Roman" w:hAnsi="Times New Roman" w:cs="Times New Roman"/>
          <w:color w:val="000000"/>
          <w:sz w:val="24"/>
          <w:szCs w:val="24"/>
        </w:rPr>
        <w:t>c</w:t>
      </w:r>
      <w:r w:rsidR="000C4D7B" w:rsidRPr="004D1ECD">
        <w:rPr>
          <w:rFonts w:ascii="Times New Roman" w:eastAsia="Times New Roman" w:hAnsi="Times New Roman" w:cs="Times New Roman"/>
          <w:color w:val="000000"/>
          <w:sz w:val="24"/>
          <w:szCs w:val="24"/>
        </w:rPr>
        <w:t>ompany increasing its utilization</w:t>
      </w:r>
      <w:r w:rsidR="000C4D7B">
        <w:rPr>
          <w:rFonts w:ascii="Times New Roman" w:eastAsia="Times New Roman" w:hAnsi="Times New Roman" w:cs="Times New Roman"/>
          <w:color w:val="000000"/>
          <w:sz w:val="24"/>
          <w:szCs w:val="24"/>
        </w:rPr>
        <w:t>.</w:t>
      </w:r>
    </w:p>
    <w:p w:rsidR="000C4D7B" w:rsidRDefault="000C4D7B" w:rsidP="000C4D7B">
      <w:pPr>
        <w:rPr>
          <w:rFonts w:ascii="Times New Roman" w:eastAsia="Times New Roman" w:hAnsi="Times New Roman" w:cs="Times New Roman"/>
          <w:color w:val="000000"/>
          <w:sz w:val="24"/>
          <w:szCs w:val="24"/>
        </w:rPr>
      </w:pPr>
    </w:p>
    <w:p w:rsidR="000C4D7B" w:rsidRPr="00A15E21" w:rsidRDefault="000C4D7B" w:rsidP="00CE70EB">
      <w:pPr>
        <w:pStyle w:val="NoSpacing"/>
      </w:pPr>
      <w:r w:rsidRPr="00A15E21">
        <w:lastRenderedPageBreak/>
        <w:t>Number of days holdings Raw materials</w:t>
      </w:r>
    </w:p>
    <w:tbl>
      <w:tblPr>
        <w:tblStyle w:val="TableGrid"/>
        <w:tblW w:w="0" w:type="auto"/>
        <w:tblLook w:val="04A0" w:firstRow="1" w:lastRow="0" w:firstColumn="1" w:lastColumn="0" w:noHBand="0" w:noVBand="1"/>
      </w:tblPr>
      <w:tblGrid>
        <w:gridCol w:w="3192"/>
        <w:gridCol w:w="3192"/>
        <w:gridCol w:w="3192"/>
      </w:tblGrid>
      <w:tr w:rsidR="00573A77" w:rsidTr="005A2715">
        <w:tc>
          <w:tcPr>
            <w:tcW w:w="3192" w:type="dxa"/>
          </w:tcPr>
          <w:p w:rsidR="00573A77" w:rsidRDefault="00573A77"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573A77" w:rsidRDefault="00573A77" w:rsidP="000C4D7B">
            <w:pPr>
              <w:jc w:val="center"/>
              <w:rPr>
                <w:rFonts w:ascii="Times New Roman" w:hAnsi="Times New Roman" w:cs="Times New Roman"/>
              </w:rPr>
            </w:pPr>
            <w:r>
              <w:rPr>
                <w:rFonts w:ascii="Times New Roman" w:hAnsi="Times New Roman" w:cs="Times New Roman"/>
              </w:rPr>
              <w:t>2015</w:t>
            </w:r>
          </w:p>
        </w:tc>
        <w:tc>
          <w:tcPr>
            <w:tcW w:w="3192" w:type="dxa"/>
          </w:tcPr>
          <w:p w:rsidR="00573A77" w:rsidRDefault="00573A77" w:rsidP="000C4D7B">
            <w:pPr>
              <w:jc w:val="center"/>
              <w:rPr>
                <w:rFonts w:ascii="Times New Roman" w:hAnsi="Times New Roman" w:cs="Times New Roman"/>
              </w:rPr>
            </w:pPr>
            <w:r>
              <w:rPr>
                <w:rFonts w:ascii="Times New Roman" w:hAnsi="Times New Roman" w:cs="Times New Roman"/>
              </w:rPr>
              <w:t>2014</w:t>
            </w:r>
          </w:p>
        </w:tc>
      </w:tr>
      <w:tr w:rsidR="00573A77" w:rsidTr="005A2715">
        <w:tc>
          <w:tcPr>
            <w:tcW w:w="3192" w:type="dxa"/>
            <w:vAlign w:val="bottom"/>
          </w:tcPr>
          <w:p w:rsidR="00573A77" w:rsidRDefault="00573A77" w:rsidP="000C4D7B">
            <w:pPr>
              <w:jc w:val="center"/>
              <w:rPr>
                <w:rFonts w:ascii="Calibri" w:hAnsi="Calibri" w:cs="Calibri"/>
                <w:color w:val="000000"/>
              </w:rPr>
            </w:pPr>
            <w:r>
              <w:rPr>
                <w:rFonts w:ascii="Calibri" w:hAnsi="Calibri" w:cs="Calibri"/>
                <w:color w:val="000000"/>
              </w:rPr>
              <w:t>173</w:t>
            </w:r>
          </w:p>
        </w:tc>
        <w:tc>
          <w:tcPr>
            <w:tcW w:w="3192" w:type="dxa"/>
            <w:vAlign w:val="bottom"/>
          </w:tcPr>
          <w:p w:rsidR="00573A77" w:rsidRDefault="00573A77" w:rsidP="000C4D7B">
            <w:pPr>
              <w:jc w:val="center"/>
              <w:rPr>
                <w:rFonts w:ascii="Calibri" w:hAnsi="Calibri" w:cs="Calibri"/>
                <w:color w:val="000000"/>
              </w:rPr>
            </w:pPr>
            <w:r>
              <w:rPr>
                <w:rFonts w:ascii="Calibri" w:hAnsi="Calibri" w:cs="Calibri"/>
                <w:color w:val="000000"/>
              </w:rPr>
              <w:t>90</w:t>
            </w:r>
          </w:p>
        </w:tc>
        <w:tc>
          <w:tcPr>
            <w:tcW w:w="3192" w:type="dxa"/>
          </w:tcPr>
          <w:p w:rsidR="00573A77" w:rsidRDefault="00573A77" w:rsidP="000C4D7B">
            <w:pPr>
              <w:jc w:val="center"/>
              <w:rPr>
                <w:rFonts w:ascii="Calibri" w:hAnsi="Calibri" w:cs="Calibri"/>
                <w:color w:val="000000"/>
              </w:rPr>
            </w:pPr>
            <w:r>
              <w:rPr>
                <w:rFonts w:ascii="Calibri" w:hAnsi="Calibri" w:cs="Calibri"/>
                <w:color w:val="000000"/>
              </w:rPr>
              <w:t>92</w:t>
            </w:r>
          </w:p>
        </w:tc>
      </w:tr>
    </w:tbl>
    <w:p w:rsidR="000C4D7B" w:rsidRDefault="000C4D7B" w:rsidP="000C4D7B"/>
    <w:p w:rsidR="00573A77" w:rsidRDefault="000C4D7B" w:rsidP="00573A77">
      <w:pPr>
        <w:rPr>
          <w:rFonts w:eastAsia="Times New Roman"/>
          <w:b/>
          <w:sz w:val="28"/>
          <w:szCs w:val="28"/>
          <w:shd w:val="clear" w:color="auto" w:fill="FFFFFF"/>
        </w:rPr>
      </w:pPr>
      <w:r w:rsidRPr="00BF0FF5">
        <w:rPr>
          <w:noProof/>
        </w:rPr>
        <w:drawing>
          <wp:inline distT="0" distB="0" distL="0" distR="0">
            <wp:extent cx="2857500" cy="1885950"/>
            <wp:effectExtent l="19050" t="0" r="19050" b="0"/>
            <wp:docPr id="2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0C4D7B" w:rsidRPr="00573A77" w:rsidRDefault="000C4D7B" w:rsidP="00CE70EB">
      <w:pPr>
        <w:pStyle w:val="NoSpacing"/>
        <w:rPr>
          <w:rFonts w:ascii="Times New Roman" w:hAnsi="Times New Roman" w:cs="Times New Roman"/>
        </w:rPr>
      </w:pPr>
      <w:r w:rsidRPr="00573A77">
        <w:rPr>
          <w:shd w:val="clear" w:color="auto" w:fill="FFFFFF"/>
        </w:rPr>
        <w:t>Work in process Inventory turnover</w:t>
      </w:r>
    </w:p>
    <w:tbl>
      <w:tblPr>
        <w:tblStyle w:val="TableGrid"/>
        <w:tblW w:w="0" w:type="auto"/>
        <w:tblLook w:val="04A0" w:firstRow="1" w:lastRow="0" w:firstColumn="1" w:lastColumn="0" w:noHBand="0" w:noVBand="1"/>
      </w:tblPr>
      <w:tblGrid>
        <w:gridCol w:w="3192"/>
        <w:gridCol w:w="3192"/>
        <w:gridCol w:w="3192"/>
      </w:tblGrid>
      <w:tr w:rsidR="000C4D7B" w:rsidTr="000C4D7B">
        <w:tc>
          <w:tcPr>
            <w:tcW w:w="3192" w:type="dxa"/>
          </w:tcPr>
          <w:p w:rsidR="000C4D7B" w:rsidRDefault="000C4D7B"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2015</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2014</w:t>
            </w:r>
          </w:p>
        </w:tc>
      </w:tr>
      <w:tr w:rsidR="000C4D7B" w:rsidTr="000C4D7B">
        <w:tc>
          <w:tcPr>
            <w:tcW w:w="3192" w:type="dxa"/>
            <w:vAlign w:val="bottom"/>
          </w:tcPr>
          <w:p w:rsidR="000C4D7B" w:rsidRDefault="00573A77" w:rsidP="000C4D7B">
            <w:pPr>
              <w:jc w:val="center"/>
              <w:rPr>
                <w:rFonts w:ascii="Calibri" w:hAnsi="Calibri" w:cs="Calibri"/>
                <w:color w:val="000000"/>
              </w:rPr>
            </w:pPr>
            <w:r>
              <w:rPr>
                <w:rFonts w:ascii="Calibri" w:hAnsi="Calibri" w:cs="Calibri"/>
                <w:color w:val="000000"/>
              </w:rPr>
              <w:t>89.78</w:t>
            </w:r>
          </w:p>
        </w:tc>
        <w:tc>
          <w:tcPr>
            <w:tcW w:w="3192" w:type="dxa"/>
            <w:vAlign w:val="bottom"/>
          </w:tcPr>
          <w:p w:rsidR="000C4D7B" w:rsidRDefault="00573A77" w:rsidP="000C4D7B">
            <w:pPr>
              <w:jc w:val="center"/>
              <w:rPr>
                <w:rFonts w:ascii="Calibri" w:hAnsi="Calibri" w:cs="Calibri"/>
                <w:color w:val="000000"/>
              </w:rPr>
            </w:pPr>
            <w:r>
              <w:rPr>
                <w:rFonts w:ascii="Calibri" w:hAnsi="Calibri" w:cs="Calibri"/>
                <w:color w:val="000000"/>
              </w:rPr>
              <w:t>56.34</w:t>
            </w:r>
          </w:p>
        </w:tc>
        <w:tc>
          <w:tcPr>
            <w:tcW w:w="3192" w:type="dxa"/>
            <w:vAlign w:val="bottom"/>
          </w:tcPr>
          <w:p w:rsidR="000C4D7B" w:rsidRDefault="00573A77" w:rsidP="000C4D7B">
            <w:pPr>
              <w:jc w:val="center"/>
              <w:rPr>
                <w:rFonts w:ascii="Calibri" w:hAnsi="Calibri" w:cs="Calibri"/>
                <w:color w:val="000000"/>
              </w:rPr>
            </w:pPr>
            <w:r>
              <w:rPr>
                <w:rFonts w:ascii="Calibri" w:hAnsi="Calibri" w:cs="Calibri"/>
                <w:color w:val="000000"/>
              </w:rPr>
              <w:t>86.44</w:t>
            </w:r>
          </w:p>
        </w:tc>
      </w:tr>
    </w:tbl>
    <w:p w:rsidR="000C4D7B" w:rsidRDefault="000C4D7B" w:rsidP="000C4D7B">
      <w:pPr>
        <w:rPr>
          <w:b/>
        </w:rPr>
      </w:pPr>
    </w:p>
    <w:p w:rsidR="000C4D7B" w:rsidRDefault="000C4D7B" w:rsidP="000C4D7B">
      <w:pPr>
        <w:rPr>
          <w:b/>
        </w:rPr>
      </w:pPr>
      <w:r w:rsidRPr="00034B65">
        <w:rPr>
          <w:b/>
          <w:noProof/>
        </w:rPr>
        <w:drawing>
          <wp:inline distT="0" distB="0" distL="0" distR="0">
            <wp:extent cx="2857500" cy="1885950"/>
            <wp:effectExtent l="19050" t="0" r="19050" b="0"/>
            <wp:docPr id="2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0C4D7B" w:rsidRDefault="000C4D7B" w:rsidP="000C4D7B">
      <w:pPr>
        <w:rPr>
          <w:b/>
        </w:rPr>
      </w:pPr>
    </w:p>
    <w:p w:rsidR="002E5341" w:rsidRDefault="002E5341" w:rsidP="002E5341">
      <w:p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Working process inventory turnover ratio higher means accumulation of inventory is lower and few active with working capital. In opposite this ratio gone high indicates management has lags in controlling or external factors delay their production movements. We will compare the ratios with acceptable standards.</w:t>
      </w:r>
    </w:p>
    <w:p w:rsidR="000C4D7B" w:rsidRPr="004D1ECD" w:rsidRDefault="00C00A73" w:rsidP="000C4D7B">
      <w:pPr>
        <w:autoSpaceDE w:val="0"/>
        <w:autoSpaceDN w:val="0"/>
        <w:adjustRightInd w:val="0"/>
        <w:spacing w:after="0" w:line="276" w:lineRule="auto"/>
        <w:jc w:val="both"/>
        <w:rPr>
          <w:rFonts w:ascii="Times New Roman" w:eastAsia="Times New Roman" w:hAnsi="Times New Roman" w:cs="Times New Roman"/>
          <w:sz w:val="24"/>
          <w:szCs w:val="24"/>
        </w:rPr>
      </w:pPr>
      <w:r w:rsidRPr="004D1ECD">
        <w:rPr>
          <w:rFonts w:ascii="Times New Roman" w:eastAsia="Times New Roman" w:hAnsi="Times New Roman" w:cs="Times New Roman"/>
          <w:sz w:val="24"/>
          <w:szCs w:val="24"/>
        </w:rPr>
        <w:t xml:space="preserve">. </w:t>
      </w:r>
    </w:p>
    <w:p w:rsidR="000C4D7B" w:rsidRDefault="000C4D7B" w:rsidP="000C4D7B">
      <w:pPr>
        <w:autoSpaceDE w:val="0"/>
        <w:autoSpaceDN w:val="0"/>
        <w:adjustRightInd w:val="0"/>
        <w:spacing w:after="0" w:line="276" w:lineRule="auto"/>
        <w:jc w:val="both"/>
        <w:rPr>
          <w:rFonts w:ascii="Times New Roman" w:eastAsia="Times New Roman" w:hAnsi="Times New Roman" w:cs="Times New Roman"/>
          <w:sz w:val="24"/>
          <w:szCs w:val="24"/>
        </w:rPr>
      </w:pPr>
      <w:r w:rsidRPr="004D1ECD">
        <w:rPr>
          <w:rFonts w:ascii="Times New Roman" w:eastAsia="Times New Roman" w:hAnsi="Times New Roman" w:cs="Times New Roman"/>
          <w:sz w:val="24"/>
          <w:szCs w:val="24"/>
        </w:rPr>
        <w:t>Here, Work-in-proc</w:t>
      </w:r>
      <w:r>
        <w:rPr>
          <w:rFonts w:ascii="Times New Roman" w:eastAsia="Times New Roman" w:hAnsi="Times New Roman" w:cs="Times New Roman"/>
          <w:sz w:val="24"/>
          <w:szCs w:val="24"/>
        </w:rPr>
        <w:t xml:space="preserve">ess inventory turnover are </w:t>
      </w:r>
      <w:r w:rsidR="0087507D">
        <w:rPr>
          <w:rFonts w:ascii="Times New Roman" w:eastAsia="Times New Roman" w:hAnsi="Times New Roman" w:cs="Times New Roman"/>
          <w:sz w:val="24"/>
          <w:szCs w:val="24"/>
        </w:rPr>
        <w:t>89.78</w:t>
      </w:r>
      <w:r w:rsidRPr="004D1ECD">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imes in 2016 &amp;</w:t>
      </w:r>
      <w:r w:rsidR="0087507D">
        <w:rPr>
          <w:rFonts w:ascii="Times New Roman" w:eastAsia="Times New Roman" w:hAnsi="Times New Roman" w:cs="Times New Roman"/>
          <w:sz w:val="24"/>
          <w:szCs w:val="24"/>
        </w:rPr>
        <w:t>56.34</w:t>
      </w:r>
      <w:r>
        <w:rPr>
          <w:rFonts w:ascii="Times New Roman" w:eastAsia="Times New Roman" w:hAnsi="Times New Roman" w:cs="Times New Roman"/>
          <w:sz w:val="24"/>
          <w:szCs w:val="24"/>
        </w:rPr>
        <w:t xml:space="preserve"> times in 2015and in 2014 it was </w:t>
      </w:r>
      <w:r w:rsidR="0087507D">
        <w:rPr>
          <w:rFonts w:ascii="Times New Roman" w:eastAsia="Times New Roman" w:hAnsi="Times New Roman" w:cs="Times New Roman"/>
          <w:sz w:val="24"/>
          <w:szCs w:val="24"/>
        </w:rPr>
        <w:t>86.44</w:t>
      </w:r>
      <w:r>
        <w:rPr>
          <w:rFonts w:ascii="Times New Roman" w:eastAsia="Times New Roman" w:hAnsi="Times New Roman" w:cs="Times New Roman"/>
          <w:sz w:val="24"/>
          <w:szCs w:val="24"/>
        </w:rPr>
        <w:t>. So, the company wo</w:t>
      </w:r>
      <w:r w:rsidR="0087507D">
        <w:rPr>
          <w:rFonts w:ascii="Times New Roman" w:eastAsia="Times New Roman" w:hAnsi="Times New Roman" w:cs="Times New Roman"/>
          <w:sz w:val="24"/>
          <w:szCs w:val="24"/>
        </w:rPr>
        <w:t>rked efficiently in 2015 and 2016.</w:t>
      </w:r>
    </w:p>
    <w:p w:rsidR="000C4D7B" w:rsidRDefault="000C4D7B" w:rsidP="000C4D7B">
      <w:pPr>
        <w:autoSpaceDE w:val="0"/>
        <w:autoSpaceDN w:val="0"/>
        <w:adjustRightInd w:val="0"/>
        <w:spacing w:after="0" w:line="276" w:lineRule="auto"/>
        <w:jc w:val="both"/>
        <w:rPr>
          <w:rFonts w:ascii="Times New Roman" w:eastAsia="Times New Roman" w:hAnsi="Times New Roman" w:cs="Times New Roman"/>
          <w:sz w:val="24"/>
          <w:szCs w:val="24"/>
        </w:rPr>
      </w:pPr>
    </w:p>
    <w:p w:rsidR="00E51C6B" w:rsidRDefault="00E51C6B" w:rsidP="000C4D7B">
      <w:pPr>
        <w:autoSpaceDE w:val="0"/>
        <w:autoSpaceDN w:val="0"/>
        <w:adjustRightInd w:val="0"/>
        <w:spacing w:after="0" w:line="276" w:lineRule="auto"/>
        <w:jc w:val="both"/>
        <w:rPr>
          <w:rFonts w:ascii="Times New Roman" w:eastAsia="Times New Roman" w:hAnsi="Times New Roman" w:cs="Times New Roman"/>
          <w:sz w:val="24"/>
          <w:szCs w:val="24"/>
        </w:rPr>
      </w:pPr>
    </w:p>
    <w:p w:rsidR="00E51C6B" w:rsidRDefault="00E51C6B" w:rsidP="000C4D7B">
      <w:pPr>
        <w:autoSpaceDE w:val="0"/>
        <w:autoSpaceDN w:val="0"/>
        <w:adjustRightInd w:val="0"/>
        <w:spacing w:after="0" w:line="276" w:lineRule="auto"/>
        <w:jc w:val="both"/>
        <w:rPr>
          <w:rFonts w:ascii="Times New Roman" w:eastAsia="Times New Roman" w:hAnsi="Times New Roman" w:cs="Times New Roman"/>
          <w:sz w:val="24"/>
          <w:szCs w:val="24"/>
        </w:rPr>
      </w:pPr>
    </w:p>
    <w:p w:rsidR="00E51C6B" w:rsidRDefault="00E51C6B" w:rsidP="000C4D7B">
      <w:pPr>
        <w:autoSpaceDE w:val="0"/>
        <w:autoSpaceDN w:val="0"/>
        <w:adjustRightInd w:val="0"/>
        <w:spacing w:after="0" w:line="276" w:lineRule="auto"/>
        <w:jc w:val="both"/>
        <w:rPr>
          <w:rFonts w:ascii="Times New Roman" w:eastAsia="Times New Roman" w:hAnsi="Times New Roman" w:cs="Times New Roman"/>
          <w:sz w:val="24"/>
          <w:szCs w:val="24"/>
        </w:rPr>
      </w:pPr>
    </w:p>
    <w:p w:rsidR="00E51C6B" w:rsidRDefault="00E51C6B" w:rsidP="000C4D7B">
      <w:pPr>
        <w:autoSpaceDE w:val="0"/>
        <w:autoSpaceDN w:val="0"/>
        <w:adjustRightInd w:val="0"/>
        <w:spacing w:after="0" w:line="276" w:lineRule="auto"/>
        <w:jc w:val="both"/>
        <w:rPr>
          <w:rFonts w:ascii="Times New Roman" w:eastAsia="Times New Roman" w:hAnsi="Times New Roman" w:cs="Times New Roman"/>
          <w:sz w:val="24"/>
          <w:szCs w:val="24"/>
        </w:rPr>
      </w:pPr>
    </w:p>
    <w:p w:rsidR="000C4D7B" w:rsidRPr="00A15E21" w:rsidRDefault="000C4D7B" w:rsidP="00CE70EB">
      <w:pPr>
        <w:pStyle w:val="NoSpacing"/>
      </w:pPr>
      <w:r w:rsidRPr="00A15E21">
        <w:t>Finished Goods Inventory turnover</w:t>
      </w:r>
    </w:p>
    <w:p w:rsidR="00E51C6B" w:rsidRDefault="00E51C6B" w:rsidP="000C4D7B"/>
    <w:tbl>
      <w:tblPr>
        <w:tblStyle w:val="TableGrid"/>
        <w:tblW w:w="0" w:type="auto"/>
        <w:tblLook w:val="04A0" w:firstRow="1" w:lastRow="0" w:firstColumn="1" w:lastColumn="0" w:noHBand="0" w:noVBand="1"/>
      </w:tblPr>
      <w:tblGrid>
        <w:gridCol w:w="3192"/>
        <w:gridCol w:w="3192"/>
        <w:gridCol w:w="3192"/>
      </w:tblGrid>
      <w:tr w:rsidR="000C4D7B" w:rsidTr="000C4D7B">
        <w:tc>
          <w:tcPr>
            <w:tcW w:w="3192" w:type="dxa"/>
          </w:tcPr>
          <w:p w:rsidR="000C4D7B" w:rsidRDefault="000C4D7B"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2015</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2014</w:t>
            </w:r>
          </w:p>
        </w:tc>
      </w:tr>
      <w:tr w:rsidR="000C4D7B" w:rsidTr="000C4D7B">
        <w:tc>
          <w:tcPr>
            <w:tcW w:w="3192" w:type="dxa"/>
            <w:vAlign w:val="bottom"/>
          </w:tcPr>
          <w:p w:rsidR="000C4D7B" w:rsidRDefault="0087507D" w:rsidP="000C4D7B">
            <w:pPr>
              <w:jc w:val="center"/>
              <w:rPr>
                <w:rFonts w:ascii="Calibri" w:hAnsi="Calibri" w:cs="Calibri"/>
                <w:color w:val="000000"/>
              </w:rPr>
            </w:pPr>
            <w:r>
              <w:rPr>
                <w:rFonts w:ascii="Calibri" w:hAnsi="Calibri" w:cs="Calibri"/>
                <w:color w:val="000000"/>
              </w:rPr>
              <w:t>4.86</w:t>
            </w:r>
          </w:p>
        </w:tc>
        <w:tc>
          <w:tcPr>
            <w:tcW w:w="3192" w:type="dxa"/>
            <w:vAlign w:val="bottom"/>
          </w:tcPr>
          <w:p w:rsidR="000C4D7B" w:rsidRDefault="0087507D" w:rsidP="000C4D7B">
            <w:pPr>
              <w:jc w:val="center"/>
              <w:rPr>
                <w:rFonts w:ascii="Calibri" w:hAnsi="Calibri" w:cs="Calibri"/>
                <w:color w:val="000000"/>
              </w:rPr>
            </w:pPr>
            <w:r>
              <w:rPr>
                <w:rFonts w:ascii="Calibri" w:hAnsi="Calibri" w:cs="Calibri"/>
                <w:color w:val="000000"/>
              </w:rPr>
              <w:t>3.19</w:t>
            </w:r>
          </w:p>
        </w:tc>
        <w:tc>
          <w:tcPr>
            <w:tcW w:w="3192" w:type="dxa"/>
            <w:vAlign w:val="bottom"/>
          </w:tcPr>
          <w:p w:rsidR="000C4D7B" w:rsidRDefault="0087507D" w:rsidP="000C4D7B">
            <w:pPr>
              <w:jc w:val="center"/>
              <w:rPr>
                <w:rFonts w:ascii="Calibri" w:hAnsi="Calibri" w:cs="Calibri"/>
                <w:color w:val="000000"/>
              </w:rPr>
            </w:pPr>
            <w:r>
              <w:rPr>
                <w:rFonts w:ascii="Calibri" w:hAnsi="Calibri" w:cs="Calibri"/>
                <w:color w:val="000000"/>
              </w:rPr>
              <w:t>3.66</w:t>
            </w:r>
          </w:p>
        </w:tc>
      </w:tr>
    </w:tbl>
    <w:p w:rsidR="000C4D7B" w:rsidRDefault="000C4D7B" w:rsidP="000C4D7B">
      <w:pPr>
        <w:rPr>
          <w:b/>
        </w:rPr>
      </w:pPr>
    </w:p>
    <w:p w:rsidR="000C4D7B" w:rsidRDefault="000C4D7B" w:rsidP="000C4D7B">
      <w:pPr>
        <w:rPr>
          <w:b/>
        </w:rPr>
      </w:pPr>
      <w:r w:rsidRPr="00F61E25">
        <w:rPr>
          <w:b/>
          <w:noProof/>
        </w:rPr>
        <w:drawing>
          <wp:inline distT="0" distB="0" distL="0" distR="0">
            <wp:extent cx="2609850" cy="1647825"/>
            <wp:effectExtent l="19050" t="0" r="19050" b="0"/>
            <wp:docPr id="2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0C4D7B" w:rsidRDefault="002E5341" w:rsidP="000C4D7B">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0C4D7B" w:rsidRPr="004D1ECD">
        <w:rPr>
          <w:rFonts w:ascii="Times New Roman" w:eastAsia="Times New Roman" w:hAnsi="Times New Roman" w:cs="Times New Roman"/>
          <w:sz w:val="24"/>
          <w:szCs w:val="24"/>
        </w:rPr>
        <w:t xml:space="preserve">inished goods inventory turnover ratio that is: </w:t>
      </w:r>
      <w:r w:rsidR="0087507D">
        <w:rPr>
          <w:rFonts w:ascii="Times New Roman" w:eastAsia="Times New Roman" w:hAnsi="Times New Roman" w:cs="Times New Roman"/>
          <w:sz w:val="24"/>
          <w:szCs w:val="24"/>
        </w:rPr>
        <w:t xml:space="preserve">4.86 </w:t>
      </w:r>
      <w:r w:rsidR="000C4D7B" w:rsidRPr="004D1ECD">
        <w:rPr>
          <w:rFonts w:ascii="Times New Roman" w:eastAsia="Times New Roman" w:hAnsi="Times New Roman" w:cs="Times New Roman"/>
          <w:sz w:val="24"/>
          <w:szCs w:val="24"/>
        </w:rPr>
        <w:t>times in 201</w:t>
      </w:r>
      <w:r w:rsidR="000C4D7B">
        <w:rPr>
          <w:rFonts w:ascii="Times New Roman" w:eastAsia="Times New Roman" w:hAnsi="Times New Roman" w:cs="Times New Roman"/>
          <w:sz w:val="24"/>
          <w:szCs w:val="24"/>
        </w:rPr>
        <w:t xml:space="preserve">6 </w:t>
      </w:r>
      <w:r w:rsidR="000C4D7B" w:rsidRPr="004D1ECD">
        <w:rPr>
          <w:rFonts w:ascii="Times New Roman" w:eastAsia="Times New Roman" w:hAnsi="Times New Roman" w:cs="Times New Roman"/>
          <w:sz w:val="24"/>
          <w:szCs w:val="24"/>
        </w:rPr>
        <w:t>&amp;</w:t>
      </w:r>
      <w:r w:rsidR="0087507D">
        <w:rPr>
          <w:rFonts w:ascii="Times New Roman" w:eastAsia="Times New Roman" w:hAnsi="Times New Roman" w:cs="Times New Roman"/>
          <w:sz w:val="24"/>
          <w:szCs w:val="24"/>
        </w:rPr>
        <w:t>3.19</w:t>
      </w:r>
      <w:r w:rsidR="000C4D7B" w:rsidRPr="004D1ECD">
        <w:rPr>
          <w:rFonts w:ascii="Times New Roman" w:eastAsia="Times New Roman" w:hAnsi="Times New Roman" w:cs="Times New Roman"/>
          <w:sz w:val="24"/>
          <w:szCs w:val="24"/>
        </w:rPr>
        <w:t xml:space="preserve"> times in 201</w:t>
      </w:r>
      <w:r w:rsidR="000C4D7B">
        <w:rPr>
          <w:rFonts w:ascii="Times New Roman" w:eastAsia="Times New Roman" w:hAnsi="Times New Roman" w:cs="Times New Roman"/>
          <w:sz w:val="24"/>
          <w:szCs w:val="24"/>
        </w:rPr>
        <w:t xml:space="preserve">5 and </w:t>
      </w:r>
      <w:r w:rsidR="0087507D">
        <w:rPr>
          <w:rFonts w:ascii="Times New Roman" w:eastAsia="Times New Roman" w:hAnsi="Times New Roman" w:cs="Times New Roman"/>
          <w:sz w:val="24"/>
          <w:szCs w:val="24"/>
        </w:rPr>
        <w:t>3.66</w:t>
      </w:r>
      <w:r w:rsidR="000C4D7B">
        <w:rPr>
          <w:rFonts w:ascii="Times New Roman" w:eastAsia="Times New Roman" w:hAnsi="Times New Roman" w:cs="Times New Roman"/>
          <w:sz w:val="24"/>
          <w:szCs w:val="24"/>
        </w:rPr>
        <w:t xml:space="preserve"> in 2014 </w:t>
      </w:r>
      <w:r w:rsidR="000C4D7B" w:rsidRPr="004D1ECD">
        <w:rPr>
          <w:rFonts w:ascii="Times New Roman" w:eastAsia="Times New Roman" w:hAnsi="Times New Roman" w:cs="Times New Roman"/>
          <w:sz w:val="24"/>
          <w:szCs w:val="24"/>
        </w:rPr>
        <w:t>that is</w:t>
      </w:r>
      <w:r w:rsidR="0087507D">
        <w:rPr>
          <w:rFonts w:ascii="Times New Roman" w:eastAsia="Times New Roman" w:hAnsi="Times New Roman" w:cs="Times New Roman"/>
          <w:sz w:val="24"/>
          <w:szCs w:val="24"/>
        </w:rPr>
        <w:t xml:space="preserve"> not</w:t>
      </w:r>
      <w:r w:rsidR="000C4D7B" w:rsidRPr="004D1ECD">
        <w:rPr>
          <w:rFonts w:ascii="Times New Roman" w:eastAsia="Times New Roman" w:hAnsi="Times New Roman" w:cs="Times New Roman"/>
          <w:sz w:val="24"/>
          <w:szCs w:val="24"/>
        </w:rPr>
        <w:t xml:space="preserve"> good for the company.</w:t>
      </w:r>
    </w:p>
    <w:p w:rsidR="000C4D7B" w:rsidRDefault="000C4D7B" w:rsidP="000C4D7B">
      <w:pPr>
        <w:spacing w:after="200" w:line="276" w:lineRule="auto"/>
        <w:jc w:val="both"/>
        <w:rPr>
          <w:rFonts w:ascii="Times New Roman" w:eastAsia="Times New Roman" w:hAnsi="Times New Roman" w:cs="Times New Roman"/>
          <w:sz w:val="24"/>
          <w:szCs w:val="24"/>
        </w:rPr>
      </w:pPr>
    </w:p>
    <w:p w:rsidR="000C4D7B" w:rsidRPr="00A15E21" w:rsidRDefault="000C4D7B" w:rsidP="00CE70EB">
      <w:pPr>
        <w:pStyle w:val="NoSpacing"/>
      </w:pPr>
      <w:r w:rsidRPr="00A15E21">
        <w:t xml:space="preserve">Finished Goods Storage Period </w:t>
      </w:r>
    </w:p>
    <w:p w:rsidR="000C4D7B" w:rsidRDefault="000C4D7B" w:rsidP="000C4D7B"/>
    <w:tbl>
      <w:tblPr>
        <w:tblStyle w:val="TableGrid"/>
        <w:tblW w:w="0" w:type="auto"/>
        <w:tblLook w:val="04A0" w:firstRow="1" w:lastRow="0" w:firstColumn="1" w:lastColumn="0" w:noHBand="0" w:noVBand="1"/>
      </w:tblPr>
      <w:tblGrid>
        <w:gridCol w:w="3192"/>
        <w:gridCol w:w="3192"/>
        <w:gridCol w:w="3192"/>
      </w:tblGrid>
      <w:tr w:rsidR="000C4D7B" w:rsidTr="000C4D7B">
        <w:tc>
          <w:tcPr>
            <w:tcW w:w="3192" w:type="dxa"/>
          </w:tcPr>
          <w:p w:rsidR="000C4D7B" w:rsidRDefault="000C4D7B"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2015</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2014</w:t>
            </w:r>
          </w:p>
        </w:tc>
      </w:tr>
      <w:tr w:rsidR="000C4D7B" w:rsidTr="000C4D7B">
        <w:tc>
          <w:tcPr>
            <w:tcW w:w="3192" w:type="dxa"/>
            <w:vAlign w:val="bottom"/>
          </w:tcPr>
          <w:p w:rsidR="000C4D7B" w:rsidRDefault="0087507D" w:rsidP="000C4D7B">
            <w:pPr>
              <w:jc w:val="center"/>
              <w:rPr>
                <w:rFonts w:ascii="Calibri" w:hAnsi="Calibri" w:cs="Calibri"/>
                <w:color w:val="000000"/>
              </w:rPr>
            </w:pPr>
            <w:r>
              <w:rPr>
                <w:rFonts w:ascii="Calibri" w:hAnsi="Calibri" w:cs="Calibri"/>
                <w:color w:val="000000"/>
              </w:rPr>
              <w:t>75.09</w:t>
            </w:r>
          </w:p>
        </w:tc>
        <w:tc>
          <w:tcPr>
            <w:tcW w:w="3192" w:type="dxa"/>
            <w:vAlign w:val="bottom"/>
          </w:tcPr>
          <w:p w:rsidR="000C4D7B" w:rsidRDefault="0087507D" w:rsidP="000C4D7B">
            <w:pPr>
              <w:jc w:val="center"/>
              <w:rPr>
                <w:rFonts w:ascii="Calibri" w:hAnsi="Calibri" w:cs="Calibri"/>
                <w:color w:val="000000"/>
              </w:rPr>
            </w:pPr>
            <w:r>
              <w:rPr>
                <w:rFonts w:ascii="Calibri" w:hAnsi="Calibri" w:cs="Calibri"/>
                <w:color w:val="000000"/>
              </w:rPr>
              <w:t>114.23</w:t>
            </w:r>
          </w:p>
        </w:tc>
        <w:tc>
          <w:tcPr>
            <w:tcW w:w="3192" w:type="dxa"/>
            <w:vAlign w:val="bottom"/>
          </w:tcPr>
          <w:p w:rsidR="000C4D7B" w:rsidRDefault="0087507D" w:rsidP="000C4D7B">
            <w:pPr>
              <w:jc w:val="center"/>
              <w:rPr>
                <w:rFonts w:ascii="Calibri" w:hAnsi="Calibri" w:cs="Calibri"/>
                <w:color w:val="000000"/>
              </w:rPr>
            </w:pPr>
            <w:r>
              <w:rPr>
                <w:rFonts w:ascii="Calibri" w:hAnsi="Calibri" w:cs="Calibri"/>
                <w:color w:val="000000"/>
              </w:rPr>
              <w:t>99.67</w:t>
            </w:r>
          </w:p>
        </w:tc>
      </w:tr>
    </w:tbl>
    <w:p w:rsidR="000C4D7B" w:rsidRDefault="000C4D7B" w:rsidP="000C4D7B">
      <w:pPr>
        <w:spacing w:after="200" w:line="276" w:lineRule="auto"/>
        <w:jc w:val="both"/>
      </w:pPr>
    </w:p>
    <w:p w:rsidR="000C4D7B" w:rsidRPr="004D1ECD" w:rsidRDefault="000C4D7B" w:rsidP="000C4D7B">
      <w:pPr>
        <w:spacing w:after="200" w:line="276" w:lineRule="auto"/>
        <w:jc w:val="both"/>
        <w:rPr>
          <w:rFonts w:ascii="Times New Roman" w:eastAsia="Times New Roman" w:hAnsi="Times New Roman" w:cs="Times New Roman"/>
          <w:sz w:val="24"/>
          <w:szCs w:val="24"/>
        </w:rPr>
      </w:pPr>
      <w:r w:rsidRPr="00612BB7">
        <w:rPr>
          <w:rFonts w:ascii="Times New Roman" w:eastAsia="Times New Roman" w:hAnsi="Times New Roman" w:cs="Times New Roman"/>
          <w:noProof/>
          <w:sz w:val="24"/>
          <w:szCs w:val="24"/>
        </w:rPr>
        <w:drawing>
          <wp:inline distT="0" distB="0" distL="0" distR="0">
            <wp:extent cx="2609850" cy="1647825"/>
            <wp:effectExtent l="19050" t="0" r="19050" b="0"/>
            <wp:docPr id="2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0C4D7B" w:rsidRDefault="007A1DBF" w:rsidP="000C4D7B">
      <w:p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Usually Shorter finished good storage period is considered as a good but too low period is risky for company</w:t>
      </w:r>
      <w:r w:rsidR="000C4D7B" w:rsidRPr="004D1ECD">
        <w:rPr>
          <w:rFonts w:ascii="Times New Roman" w:eastAsia="Times New Roman" w:hAnsi="Times New Roman" w:cs="Times New Roman"/>
          <w:sz w:val="24"/>
          <w:szCs w:val="24"/>
        </w:rPr>
        <w:t>.</w:t>
      </w:r>
      <w:r w:rsidR="000C4D7B">
        <w:rPr>
          <w:rFonts w:ascii="Times New Roman" w:eastAsia="Times New Roman" w:hAnsi="Times New Roman" w:cs="Times New Roman"/>
          <w:sz w:val="24"/>
          <w:szCs w:val="24"/>
        </w:rPr>
        <w:t xml:space="preserve"> So, we can conclude the company worked good in the year of </w:t>
      </w:r>
      <w:r w:rsidR="0087507D">
        <w:rPr>
          <w:rFonts w:ascii="Times New Roman" w:eastAsia="Times New Roman" w:hAnsi="Times New Roman" w:cs="Times New Roman"/>
          <w:sz w:val="24"/>
          <w:szCs w:val="24"/>
        </w:rPr>
        <w:t>2014.</w:t>
      </w:r>
    </w:p>
    <w:p w:rsidR="000C4D7B" w:rsidRDefault="000C4D7B" w:rsidP="000C4D7B">
      <w:pPr>
        <w:autoSpaceDE w:val="0"/>
        <w:autoSpaceDN w:val="0"/>
        <w:adjustRightInd w:val="0"/>
        <w:spacing w:after="0" w:line="276" w:lineRule="auto"/>
        <w:jc w:val="both"/>
        <w:rPr>
          <w:rFonts w:ascii="Times New Roman" w:eastAsia="Times New Roman" w:hAnsi="Times New Roman" w:cs="Times New Roman"/>
          <w:sz w:val="24"/>
          <w:szCs w:val="24"/>
        </w:rPr>
      </w:pPr>
    </w:p>
    <w:p w:rsidR="000C4D7B" w:rsidRPr="00A15E21" w:rsidRDefault="000C4D7B" w:rsidP="00CE70EB">
      <w:pPr>
        <w:pStyle w:val="NoSpacing"/>
      </w:pPr>
      <w:r w:rsidRPr="00A15E21">
        <w:t>Receivable Turnover</w:t>
      </w:r>
    </w:p>
    <w:p w:rsidR="000C4D7B" w:rsidRPr="00612BB7" w:rsidRDefault="000C4D7B" w:rsidP="000C4D7B"/>
    <w:tbl>
      <w:tblPr>
        <w:tblStyle w:val="TableGrid"/>
        <w:tblW w:w="0" w:type="auto"/>
        <w:tblLook w:val="04A0" w:firstRow="1" w:lastRow="0" w:firstColumn="1" w:lastColumn="0" w:noHBand="0" w:noVBand="1"/>
      </w:tblPr>
      <w:tblGrid>
        <w:gridCol w:w="3192"/>
        <w:gridCol w:w="3192"/>
        <w:gridCol w:w="3192"/>
      </w:tblGrid>
      <w:tr w:rsidR="000C4D7B" w:rsidTr="000C4D7B">
        <w:tc>
          <w:tcPr>
            <w:tcW w:w="3192" w:type="dxa"/>
          </w:tcPr>
          <w:p w:rsidR="000C4D7B" w:rsidRDefault="000C4D7B"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2015</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2014</w:t>
            </w:r>
          </w:p>
        </w:tc>
      </w:tr>
      <w:tr w:rsidR="000C4D7B" w:rsidTr="000C4D7B">
        <w:tc>
          <w:tcPr>
            <w:tcW w:w="3192" w:type="dxa"/>
            <w:vAlign w:val="bottom"/>
          </w:tcPr>
          <w:p w:rsidR="000C4D7B" w:rsidRDefault="0087507D" w:rsidP="000C4D7B">
            <w:pPr>
              <w:jc w:val="center"/>
              <w:rPr>
                <w:rFonts w:ascii="Calibri" w:hAnsi="Calibri" w:cs="Calibri"/>
                <w:color w:val="000000"/>
              </w:rPr>
            </w:pPr>
            <w:r>
              <w:rPr>
                <w:rFonts w:ascii="Calibri" w:hAnsi="Calibri" w:cs="Calibri"/>
                <w:color w:val="000000"/>
              </w:rPr>
              <w:t>10</w:t>
            </w:r>
          </w:p>
        </w:tc>
        <w:tc>
          <w:tcPr>
            <w:tcW w:w="3192" w:type="dxa"/>
            <w:vAlign w:val="bottom"/>
          </w:tcPr>
          <w:p w:rsidR="000C4D7B" w:rsidRDefault="0087507D" w:rsidP="000C4D7B">
            <w:pPr>
              <w:jc w:val="center"/>
              <w:rPr>
                <w:rFonts w:ascii="Calibri" w:hAnsi="Calibri" w:cs="Calibri"/>
                <w:color w:val="000000"/>
              </w:rPr>
            </w:pPr>
            <w:r>
              <w:rPr>
                <w:rFonts w:ascii="Calibri" w:hAnsi="Calibri" w:cs="Calibri"/>
                <w:color w:val="000000"/>
              </w:rPr>
              <w:t>7.47</w:t>
            </w:r>
          </w:p>
        </w:tc>
        <w:tc>
          <w:tcPr>
            <w:tcW w:w="3192" w:type="dxa"/>
            <w:vAlign w:val="bottom"/>
          </w:tcPr>
          <w:p w:rsidR="000C4D7B" w:rsidRDefault="0087507D" w:rsidP="000C4D7B">
            <w:pPr>
              <w:jc w:val="center"/>
              <w:rPr>
                <w:rFonts w:ascii="Calibri" w:hAnsi="Calibri" w:cs="Calibri"/>
                <w:color w:val="000000"/>
              </w:rPr>
            </w:pPr>
            <w:r>
              <w:rPr>
                <w:rFonts w:ascii="Calibri" w:hAnsi="Calibri" w:cs="Calibri"/>
                <w:color w:val="000000"/>
              </w:rPr>
              <w:t>9.12</w:t>
            </w:r>
          </w:p>
        </w:tc>
      </w:tr>
    </w:tbl>
    <w:p w:rsidR="000C4D7B" w:rsidRDefault="000C4D7B" w:rsidP="000C4D7B">
      <w:pPr>
        <w:rPr>
          <w:b/>
        </w:rPr>
      </w:pPr>
    </w:p>
    <w:p w:rsidR="000C4D7B" w:rsidRDefault="000C4D7B" w:rsidP="000C4D7B">
      <w:pPr>
        <w:rPr>
          <w:b/>
        </w:rPr>
      </w:pPr>
      <w:r w:rsidRPr="006E7FA4">
        <w:rPr>
          <w:b/>
          <w:noProof/>
        </w:rPr>
        <w:drawing>
          <wp:inline distT="0" distB="0" distL="0" distR="0">
            <wp:extent cx="2609850" cy="1647825"/>
            <wp:effectExtent l="19050" t="0" r="19050" b="0"/>
            <wp:docPr id="3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0C4D7B" w:rsidRDefault="007A1DBF" w:rsidP="007A1DB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Receivable ratio lower means the firm relies on credit sales. If firm has no receivables then firm may face solvency problem. Receivable turnover ratio </w:t>
      </w:r>
      <w:r w:rsidR="000C4D7B">
        <w:rPr>
          <w:rFonts w:ascii="Times New Roman" w:eastAsia="Times New Roman" w:hAnsi="Times New Roman" w:cs="Times New Roman"/>
          <w:sz w:val="24"/>
          <w:szCs w:val="24"/>
        </w:rPr>
        <w:t xml:space="preserve">are </w:t>
      </w:r>
      <w:r w:rsidR="0087507D">
        <w:rPr>
          <w:rFonts w:ascii="Times New Roman" w:eastAsia="Times New Roman" w:hAnsi="Times New Roman" w:cs="Times New Roman"/>
          <w:sz w:val="24"/>
          <w:szCs w:val="24"/>
        </w:rPr>
        <w:t>10</w:t>
      </w:r>
      <w:r w:rsidR="000C4D7B">
        <w:rPr>
          <w:rFonts w:ascii="Times New Roman" w:eastAsia="Times New Roman" w:hAnsi="Times New Roman" w:cs="Times New Roman"/>
          <w:sz w:val="24"/>
          <w:szCs w:val="24"/>
        </w:rPr>
        <w:t xml:space="preserve"> times in 2016</w:t>
      </w:r>
      <w:r w:rsidR="000C4D7B" w:rsidRPr="004D1ECD">
        <w:rPr>
          <w:rFonts w:ascii="Times New Roman" w:eastAsia="Times New Roman" w:hAnsi="Times New Roman" w:cs="Times New Roman"/>
          <w:sz w:val="24"/>
          <w:szCs w:val="24"/>
        </w:rPr>
        <w:t>&amp;</w:t>
      </w:r>
      <w:r w:rsidR="0087507D">
        <w:rPr>
          <w:rFonts w:ascii="Times New Roman" w:eastAsia="Times New Roman" w:hAnsi="Times New Roman" w:cs="Times New Roman"/>
          <w:sz w:val="24"/>
          <w:szCs w:val="24"/>
        </w:rPr>
        <w:t>7.47</w:t>
      </w:r>
      <w:r w:rsidR="000C4D7B">
        <w:rPr>
          <w:rFonts w:ascii="Times New Roman" w:eastAsia="Times New Roman" w:hAnsi="Times New Roman" w:cs="Times New Roman"/>
          <w:sz w:val="24"/>
          <w:szCs w:val="24"/>
        </w:rPr>
        <w:t xml:space="preserve"> times in 2015 and </w:t>
      </w:r>
      <w:r w:rsidR="0087507D">
        <w:rPr>
          <w:rFonts w:ascii="Times New Roman" w:eastAsia="Times New Roman" w:hAnsi="Times New Roman" w:cs="Times New Roman"/>
          <w:sz w:val="24"/>
          <w:szCs w:val="24"/>
        </w:rPr>
        <w:t>9.12</w:t>
      </w:r>
      <w:r w:rsidR="000C4D7B">
        <w:rPr>
          <w:rFonts w:ascii="Times New Roman" w:eastAsia="Times New Roman" w:hAnsi="Times New Roman" w:cs="Times New Roman"/>
          <w:sz w:val="24"/>
          <w:szCs w:val="24"/>
        </w:rPr>
        <w:t xml:space="preserve"> in 2014</w:t>
      </w:r>
      <w:r w:rsidR="000C4D7B" w:rsidRPr="004D1ECD">
        <w:rPr>
          <w:rFonts w:ascii="Times New Roman" w:eastAsia="Times New Roman" w:hAnsi="Times New Roman" w:cs="Times New Roman"/>
          <w:sz w:val="24"/>
          <w:szCs w:val="24"/>
        </w:rPr>
        <w:t>. That is n</w:t>
      </w:r>
      <w:r w:rsidR="000C4D7B">
        <w:rPr>
          <w:rFonts w:ascii="Times New Roman" w:eastAsia="Times New Roman" w:hAnsi="Times New Roman" w:cs="Times New Roman"/>
          <w:sz w:val="24"/>
          <w:szCs w:val="24"/>
        </w:rPr>
        <w:t xml:space="preserve">ot satisfactory for the company in </w:t>
      </w:r>
      <w:r w:rsidR="0087507D">
        <w:rPr>
          <w:rFonts w:ascii="Times New Roman" w:eastAsia="Times New Roman" w:hAnsi="Times New Roman" w:cs="Times New Roman"/>
          <w:sz w:val="24"/>
          <w:szCs w:val="24"/>
        </w:rPr>
        <w:t>2015, but in 2014 and 2016</w:t>
      </w:r>
      <w:r w:rsidR="000C4D7B">
        <w:rPr>
          <w:rFonts w:ascii="Times New Roman" w:eastAsia="Times New Roman" w:hAnsi="Times New Roman" w:cs="Times New Roman"/>
          <w:sz w:val="24"/>
          <w:szCs w:val="24"/>
        </w:rPr>
        <w:t xml:space="preserve"> company done comparatively better. </w:t>
      </w:r>
    </w:p>
    <w:p w:rsidR="000C4D7B" w:rsidRPr="00A15E21" w:rsidRDefault="000C4D7B" w:rsidP="00CE70EB">
      <w:pPr>
        <w:pStyle w:val="NoSpacing"/>
      </w:pPr>
      <w:r w:rsidRPr="00A15E21">
        <w:t>Days Sales Outstanding</w:t>
      </w:r>
    </w:p>
    <w:p w:rsidR="000C4D7B" w:rsidRPr="00581C17" w:rsidRDefault="000C4D7B" w:rsidP="000C4D7B"/>
    <w:tbl>
      <w:tblPr>
        <w:tblStyle w:val="TableGrid"/>
        <w:tblW w:w="0" w:type="auto"/>
        <w:tblLook w:val="04A0" w:firstRow="1" w:lastRow="0" w:firstColumn="1" w:lastColumn="0" w:noHBand="0" w:noVBand="1"/>
      </w:tblPr>
      <w:tblGrid>
        <w:gridCol w:w="3192"/>
        <w:gridCol w:w="3192"/>
        <w:gridCol w:w="3192"/>
      </w:tblGrid>
      <w:tr w:rsidR="000C4D7B" w:rsidTr="000C4D7B">
        <w:tc>
          <w:tcPr>
            <w:tcW w:w="3192" w:type="dxa"/>
          </w:tcPr>
          <w:p w:rsidR="000C4D7B" w:rsidRDefault="000C4D7B"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2015</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2014</w:t>
            </w:r>
          </w:p>
        </w:tc>
      </w:tr>
      <w:tr w:rsidR="000C4D7B" w:rsidTr="000C4D7B">
        <w:tc>
          <w:tcPr>
            <w:tcW w:w="3192" w:type="dxa"/>
            <w:vAlign w:val="bottom"/>
          </w:tcPr>
          <w:p w:rsidR="000C4D7B" w:rsidRDefault="00316020" w:rsidP="000C4D7B">
            <w:pPr>
              <w:jc w:val="center"/>
              <w:rPr>
                <w:rFonts w:ascii="Calibri" w:hAnsi="Calibri" w:cs="Calibri"/>
                <w:color w:val="000000"/>
              </w:rPr>
            </w:pPr>
            <w:r>
              <w:rPr>
                <w:rFonts w:ascii="Calibri" w:hAnsi="Calibri" w:cs="Calibri"/>
                <w:color w:val="000000"/>
              </w:rPr>
              <w:t>36.48</w:t>
            </w:r>
          </w:p>
        </w:tc>
        <w:tc>
          <w:tcPr>
            <w:tcW w:w="3192" w:type="dxa"/>
            <w:vAlign w:val="bottom"/>
          </w:tcPr>
          <w:p w:rsidR="000C4D7B" w:rsidRDefault="00316020" w:rsidP="000C4D7B">
            <w:pPr>
              <w:jc w:val="center"/>
              <w:rPr>
                <w:rFonts w:ascii="Calibri" w:hAnsi="Calibri" w:cs="Calibri"/>
                <w:color w:val="000000"/>
              </w:rPr>
            </w:pPr>
            <w:r>
              <w:rPr>
                <w:rFonts w:ascii="Calibri" w:hAnsi="Calibri" w:cs="Calibri"/>
                <w:color w:val="000000"/>
              </w:rPr>
              <w:t>48.86</w:t>
            </w:r>
          </w:p>
        </w:tc>
        <w:tc>
          <w:tcPr>
            <w:tcW w:w="3192" w:type="dxa"/>
            <w:vAlign w:val="bottom"/>
          </w:tcPr>
          <w:p w:rsidR="000C4D7B" w:rsidRDefault="00316020" w:rsidP="000C4D7B">
            <w:pPr>
              <w:jc w:val="center"/>
              <w:rPr>
                <w:rFonts w:ascii="Calibri" w:hAnsi="Calibri" w:cs="Calibri"/>
                <w:color w:val="000000"/>
              </w:rPr>
            </w:pPr>
            <w:r>
              <w:rPr>
                <w:rFonts w:ascii="Calibri" w:hAnsi="Calibri" w:cs="Calibri"/>
                <w:color w:val="000000"/>
              </w:rPr>
              <w:t>40.15</w:t>
            </w:r>
          </w:p>
        </w:tc>
      </w:tr>
    </w:tbl>
    <w:p w:rsidR="000C4D7B" w:rsidRDefault="000C4D7B" w:rsidP="000C4D7B"/>
    <w:p w:rsidR="000C4D7B" w:rsidRDefault="000C4D7B" w:rsidP="000C4D7B">
      <w:pPr>
        <w:rPr>
          <w:b/>
        </w:rPr>
      </w:pPr>
      <w:r w:rsidRPr="00581C17">
        <w:rPr>
          <w:noProof/>
        </w:rPr>
        <w:drawing>
          <wp:inline distT="0" distB="0" distL="0" distR="0">
            <wp:extent cx="2609850" cy="1647825"/>
            <wp:effectExtent l="19050" t="0" r="19050" b="0"/>
            <wp:docPr id="3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0C4D7B" w:rsidRDefault="000C4D7B" w:rsidP="000C4D7B">
      <w:pPr>
        <w:spacing w:after="200" w:line="276" w:lineRule="auto"/>
        <w:jc w:val="both"/>
        <w:rPr>
          <w:rFonts w:ascii="Times New Roman" w:eastAsia="Times New Roman" w:hAnsi="Times New Roman" w:cs="Times New Roman"/>
          <w:sz w:val="24"/>
          <w:szCs w:val="24"/>
        </w:rPr>
      </w:pPr>
      <w:r w:rsidRPr="004D1ECD">
        <w:rPr>
          <w:rFonts w:ascii="Times New Roman" w:eastAsia="Times New Roman" w:hAnsi="Times New Roman" w:cs="Times New Roman"/>
          <w:sz w:val="24"/>
          <w:szCs w:val="24"/>
        </w:rPr>
        <w:t>In the company, Days Sales Outstand</w:t>
      </w:r>
      <w:r>
        <w:rPr>
          <w:rFonts w:ascii="Times New Roman" w:eastAsia="Times New Roman" w:hAnsi="Times New Roman" w:cs="Times New Roman"/>
          <w:sz w:val="24"/>
          <w:szCs w:val="24"/>
        </w:rPr>
        <w:t xml:space="preserve">ing (DSO) is </w:t>
      </w:r>
      <w:r w:rsidR="00316020">
        <w:rPr>
          <w:rFonts w:ascii="Times New Roman" w:eastAsia="Times New Roman" w:hAnsi="Times New Roman" w:cs="Times New Roman"/>
          <w:sz w:val="24"/>
          <w:szCs w:val="24"/>
        </w:rPr>
        <w:t>36</w:t>
      </w:r>
      <w:r>
        <w:rPr>
          <w:rFonts w:ascii="Times New Roman" w:eastAsia="Times New Roman" w:hAnsi="Times New Roman" w:cs="Times New Roman"/>
          <w:sz w:val="24"/>
          <w:szCs w:val="24"/>
        </w:rPr>
        <w:t xml:space="preserve"> days in 2016</w:t>
      </w:r>
      <w:r w:rsidRPr="004D1ECD">
        <w:rPr>
          <w:rFonts w:ascii="Times New Roman" w:eastAsia="Times New Roman" w:hAnsi="Times New Roman" w:cs="Times New Roman"/>
          <w:sz w:val="24"/>
          <w:szCs w:val="24"/>
        </w:rPr>
        <w:t>&amp;</w:t>
      </w:r>
      <w:r w:rsidR="00316020">
        <w:rPr>
          <w:rFonts w:ascii="Times New Roman" w:eastAsia="Times New Roman" w:hAnsi="Times New Roman" w:cs="Times New Roman"/>
          <w:sz w:val="24"/>
          <w:szCs w:val="24"/>
        </w:rPr>
        <w:t>48</w:t>
      </w:r>
      <w:r>
        <w:rPr>
          <w:rFonts w:ascii="Times New Roman" w:eastAsia="Times New Roman" w:hAnsi="Times New Roman" w:cs="Times New Roman"/>
          <w:sz w:val="24"/>
          <w:szCs w:val="24"/>
        </w:rPr>
        <w:t xml:space="preserve"> days in 2015 and</w:t>
      </w:r>
      <w:r w:rsidR="00316020">
        <w:rPr>
          <w:rFonts w:ascii="Times New Roman" w:eastAsia="Times New Roman" w:hAnsi="Times New Roman" w:cs="Times New Roman"/>
          <w:sz w:val="24"/>
          <w:szCs w:val="24"/>
        </w:rPr>
        <w:t xml:space="preserve"> 40 </w:t>
      </w:r>
      <w:r>
        <w:rPr>
          <w:rFonts w:ascii="Times New Roman" w:eastAsia="Times New Roman" w:hAnsi="Times New Roman" w:cs="Times New Roman"/>
          <w:sz w:val="24"/>
          <w:szCs w:val="24"/>
        </w:rPr>
        <w:t>days for 2014. This company performed better in 2015.</w:t>
      </w:r>
    </w:p>
    <w:p w:rsidR="00CE70EB" w:rsidRDefault="00CE70EB" w:rsidP="00CE70EB">
      <w:pPr>
        <w:pStyle w:val="NoSpacing"/>
      </w:pPr>
    </w:p>
    <w:p w:rsidR="00CE70EB" w:rsidRDefault="00CE70EB" w:rsidP="00CE70EB">
      <w:pPr>
        <w:pStyle w:val="NoSpacing"/>
      </w:pPr>
    </w:p>
    <w:p w:rsidR="000C4D7B" w:rsidRPr="00A15E21" w:rsidRDefault="000C4D7B" w:rsidP="00CE70EB">
      <w:pPr>
        <w:pStyle w:val="NoSpacing"/>
      </w:pPr>
      <w:r w:rsidRPr="00A15E21">
        <w:t>Cash Turnover Ratio</w:t>
      </w:r>
    </w:p>
    <w:p w:rsidR="000C4D7B" w:rsidRPr="00CC1F3F" w:rsidRDefault="000C4D7B" w:rsidP="000C4D7B"/>
    <w:tbl>
      <w:tblPr>
        <w:tblStyle w:val="TableGrid"/>
        <w:tblW w:w="0" w:type="auto"/>
        <w:tblLook w:val="04A0" w:firstRow="1" w:lastRow="0" w:firstColumn="1" w:lastColumn="0" w:noHBand="0" w:noVBand="1"/>
      </w:tblPr>
      <w:tblGrid>
        <w:gridCol w:w="3192"/>
        <w:gridCol w:w="3192"/>
        <w:gridCol w:w="3192"/>
      </w:tblGrid>
      <w:tr w:rsidR="000C4D7B" w:rsidTr="000C4D7B">
        <w:tc>
          <w:tcPr>
            <w:tcW w:w="3192" w:type="dxa"/>
          </w:tcPr>
          <w:p w:rsidR="000C4D7B" w:rsidRDefault="000C4D7B"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2015</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2014</w:t>
            </w:r>
          </w:p>
        </w:tc>
      </w:tr>
      <w:tr w:rsidR="000C4D7B" w:rsidTr="000C4D7B">
        <w:tc>
          <w:tcPr>
            <w:tcW w:w="3192" w:type="dxa"/>
            <w:vAlign w:val="bottom"/>
          </w:tcPr>
          <w:p w:rsidR="000C4D7B" w:rsidRDefault="00316020" w:rsidP="000C4D7B">
            <w:pPr>
              <w:jc w:val="center"/>
              <w:rPr>
                <w:rFonts w:ascii="Calibri" w:hAnsi="Calibri" w:cs="Calibri"/>
                <w:color w:val="000000"/>
              </w:rPr>
            </w:pPr>
            <w:r>
              <w:rPr>
                <w:rFonts w:ascii="Calibri" w:hAnsi="Calibri" w:cs="Calibri"/>
                <w:color w:val="000000"/>
              </w:rPr>
              <w:t>12.38</w:t>
            </w:r>
          </w:p>
        </w:tc>
        <w:tc>
          <w:tcPr>
            <w:tcW w:w="3192" w:type="dxa"/>
            <w:vAlign w:val="bottom"/>
          </w:tcPr>
          <w:p w:rsidR="000C4D7B" w:rsidRDefault="00316020" w:rsidP="000C4D7B">
            <w:pPr>
              <w:jc w:val="center"/>
              <w:rPr>
                <w:rFonts w:ascii="Calibri" w:hAnsi="Calibri" w:cs="Calibri"/>
                <w:color w:val="000000"/>
              </w:rPr>
            </w:pPr>
            <w:r>
              <w:rPr>
                <w:rFonts w:ascii="Calibri" w:hAnsi="Calibri" w:cs="Calibri"/>
                <w:color w:val="000000"/>
              </w:rPr>
              <w:t>9.01</w:t>
            </w:r>
          </w:p>
        </w:tc>
        <w:tc>
          <w:tcPr>
            <w:tcW w:w="3192" w:type="dxa"/>
            <w:vAlign w:val="bottom"/>
          </w:tcPr>
          <w:p w:rsidR="000C4D7B" w:rsidRDefault="00316020" w:rsidP="000C4D7B">
            <w:pPr>
              <w:jc w:val="center"/>
              <w:rPr>
                <w:rFonts w:ascii="Calibri" w:hAnsi="Calibri" w:cs="Calibri"/>
                <w:color w:val="000000"/>
              </w:rPr>
            </w:pPr>
            <w:r>
              <w:rPr>
                <w:rFonts w:ascii="Calibri" w:hAnsi="Calibri" w:cs="Calibri"/>
                <w:color w:val="000000"/>
              </w:rPr>
              <w:t>7.49</w:t>
            </w:r>
          </w:p>
        </w:tc>
      </w:tr>
    </w:tbl>
    <w:p w:rsidR="000C4D7B" w:rsidRDefault="000C4D7B" w:rsidP="000C4D7B">
      <w:pPr>
        <w:rPr>
          <w:b/>
        </w:rPr>
      </w:pPr>
    </w:p>
    <w:p w:rsidR="000C4D7B" w:rsidRDefault="000C4D7B" w:rsidP="000C4D7B">
      <w:pPr>
        <w:rPr>
          <w:b/>
        </w:rPr>
      </w:pPr>
      <w:r w:rsidRPr="00CC1F3F">
        <w:rPr>
          <w:b/>
          <w:noProof/>
        </w:rPr>
        <w:drawing>
          <wp:inline distT="0" distB="0" distL="0" distR="0">
            <wp:extent cx="2609850" cy="1543050"/>
            <wp:effectExtent l="19050" t="0" r="19050" b="0"/>
            <wp:docPr id="3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0C4D7B" w:rsidRDefault="000C4D7B" w:rsidP="000C4D7B">
      <w:pPr>
        <w:rPr>
          <w:rFonts w:ascii="Times New Roman" w:hAnsi="Times New Roman" w:cs="Times New Roman"/>
          <w:sz w:val="24"/>
          <w:szCs w:val="24"/>
        </w:rPr>
      </w:pPr>
      <w:r>
        <w:rPr>
          <w:rFonts w:ascii="Times New Roman" w:hAnsi="Times New Roman" w:cs="Times New Roman"/>
          <w:sz w:val="24"/>
          <w:szCs w:val="24"/>
        </w:rPr>
        <w:t>Through These years company use</w:t>
      </w:r>
      <w:r w:rsidR="00316020">
        <w:rPr>
          <w:rFonts w:ascii="Times New Roman" w:hAnsi="Times New Roman" w:cs="Times New Roman"/>
          <w:sz w:val="24"/>
          <w:szCs w:val="24"/>
        </w:rPr>
        <w:t>d</w:t>
      </w:r>
      <w:r>
        <w:rPr>
          <w:rFonts w:ascii="Times New Roman" w:hAnsi="Times New Roman" w:cs="Times New Roman"/>
          <w:sz w:val="24"/>
          <w:szCs w:val="24"/>
        </w:rPr>
        <w:t xml:space="preserve"> their cash efficiently.</w:t>
      </w:r>
    </w:p>
    <w:p w:rsidR="000C4D7B" w:rsidRDefault="000C4D7B" w:rsidP="000C4D7B">
      <w:pPr>
        <w:pStyle w:val="Heading2"/>
        <w:rPr>
          <w:b/>
          <w:sz w:val="28"/>
          <w:szCs w:val="28"/>
        </w:rPr>
      </w:pPr>
    </w:p>
    <w:p w:rsidR="000C4D7B" w:rsidRPr="00A15E21" w:rsidRDefault="000C4D7B" w:rsidP="00CE70EB">
      <w:pPr>
        <w:pStyle w:val="NoSpacing"/>
      </w:pPr>
      <w:r w:rsidRPr="00A15E21">
        <w:t>Payable Turnover</w:t>
      </w:r>
    </w:p>
    <w:tbl>
      <w:tblPr>
        <w:tblStyle w:val="TableGrid"/>
        <w:tblW w:w="0" w:type="auto"/>
        <w:tblLook w:val="04A0" w:firstRow="1" w:lastRow="0" w:firstColumn="1" w:lastColumn="0" w:noHBand="0" w:noVBand="1"/>
      </w:tblPr>
      <w:tblGrid>
        <w:gridCol w:w="3192"/>
        <w:gridCol w:w="3192"/>
        <w:gridCol w:w="3192"/>
      </w:tblGrid>
      <w:tr w:rsidR="000C4D7B" w:rsidTr="000C4D7B">
        <w:tc>
          <w:tcPr>
            <w:tcW w:w="3192" w:type="dxa"/>
          </w:tcPr>
          <w:p w:rsidR="000C4D7B" w:rsidRDefault="000C4D7B"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2015</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2014</w:t>
            </w:r>
          </w:p>
        </w:tc>
      </w:tr>
      <w:tr w:rsidR="000C4D7B" w:rsidTr="000C4D7B">
        <w:tc>
          <w:tcPr>
            <w:tcW w:w="3192" w:type="dxa"/>
            <w:vAlign w:val="bottom"/>
          </w:tcPr>
          <w:p w:rsidR="000C4D7B" w:rsidRDefault="00397DD8" w:rsidP="000C4D7B">
            <w:pPr>
              <w:jc w:val="center"/>
              <w:rPr>
                <w:rFonts w:ascii="Calibri" w:hAnsi="Calibri" w:cs="Calibri"/>
                <w:color w:val="000000"/>
              </w:rPr>
            </w:pPr>
            <w:r>
              <w:rPr>
                <w:rFonts w:ascii="Calibri" w:hAnsi="Calibri" w:cs="Calibri"/>
                <w:color w:val="000000"/>
              </w:rPr>
              <w:t>21.52</w:t>
            </w:r>
          </w:p>
        </w:tc>
        <w:tc>
          <w:tcPr>
            <w:tcW w:w="3192" w:type="dxa"/>
            <w:vAlign w:val="bottom"/>
          </w:tcPr>
          <w:p w:rsidR="000C4D7B" w:rsidRDefault="00397DD8" w:rsidP="000C4D7B">
            <w:pPr>
              <w:jc w:val="center"/>
              <w:rPr>
                <w:rFonts w:ascii="Calibri" w:hAnsi="Calibri" w:cs="Calibri"/>
                <w:color w:val="000000"/>
              </w:rPr>
            </w:pPr>
            <w:r>
              <w:rPr>
                <w:rFonts w:ascii="Calibri" w:hAnsi="Calibri" w:cs="Calibri"/>
                <w:color w:val="000000"/>
              </w:rPr>
              <w:t>13.07</w:t>
            </w:r>
          </w:p>
        </w:tc>
        <w:tc>
          <w:tcPr>
            <w:tcW w:w="3192" w:type="dxa"/>
            <w:vAlign w:val="bottom"/>
          </w:tcPr>
          <w:p w:rsidR="000C4D7B" w:rsidRDefault="00397DD8" w:rsidP="000C4D7B">
            <w:pPr>
              <w:jc w:val="center"/>
              <w:rPr>
                <w:rFonts w:ascii="Calibri" w:hAnsi="Calibri" w:cs="Calibri"/>
                <w:color w:val="000000"/>
              </w:rPr>
            </w:pPr>
            <w:r>
              <w:rPr>
                <w:rFonts w:ascii="Calibri" w:hAnsi="Calibri" w:cs="Calibri"/>
                <w:color w:val="000000"/>
              </w:rPr>
              <w:t>19.72</w:t>
            </w:r>
          </w:p>
        </w:tc>
      </w:tr>
    </w:tbl>
    <w:p w:rsidR="000C4D7B" w:rsidRDefault="000C4D7B" w:rsidP="000C4D7B"/>
    <w:p w:rsidR="000C4D7B" w:rsidRDefault="000C4D7B" w:rsidP="000C4D7B">
      <w:r w:rsidRPr="00E626EB">
        <w:rPr>
          <w:noProof/>
        </w:rPr>
        <w:drawing>
          <wp:inline distT="0" distB="0" distL="0" distR="0">
            <wp:extent cx="2609850" cy="1543050"/>
            <wp:effectExtent l="19050" t="0" r="19050" b="0"/>
            <wp:docPr id="3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7A1DBF" w:rsidRDefault="007A1DBF" w:rsidP="007A1DB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ratio shows when the company make payment to its supplier. We get the ratio by cost of sales divided by average accounts payables. </w:t>
      </w:r>
      <w:r w:rsidRPr="004D1ECD">
        <w:rPr>
          <w:rFonts w:ascii="Times New Roman" w:eastAsia="Times New Roman" w:hAnsi="Times New Roman" w:cs="Times New Roman"/>
          <w:sz w:val="24"/>
          <w:szCs w:val="24"/>
        </w:rPr>
        <w:t>Higher this ratio represent the company use its current asset in efficient way.</w:t>
      </w:r>
    </w:p>
    <w:p w:rsidR="000C4D7B" w:rsidRDefault="00CE7DC2" w:rsidP="007A1DBF">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ACI food limited</w:t>
      </w:r>
      <w:r w:rsidR="000C4D7B" w:rsidRPr="004D1ECD">
        <w:rPr>
          <w:rFonts w:ascii="Times New Roman" w:eastAsia="Times New Roman" w:hAnsi="Times New Roman" w:cs="Times New Roman"/>
          <w:sz w:val="24"/>
          <w:szCs w:val="24"/>
        </w:rPr>
        <w:t xml:space="preserve"> paya</w:t>
      </w:r>
      <w:r w:rsidR="000C4D7B">
        <w:rPr>
          <w:rFonts w:ascii="Times New Roman" w:eastAsia="Times New Roman" w:hAnsi="Times New Roman" w:cs="Times New Roman"/>
          <w:sz w:val="24"/>
          <w:szCs w:val="24"/>
        </w:rPr>
        <w:t xml:space="preserve">ble turnover ratio for year 2016 is </w:t>
      </w:r>
      <w:r w:rsidR="00397DD8">
        <w:rPr>
          <w:rFonts w:ascii="Times New Roman" w:eastAsia="Times New Roman" w:hAnsi="Times New Roman" w:cs="Times New Roman"/>
          <w:sz w:val="24"/>
          <w:szCs w:val="24"/>
        </w:rPr>
        <w:t>21.52</w:t>
      </w:r>
      <w:r w:rsidR="000C4D7B">
        <w:rPr>
          <w:rFonts w:ascii="Times New Roman" w:eastAsia="Times New Roman" w:hAnsi="Times New Roman" w:cs="Times New Roman"/>
          <w:sz w:val="24"/>
          <w:szCs w:val="24"/>
        </w:rPr>
        <w:t>.</w:t>
      </w:r>
      <w:r w:rsidR="000C4D7B" w:rsidRPr="004D1ECD">
        <w:rPr>
          <w:rFonts w:ascii="Times New Roman" w:eastAsia="Times New Roman" w:hAnsi="Times New Roman" w:cs="Times New Roman"/>
          <w:sz w:val="24"/>
          <w:szCs w:val="24"/>
        </w:rPr>
        <w:t xml:space="preserve"> So, we have seen this company do more efficient in current asset from previous year to current year.</w:t>
      </w:r>
    </w:p>
    <w:p w:rsidR="000C4D7B" w:rsidRDefault="000C4D7B" w:rsidP="000C4D7B">
      <w:pPr>
        <w:spacing w:after="200" w:line="276" w:lineRule="auto"/>
        <w:jc w:val="both"/>
        <w:rPr>
          <w:rFonts w:ascii="Times New Roman" w:eastAsia="Times New Roman" w:hAnsi="Times New Roman" w:cs="Times New Roman"/>
          <w:sz w:val="24"/>
          <w:szCs w:val="24"/>
        </w:rPr>
      </w:pPr>
    </w:p>
    <w:p w:rsidR="000C4D7B" w:rsidRPr="00A15E21" w:rsidRDefault="000C4D7B" w:rsidP="00CE70EB">
      <w:pPr>
        <w:pStyle w:val="NoSpacing"/>
      </w:pPr>
      <w:r w:rsidRPr="00A15E21">
        <w:lastRenderedPageBreak/>
        <w:t>Days Payable Outstanding</w:t>
      </w:r>
    </w:p>
    <w:p w:rsidR="000C4D7B" w:rsidRPr="008473B1" w:rsidRDefault="000C4D7B" w:rsidP="000C4D7B"/>
    <w:tbl>
      <w:tblPr>
        <w:tblStyle w:val="TableGrid"/>
        <w:tblW w:w="0" w:type="auto"/>
        <w:tblLook w:val="04A0" w:firstRow="1" w:lastRow="0" w:firstColumn="1" w:lastColumn="0" w:noHBand="0" w:noVBand="1"/>
      </w:tblPr>
      <w:tblGrid>
        <w:gridCol w:w="3192"/>
        <w:gridCol w:w="3192"/>
        <w:gridCol w:w="3192"/>
      </w:tblGrid>
      <w:tr w:rsidR="000C4D7B" w:rsidTr="000C4D7B">
        <w:tc>
          <w:tcPr>
            <w:tcW w:w="3192" w:type="dxa"/>
          </w:tcPr>
          <w:p w:rsidR="000C4D7B" w:rsidRDefault="000C4D7B"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2015</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2014</w:t>
            </w:r>
          </w:p>
        </w:tc>
      </w:tr>
      <w:tr w:rsidR="000C4D7B" w:rsidTr="000C4D7B">
        <w:tc>
          <w:tcPr>
            <w:tcW w:w="3192" w:type="dxa"/>
            <w:vAlign w:val="bottom"/>
          </w:tcPr>
          <w:p w:rsidR="000C4D7B" w:rsidRDefault="006C397A" w:rsidP="000C4D7B">
            <w:pPr>
              <w:jc w:val="center"/>
              <w:rPr>
                <w:rFonts w:ascii="Calibri" w:hAnsi="Calibri" w:cs="Calibri"/>
                <w:color w:val="000000"/>
              </w:rPr>
            </w:pPr>
            <w:r>
              <w:rPr>
                <w:rFonts w:ascii="Calibri" w:hAnsi="Calibri" w:cs="Calibri"/>
                <w:color w:val="000000"/>
              </w:rPr>
              <w:t>16.95</w:t>
            </w:r>
          </w:p>
        </w:tc>
        <w:tc>
          <w:tcPr>
            <w:tcW w:w="3192" w:type="dxa"/>
            <w:vAlign w:val="bottom"/>
          </w:tcPr>
          <w:p w:rsidR="000C4D7B" w:rsidRDefault="006C397A" w:rsidP="000C4D7B">
            <w:pPr>
              <w:jc w:val="center"/>
              <w:rPr>
                <w:rFonts w:ascii="Calibri" w:hAnsi="Calibri" w:cs="Calibri"/>
                <w:color w:val="000000"/>
              </w:rPr>
            </w:pPr>
            <w:r>
              <w:rPr>
                <w:rFonts w:ascii="Calibri" w:hAnsi="Calibri" w:cs="Calibri"/>
                <w:color w:val="000000"/>
              </w:rPr>
              <w:t>27.91</w:t>
            </w:r>
          </w:p>
        </w:tc>
        <w:tc>
          <w:tcPr>
            <w:tcW w:w="3192" w:type="dxa"/>
            <w:vAlign w:val="bottom"/>
          </w:tcPr>
          <w:p w:rsidR="000C4D7B" w:rsidRDefault="006C397A" w:rsidP="000C4D7B">
            <w:pPr>
              <w:jc w:val="center"/>
              <w:rPr>
                <w:rFonts w:ascii="Calibri" w:hAnsi="Calibri" w:cs="Calibri"/>
                <w:color w:val="000000"/>
              </w:rPr>
            </w:pPr>
            <w:r>
              <w:rPr>
                <w:rFonts w:ascii="Calibri" w:hAnsi="Calibri" w:cs="Calibri"/>
                <w:color w:val="000000"/>
              </w:rPr>
              <w:t>18.50</w:t>
            </w:r>
          </w:p>
        </w:tc>
      </w:tr>
    </w:tbl>
    <w:p w:rsidR="000C4D7B" w:rsidRDefault="000C4D7B" w:rsidP="000C4D7B"/>
    <w:p w:rsidR="000C4D7B" w:rsidRDefault="000C4D7B" w:rsidP="000C4D7B">
      <w:r w:rsidRPr="008473B1">
        <w:rPr>
          <w:noProof/>
        </w:rPr>
        <w:drawing>
          <wp:inline distT="0" distB="0" distL="0" distR="0">
            <wp:extent cx="2609850" cy="1543050"/>
            <wp:effectExtent l="19050" t="0" r="19050" b="0"/>
            <wp:docPr id="3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0C4D7B" w:rsidRDefault="000C4D7B" w:rsidP="0033717B">
      <w:pPr>
        <w:spacing w:after="200" w:line="276" w:lineRule="auto"/>
        <w:jc w:val="both"/>
        <w:rPr>
          <w:rFonts w:ascii="Times New Roman" w:eastAsia="Times New Roman" w:hAnsi="Times New Roman" w:cs="Times New Roman"/>
          <w:sz w:val="24"/>
          <w:szCs w:val="24"/>
        </w:rPr>
      </w:pPr>
      <w:r w:rsidRPr="004D1ECD">
        <w:rPr>
          <w:rFonts w:ascii="Times New Roman" w:eastAsia="Times New Roman" w:hAnsi="Times New Roman" w:cs="Times New Roman"/>
          <w:sz w:val="24"/>
          <w:szCs w:val="24"/>
        </w:rPr>
        <w:t>This ratio represent a company how delayed their payment to their supplier in a periodic time. This ratio higher means it delays more to pay their supplier and more effic</w:t>
      </w:r>
      <w:r w:rsidR="006C397A">
        <w:rPr>
          <w:rFonts w:ascii="Times New Roman" w:eastAsia="Times New Roman" w:hAnsi="Times New Roman" w:cs="Times New Roman"/>
          <w:sz w:val="24"/>
          <w:szCs w:val="24"/>
        </w:rPr>
        <w:t>ient in their operation. In 2015</w:t>
      </w:r>
      <w:r w:rsidRPr="004D1ECD">
        <w:rPr>
          <w:rFonts w:ascii="Times New Roman" w:eastAsia="Times New Roman" w:hAnsi="Times New Roman" w:cs="Times New Roman"/>
          <w:sz w:val="24"/>
          <w:szCs w:val="24"/>
        </w:rPr>
        <w:t xml:space="preserve"> for square textile it is </w:t>
      </w:r>
      <w:r w:rsidR="006C397A">
        <w:rPr>
          <w:rFonts w:ascii="Times New Roman" w:eastAsia="Times New Roman" w:hAnsi="Times New Roman" w:cs="Times New Roman"/>
          <w:sz w:val="24"/>
          <w:szCs w:val="24"/>
        </w:rPr>
        <w:t>27days</w:t>
      </w:r>
      <w:r>
        <w:rPr>
          <w:rFonts w:ascii="Times New Roman" w:eastAsia="Times New Roman" w:hAnsi="Times New Roman" w:cs="Times New Roman"/>
          <w:sz w:val="24"/>
          <w:szCs w:val="24"/>
        </w:rPr>
        <w:t>.</w:t>
      </w:r>
      <w:r w:rsidRPr="004D1ECD">
        <w:rPr>
          <w:rFonts w:ascii="Times New Roman" w:eastAsia="Times New Roman" w:hAnsi="Times New Roman" w:cs="Times New Roman"/>
          <w:sz w:val="24"/>
          <w:szCs w:val="24"/>
        </w:rPr>
        <w:t xml:space="preserve">So in </w:t>
      </w:r>
      <w:r w:rsidR="006C397A">
        <w:rPr>
          <w:rFonts w:ascii="Times New Roman" w:eastAsia="Times New Roman" w:hAnsi="Times New Roman" w:cs="Times New Roman"/>
          <w:sz w:val="24"/>
          <w:szCs w:val="24"/>
        </w:rPr>
        <w:t>2015</w:t>
      </w:r>
      <w:r w:rsidR="00D4281F">
        <w:rPr>
          <w:rFonts w:ascii="Times New Roman" w:eastAsia="Times New Roman" w:hAnsi="Times New Roman" w:cs="Times New Roman"/>
          <w:sz w:val="24"/>
          <w:szCs w:val="24"/>
        </w:rPr>
        <w:t>ACI Food</w:t>
      </w:r>
      <w:r w:rsidRPr="004D1ECD">
        <w:rPr>
          <w:rFonts w:ascii="Times New Roman" w:eastAsia="Times New Roman" w:hAnsi="Times New Roman" w:cs="Times New Roman"/>
          <w:sz w:val="24"/>
          <w:szCs w:val="24"/>
        </w:rPr>
        <w:t xml:space="preserve"> delayed more to their supplier.</w:t>
      </w:r>
    </w:p>
    <w:p w:rsidR="000C4D7B" w:rsidRPr="00A15E21" w:rsidRDefault="000C4D7B" w:rsidP="00CE70EB">
      <w:pPr>
        <w:pStyle w:val="NoSpacing"/>
      </w:pPr>
      <w:r w:rsidRPr="00A15E21">
        <w:t>Current Ratio</w:t>
      </w:r>
    </w:p>
    <w:tbl>
      <w:tblPr>
        <w:tblStyle w:val="TableGrid"/>
        <w:tblW w:w="0" w:type="auto"/>
        <w:tblLook w:val="04A0" w:firstRow="1" w:lastRow="0" w:firstColumn="1" w:lastColumn="0" w:noHBand="0" w:noVBand="1"/>
      </w:tblPr>
      <w:tblGrid>
        <w:gridCol w:w="3192"/>
        <w:gridCol w:w="3192"/>
        <w:gridCol w:w="3192"/>
      </w:tblGrid>
      <w:tr w:rsidR="000C4D7B" w:rsidTr="000C4D7B">
        <w:tc>
          <w:tcPr>
            <w:tcW w:w="3192" w:type="dxa"/>
          </w:tcPr>
          <w:p w:rsidR="000C4D7B" w:rsidRDefault="000C4D7B"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2015</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2014</w:t>
            </w:r>
          </w:p>
        </w:tc>
      </w:tr>
      <w:tr w:rsidR="000C4D7B" w:rsidTr="000C4D7B">
        <w:tc>
          <w:tcPr>
            <w:tcW w:w="3192" w:type="dxa"/>
            <w:vAlign w:val="bottom"/>
          </w:tcPr>
          <w:p w:rsidR="000C4D7B" w:rsidRDefault="00D4281F" w:rsidP="000C4D7B">
            <w:pPr>
              <w:jc w:val="center"/>
              <w:rPr>
                <w:rFonts w:ascii="Calibri" w:hAnsi="Calibri" w:cs="Calibri"/>
                <w:color w:val="000000"/>
              </w:rPr>
            </w:pPr>
            <w:r>
              <w:rPr>
                <w:rFonts w:ascii="Calibri" w:hAnsi="Calibri" w:cs="Calibri"/>
                <w:color w:val="000000"/>
              </w:rPr>
              <w:t>1.56</w:t>
            </w:r>
          </w:p>
        </w:tc>
        <w:tc>
          <w:tcPr>
            <w:tcW w:w="3192" w:type="dxa"/>
            <w:vAlign w:val="bottom"/>
          </w:tcPr>
          <w:p w:rsidR="000C4D7B" w:rsidRDefault="00D4281F" w:rsidP="000C4D7B">
            <w:pPr>
              <w:jc w:val="center"/>
              <w:rPr>
                <w:rFonts w:ascii="Calibri" w:hAnsi="Calibri" w:cs="Calibri"/>
                <w:color w:val="000000"/>
              </w:rPr>
            </w:pPr>
            <w:r>
              <w:rPr>
                <w:rFonts w:ascii="Calibri" w:hAnsi="Calibri" w:cs="Calibri"/>
                <w:color w:val="000000"/>
              </w:rPr>
              <w:t>1.67</w:t>
            </w:r>
          </w:p>
        </w:tc>
        <w:tc>
          <w:tcPr>
            <w:tcW w:w="3192" w:type="dxa"/>
            <w:vAlign w:val="bottom"/>
          </w:tcPr>
          <w:p w:rsidR="000C4D7B" w:rsidRDefault="00D4281F" w:rsidP="000C4D7B">
            <w:pPr>
              <w:jc w:val="center"/>
              <w:rPr>
                <w:rFonts w:ascii="Calibri" w:hAnsi="Calibri" w:cs="Calibri"/>
                <w:color w:val="000000"/>
              </w:rPr>
            </w:pPr>
            <w:r>
              <w:rPr>
                <w:rFonts w:ascii="Calibri" w:hAnsi="Calibri" w:cs="Calibri"/>
                <w:color w:val="000000"/>
              </w:rPr>
              <w:t>1.18</w:t>
            </w:r>
          </w:p>
        </w:tc>
      </w:tr>
    </w:tbl>
    <w:p w:rsidR="000C4D7B" w:rsidRPr="00DC095D" w:rsidRDefault="000C4D7B" w:rsidP="000C4D7B"/>
    <w:p w:rsidR="000C4D7B" w:rsidRDefault="000C4D7B" w:rsidP="000C4D7B">
      <w:r w:rsidRPr="00DC095D">
        <w:rPr>
          <w:noProof/>
        </w:rPr>
        <w:drawing>
          <wp:inline distT="0" distB="0" distL="0" distR="0">
            <wp:extent cx="2609850" cy="1543050"/>
            <wp:effectExtent l="19050" t="0" r="19050" b="0"/>
            <wp:docPr id="3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0C4D7B" w:rsidRDefault="000C4D7B" w:rsidP="000C4D7B">
      <w:pPr>
        <w:spacing w:after="200" w:line="276" w:lineRule="auto"/>
        <w:jc w:val="both"/>
        <w:rPr>
          <w:rFonts w:ascii="Times New Roman" w:eastAsia="Times New Roman" w:hAnsi="Times New Roman" w:cs="Times New Roman"/>
          <w:sz w:val="24"/>
          <w:szCs w:val="24"/>
        </w:rPr>
      </w:pPr>
      <w:r w:rsidRPr="004D1ECD">
        <w:rPr>
          <w:rFonts w:ascii="Times New Roman" w:eastAsia="Times New Roman" w:hAnsi="Times New Roman" w:cs="Times New Roman"/>
          <w:sz w:val="24"/>
          <w:szCs w:val="24"/>
        </w:rPr>
        <w:t xml:space="preserve">It’s a measure of liquidity. It indicates how company is able to pay its debt in a period of </w:t>
      </w:r>
      <w:r>
        <w:rPr>
          <w:rFonts w:ascii="Times New Roman" w:eastAsia="Times New Roman" w:hAnsi="Times New Roman" w:cs="Times New Roman"/>
          <w:sz w:val="24"/>
          <w:szCs w:val="24"/>
        </w:rPr>
        <w:t>time with current asset. Current ratios for the company 1:</w:t>
      </w:r>
      <w:r w:rsidR="00D4281F">
        <w:rPr>
          <w:rFonts w:ascii="Times New Roman" w:eastAsia="Times New Roman" w:hAnsi="Times New Roman" w:cs="Times New Roman"/>
          <w:sz w:val="24"/>
          <w:szCs w:val="24"/>
        </w:rPr>
        <w:t>1.56</w:t>
      </w:r>
      <w:r>
        <w:rPr>
          <w:rFonts w:ascii="Times New Roman" w:eastAsia="Times New Roman" w:hAnsi="Times New Roman" w:cs="Times New Roman"/>
          <w:sz w:val="24"/>
          <w:szCs w:val="24"/>
        </w:rPr>
        <w:t>, 1:</w:t>
      </w:r>
      <w:r w:rsidR="00D4281F">
        <w:rPr>
          <w:rFonts w:ascii="Times New Roman" w:eastAsia="Times New Roman" w:hAnsi="Times New Roman" w:cs="Times New Roman"/>
          <w:sz w:val="24"/>
          <w:szCs w:val="24"/>
        </w:rPr>
        <w:t>1.67</w:t>
      </w:r>
      <w:r>
        <w:rPr>
          <w:rFonts w:ascii="Times New Roman" w:eastAsia="Times New Roman" w:hAnsi="Times New Roman" w:cs="Times New Roman"/>
          <w:sz w:val="24"/>
          <w:szCs w:val="24"/>
        </w:rPr>
        <w:t xml:space="preserve"> and 1:</w:t>
      </w:r>
      <w:r w:rsidR="00D4281F">
        <w:rPr>
          <w:rFonts w:ascii="Times New Roman" w:eastAsia="Times New Roman" w:hAnsi="Times New Roman" w:cs="Times New Roman"/>
          <w:sz w:val="24"/>
          <w:szCs w:val="24"/>
        </w:rPr>
        <w:t>1.18</w:t>
      </w:r>
      <w:r>
        <w:rPr>
          <w:rFonts w:ascii="Times New Roman" w:eastAsia="Times New Roman" w:hAnsi="Times New Roman" w:cs="Times New Roman"/>
          <w:sz w:val="24"/>
          <w:szCs w:val="24"/>
        </w:rPr>
        <w:t>consecutively for the years of 2016, 2015 and 2014.So they have enough liquidity to meet their creditors.</w:t>
      </w:r>
    </w:p>
    <w:p w:rsidR="000C4D7B" w:rsidRPr="00A15E21" w:rsidRDefault="000C4D7B" w:rsidP="00CE70EB">
      <w:pPr>
        <w:pStyle w:val="NoSpacing"/>
      </w:pPr>
      <w:r w:rsidRPr="00A15E21">
        <w:t>Quick ratio</w:t>
      </w:r>
    </w:p>
    <w:tbl>
      <w:tblPr>
        <w:tblStyle w:val="TableGrid"/>
        <w:tblW w:w="0" w:type="auto"/>
        <w:tblLook w:val="04A0" w:firstRow="1" w:lastRow="0" w:firstColumn="1" w:lastColumn="0" w:noHBand="0" w:noVBand="1"/>
      </w:tblPr>
      <w:tblGrid>
        <w:gridCol w:w="3192"/>
        <w:gridCol w:w="3192"/>
        <w:gridCol w:w="3192"/>
      </w:tblGrid>
      <w:tr w:rsidR="000C4D7B" w:rsidTr="000C4D7B">
        <w:tc>
          <w:tcPr>
            <w:tcW w:w="3192" w:type="dxa"/>
          </w:tcPr>
          <w:p w:rsidR="000C4D7B" w:rsidRDefault="000C4D7B"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2015</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2014</w:t>
            </w:r>
          </w:p>
        </w:tc>
      </w:tr>
      <w:tr w:rsidR="000C4D7B" w:rsidTr="000C4D7B">
        <w:tc>
          <w:tcPr>
            <w:tcW w:w="3192" w:type="dxa"/>
            <w:vAlign w:val="bottom"/>
          </w:tcPr>
          <w:p w:rsidR="000C4D7B" w:rsidRDefault="004C7499" w:rsidP="000C4D7B">
            <w:pPr>
              <w:jc w:val="center"/>
              <w:rPr>
                <w:rFonts w:ascii="Calibri" w:hAnsi="Calibri" w:cs="Calibri"/>
                <w:color w:val="000000"/>
              </w:rPr>
            </w:pPr>
            <w:r>
              <w:rPr>
                <w:rFonts w:ascii="Calibri" w:hAnsi="Calibri" w:cs="Calibri"/>
                <w:color w:val="000000"/>
              </w:rPr>
              <w:t>0.356</w:t>
            </w:r>
          </w:p>
        </w:tc>
        <w:tc>
          <w:tcPr>
            <w:tcW w:w="3192" w:type="dxa"/>
            <w:vAlign w:val="bottom"/>
          </w:tcPr>
          <w:p w:rsidR="000C4D7B" w:rsidRDefault="004C7499" w:rsidP="000C4D7B">
            <w:pPr>
              <w:jc w:val="center"/>
              <w:rPr>
                <w:rFonts w:ascii="Calibri" w:hAnsi="Calibri" w:cs="Calibri"/>
                <w:color w:val="000000"/>
              </w:rPr>
            </w:pPr>
            <w:r>
              <w:rPr>
                <w:rFonts w:ascii="Calibri" w:hAnsi="Calibri" w:cs="Calibri"/>
                <w:color w:val="000000"/>
              </w:rPr>
              <w:t>0.438</w:t>
            </w:r>
          </w:p>
        </w:tc>
        <w:tc>
          <w:tcPr>
            <w:tcW w:w="3192" w:type="dxa"/>
            <w:vAlign w:val="bottom"/>
          </w:tcPr>
          <w:p w:rsidR="000C4D7B" w:rsidRDefault="004C7499" w:rsidP="000C4D7B">
            <w:pPr>
              <w:jc w:val="center"/>
              <w:rPr>
                <w:rFonts w:ascii="Calibri" w:hAnsi="Calibri" w:cs="Calibri"/>
                <w:color w:val="000000"/>
              </w:rPr>
            </w:pPr>
            <w:r>
              <w:rPr>
                <w:rFonts w:ascii="Calibri" w:hAnsi="Calibri" w:cs="Calibri"/>
                <w:color w:val="000000"/>
              </w:rPr>
              <w:t>0.217</w:t>
            </w:r>
          </w:p>
        </w:tc>
      </w:tr>
    </w:tbl>
    <w:p w:rsidR="000C4D7B" w:rsidRDefault="000C4D7B" w:rsidP="000C4D7B"/>
    <w:p w:rsidR="000C4D7B" w:rsidRPr="000B179F" w:rsidRDefault="000C4D7B" w:rsidP="000C4D7B">
      <w:r w:rsidRPr="000B179F">
        <w:rPr>
          <w:noProof/>
        </w:rPr>
        <w:lastRenderedPageBreak/>
        <w:drawing>
          <wp:inline distT="0" distB="0" distL="0" distR="0">
            <wp:extent cx="2609850" cy="1543050"/>
            <wp:effectExtent l="19050" t="0" r="19050" b="0"/>
            <wp:docPr id="3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0C4D7B" w:rsidRPr="004D1ECD" w:rsidRDefault="00736A11" w:rsidP="000C4D7B">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Quick ratio</w:t>
      </w:r>
      <w:r w:rsidRPr="004D1ECD">
        <w:rPr>
          <w:rFonts w:ascii="Times New Roman" w:eastAsia="Times New Roman" w:hAnsi="Times New Roman" w:cs="Times New Roman"/>
          <w:sz w:val="24"/>
          <w:szCs w:val="24"/>
        </w:rPr>
        <w:t xml:space="preserve"> measures the ability to use its quick assets (cash and cash equivalents, marketable securities and accounts receivable) to pay its current liabilities. </w:t>
      </w:r>
      <w:r>
        <w:rPr>
          <w:rFonts w:ascii="Times New Roman" w:eastAsia="Times New Roman" w:hAnsi="Times New Roman" w:cs="Times New Roman"/>
          <w:sz w:val="24"/>
          <w:szCs w:val="24"/>
        </w:rPr>
        <w:t xml:space="preserve">This </w:t>
      </w:r>
      <w:r w:rsidRPr="004D1ECD">
        <w:rPr>
          <w:rFonts w:ascii="Times New Roman" w:eastAsia="Times New Roman" w:hAnsi="Times New Roman" w:cs="Times New Roman"/>
          <w:sz w:val="24"/>
          <w:szCs w:val="24"/>
        </w:rPr>
        <w:t xml:space="preserve">ratio higher means company has many cash or has facing problem in collecting accounts receivable. Lower of the ratio indicates they rely on inventory too much. </w:t>
      </w:r>
      <w:r w:rsidR="004C7499">
        <w:rPr>
          <w:rFonts w:ascii="Times New Roman" w:eastAsia="Times New Roman" w:hAnsi="Times New Roman" w:cs="Times New Roman"/>
          <w:sz w:val="24"/>
          <w:szCs w:val="24"/>
        </w:rPr>
        <w:t>S</w:t>
      </w:r>
      <w:r w:rsidR="000C4D7B" w:rsidRPr="004D1ECD">
        <w:rPr>
          <w:rFonts w:ascii="Times New Roman" w:eastAsia="Times New Roman" w:hAnsi="Times New Roman" w:cs="Times New Roman"/>
          <w:sz w:val="24"/>
          <w:szCs w:val="24"/>
        </w:rPr>
        <w:t xml:space="preserve">o we can conclude </w:t>
      </w:r>
      <w:r w:rsidR="004C7499">
        <w:rPr>
          <w:rFonts w:ascii="Times New Roman" w:eastAsia="Times New Roman" w:hAnsi="Times New Roman" w:cs="Times New Roman"/>
          <w:sz w:val="24"/>
          <w:szCs w:val="24"/>
        </w:rPr>
        <w:t>these years company relies on inventory</w:t>
      </w:r>
      <w:r w:rsidR="000C4D7B" w:rsidRPr="004D1ECD">
        <w:rPr>
          <w:rFonts w:ascii="Times New Roman" w:eastAsia="Times New Roman" w:hAnsi="Times New Roman" w:cs="Times New Roman"/>
          <w:sz w:val="24"/>
          <w:szCs w:val="24"/>
        </w:rPr>
        <w:t>.</w:t>
      </w:r>
    </w:p>
    <w:p w:rsidR="000C4D7B" w:rsidRPr="00A15E21" w:rsidRDefault="000C4D7B" w:rsidP="00CE70EB">
      <w:pPr>
        <w:pStyle w:val="NoSpacing"/>
      </w:pPr>
      <w:r w:rsidRPr="00A15E21">
        <w:t>Cash Ratio</w:t>
      </w:r>
    </w:p>
    <w:tbl>
      <w:tblPr>
        <w:tblStyle w:val="TableGrid"/>
        <w:tblW w:w="0" w:type="auto"/>
        <w:tblLook w:val="04A0" w:firstRow="1" w:lastRow="0" w:firstColumn="1" w:lastColumn="0" w:noHBand="0" w:noVBand="1"/>
      </w:tblPr>
      <w:tblGrid>
        <w:gridCol w:w="3192"/>
        <w:gridCol w:w="3192"/>
        <w:gridCol w:w="3192"/>
      </w:tblGrid>
      <w:tr w:rsidR="000C4D7B" w:rsidTr="000C4D7B">
        <w:tc>
          <w:tcPr>
            <w:tcW w:w="3192" w:type="dxa"/>
          </w:tcPr>
          <w:p w:rsidR="000C4D7B" w:rsidRDefault="000C4D7B" w:rsidP="000C4D7B">
            <w:pPr>
              <w:jc w:val="center"/>
              <w:rPr>
                <w:rFonts w:ascii="Times New Roman" w:hAnsi="Times New Roman" w:cs="Times New Roman"/>
              </w:rPr>
            </w:pPr>
            <w:r>
              <w:rPr>
                <w:rFonts w:ascii="Times New Roman" w:hAnsi="Times New Roman" w:cs="Times New Roman"/>
                <w:noProof/>
              </w:rPr>
              <w:t>2016</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2015</w:t>
            </w:r>
          </w:p>
        </w:tc>
        <w:tc>
          <w:tcPr>
            <w:tcW w:w="3192" w:type="dxa"/>
          </w:tcPr>
          <w:p w:rsidR="000C4D7B" w:rsidRDefault="000C4D7B" w:rsidP="000C4D7B">
            <w:pPr>
              <w:jc w:val="center"/>
              <w:rPr>
                <w:rFonts w:ascii="Times New Roman" w:hAnsi="Times New Roman" w:cs="Times New Roman"/>
              </w:rPr>
            </w:pPr>
            <w:r>
              <w:rPr>
                <w:rFonts w:ascii="Times New Roman" w:hAnsi="Times New Roman" w:cs="Times New Roman"/>
              </w:rPr>
              <w:t>2014</w:t>
            </w:r>
          </w:p>
        </w:tc>
      </w:tr>
      <w:tr w:rsidR="000C4D7B" w:rsidTr="000C4D7B">
        <w:tc>
          <w:tcPr>
            <w:tcW w:w="3192" w:type="dxa"/>
            <w:vAlign w:val="bottom"/>
          </w:tcPr>
          <w:p w:rsidR="000C4D7B" w:rsidRDefault="004C7499" w:rsidP="000C4D7B">
            <w:pPr>
              <w:jc w:val="center"/>
              <w:rPr>
                <w:rFonts w:ascii="Calibri" w:hAnsi="Calibri" w:cs="Calibri"/>
                <w:color w:val="000000"/>
              </w:rPr>
            </w:pPr>
            <w:r>
              <w:rPr>
                <w:rFonts w:ascii="Calibri" w:hAnsi="Calibri" w:cs="Calibri"/>
                <w:color w:val="000000"/>
              </w:rPr>
              <w:t>0.077</w:t>
            </w:r>
          </w:p>
        </w:tc>
        <w:tc>
          <w:tcPr>
            <w:tcW w:w="3192" w:type="dxa"/>
            <w:vAlign w:val="bottom"/>
          </w:tcPr>
          <w:p w:rsidR="000C4D7B" w:rsidRDefault="004C7499" w:rsidP="000C4D7B">
            <w:pPr>
              <w:jc w:val="center"/>
              <w:rPr>
                <w:rFonts w:ascii="Calibri" w:hAnsi="Calibri" w:cs="Calibri"/>
                <w:color w:val="000000"/>
              </w:rPr>
            </w:pPr>
            <w:r>
              <w:rPr>
                <w:rFonts w:ascii="Calibri" w:hAnsi="Calibri" w:cs="Calibri"/>
                <w:color w:val="000000"/>
              </w:rPr>
              <w:t>0.080</w:t>
            </w:r>
          </w:p>
        </w:tc>
        <w:tc>
          <w:tcPr>
            <w:tcW w:w="3192" w:type="dxa"/>
            <w:vAlign w:val="bottom"/>
          </w:tcPr>
          <w:p w:rsidR="000C4D7B" w:rsidRDefault="004C7499" w:rsidP="000C4D7B">
            <w:pPr>
              <w:jc w:val="center"/>
              <w:rPr>
                <w:rFonts w:ascii="Calibri" w:hAnsi="Calibri" w:cs="Calibri"/>
                <w:color w:val="000000"/>
              </w:rPr>
            </w:pPr>
            <w:r>
              <w:rPr>
                <w:rFonts w:ascii="Calibri" w:hAnsi="Calibri" w:cs="Calibri"/>
                <w:color w:val="000000"/>
              </w:rPr>
              <w:t>0.055</w:t>
            </w:r>
          </w:p>
        </w:tc>
      </w:tr>
    </w:tbl>
    <w:p w:rsidR="000C4D7B" w:rsidRPr="00BA29FD" w:rsidRDefault="000C4D7B" w:rsidP="000C4D7B"/>
    <w:p w:rsidR="000C4D7B" w:rsidRDefault="000C4D7B" w:rsidP="000C4D7B">
      <w:pPr>
        <w:rPr>
          <w:b/>
        </w:rPr>
      </w:pPr>
      <w:r w:rsidRPr="00612C3F">
        <w:rPr>
          <w:b/>
          <w:noProof/>
        </w:rPr>
        <w:drawing>
          <wp:inline distT="0" distB="0" distL="0" distR="0">
            <wp:extent cx="2609850" cy="1543050"/>
            <wp:effectExtent l="19050" t="0" r="19050" b="0"/>
            <wp:docPr id="3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7A1DBF" w:rsidRPr="00FE50EF" w:rsidRDefault="007A1DBF" w:rsidP="007A1DBF">
      <w:pPr>
        <w:jc w:val="both"/>
        <w:rPr>
          <w:b/>
        </w:rPr>
      </w:pPr>
      <w:r>
        <w:rPr>
          <w:rFonts w:ascii="Times New Roman" w:eastAsia="Times New Roman" w:hAnsi="Times New Roman" w:cs="Times New Roman"/>
          <w:sz w:val="24"/>
          <w:szCs w:val="24"/>
        </w:rPr>
        <w:t>This ratio measures the liquidity of a company, the ability to pay its supplier short term liabilities with cash. Cash ratio is more liquid and stricter than quick ratio and current ratio.</w:t>
      </w:r>
    </w:p>
    <w:p w:rsidR="000C4D7B" w:rsidRDefault="004C7499" w:rsidP="000C4D7B">
      <w:pPr>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ACI Food Limited</w:t>
      </w:r>
      <w:r w:rsidR="000C4D7B" w:rsidRPr="004D1ECD">
        <w:rPr>
          <w:rFonts w:ascii="Times New Roman" w:eastAsia="Times New Roman" w:hAnsi="Times New Roman" w:cs="Times New Roman"/>
          <w:sz w:val="24"/>
          <w:szCs w:val="24"/>
        </w:rPr>
        <w:t xml:space="preserve"> cash ratio for year </w:t>
      </w:r>
      <w:r w:rsidR="000C4D7B">
        <w:rPr>
          <w:rFonts w:ascii="Times New Roman" w:eastAsia="Times New Roman" w:hAnsi="Times New Roman" w:cs="Times New Roman"/>
          <w:sz w:val="24"/>
          <w:szCs w:val="24"/>
        </w:rPr>
        <w:t xml:space="preserve">these 3 years(2014-2016) is in small amount </w:t>
      </w:r>
      <w:r w:rsidR="000C4D7B" w:rsidRPr="004D1ECD">
        <w:rPr>
          <w:rFonts w:ascii="Times New Roman" w:eastAsia="Times New Roman" w:hAnsi="Times New Roman" w:cs="Times New Roman"/>
          <w:sz w:val="24"/>
          <w:szCs w:val="24"/>
        </w:rPr>
        <w:t xml:space="preserve">So, company maintain lower cash to meet their suppliers. </w:t>
      </w:r>
    </w:p>
    <w:p w:rsidR="00034BF9" w:rsidRPr="00034BF9" w:rsidRDefault="00034BF9" w:rsidP="00034BF9">
      <w:pPr>
        <w:spacing w:before="100" w:beforeAutospacing="1" w:after="100" w:afterAutospacing="1" w:line="276" w:lineRule="auto"/>
        <w:jc w:val="center"/>
        <w:rPr>
          <w:rFonts w:ascii="Times New Roman" w:eastAsia="Times New Roman" w:hAnsi="Times New Roman" w:cs="Times New Roman"/>
          <w:b/>
          <w:sz w:val="48"/>
          <w:szCs w:val="48"/>
        </w:rPr>
      </w:pPr>
    </w:p>
    <w:p w:rsidR="00B37540" w:rsidRDefault="00B37540" w:rsidP="00034BF9">
      <w:pPr>
        <w:spacing w:before="100" w:beforeAutospacing="1" w:after="100" w:afterAutospacing="1" w:line="276" w:lineRule="auto"/>
        <w:jc w:val="center"/>
        <w:rPr>
          <w:rFonts w:ascii="Times New Roman" w:eastAsia="Times New Roman" w:hAnsi="Times New Roman" w:cs="Times New Roman"/>
          <w:b/>
          <w:sz w:val="48"/>
          <w:szCs w:val="48"/>
        </w:rPr>
      </w:pPr>
    </w:p>
    <w:p w:rsidR="007464DC" w:rsidRPr="00870082" w:rsidRDefault="00034BF9" w:rsidP="00870082">
      <w:pPr>
        <w:pStyle w:val="Heading2"/>
        <w:jc w:val="center"/>
        <w:rPr>
          <w:rFonts w:eastAsia="Times New Roman"/>
          <w:sz w:val="48"/>
          <w:szCs w:val="48"/>
        </w:rPr>
      </w:pPr>
      <w:bookmarkStart w:id="29" w:name="_Toc18627812"/>
      <w:r w:rsidRPr="00825250">
        <w:rPr>
          <w:rFonts w:eastAsia="Times New Roman"/>
          <w:sz w:val="48"/>
          <w:szCs w:val="48"/>
        </w:rPr>
        <w:lastRenderedPageBreak/>
        <w:t>Appex Food Limited</w:t>
      </w:r>
      <w:bookmarkEnd w:id="29"/>
    </w:p>
    <w:p w:rsidR="007464DC" w:rsidRDefault="007464DC" w:rsidP="005B7EC9">
      <w:pPr>
        <w:pStyle w:val="Heading2"/>
        <w:rPr>
          <w:rFonts w:eastAsia="Times New Roman"/>
        </w:rPr>
      </w:pPr>
    </w:p>
    <w:p w:rsidR="007464DC" w:rsidRDefault="007464DC" w:rsidP="005B7EC9">
      <w:pPr>
        <w:pStyle w:val="Heading2"/>
        <w:rPr>
          <w:rFonts w:eastAsia="Times New Roman"/>
        </w:rPr>
      </w:pPr>
    </w:p>
    <w:p w:rsidR="00B37540" w:rsidRDefault="00B37540" w:rsidP="00B823E5">
      <w:pPr>
        <w:pStyle w:val="Heading3"/>
        <w:rPr>
          <w:rFonts w:eastAsia="Times New Roman"/>
        </w:rPr>
      </w:pPr>
      <w:bookmarkStart w:id="30" w:name="_Toc18627813"/>
      <w:r>
        <w:rPr>
          <w:rFonts w:eastAsia="Times New Roman"/>
        </w:rPr>
        <w:t>Company profile</w:t>
      </w:r>
      <w:bookmarkEnd w:id="30"/>
    </w:p>
    <w:p w:rsidR="00B37540" w:rsidRDefault="008877FD" w:rsidP="00B37540">
      <w:pPr>
        <w:spacing w:before="100" w:beforeAutospacing="1" w:after="100" w:afterAutospacing="1" w:line="276" w:lineRule="auto"/>
        <w:jc w:val="both"/>
        <w:rPr>
          <w:rFonts w:ascii="Times New Roman" w:eastAsia="Calibri" w:hAnsi="Times New Roman" w:cs="Times New Roman"/>
          <w:sz w:val="24"/>
          <w:szCs w:val="24"/>
          <w:shd w:val="clear" w:color="auto" w:fill="FAFAFA"/>
        </w:rPr>
      </w:pPr>
      <w:r>
        <w:rPr>
          <w:rFonts w:ascii="Times New Roman" w:eastAsia="Calibri" w:hAnsi="Times New Roman" w:cs="Times New Roman"/>
          <w:sz w:val="24"/>
          <w:szCs w:val="24"/>
          <w:shd w:val="clear" w:color="auto" w:fill="FAFAFA"/>
        </w:rPr>
        <w:t xml:space="preserve">Appex Food </w:t>
      </w:r>
      <w:r w:rsidR="00B37540" w:rsidRPr="00B37540">
        <w:rPr>
          <w:rFonts w:ascii="Times New Roman" w:eastAsia="Calibri" w:hAnsi="Times New Roman" w:cs="Times New Roman"/>
          <w:sz w:val="24"/>
          <w:szCs w:val="24"/>
          <w:shd w:val="clear" w:color="auto" w:fill="FAFAFA"/>
        </w:rPr>
        <w:t xml:space="preserve">was </w:t>
      </w:r>
      <w:r>
        <w:rPr>
          <w:rFonts w:ascii="Times New Roman" w:eastAsia="Calibri" w:hAnsi="Times New Roman" w:cs="Times New Roman"/>
          <w:sz w:val="24"/>
          <w:szCs w:val="24"/>
          <w:shd w:val="clear" w:color="auto" w:fill="FAFAFA"/>
        </w:rPr>
        <w:t>registered</w:t>
      </w:r>
      <w:r w:rsidR="00B37540" w:rsidRPr="00B37540">
        <w:rPr>
          <w:rFonts w:ascii="Times New Roman" w:eastAsia="Calibri" w:hAnsi="Times New Roman" w:cs="Times New Roman"/>
          <w:sz w:val="24"/>
          <w:szCs w:val="24"/>
          <w:shd w:val="clear" w:color="auto" w:fill="FAFAFA"/>
        </w:rPr>
        <w:t xml:space="preserve"> on 1979 under the Companies Act </w:t>
      </w:r>
      <w:r>
        <w:rPr>
          <w:rFonts w:ascii="Times New Roman" w:eastAsia="Calibri" w:hAnsi="Times New Roman" w:cs="Times New Roman"/>
          <w:sz w:val="24"/>
          <w:szCs w:val="24"/>
          <w:shd w:val="clear" w:color="auto" w:fill="FAFAFA"/>
        </w:rPr>
        <w:t>1994. This company</w:t>
      </w:r>
      <w:r w:rsidR="00B37540" w:rsidRPr="00B37540">
        <w:rPr>
          <w:rFonts w:ascii="Times New Roman" w:eastAsia="Calibri" w:hAnsi="Times New Roman" w:cs="Times New Roman"/>
          <w:sz w:val="24"/>
          <w:szCs w:val="24"/>
          <w:shd w:val="clear" w:color="auto" w:fill="FAFAFA"/>
        </w:rPr>
        <w:t xml:space="preserve"> is a 100% export oriented value-add</w:t>
      </w:r>
      <w:r>
        <w:rPr>
          <w:rFonts w:ascii="Times New Roman" w:eastAsia="Calibri" w:hAnsi="Times New Roman" w:cs="Times New Roman"/>
          <w:sz w:val="24"/>
          <w:szCs w:val="24"/>
          <w:shd w:val="clear" w:color="auto" w:fill="FAFAFA"/>
        </w:rPr>
        <w:t>ed shrimp processing Company. This</w:t>
      </w:r>
      <w:r w:rsidR="00B37540" w:rsidRPr="00B37540">
        <w:rPr>
          <w:rFonts w:ascii="Times New Roman" w:eastAsia="Calibri" w:hAnsi="Times New Roman" w:cs="Times New Roman"/>
          <w:sz w:val="24"/>
          <w:szCs w:val="24"/>
          <w:shd w:val="clear" w:color="auto" w:fill="FAFAFA"/>
        </w:rPr>
        <w:t xml:space="preserve"> is the single largest processor &amp; exporter of frozen seafood in Bangladesh</w:t>
      </w:r>
      <w:r>
        <w:rPr>
          <w:rFonts w:ascii="Times New Roman" w:eastAsia="Calibri" w:hAnsi="Times New Roman" w:cs="Times New Roman"/>
          <w:sz w:val="24"/>
          <w:szCs w:val="24"/>
          <w:shd w:val="clear" w:color="auto" w:fill="FAFAFA"/>
        </w:rPr>
        <w:t>.</w:t>
      </w:r>
      <w:r w:rsidR="00AB3507">
        <w:rPr>
          <w:rFonts w:ascii="Times New Roman" w:eastAsia="Calibri" w:hAnsi="Times New Roman" w:cs="Times New Roman"/>
          <w:sz w:val="24"/>
          <w:szCs w:val="24"/>
          <w:shd w:val="clear" w:color="auto" w:fill="FAFAFA"/>
        </w:rPr>
        <w:t xml:space="preserve"> It is the modern plant in Asia process sea food equipped with modern freezing and storage machinery</w:t>
      </w:r>
      <w:r w:rsidR="00B37540" w:rsidRPr="00B37540">
        <w:rPr>
          <w:rFonts w:ascii="Times New Roman" w:eastAsia="Calibri" w:hAnsi="Times New Roman" w:cs="Times New Roman"/>
          <w:sz w:val="24"/>
          <w:szCs w:val="24"/>
          <w:shd w:val="clear" w:color="auto" w:fill="FAFAFA"/>
        </w:rPr>
        <w:t xml:space="preserve">. </w:t>
      </w:r>
      <w:r>
        <w:rPr>
          <w:rFonts w:ascii="Times New Roman" w:eastAsia="Calibri" w:hAnsi="Times New Roman" w:cs="Times New Roman"/>
          <w:sz w:val="24"/>
          <w:szCs w:val="24"/>
          <w:shd w:val="clear" w:color="auto" w:fill="FAFAFA"/>
        </w:rPr>
        <w:t>I</w:t>
      </w:r>
      <w:r w:rsidR="00B37540" w:rsidRPr="00B37540">
        <w:rPr>
          <w:rFonts w:ascii="Times New Roman" w:eastAsia="Calibri" w:hAnsi="Times New Roman" w:cs="Times New Roman"/>
          <w:sz w:val="24"/>
          <w:szCs w:val="24"/>
          <w:shd w:val="clear" w:color="auto" w:fill="FAFAFA"/>
        </w:rPr>
        <w:t>n the international seafood market</w:t>
      </w:r>
      <w:r>
        <w:rPr>
          <w:rFonts w:ascii="Times New Roman" w:eastAsia="Calibri" w:hAnsi="Times New Roman" w:cs="Times New Roman"/>
          <w:sz w:val="24"/>
          <w:szCs w:val="24"/>
          <w:shd w:val="clear" w:color="auto" w:fill="FAFAFA"/>
        </w:rPr>
        <w:t xml:space="preserve"> it is well known product</w:t>
      </w:r>
      <w:r w:rsidR="00B37540" w:rsidRPr="00B37540">
        <w:rPr>
          <w:rFonts w:ascii="Times New Roman" w:eastAsia="Calibri" w:hAnsi="Times New Roman" w:cs="Times New Roman"/>
          <w:sz w:val="24"/>
          <w:szCs w:val="24"/>
          <w:shd w:val="clear" w:color="auto" w:fill="FAFAFA"/>
        </w:rPr>
        <w:t xml:space="preserve"> and it has built a </w:t>
      </w:r>
      <w:r w:rsidR="00AB3507">
        <w:rPr>
          <w:rFonts w:ascii="Times New Roman" w:eastAsia="Calibri" w:hAnsi="Times New Roman" w:cs="Times New Roman"/>
          <w:sz w:val="24"/>
          <w:szCs w:val="24"/>
          <w:shd w:val="clear" w:color="auto" w:fill="FAFAFA"/>
        </w:rPr>
        <w:t xml:space="preserve">high profile customer basis on order . They got rewards and trophies from government for their quality of product. </w:t>
      </w:r>
      <w:r w:rsidR="002E454D">
        <w:rPr>
          <w:rFonts w:ascii="Times New Roman" w:eastAsia="Calibri" w:hAnsi="Times New Roman" w:cs="Times New Roman"/>
          <w:sz w:val="24"/>
          <w:szCs w:val="24"/>
          <w:shd w:val="clear" w:color="auto" w:fill="FAFAFA"/>
        </w:rPr>
        <w:t>This company follows</w:t>
      </w:r>
      <w:r w:rsidR="00B37540" w:rsidRPr="00B37540">
        <w:rPr>
          <w:rFonts w:ascii="Times New Roman" w:eastAsia="Calibri" w:hAnsi="Times New Roman" w:cs="Times New Roman"/>
          <w:sz w:val="24"/>
          <w:szCs w:val="24"/>
          <w:shd w:val="clear" w:color="auto" w:fill="FAFAFA"/>
        </w:rPr>
        <w:t xml:space="preserve"> HACCP (Food Safety System of FDA) </w:t>
      </w:r>
      <w:r w:rsidR="002E454D">
        <w:rPr>
          <w:rFonts w:ascii="Times New Roman" w:eastAsia="Calibri" w:hAnsi="Times New Roman" w:cs="Times New Roman"/>
          <w:sz w:val="24"/>
          <w:szCs w:val="24"/>
          <w:shd w:val="clear" w:color="auto" w:fill="FAFAFA"/>
        </w:rPr>
        <w:t>to ensure their quality of product.</w:t>
      </w:r>
      <w:r w:rsidR="00AB3507">
        <w:rPr>
          <w:rFonts w:ascii="Times New Roman" w:eastAsia="Calibri" w:hAnsi="Times New Roman" w:cs="Times New Roman"/>
          <w:sz w:val="24"/>
          <w:szCs w:val="24"/>
          <w:shd w:val="clear" w:color="auto" w:fill="FAFAFA"/>
        </w:rPr>
        <w:t xml:space="preserve"> The company’s products are exported to European union countries, Russia, Australia and North America. </w:t>
      </w:r>
    </w:p>
    <w:p w:rsidR="00EB0730" w:rsidRPr="00B37540" w:rsidRDefault="00EB0730" w:rsidP="00B37540">
      <w:pPr>
        <w:spacing w:before="100" w:beforeAutospacing="1" w:after="100" w:afterAutospacing="1" w:line="276" w:lineRule="auto"/>
        <w:jc w:val="both"/>
        <w:rPr>
          <w:rFonts w:ascii="Times New Roman" w:eastAsia="Calibri" w:hAnsi="Times New Roman" w:cs="Times New Roman"/>
          <w:sz w:val="24"/>
          <w:szCs w:val="24"/>
          <w:shd w:val="clear" w:color="auto" w:fill="FAFAFA"/>
        </w:rPr>
      </w:pPr>
      <w:r>
        <w:rPr>
          <w:rFonts w:ascii="Times New Roman" w:eastAsia="Times New Roman" w:hAnsi="Times New Roman" w:cs="Times New Roman"/>
          <w:color w:val="000000"/>
          <w:sz w:val="24"/>
          <w:szCs w:val="24"/>
          <w:shd w:val="clear" w:color="auto" w:fill="FFFFFF"/>
        </w:rPr>
        <w:t>Following Analyses are based on Appex food limited’s annual report (2104-2016).</w:t>
      </w:r>
      <w:sdt>
        <w:sdtPr>
          <w:rPr>
            <w:rFonts w:ascii="Times New Roman" w:eastAsia="Times New Roman" w:hAnsi="Times New Roman" w:cs="Times New Roman"/>
            <w:color w:val="000000"/>
            <w:sz w:val="24"/>
            <w:szCs w:val="24"/>
            <w:shd w:val="clear" w:color="auto" w:fill="FFFFFF"/>
          </w:rPr>
          <w:id w:val="611292"/>
          <w:citation/>
        </w:sdtPr>
        <w:sdtEndPr/>
        <w:sdtContent>
          <w:r w:rsidR="00C31EB1">
            <w:rPr>
              <w:rFonts w:ascii="Times New Roman" w:eastAsia="Times New Roman" w:hAnsi="Times New Roman" w:cs="Times New Roman"/>
              <w:color w:val="000000"/>
              <w:sz w:val="24"/>
              <w:szCs w:val="24"/>
              <w:shd w:val="clear" w:color="auto" w:fill="FFFFFF"/>
            </w:rPr>
            <w:fldChar w:fldCharType="begin"/>
          </w:r>
          <w:r>
            <w:rPr>
              <w:rFonts w:ascii="Times New Roman" w:eastAsia="Times New Roman" w:hAnsi="Times New Roman" w:cs="Times New Roman"/>
              <w:color w:val="000000"/>
              <w:sz w:val="24"/>
              <w:szCs w:val="24"/>
              <w:shd w:val="clear" w:color="auto" w:fill="FFFFFF"/>
            </w:rPr>
            <w:instrText xml:space="preserve"> CITATION App16 \l 1033 </w:instrText>
          </w:r>
          <w:r w:rsidR="00C31EB1">
            <w:rPr>
              <w:rFonts w:ascii="Times New Roman" w:eastAsia="Times New Roman" w:hAnsi="Times New Roman" w:cs="Times New Roman"/>
              <w:color w:val="000000"/>
              <w:sz w:val="24"/>
              <w:szCs w:val="24"/>
              <w:shd w:val="clear" w:color="auto" w:fill="FFFFFF"/>
            </w:rPr>
            <w:fldChar w:fldCharType="separate"/>
          </w:r>
          <w:r w:rsidRPr="00EB0730">
            <w:rPr>
              <w:rFonts w:ascii="Times New Roman" w:eastAsia="Times New Roman" w:hAnsi="Times New Roman" w:cs="Times New Roman"/>
              <w:noProof/>
              <w:color w:val="000000"/>
              <w:sz w:val="24"/>
              <w:szCs w:val="24"/>
              <w:shd w:val="clear" w:color="auto" w:fill="FFFFFF"/>
            </w:rPr>
            <w:t>(Appex Food Limited, 2014-2016)</w:t>
          </w:r>
          <w:r w:rsidR="00C31EB1">
            <w:rPr>
              <w:rFonts w:ascii="Times New Roman" w:eastAsia="Times New Roman" w:hAnsi="Times New Roman" w:cs="Times New Roman"/>
              <w:color w:val="000000"/>
              <w:sz w:val="24"/>
              <w:szCs w:val="24"/>
              <w:shd w:val="clear" w:color="auto" w:fill="FFFFFF"/>
            </w:rPr>
            <w:fldChar w:fldCharType="end"/>
          </w:r>
        </w:sdtContent>
      </w:sdt>
    </w:p>
    <w:p w:rsidR="00B37540" w:rsidRPr="00B37540" w:rsidRDefault="00B37540" w:rsidP="00B37540"/>
    <w:p w:rsidR="00034BF9" w:rsidRPr="0009451F" w:rsidRDefault="00034BF9" w:rsidP="00B823E5">
      <w:pPr>
        <w:pStyle w:val="Heading3"/>
        <w:rPr>
          <w:rFonts w:eastAsia="Times New Roman"/>
        </w:rPr>
      </w:pPr>
      <w:bookmarkStart w:id="31" w:name="_Toc18627814"/>
      <w:r w:rsidRPr="004D1ECD">
        <w:rPr>
          <w:rFonts w:eastAsia="Times New Roman"/>
        </w:rPr>
        <w:t xml:space="preserve">Analysis of Cash </w:t>
      </w:r>
      <w:r w:rsidRPr="005B7EC9">
        <w:t>Conversion</w:t>
      </w:r>
      <w:r w:rsidRPr="004D1ECD">
        <w:rPr>
          <w:rFonts w:eastAsia="Times New Roman"/>
        </w:rPr>
        <w:t xml:space="preserve"> Cycle</w:t>
      </w:r>
      <w:bookmarkEnd w:id="31"/>
    </w:p>
    <w:p w:rsidR="00A43221" w:rsidRPr="003F1D4F" w:rsidRDefault="00A43221" w:rsidP="00A43221">
      <w:pPr>
        <w:spacing w:line="276" w:lineRule="auto"/>
        <w:jc w:val="both"/>
        <w:rPr>
          <w:rFonts w:ascii="Times New Roman" w:hAnsi="Times New Roman" w:cs="Times New Roman"/>
          <w:sz w:val="24"/>
          <w:szCs w:val="24"/>
        </w:rPr>
      </w:pPr>
      <w:r w:rsidRPr="003F1D4F">
        <w:rPr>
          <w:rFonts w:ascii="Times New Roman" w:hAnsi="Times New Roman" w:cs="Times New Roman"/>
          <w:sz w:val="24"/>
          <w:szCs w:val="24"/>
        </w:rPr>
        <w:t>The cash conversion cycle is a cash flow calculation that measure the time it takes a company to companies invest and inventory and resources inputs to cash. Cash conversion cycle gives a total view for effective working capital.</w:t>
      </w:r>
    </w:p>
    <w:p w:rsidR="00A43221" w:rsidRDefault="00A43221" w:rsidP="00A43221">
      <w:pPr>
        <w:tabs>
          <w:tab w:val="left" w:pos="6168"/>
        </w:tabs>
        <w:spacing w:after="0" w:line="276" w:lineRule="auto"/>
        <w:jc w:val="both"/>
        <w:rPr>
          <w:rFonts w:ascii="Times New Roman" w:eastAsia="Times New Roman" w:hAnsi="Times New Roman" w:cs="Times New Roman"/>
          <w:bCs/>
          <w:color w:val="000000"/>
          <w:sz w:val="24"/>
          <w:szCs w:val="24"/>
          <w:bdr w:val="none" w:sz="0" w:space="0" w:color="auto" w:frame="1"/>
          <w:shd w:val="clear" w:color="auto" w:fill="FFFFFF"/>
        </w:rPr>
      </w:pPr>
      <w:r w:rsidRPr="004D1ECD">
        <w:rPr>
          <w:rFonts w:ascii="Times New Roman" w:eastAsia="Times New Roman" w:hAnsi="Times New Roman" w:cs="Times New Roman"/>
          <w:noProof/>
          <w:color w:val="000000"/>
          <w:sz w:val="24"/>
          <w:szCs w:val="24"/>
        </w:rPr>
        <w:t>Cash Conversion Cyle (CCC)</w:t>
      </w:r>
      <w:r w:rsidRPr="004D1ECD">
        <w:rPr>
          <w:rFonts w:ascii="Times New Roman" w:eastAsia="Times New Roman" w:hAnsi="Times New Roman" w:cs="Times New Roman"/>
          <w:b/>
          <w:noProof/>
          <w:color w:val="000000"/>
          <w:sz w:val="24"/>
          <w:szCs w:val="24"/>
        </w:rPr>
        <w:t xml:space="preserve">= </w:t>
      </w:r>
      <w:r w:rsidRPr="004D1ECD">
        <w:rPr>
          <w:rFonts w:ascii="Times New Roman" w:eastAsia="Times New Roman" w:hAnsi="Times New Roman" w:cs="Times New Roman"/>
          <w:bCs/>
          <w:color w:val="000000"/>
          <w:sz w:val="24"/>
          <w:szCs w:val="24"/>
          <w:bdr w:val="none" w:sz="0" w:space="0" w:color="auto" w:frame="1"/>
          <w:shd w:val="clear" w:color="auto" w:fill="FFFFFF"/>
        </w:rPr>
        <w:t>DSO + DIO – DPO</w:t>
      </w:r>
    </w:p>
    <w:p w:rsidR="00A43221" w:rsidRDefault="00A43221" w:rsidP="00A43221">
      <w:pPr>
        <w:tabs>
          <w:tab w:val="left" w:pos="6168"/>
        </w:tabs>
        <w:spacing w:after="0" w:line="276" w:lineRule="auto"/>
        <w:jc w:val="both"/>
        <w:rPr>
          <w:rFonts w:ascii="Times New Roman" w:eastAsia="Times New Roman" w:hAnsi="Times New Roman" w:cs="Times New Roman"/>
          <w:bCs/>
          <w:color w:val="000000"/>
          <w:sz w:val="24"/>
          <w:szCs w:val="24"/>
          <w:bdr w:val="none" w:sz="0" w:space="0" w:color="auto" w:frame="1"/>
          <w:shd w:val="clear" w:color="auto" w:fill="FFFFFF"/>
        </w:rPr>
      </w:pPr>
    </w:p>
    <w:p w:rsidR="00A43221" w:rsidRDefault="00A43221" w:rsidP="00A43221">
      <w:pPr>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In </w:t>
      </w:r>
      <w:r w:rsidRPr="004D1ECD">
        <w:rPr>
          <w:rFonts w:ascii="Times New Roman" w:eastAsia="Times New Roman" w:hAnsi="Times New Roman" w:cs="Times New Roman"/>
          <w:color w:val="000000"/>
          <w:sz w:val="24"/>
          <w:szCs w:val="24"/>
          <w:shd w:val="clear" w:color="auto" w:fill="FFFFFF"/>
        </w:rPr>
        <w:t xml:space="preserve">cash flow calculations, shorter </w:t>
      </w:r>
      <w:r>
        <w:rPr>
          <w:rFonts w:ascii="Times New Roman" w:eastAsia="Times New Roman" w:hAnsi="Times New Roman" w:cs="Times New Roman"/>
          <w:color w:val="000000"/>
          <w:sz w:val="24"/>
          <w:szCs w:val="24"/>
          <w:shd w:val="clear" w:color="auto" w:fill="FFFFFF"/>
        </w:rPr>
        <w:t>value</w:t>
      </w:r>
      <w:r w:rsidRPr="004D1ECD">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is</w:t>
      </w:r>
      <w:r w:rsidRPr="004D1ECD">
        <w:rPr>
          <w:rFonts w:ascii="Times New Roman" w:eastAsia="Times New Roman" w:hAnsi="Times New Roman" w:cs="Times New Roman"/>
          <w:color w:val="000000"/>
          <w:sz w:val="24"/>
          <w:szCs w:val="24"/>
          <w:shd w:val="clear" w:color="auto" w:fill="FFFFFF"/>
        </w:rPr>
        <w:t xml:space="preserve"> almost good</w:t>
      </w:r>
      <w:r>
        <w:rPr>
          <w:rFonts w:ascii="Times New Roman" w:eastAsia="Times New Roman" w:hAnsi="Times New Roman" w:cs="Times New Roman"/>
          <w:color w:val="000000"/>
          <w:sz w:val="24"/>
          <w:szCs w:val="24"/>
          <w:shd w:val="clear" w:color="auto" w:fill="FFFFFF"/>
        </w:rPr>
        <w:t xml:space="preserve"> </w:t>
      </w:r>
      <w:r w:rsidRPr="004D1ECD">
        <w:rPr>
          <w:rFonts w:ascii="Times New Roman" w:eastAsia="Times New Roman" w:hAnsi="Times New Roman" w:cs="Times New Roman"/>
          <w:color w:val="000000"/>
          <w:sz w:val="24"/>
          <w:szCs w:val="24"/>
          <w:shd w:val="clear" w:color="auto" w:fill="FFFFFF"/>
        </w:rPr>
        <w:t xml:space="preserve">always. A </w:t>
      </w:r>
      <w:r>
        <w:rPr>
          <w:rFonts w:ascii="Times New Roman" w:eastAsia="Times New Roman" w:hAnsi="Times New Roman" w:cs="Times New Roman"/>
          <w:color w:val="000000"/>
          <w:sz w:val="24"/>
          <w:szCs w:val="24"/>
          <w:shd w:val="clear" w:color="auto" w:fill="FFFFFF"/>
        </w:rPr>
        <w:t>low</w:t>
      </w:r>
      <w:r w:rsidRPr="004D1ECD">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cash conversion cycle</w:t>
      </w:r>
      <w:r w:rsidRPr="004D1ECD">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describes</w:t>
      </w:r>
      <w:r w:rsidRPr="004D1ECD">
        <w:rPr>
          <w:rFonts w:ascii="Times New Roman" w:eastAsia="Times New Roman" w:hAnsi="Times New Roman" w:cs="Times New Roman"/>
          <w:color w:val="000000"/>
          <w:sz w:val="24"/>
          <w:szCs w:val="24"/>
          <w:shd w:val="clear" w:color="auto" w:fill="FFFFFF"/>
        </w:rPr>
        <w:t xml:space="preserve"> that company’s money is </w:t>
      </w:r>
      <w:r>
        <w:rPr>
          <w:rFonts w:ascii="Times New Roman" w:eastAsia="Times New Roman" w:hAnsi="Times New Roman" w:cs="Times New Roman"/>
          <w:color w:val="000000"/>
          <w:sz w:val="24"/>
          <w:szCs w:val="24"/>
          <w:shd w:val="clear" w:color="auto" w:fill="FFFFFF"/>
        </w:rPr>
        <w:t>active</w:t>
      </w:r>
      <w:r w:rsidRPr="004D1ECD">
        <w:rPr>
          <w:rFonts w:ascii="Times New Roman" w:eastAsia="Times New Roman" w:hAnsi="Times New Roman" w:cs="Times New Roman"/>
          <w:color w:val="000000"/>
          <w:sz w:val="24"/>
          <w:szCs w:val="24"/>
          <w:shd w:val="clear" w:color="auto" w:fill="FFFFFF"/>
        </w:rPr>
        <w:t xml:space="preserve"> in inventory </w:t>
      </w:r>
      <w:r>
        <w:rPr>
          <w:rFonts w:ascii="Times New Roman" w:eastAsia="Times New Roman" w:hAnsi="Times New Roman" w:cs="Times New Roman"/>
          <w:color w:val="000000"/>
          <w:sz w:val="24"/>
          <w:szCs w:val="24"/>
          <w:shd w:val="clear" w:color="auto" w:fill="FFFFFF"/>
        </w:rPr>
        <w:t>for smaller time.</w:t>
      </w:r>
    </w:p>
    <w:p w:rsidR="00034BF9" w:rsidRDefault="00034BF9" w:rsidP="001A0D6A">
      <w:pPr>
        <w:tabs>
          <w:tab w:val="left" w:pos="6168"/>
        </w:tabs>
        <w:spacing w:after="0" w:line="276" w:lineRule="auto"/>
        <w:jc w:val="both"/>
        <w:rPr>
          <w:rFonts w:ascii="Times New Roman" w:eastAsia="Times New Roman" w:hAnsi="Times New Roman" w:cs="Times New Roman"/>
          <w:noProof/>
          <w:color w:val="000000"/>
          <w:sz w:val="24"/>
          <w:szCs w:val="24"/>
        </w:rPr>
      </w:pPr>
      <w:r w:rsidRPr="004D1ECD">
        <w:rPr>
          <w:rFonts w:ascii="Times New Roman" w:eastAsia="Times New Roman" w:hAnsi="Times New Roman" w:cs="Times New Roman"/>
          <w:color w:val="000000"/>
          <w:sz w:val="24"/>
          <w:szCs w:val="24"/>
          <w:shd w:val="clear" w:color="auto" w:fill="FFFFFF"/>
        </w:rPr>
        <w:t xml:space="preserve">In </w:t>
      </w:r>
      <w:r w:rsidR="00805DD5">
        <w:rPr>
          <w:rFonts w:ascii="Times New Roman" w:eastAsia="Times New Roman" w:hAnsi="Times New Roman" w:cs="Times New Roman"/>
          <w:color w:val="000000"/>
          <w:sz w:val="24"/>
          <w:szCs w:val="24"/>
          <w:shd w:val="clear" w:color="auto" w:fill="FFFFFF"/>
        </w:rPr>
        <w:t>Appex</w:t>
      </w:r>
      <w:r w:rsidR="001A0D6A">
        <w:rPr>
          <w:rFonts w:ascii="Times New Roman" w:eastAsia="Times New Roman" w:hAnsi="Times New Roman" w:cs="Times New Roman"/>
          <w:color w:val="000000"/>
          <w:sz w:val="24"/>
          <w:szCs w:val="24"/>
          <w:shd w:val="clear" w:color="auto" w:fill="FFFFFF"/>
        </w:rPr>
        <w:t xml:space="preserve"> food</w:t>
      </w:r>
      <w:r w:rsidRPr="004D1ECD">
        <w:rPr>
          <w:rFonts w:ascii="Times New Roman" w:eastAsia="Times New Roman" w:hAnsi="Times New Roman" w:cs="Times New Roman"/>
          <w:noProof/>
          <w:color w:val="000000"/>
          <w:sz w:val="24"/>
          <w:szCs w:val="24"/>
        </w:rPr>
        <w:t xml:space="preserve"> Limited, the Cash Convertion Cycle (CCC) is </w:t>
      </w:r>
      <w:r>
        <w:rPr>
          <w:rFonts w:ascii="Times New Roman" w:eastAsia="Times New Roman" w:hAnsi="Times New Roman" w:cs="Times New Roman"/>
          <w:noProof/>
          <w:color w:val="000000"/>
          <w:sz w:val="24"/>
          <w:szCs w:val="24"/>
        </w:rPr>
        <w:t xml:space="preserve">131,79 days for consecutively for year of 2016 and 2014.So, </w:t>
      </w:r>
      <w:r w:rsidRPr="004D1ECD">
        <w:rPr>
          <w:rFonts w:ascii="Times New Roman" w:eastAsia="Times New Roman" w:hAnsi="Times New Roman" w:cs="Times New Roman"/>
          <w:noProof/>
          <w:color w:val="000000"/>
          <w:sz w:val="24"/>
          <w:szCs w:val="24"/>
        </w:rPr>
        <w:t>that is n</w:t>
      </w:r>
      <w:r>
        <w:rPr>
          <w:rFonts w:ascii="Times New Roman" w:eastAsia="Times New Roman" w:hAnsi="Times New Roman" w:cs="Times New Roman"/>
          <w:noProof/>
          <w:color w:val="000000"/>
          <w:sz w:val="24"/>
          <w:szCs w:val="24"/>
        </w:rPr>
        <w:t>ot satisfactory for the company for 2016.</w:t>
      </w:r>
    </w:p>
    <w:p w:rsidR="00034BF9" w:rsidRDefault="00034BF9" w:rsidP="00034BF9">
      <w:pPr>
        <w:tabs>
          <w:tab w:val="left" w:pos="6168"/>
        </w:tabs>
        <w:spacing w:after="0" w:line="276" w:lineRule="auto"/>
        <w:jc w:val="both"/>
        <w:rPr>
          <w:rFonts w:ascii="Times New Roman" w:eastAsia="Times New Roman" w:hAnsi="Times New Roman" w:cs="Times New Roman"/>
          <w:noProof/>
          <w:color w:val="000000"/>
          <w:sz w:val="24"/>
          <w:szCs w:val="24"/>
        </w:rPr>
      </w:pPr>
    </w:p>
    <w:p w:rsidR="005B7EC9" w:rsidRDefault="005B7EC9" w:rsidP="00034BF9">
      <w:pPr>
        <w:tabs>
          <w:tab w:val="left" w:pos="6168"/>
        </w:tabs>
        <w:spacing w:after="0" w:line="276" w:lineRule="auto"/>
        <w:jc w:val="both"/>
        <w:rPr>
          <w:rFonts w:ascii="Times New Roman" w:eastAsia="Times New Roman" w:hAnsi="Times New Roman" w:cs="Times New Roman"/>
          <w:noProof/>
          <w:color w:val="000000"/>
          <w:sz w:val="24"/>
          <w:szCs w:val="24"/>
        </w:rPr>
      </w:pPr>
    </w:p>
    <w:p w:rsidR="00034BF9" w:rsidRPr="00D0708E" w:rsidRDefault="00034BF9" w:rsidP="00034BF9">
      <w:pPr>
        <w:rPr>
          <w:rFonts w:ascii="Times New Roman" w:hAnsi="Times New Roman" w:cs="Times New Roman"/>
        </w:rPr>
      </w:pPr>
    </w:p>
    <w:p w:rsidR="007464DC" w:rsidRDefault="007464DC" w:rsidP="00034BF9">
      <w:pPr>
        <w:pStyle w:val="Heading2"/>
        <w:rPr>
          <w:sz w:val="40"/>
          <w:szCs w:val="40"/>
        </w:rPr>
      </w:pPr>
    </w:p>
    <w:p w:rsidR="007464DC" w:rsidRDefault="007464DC" w:rsidP="00034BF9">
      <w:pPr>
        <w:pStyle w:val="Heading2"/>
        <w:rPr>
          <w:sz w:val="40"/>
          <w:szCs w:val="40"/>
        </w:rPr>
      </w:pPr>
    </w:p>
    <w:p w:rsidR="007464DC" w:rsidRDefault="007464DC" w:rsidP="00034BF9">
      <w:pPr>
        <w:pStyle w:val="Heading2"/>
        <w:rPr>
          <w:sz w:val="40"/>
          <w:szCs w:val="40"/>
        </w:rPr>
      </w:pPr>
    </w:p>
    <w:p w:rsidR="005B7EC9" w:rsidRDefault="007C3D49" w:rsidP="00B823E5">
      <w:pPr>
        <w:pStyle w:val="Heading3"/>
      </w:pPr>
      <w:bookmarkStart w:id="32" w:name="_Toc18627815"/>
      <w:r>
        <w:t>Ratio Analy</w:t>
      </w:r>
      <w:r w:rsidR="005B7EC9" w:rsidRPr="007C3D49">
        <w:t>sis</w:t>
      </w:r>
      <w:bookmarkEnd w:id="32"/>
    </w:p>
    <w:p w:rsidR="007C3D49" w:rsidRPr="007C3D49" w:rsidRDefault="007C3D49" w:rsidP="007C3D49"/>
    <w:p w:rsidR="00034BF9" w:rsidRPr="007C3D49" w:rsidRDefault="00034BF9" w:rsidP="003711B0">
      <w:pPr>
        <w:pStyle w:val="NoSpacing"/>
      </w:pPr>
      <w:r w:rsidRPr="007C3D49">
        <w:t>Working Capital Turnover Ratio</w:t>
      </w:r>
    </w:p>
    <w:tbl>
      <w:tblPr>
        <w:tblStyle w:val="TableGrid"/>
        <w:tblW w:w="0" w:type="auto"/>
        <w:tblLook w:val="04A0" w:firstRow="1" w:lastRow="0" w:firstColumn="1" w:lastColumn="0" w:noHBand="0" w:noVBand="1"/>
      </w:tblPr>
      <w:tblGrid>
        <w:gridCol w:w="3192"/>
        <w:gridCol w:w="3192"/>
        <w:gridCol w:w="3192"/>
      </w:tblGrid>
      <w:tr w:rsidR="00034BF9" w:rsidTr="005A2715">
        <w:tc>
          <w:tcPr>
            <w:tcW w:w="3192" w:type="dxa"/>
          </w:tcPr>
          <w:p w:rsidR="00034BF9" w:rsidRDefault="00034BF9" w:rsidP="005A2715">
            <w:pPr>
              <w:jc w:val="center"/>
              <w:rPr>
                <w:rFonts w:ascii="Times New Roman" w:hAnsi="Times New Roman" w:cs="Times New Roman"/>
              </w:rPr>
            </w:pPr>
            <w:r>
              <w:rPr>
                <w:rFonts w:ascii="Times New Roman" w:hAnsi="Times New Roman" w:cs="Times New Roman"/>
                <w:noProof/>
              </w:rPr>
              <w:t>2016</w:t>
            </w:r>
          </w:p>
        </w:tc>
        <w:tc>
          <w:tcPr>
            <w:tcW w:w="3192" w:type="dxa"/>
          </w:tcPr>
          <w:p w:rsidR="00034BF9" w:rsidRDefault="00034BF9" w:rsidP="005A2715">
            <w:pPr>
              <w:jc w:val="center"/>
              <w:rPr>
                <w:rFonts w:ascii="Times New Roman" w:hAnsi="Times New Roman" w:cs="Times New Roman"/>
              </w:rPr>
            </w:pPr>
            <w:r>
              <w:rPr>
                <w:rFonts w:ascii="Times New Roman" w:hAnsi="Times New Roman" w:cs="Times New Roman"/>
              </w:rPr>
              <w:t>2015</w:t>
            </w:r>
          </w:p>
        </w:tc>
        <w:tc>
          <w:tcPr>
            <w:tcW w:w="3192" w:type="dxa"/>
          </w:tcPr>
          <w:p w:rsidR="00034BF9" w:rsidRDefault="00034BF9" w:rsidP="005A2715">
            <w:pPr>
              <w:jc w:val="center"/>
              <w:rPr>
                <w:rFonts w:ascii="Times New Roman" w:hAnsi="Times New Roman" w:cs="Times New Roman"/>
              </w:rPr>
            </w:pPr>
            <w:r>
              <w:rPr>
                <w:rFonts w:ascii="Times New Roman" w:hAnsi="Times New Roman" w:cs="Times New Roman"/>
              </w:rPr>
              <w:t>2014</w:t>
            </w:r>
          </w:p>
        </w:tc>
      </w:tr>
      <w:tr w:rsidR="00034BF9" w:rsidTr="005A2715">
        <w:tc>
          <w:tcPr>
            <w:tcW w:w="3192" w:type="dxa"/>
            <w:vAlign w:val="bottom"/>
          </w:tcPr>
          <w:p w:rsidR="00034BF9" w:rsidRDefault="00413572" w:rsidP="005A2715">
            <w:pPr>
              <w:jc w:val="center"/>
              <w:rPr>
                <w:rFonts w:ascii="Calibri" w:hAnsi="Calibri" w:cs="Calibri"/>
                <w:color w:val="000000"/>
              </w:rPr>
            </w:pPr>
            <w:r>
              <w:rPr>
                <w:rFonts w:ascii="Calibri" w:hAnsi="Calibri" w:cs="Calibri"/>
                <w:color w:val="000000"/>
              </w:rPr>
              <w:t>7</w:t>
            </w:r>
          </w:p>
        </w:tc>
        <w:tc>
          <w:tcPr>
            <w:tcW w:w="3192" w:type="dxa"/>
            <w:vAlign w:val="bottom"/>
          </w:tcPr>
          <w:p w:rsidR="00034BF9" w:rsidRDefault="00413572" w:rsidP="005A2715">
            <w:pPr>
              <w:jc w:val="center"/>
              <w:rPr>
                <w:rFonts w:ascii="Calibri" w:hAnsi="Calibri" w:cs="Calibri"/>
                <w:color w:val="000000"/>
              </w:rPr>
            </w:pPr>
            <w:r>
              <w:rPr>
                <w:rFonts w:ascii="Calibri" w:hAnsi="Calibri" w:cs="Calibri"/>
                <w:color w:val="000000"/>
              </w:rPr>
              <w:t>7.98</w:t>
            </w:r>
          </w:p>
        </w:tc>
        <w:tc>
          <w:tcPr>
            <w:tcW w:w="3192" w:type="dxa"/>
            <w:vAlign w:val="bottom"/>
          </w:tcPr>
          <w:p w:rsidR="00034BF9" w:rsidRDefault="00413572" w:rsidP="005A2715">
            <w:pPr>
              <w:jc w:val="center"/>
              <w:rPr>
                <w:rFonts w:ascii="Calibri" w:hAnsi="Calibri" w:cs="Calibri"/>
                <w:color w:val="000000"/>
              </w:rPr>
            </w:pPr>
            <w:r>
              <w:rPr>
                <w:rFonts w:ascii="Calibri" w:hAnsi="Calibri" w:cs="Calibri"/>
                <w:color w:val="000000"/>
              </w:rPr>
              <w:t>13.76</w:t>
            </w:r>
          </w:p>
        </w:tc>
      </w:tr>
    </w:tbl>
    <w:p w:rsidR="00034BF9" w:rsidRDefault="00034BF9" w:rsidP="00034BF9"/>
    <w:p w:rsidR="00034BF9" w:rsidRDefault="00034BF9" w:rsidP="00034BF9">
      <w:r w:rsidRPr="002016C3">
        <w:rPr>
          <w:noProof/>
        </w:rPr>
        <w:drawing>
          <wp:inline distT="0" distB="0" distL="0" distR="0">
            <wp:extent cx="2609850" cy="1543050"/>
            <wp:effectExtent l="19050" t="0" r="19050" b="0"/>
            <wp:docPr id="7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A43221" w:rsidRDefault="00A43221" w:rsidP="00A43221">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turnover ratio measures the efficiency to use company’s working capital supporting a certain level of sales. It finds the relationship between funds using in finance and in operation in company.</w:t>
      </w:r>
    </w:p>
    <w:p w:rsidR="00034BF9" w:rsidRDefault="00034BF9" w:rsidP="00034BF9">
      <w:pPr>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ACI food limited</w:t>
      </w:r>
      <w:r w:rsidRPr="004D1ECD">
        <w:rPr>
          <w:rFonts w:ascii="Times New Roman" w:eastAsia="Times New Roman" w:hAnsi="Times New Roman" w:cs="Times New Roman"/>
          <w:color w:val="000000"/>
          <w:sz w:val="24"/>
          <w:szCs w:val="24"/>
        </w:rPr>
        <w:t xml:space="preserve"> Workin</w:t>
      </w:r>
      <w:r>
        <w:rPr>
          <w:rFonts w:ascii="Times New Roman" w:eastAsia="Times New Roman" w:hAnsi="Times New Roman" w:cs="Times New Roman"/>
          <w:color w:val="000000"/>
          <w:sz w:val="24"/>
          <w:szCs w:val="24"/>
        </w:rPr>
        <w:t>g capital turnover ratio in 2016</w:t>
      </w:r>
      <w:r w:rsidRPr="004D1ECD">
        <w:rPr>
          <w:rFonts w:ascii="Times New Roman" w:eastAsia="Times New Roman" w:hAnsi="Times New Roman" w:cs="Times New Roman"/>
          <w:color w:val="000000"/>
          <w:sz w:val="24"/>
          <w:szCs w:val="24"/>
        </w:rPr>
        <w:t xml:space="preserve"> is </w:t>
      </w:r>
      <w:r w:rsidR="00413572">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 xml:space="preserve"> and in 2015</w:t>
      </w:r>
      <w:r w:rsidRPr="004D1ECD">
        <w:rPr>
          <w:rFonts w:ascii="Times New Roman" w:eastAsia="Times New Roman" w:hAnsi="Times New Roman" w:cs="Times New Roman"/>
          <w:color w:val="000000"/>
          <w:sz w:val="24"/>
          <w:szCs w:val="24"/>
        </w:rPr>
        <w:t>is</w:t>
      </w:r>
      <w:r w:rsidR="00413572">
        <w:rPr>
          <w:rFonts w:ascii="Times New Roman" w:eastAsia="Times New Roman" w:hAnsi="Times New Roman" w:cs="Times New Roman"/>
          <w:color w:val="000000"/>
          <w:sz w:val="24"/>
          <w:szCs w:val="24"/>
        </w:rPr>
        <w:t>7.98</w:t>
      </w:r>
      <w:r>
        <w:rPr>
          <w:rFonts w:ascii="Times New Roman" w:eastAsia="Times New Roman" w:hAnsi="Times New Roman" w:cs="Times New Roman"/>
          <w:color w:val="000000"/>
          <w:sz w:val="24"/>
          <w:szCs w:val="24"/>
        </w:rPr>
        <w:t xml:space="preserve"> and in 2014 is </w:t>
      </w:r>
      <w:r w:rsidR="00413572">
        <w:rPr>
          <w:rFonts w:ascii="Times New Roman" w:eastAsia="Times New Roman" w:hAnsi="Times New Roman" w:cs="Times New Roman"/>
          <w:color w:val="000000"/>
          <w:sz w:val="24"/>
          <w:szCs w:val="24"/>
        </w:rPr>
        <w:t>13.76</w:t>
      </w:r>
      <w:r>
        <w:rPr>
          <w:rFonts w:ascii="Times New Roman" w:eastAsia="Times New Roman" w:hAnsi="Times New Roman" w:cs="Times New Roman"/>
          <w:color w:val="000000"/>
          <w:sz w:val="24"/>
          <w:szCs w:val="24"/>
        </w:rPr>
        <w:t xml:space="preserve">. </w:t>
      </w:r>
      <w:r w:rsidRPr="004D1ECD">
        <w:rPr>
          <w:rFonts w:ascii="Times New Roman" w:eastAsia="Times New Roman" w:hAnsi="Times New Roman" w:cs="Times New Roman"/>
          <w:color w:val="000000"/>
          <w:sz w:val="24"/>
          <w:szCs w:val="24"/>
        </w:rPr>
        <w:t xml:space="preserve">Company has a high turnover ratio in </w:t>
      </w:r>
      <w:r w:rsidR="00413572">
        <w:rPr>
          <w:rFonts w:ascii="Times New Roman" w:eastAsia="Times New Roman" w:hAnsi="Times New Roman" w:cs="Times New Roman"/>
          <w:color w:val="000000"/>
          <w:sz w:val="24"/>
          <w:szCs w:val="24"/>
        </w:rPr>
        <w:t xml:space="preserve">these years </w:t>
      </w:r>
      <w:r w:rsidRPr="004D1ECD">
        <w:rPr>
          <w:rFonts w:ascii="Times New Roman" w:eastAsia="Times New Roman" w:hAnsi="Times New Roman" w:cs="Times New Roman"/>
          <w:color w:val="000000"/>
          <w:sz w:val="24"/>
          <w:szCs w:val="24"/>
        </w:rPr>
        <w:t>that means company manages its short-term assets and liabilities for supporting sales very efficiently.</w:t>
      </w:r>
    </w:p>
    <w:p w:rsidR="00034BF9" w:rsidRPr="00A15E21" w:rsidRDefault="00034BF9" w:rsidP="003711B0">
      <w:pPr>
        <w:pStyle w:val="NoSpacing"/>
      </w:pPr>
      <w:r w:rsidRPr="00A15E21">
        <w:t>Current asset turnover ratio</w:t>
      </w:r>
    </w:p>
    <w:tbl>
      <w:tblPr>
        <w:tblStyle w:val="TableGrid"/>
        <w:tblW w:w="0" w:type="auto"/>
        <w:tblLook w:val="04A0" w:firstRow="1" w:lastRow="0" w:firstColumn="1" w:lastColumn="0" w:noHBand="0" w:noVBand="1"/>
      </w:tblPr>
      <w:tblGrid>
        <w:gridCol w:w="3192"/>
        <w:gridCol w:w="3192"/>
        <w:gridCol w:w="3192"/>
      </w:tblGrid>
      <w:tr w:rsidR="00034BF9" w:rsidTr="005A2715">
        <w:tc>
          <w:tcPr>
            <w:tcW w:w="3192" w:type="dxa"/>
          </w:tcPr>
          <w:p w:rsidR="00034BF9" w:rsidRDefault="00034BF9" w:rsidP="005A2715">
            <w:pPr>
              <w:jc w:val="center"/>
              <w:rPr>
                <w:rFonts w:ascii="Times New Roman" w:hAnsi="Times New Roman" w:cs="Times New Roman"/>
              </w:rPr>
            </w:pPr>
            <w:r>
              <w:rPr>
                <w:rFonts w:ascii="Times New Roman" w:hAnsi="Times New Roman" w:cs="Times New Roman"/>
                <w:noProof/>
              </w:rPr>
              <w:t>2016</w:t>
            </w:r>
          </w:p>
        </w:tc>
        <w:tc>
          <w:tcPr>
            <w:tcW w:w="3192" w:type="dxa"/>
          </w:tcPr>
          <w:p w:rsidR="00034BF9" w:rsidRDefault="00034BF9" w:rsidP="005A2715">
            <w:pPr>
              <w:jc w:val="center"/>
              <w:rPr>
                <w:rFonts w:ascii="Times New Roman" w:hAnsi="Times New Roman" w:cs="Times New Roman"/>
              </w:rPr>
            </w:pPr>
            <w:r>
              <w:rPr>
                <w:rFonts w:ascii="Times New Roman" w:hAnsi="Times New Roman" w:cs="Times New Roman"/>
              </w:rPr>
              <w:t>2015</w:t>
            </w:r>
          </w:p>
        </w:tc>
        <w:tc>
          <w:tcPr>
            <w:tcW w:w="3192" w:type="dxa"/>
          </w:tcPr>
          <w:p w:rsidR="00034BF9" w:rsidRDefault="00034BF9" w:rsidP="005A2715">
            <w:pPr>
              <w:jc w:val="center"/>
              <w:rPr>
                <w:rFonts w:ascii="Times New Roman" w:hAnsi="Times New Roman" w:cs="Times New Roman"/>
              </w:rPr>
            </w:pPr>
            <w:r>
              <w:rPr>
                <w:rFonts w:ascii="Times New Roman" w:hAnsi="Times New Roman" w:cs="Times New Roman"/>
              </w:rPr>
              <w:t>2014</w:t>
            </w:r>
          </w:p>
        </w:tc>
      </w:tr>
      <w:tr w:rsidR="00034BF9" w:rsidTr="005A2715">
        <w:tc>
          <w:tcPr>
            <w:tcW w:w="3192" w:type="dxa"/>
            <w:vAlign w:val="bottom"/>
          </w:tcPr>
          <w:p w:rsidR="00034BF9" w:rsidRDefault="003503E2" w:rsidP="005A2715">
            <w:pPr>
              <w:jc w:val="center"/>
              <w:rPr>
                <w:rFonts w:ascii="Calibri" w:hAnsi="Calibri" w:cs="Calibri"/>
                <w:color w:val="000000"/>
              </w:rPr>
            </w:pPr>
            <w:r>
              <w:rPr>
                <w:rFonts w:ascii="Calibri" w:hAnsi="Calibri" w:cs="Calibri"/>
                <w:color w:val="000000"/>
              </w:rPr>
              <w:t>1.54</w:t>
            </w:r>
          </w:p>
        </w:tc>
        <w:tc>
          <w:tcPr>
            <w:tcW w:w="3192" w:type="dxa"/>
            <w:vAlign w:val="bottom"/>
          </w:tcPr>
          <w:p w:rsidR="00034BF9" w:rsidRDefault="003503E2" w:rsidP="005A2715">
            <w:pPr>
              <w:jc w:val="center"/>
              <w:rPr>
                <w:rFonts w:ascii="Calibri" w:hAnsi="Calibri" w:cs="Calibri"/>
                <w:color w:val="000000"/>
              </w:rPr>
            </w:pPr>
            <w:r>
              <w:rPr>
                <w:rFonts w:ascii="Calibri" w:hAnsi="Calibri" w:cs="Calibri"/>
                <w:color w:val="000000"/>
              </w:rPr>
              <w:t>1.74</w:t>
            </w:r>
          </w:p>
        </w:tc>
        <w:tc>
          <w:tcPr>
            <w:tcW w:w="3192" w:type="dxa"/>
            <w:vAlign w:val="bottom"/>
          </w:tcPr>
          <w:p w:rsidR="00034BF9" w:rsidRDefault="003503E2" w:rsidP="005A2715">
            <w:pPr>
              <w:jc w:val="center"/>
              <w:rPr>
                <w:rFonts w:ascii="Calibri" w:hAnsi="Calibri" w:cs="Calibri"/>
                <w:color w:val="000000"/>
              </w:rPr>
            </w:pPr>
            <w:r>
              <w:rPr>
                <w:rFonts w:ascii="Calibri" w:hAnsi="Calibri" w:cs="Calibri"/>
                <w:color w:val="000000"/>
              </w:rPr>
              <w:t>2.68</w:t>
            </w:r>
          </w:p>
        </w:tc>
      </w:tr>
    </w:tbl>
    <w:p w:rsidR="00034BF9" w:rsidRDefault="00034BF9" w:rsidP="00034BF9">
      <w:pPr>
        <w:rPr>
          <w:rFonts w:ascii="Times New Roman" w:hAnsi="Times New Roman" w:cs="Times New Roman"/>
        </w:rPr>
      </w:pPr>
    </w:p>
    <w:p w:rsidR="00034BF9" w:rsidRDefault="00034BF9" w:rsidP="00034BF9">
      <w:pPr>
        <w:rPr>
          <w:rFonts w:ascii="Times New Roman" w:hAnsi="Times New Roman" w:cs="Times New Roman"/>
        </w:rPr>
      </w:pPr>
      <w:r>
        <w:rPr>
          <w:rFonts w:ascii="Times New Roman" w:hAnsi="Times New Roman" w:cs="Times New Roman"/>
          <w:noProof/>
        </w:rPr>
        <w:lastRenderedPageBreak/>
        <w:drawing>
          <wp:inline distT="0" distB="0" distL="0" distR="0">
            <wp:extent cx="2867025" cy="1800225"/>
            <wp:effectExtent l="19050" t="0" r="9525" b="0"/>
            <wp:docPr id="7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034BF9" w:rsidRPr="00A43221" w:rsidRDefault="00A43221" w:rsidP="00A43221">
      <w:pPr>
        <w:jc w:val="both"/>
        <w:rPr>
          <w:rFonts w:ascii="Times New Roman" w:eastAsia="Times New Roman" w:hAnsi="Times New Roman" w:cs="Times New Roman"/>
          <w:b/>
          <w:color w:val="000000"/>
          <w:sz w:val="24"/>
          <w:szCs w:val="24"/>
          <w:shd w:val="clear" w:color="auto" w:fill="FFFFFF"/>
        </w:rPr>
      </w:pPr>
      <w:r>
        <w:rPr>
          <w:rFonts w:ascii="Times New Roman" w:eastAsia="Times New Roman" w:hAnsi="Times New Roman" w:cs="Times New Roman"/>
          <w:color w:val="000000"/>
          <w:sz w:val="24"/>
          <w:szCs w:val="24"/>
        </w:rPr>
        <w:t>Current asset turnover ratio</w:t>
      </w:r>
      <w:r w:rsidRPr="004D1EC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shows</w:t>
      </w:r>
      <w:r w:rsidRPr="004D1EC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the</w:t>
      </w:r>
      <w:r w:rsidRPr="004D1ECD">
        <w:rPr>
          <w:rFonts w:ascii="Times New Roman" w:eastAsia="Times New Roman" w:hAnsi="Times New Roman" w:cs="Times New Roman"/>
          <w:color w:val="000000"/>
          <w:sz w:val="24"/>
          <w:szCs w:val="24"/>
        </w:rPr>
        <w:t xml:space="preserve"> efficiently</w:t>
      </w:r>
      <w:r>
        <w:rPr>
          <w:rFonts w:ascii="Times New Roman" w:eastAsia="Times New Roman" w:hAnsi="Times New Roman" w:cs="Times New Roman"/>
          <w:color w:val="000000"/>
          <w:sz w:val="24"/>
          <w:szCs w:val="24"/>
        </w:rPr>
        <w:t xml:space="preserve"> of</w:t>
      </w:r>
      <w:r w:rsidRPr="004D1ECD">
        <w:rPr>
          <w:rFonts w:ascii="Times New Roman" w:eastAsia="Times New Roman" w:hAnsi="Times New Roman" w:cs="Times New Roman"/>
          <w:color w:val="000000"/>
          <w:sz w:val="24"/>
          <w:szCs w:val="24"/>
        </w:rPr>
        <w:t xml:space="preserve"> firm</w:t>
      </w:r>
      <w:r>
        <w:rPr>
          <w:rFonts w:ascii="Times New Roman" w:eastAsia="Times New Roman" w:hAnsi="Times New Roman" w:cs="Times New Roman"/>
          <w:color w:val="000000"/>
          <w:sz w:val="24"/>
          <w:szCs w:val="24"/>
        </w:rPr>
        <w:t xml:space="preserve"> how they are using its current asset for making revenue</w:t>
      </w:r>
      <w:r w:rsidR="00034BF9" w:rsidRPr="004D1ECD">
        <w:rPr>
          <w:rFonts w:ascii="Times New Roman" w:eastAsia="Times New Roman" w:hAnsi="Times New Roman" w:cs="Times New Roman"/>
          <w:color w:val="000000"/>
          <w:sz w:val="24"/>
          <w:szCs w:val="24"/>
        </w:rPr>
        <w:t>. This firm current asset turnover ratio in 201</w:t>
      </w:r>
      <w:r w:rsidR="00034BF9">
        <w:rPr>
          <w:rFonts w:ascii="Times New Roman" w:eastAsia="Times New Roman" w:hAnsi="Times New Roman" w:cs="Times New Roman"/>
          <w:color w:val="000000"/>
          <w:sz w:val="24"/>
          <w:szCs w:val="24"/>
        </w:rPr>
        <w:t>6</w:t>
      </w:r>
      <w:r w:rsidR="00034BF9" w:rsidRPr="004D1ECD">
        <w:rPr>
          <w:rFonts w:ascii="Times New Roman" w:eastAsia="Times New Roman" w:hAnsi="Times New Roman" w:cs="Times New Roman"/>
          <w:color w:val="000000"/>
          <w:sz w:val="24"/>
          <w:szCs w:val="24"/>
        </w:rPr>
        <w:t xml:space="preserve"> is </w:t>
      </w:r>
      <w:r w:rsidR="00034BF9">
        <w:rPr>
          <w:rFonts w:ascii="Times New Roman" w:eastAsia="Times New Roman" w:hAnsi="Times New Roman" w:cs="Times New Roman"/>
          <w:color w:val="000000"/>
          <w:sz w:val="24"/>
          <w:szCs w:val="24"/>
        </w:rPr>
        <w:t>1.</w:t>
      </w:r>
      <w:r w:rsidR="003503E2">
        <w:rPr>
          <w:rFonts w:ascii="Times New Roman" w:eastAsia="Times New Roman" w:hAnsi="Times New Roman" w:cs="Times New Roman"/>
          <w:color w:val="000000"/>
          <w:sz w:val="24"/>
          <w:szCs w:val="24"/>
        </w:rPr>
        <w:t>54</w:t>
      </w:r>
      <w:r w:rsidR="00034BF9">
        <w:rPr>
          <w:rFonts w:ascii="Times New Roman" w:eastAsia="Times New Roman" w:hAnsi="Times New Roman" w:cs="Times New Roman"/>
          <w:color w:val="000000"/>
          <w:sz w:val="24"/>
          <w:szCs w:val="24"/>
        </w:rPr>
        <w:t xml:space="preserve"> times, in 2015 is </w:t>
      </w:r>
      <w:r w:rsidR="003503E2">
        <w:rPr>
          <w:rFonts w:ascii="Times New Roman" w:eastAsia="Times New Roman" w:hAnsi="Times New Roman" w:cs="Times New Roman"/>
          <w:color w:val="000000"/>
          <w:sz w:val="24"/>
          <w:szCs w:val="24"/>
        </w:rPr>
        <w:t>1.74</w:t>
      </w:r>
      <w:r w:rsidR="00034BF9">
        <w:rPr>
          <w:rFonts w:ascii="Times New Roman" w:eastAsia="Times New Roman" w:hAnsi="Times New Roman" w:cs="Times New Roman"/>
          <w:color w:val="000000"/>
          <w:sz w:val="24"/>
          <w:szCs w:val="24"/>
        </w:rPr>
        <w:t xml:space="preserve"> and in 2014 is </w:t>
      </w:r>
      <w:r w:rsidR="003503E2">
        <w:rPr>
          <w:rFonts w:ascii="Times New Roman" w:eastAsia="Times New Roman" w:hAnsi="Times New Roman" w:cs="Times New Roman"/>
          <w:color w:val="000000"/>
          <w:sz w:val="24"/>
          <w:szCs w:val="24"/>
        </w:rPr>
        <w:t>2.68</w:t>
      </w:r>
      <w:r w:rsidR="00034BF9" w:rsidRPr="004D1ECD">
        <w:rPr>
          <w:rFonts w:ascii="Times New Roman" w:eastAsia="Times New Roman" w:hAnsi="Times New Roman" w:cs="Times New Roman"/>
          <w:color w:val="000000"/>
          <w:sz w:val="24"/>
          <w:szCs w:val="24"/>
        </w:rPr>
        <w:t xml:space="preserve"> Ratio is above than 1× indicates firm using its current asset efficiently in </w:t>
      </w:r>
      <w:r w:rsidR="00034BF9">
        <w:rPr>
          <w:rFonts w:ascii="Times New Roman" w:eastAsia="Times New Roman" w:hAnsi="Times New Roman" w:cs="Times New Roman"/>
          <w:color w:val="000000"/>
          <w:sz w:val="24"/>
          <w:szCs w:val="24"/>
        </w:rPr>
        <w:t xml:space="preserve">these years. So, they used current asset efficiently in </w:t>
      </w:r>
      <w:r w:rsidR="003503E2">
        <w:rPr>
          <w:rFonts w:ascii="Times New Roman" w:eastAsia="Times New Roman" w:hAnsi="Times New Roman" w:cs="Times New Roman"/>
          <w:color w:val="000000"/>
          <w:sz w:val="24"/>
          <w:szCs w:val="24"/>
        </w:rPr>
        <w:t>every year.</w:t>
      </w:r>
    </w:p>
    <w:p w:rsidR="00034BF9" w:rsidRPr="002F725F" w:rsidRDefault="00034BF9" w:rsidP="00034BF9">
      <w:pPr>
        <w:spacing w:after="200" w:line="276" w:lineRule="auto"/>
        <w:jc w:val="both"/>
        <w:rPr>
          <w:rFonts w:ascii="Times New Roman" w:eastAsia="Times New Roman" w:hAnsi="Times New Roman" w:cs="Times New Roman"/>
          <w:b/>
          <w:color w:val="000000"/>
          <w:sz w:val="24"/>
          <w:szCs w:val="24"/>
        </w:rPr>
      </w:pPr>
    </w:p>
    <w:p w:rsidR="00034BF9" w:rsidRPr="00A15E21" w:rsidRDefault="00034BF9" w:rsidP="003711B0">
      <w:pPr>
        <w:pStyle w:val="NoSpacing"/>
      </w:pPr>
      <w:r w:rsidRPr="00A15E21">
        <w:t>Inventory turnover Ratio</w:t>
      </w:r>
    </w:p>
    <w:tbl>
      <w:tblPr>
        <w:tblStyle w:val="TableGrid"/>
        <w:tblW w:w="0" w:type="auto"/>
        <w:tblLook w:val="04A0" w:firstRow="1" w:lastRow="0" w:firstColumn="1" w:lastColumn="0" w:noHBand="0" w:noVBand="1"/>
      </w:tblPr>
      <w:tblGrid>
        <w:gridCol w:w="3192"/>
        <w:gridCol w:w="3192"/>
        <w:gridCol w:w="3192"/>
      </w:tblGrid>
      <w:tr w:rsidR="00034BF9" w:rsidTr="005A2715">
        <w:tc>
          <w:tcPr>
            <w:tcW w:w="3192" w:type="dxa"/>
          </w:tcPr>
          <w:p w:rsidR="00034BF9" w:rsidRDefault="00034BF9" w:rsidP="005A2715">
            <w:pPr>
              <w:jc w:val="center"/>
              <w:rPr>
                <w:rFonts w:ascii="Times New Roman" w:hAnsi="Times New Roman" w:cs="Times New Roman"/>
              </w:rPr>
            </w:pPr>
            <w:r>
              <w:rPr>
                <w:rFonts w:ascii="Times New Roman" w:hAnsi="Times New Roman" w:cs="Times New Roman"/>
                <w:noProof/>
              </w:rPr>
              <w:t>2016</w:t>
            </w:r>
          </w:p>
        </w:tc>
        <w:tc>
          <w:tcPr>
            <w:tcW w:w="3192" w:type="dxa"/>
          </w:tcPr>
          <w:p w:rsidR="00034BF9" w:rsidRDefault="00034BF9" w:rsidP="005A2715">
            <w:pPr>
              <w:jc w:val="center"/>
              <w:rPr>
                <w:rFonts w:ascii="Times New Roman" w:hAnsi="Times New Roman" w:cs="Times New Roman"/>
              </w:rPr>
            </w:pPr>
            <w:r>
              <w:rPr>
                <w:rFonts w:ascii="Times New Roman" w:hAnsi="Times New Roman" w:cs="Times New Roman"/>
              </w:rPr>
              <w:t>2015</w:t>
            </w:r>
          </w:p>
        </w:tc>
        <w:tc>
          <w:tcPr>
            <w:tcW w:w="3192" w:type="dxa"/>
          </w:tcPr>
          <w:p w:rsidR="00034BF9" w:rsidRDefault="00034BF9" w:rsidP="005A2715">
            <w:pPr>
              <w:jc w:val="center"/>
              <w:rPr>
                <w:rFonts w:ascii="Times New Roman" w:hAnsi="Times New Roman" w:cs="Times New Roman"/>
              </w:rPr>
            </w:pPr>
            <w:r>
              <w:rPr>
                <w:rFonts w:ascii="Times New Roman" w:hAnsi="Times New Roman" w:cs="Times New Roman"/>
              </w:rPr>
              <w:t>2014</w:t>
            </w:r>
          </w:p>
        </w:tc>
      </w:tr>
      <w:tr w:rsidR="00034BF9" w:rsidTr="005A2715">
        <w:tc>
          <w:tcPr>
            <w:tcW w:w="3192" w:type="dxa"/>
            <w:vAlign w:val="bottom"/>
          </w:tcPr>
          <w:p w:rsidR="00034BF9" w:rsidRDefault="003503E2" w:rsidP="005A2715">
            <w:pPr>
              <w:jc w:val="center"/>
              <w:rPr>
                <w:rFonts w:ascii="Calibri" w:hAnsi="Calibri" w:cs="Calibri"/>
                <w:color w:val="000000"/>
              </w:rPr>
            </w:pPr>
            <w:r>
              <w:rPr>
                <w:rFonts w:ascii="Calibri" w:hAnsi="Calibri" w:cs="Calibri"/>
                <w:color w:val="000000"/>
              </w:rPr>
              <w:t>2.796</w:t>
            </w:r>
          </w:p>
        </w:tc>
        <w:tc>
          <w:tcPr>
            <w:tcW w:w="3192" w:type="dxa"/>
            <w:vAlign w:val="bottom"/>
          </w:tcPr>
          <w:p w:rsidR="00034BF9" w:rsidRDefault="003503E2" w:rsidP="005A2715">
            <w:pPr>
              <w:jc w:val="center"/>
              <w:rPr>
                <w:rFonts w:ascii="Calibri" w:hAnsi="Calibri" w:cs="Calibri"/>
                <w:color w:val="000000"/>
              </w:rPr>
            </w:pPr>
            <w:r>
              <w:rPr>
                <w:rFonts w:ascii="Calibri" w:hAnsi="Calibri" w:cs="Calibri"/>
                <w:color w:val="000000"/>
              </w:rPr>
              <w:t>2.794</w:t>
            </w:r>
          </w:p>
        </w:tc>
        <w:tc>
          <w:tcPr>
            <w:tcW w:w="3192" w:type="dxa"/>
            <w:vAlign w:val="bottom"/>
          </w:tcPr>
          <w:p w:rsidR="00034BF9" w:rsidRDefault="003503E2" w:rsidP="005A2715">
            <w:pPr>
              <w:jc w:val="center"/>
              <w:rPr>
                <w:rFonts w:ascii="Calibri" w:hAnsi="Calibri" w:cs="Calibri"/>
                <w:color w:val="000000"/>
              </w:rPr>
            </w:pPr>
            <w:r>
              <w:rPr>
                <w:rFonts w:ascii="Calibri" w:hAnsi="Calibri" w:cs="Calibri"/>
                <w:color w:val="000000"/>
              </w:rPr>
              <w:t>4.37</w:t>
            </w:r>
          </w:p>
        </w:tc>
      </w:tr>
    </w:tbl>
    <w:p w:rsidR="00034BF9" w:rsidRDefault="00034BF9" w:rsidP="00034BF9">
      <w:pPr>
        <w:rPr>
          <w:rFonts w:ascii="Times New Roman" w:hAnsi="Times New Roman" w:cs="Times New Roman"/>
        </w:rPr>
      </w:pPr>
    </w:p>
    <w:p w:rsidR="00034BF9" w:rsidRDefault="00034BF9" w:rsidP="00034BF9">
      <w:pPr>
        <w:rPr>
          <w:rFonts w:ascii="Times New Roman" w:hAnsi="Times New Roman" w:cs="Times New Roman"/>
        </w:rPr>
      </w:pPr>
      <w:r w:rsidRPr="00960615">
        <w:rPr>
          <w:rFonts w:ascii="Times New Roman" w:hAnsi="Times New Roman" w:cs="Times New Roman"/>
          <w:noProof/>
        </w:rPr>
        <w:drawing>
          <wp:inline distT="0" distB="0" distL="0" distR="0">
            <wp:extent cx="2733675" cy="1676400"/>
            <wp:effectExtent l="19050" t="0" r="9525" b="0"/>
            <wp:docPr id="7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034BF9" w:rsidRDefault="00034BF9" w:rsidP="00034BF9">
      <w:pPr>
        <w:spacing w:after="200" w:line="276" w:lineRule="auto"/>
        <w:jc w:val="both"/>
        <w:rPr>
          <w:rFonts w:ascii="Times New Roman" w:eastAsia="Times New Roman" w:hAnsi="Times New Roman" w:cs="Times New Roman"/>
          <w:color w:val="000000"/>
          <w:sz w:val="24"/>
          <w:szCs w:val="24"/>
        </w:rPr>
      </w:pPr>
      <w:r w:rsidRPr="004D1ECD">
        <w:rPr>
          <w:rFonts w:ascii="Times New Roman" w:eastAsia="Times New Roman" w:hAnsi="Times New Roman" w:cs="Times New Roman"/>
          <w:color w:val="000000"/>
          <w:sz w:val="24"/>
          <w:szCs w:val="24"/>
        </w:rPr>
        <w:t>Inventory turnover ratio indicates the way management has used inventory to conduct the operations of the business. Inventory turnover of</w:t>
      </w:r>
      <w:r w:rsidR="0087008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w:t>
      </w:r>
      <w:r w:rsidR="003503E2">
        <w:rPr>
          <w:rFonts w:ascii="Times New Roman" w:eastAsia="Times New Roman" w:hAnsi="Times New Roman" w:cs="Times New Roman"/>
          <w:color w:val="000000"/>
          <w:sz w:val="24"/>
          <w:szCs w:val="24"/>
        </w:rPr>
        <w:t>ppex</w:t>
      </w:r>
      <w:r>
        <w:rPr>
          <w:rFonts w:ascii="Times New Roman" w:eastAsia="Times New Roman" w:hAnsi="Times New Roman" w:cs="Times New Roman"/>
          <w:color w:val="000000"/>
          <w:sz w:val="24"/>
          <w:szCs w:val="24"/>
        </w:rPr>
        <w:t xml:space="preserve"> food of the year 2016</w:t>
      </w:r>
      <w:r w:rsidRPr="004D1ECD">
        <w:rPr>
          <w:rFonts w:ascii="Times New Roman" w:eastAsia="Times New Roman" w:hAnsi="Times New Roman" w:cs="Times New Roman"/>
          <w:color w:val="000000"/>
          <w:sz w:val="24"/>
          <w:szCs w:val="24"/>
        </w:rPr>
        <w:t xml:space="preserve"> is </w:t>
      </w:r>
      <w:r w:rsidR="003503E2">
        <w:rPr>
          <w:rFonts w:ascii="Times New Roman" w:eastAsia="Times New Roman" w:hAnsi="Times New Roman" w:cs="Times New Roman"/>
          <w:color w:val="000000"/>
          <w:sz w:val="24"/>
          <w:szCs w:val="24"/>
        </w:rPr>
        <w:t>2.796</w:t>
      </w:r>
      <w:r>
        <w:rPr>
          <w:rFonts w:ascii="Times New Roman" w:eastAsia="Times New Roman" w:hAnsi="Times New Roman" w:cs="Times New Roman"/>
          <w:color w:val="000000"/>
          <w:sz w:val="24"/>
          <w:szCs w:val="24"/>
        </w:rPr>
        <w:t xml:space="preserve"> and 2015</w:t>
      </w:r>
      <w:r w:rsidRPr="004D1ECD">
        <w:rPr>
          <w:rFonts w:ascii="Times New Roman" w:eastAsia="Times New Roman" w:hAnsi="Times New Roman" w:cs="Times New Roman"/>
          <w:color w:val="000000"/>
          <w:sz w:val="24"/>
          <w:szCs w:val="24"/>
        </w:rPr>
        <w:t xml:space="preserve"> is </w:t>
      </w:r>
      <w:r>
        <w:rPr>
          <w:rFonts w:ascii="Times New Roman" w:eastAsia="Times New Roman" w:hAnsi="Times New Roman" w:cs="Times New Roman"/>
          <w:color w:val="000000"/>
          <w:sz w:val="24"/>
          <w:szCs w:val="24"/>
        </w:rPr>
        <w:t>2.</w:t>
      </w:r>
      <w:r w:rsidR="003503E2">
        <w:rPr>
          <w:rFonts w:ascii="Times New Roman" w:eastAsia="Times New Roman" w:hAnsi="Times New Roman" w:cs="Times New Roman"/>
          <w:color w:val="000000"/>
          <w:sz w:val="24"/>
          <w:szCs w:val="24"/>
        </w:rPr>
        <w:t>794</w:t>
      </w:r>
      <w:r>
        <w:rPr>
          <w:rFonts w:ascii="Times New Roman" w:eastAsia="Times New Roman" w:hAnsi="Times New Roman" w:cs="Times New Roman"/>
          <w:color w:val="000000"/>
          <w:sz w:val="24"/>
          <w:szCs w:val="24"/>
        </w:rPr>
        <w:t xml:space="preserve"> and 2014 is </w:t>
      </w:r>
      <w:r w:rsidR="003503E2">
        <w:rPr>
          <w:rFonts w:ascii="Times New Roman" w:eastAsia="Times New Roman" w:hAnsi="Times New Roman" w:cs="Times New Roman"/>
          <w:color w:val="000000"/>
          <w:sz w:val="24"/>
          <w:szCs w:val="24"/>
        </w:rPr>
        <w:t>4.37</w:t>
      </w:r>
      <w:r w:rsidRPr="004D1ECD">
        <w:rPr>
          <w:rFonts w:ascii="Times New Roman" w:eastAsia="Times New Roman" w:hAnsi="Times New Roman" w:cs="Times New Roman"/>
          <w:color w:val="000000"/>
          <w:sz w:val="24"/>
          <w:szCs w:val="24"/>
        </w:rPr>
        <w:t>Comparing the</w:t>
      </w:r>
      <w:r>
        <w:rPr>
          <w:rFonts w:ascii="Times New Roman" w:eastAsia="Times New Roman" w:hAnsi="Times New Roman" w:cs="Times New Roman"/>
          <w:color w:val="000000"/>
          <w:sz w:val="24"/>
          <w:szCs w:val="24"/>
        </w:rPr>
        <w:t>se</w:t>
      </w:r>
      <w:r w:rsidRPr="004D1ECD">
        <w:rPr>
          <w:rFonts w:ascii="Times New Roman" w:eastAsia="Times New Roman" w:hAnsi="Times New Roman" w:cs="Times New Roman"/>
          <w:color w:val="000000"/>
          <w:sz w:val="24"/>
          <w:szCs w:val="24"/>
        </w:rPr>
        <w:t xml:space="preserve"> t</w:t>
      </w:r>
      <w:r>
        <w:rPr>
          <w:rFonts w:ascii="Times New Roman" w:eastAsia="Times New Roman" w:hAnsi="Times New Roman" w:cs="Times New Roman"/>
          <w:color w:val="000000"/>
          <w:sz w:val="24"/>
          <w:szCs w:val="24"/>
        </w:rPr>
        <w:t>hree</w:t>
      </w:r>
      <w:r w:rsidRPr="004D1ECD">
        <w:rPr>
          <w:rFonts w:ascii="Times New Roman" w:eastAsia="Times New Roman" w:hAnsi="Times New Roman" w:cs="Times New Roman"/>
          <w:color w:val="000000"/>
          <w:sz w:val="24"/>
          <w:szCs w:val="24"/>
        </w:rPr>
        <w:t xml:space="preserve"> year</w:t>
      </w:r>
      <w:r>
        <w:rPr>
          <w:rFonts w:ascii="Times New Roman" w:eastAsia="Times New Roman" w:hAnsi="Times New Roman" w:cs="Times New Roman"/>
          <w:color w:val="000000"/>
          <w:sz w:val="24"/>
          <w:szCs w:val="24"/>
        </w:rPr>
        <w:t>s</w:t>
      </w:r>
      <w:r w:rsidRPr="004D1ECD">
        <w:rPr>
          <w:rFonts w:ascii="Times New Roman" w:eastAsia="Times New Roman" w:hAnsi="Times New Roman" w:cs="Times New Roman"/>
          <w:color w:val="000000"/>
          <w:sz w:val="24"/>
          <w:szCs w:val="24"/>
        </w:rPr>
        <w:t xml:space="preserve"> the company had the high amount of inventory which is good for firm because higher the inventory turnover the better for the company.</w:t>
      </w:r>
    </w:p>
    <w:p w:rsidR="00034BF9" w:rsidRPr="00A15E21" w:rsidRDefault="00034BF9" w:rsidP="003711B0">
      <w:pPr>
        <w:pStyle w:val="NoSpacing"/>
      </w:pPr>
      <w:r w:rsidRPr="00A15E21">
        <w:t>Daily Inventories Held</w:t>
      </w:r>
    </w:p>
    <w:tbl>
      <w:tblPr>
        <w:tblStyle w:val="TableGrid"/>
        <w:tblW w:w="0" w:type="auto"/>
        <w:tblLook w:val="04A0" w:firstRow="1" w:lastRow="0" w:firstColumn="1" w:lastColumn="0" w:noHBand="0" w:noVBand="1"/>
      </w:tblPr>
      <w:tblGrid>
        <w:gridCol w:w="3192"/>
        <w:gridCol w:w="3192"/>
        <w:gridCol w:w="3192"/>
      </w:tblGrid>
      <w:tr w:rsidR="00034BF9" w:rsidTr="005A2715">
        <w:tc>
          <w:tcPr>
            <w:tcW w:w="3192" w:type="dxa"/>
          </w:tcPr>
          <w:p w:rsidR="00034BF9" w:rsidRDefault="00034BF9" w:rsidP="005A2715">
            <w:pPr>
              <w:jc w:val="center"/>
              <w:rPr>
                <w:rFonts w:ascii="Times New Roman" w:hAnsi="Times New Roman" w:cs="Times New Roman"/>
              </w:rPr>
            </w:pPr>
            <w:r>
              <w:rPr>
                <w:rFonts w:ascii="Times New Roman" w:hAnsi="Times New Roman" w:cs="Times New Roman"/>
                <w:noProof/>
              </w:rPr>
              <w:t>2016</w:t>
            </w:r>
          </w:p>
        </w:tc>
        <w:tc>
          <w:tcPr>
            <w:tcW w:w="3192" w:type="dxa"/>
          </w:tcPr>
          <w:p w:rsidR="00034BF9" w:rsidRDefault="00034BF9" w:rsidP="005A2715">
            <w:pPr>
              <w:jc w:val="center"/>
              <w:rPr>
                <w:rFonts w:ascii="Times New Roman" w:hAnsi="Times New Roman" w:cs="Times New Roman"/>
              </w:rPr>
            </w:pPr>
            <w:r>
              <w:rPr>
                <w:rFonts w:ascii="Times New Roman" w:hAnsi="Times New Roman" w:cs="Times New Roman"/>
              </w:rPr>
              <w:t>2015</w:t>
            </w:r>
          </w:p>
        </w:tc>
        <w:tc>
          <w:tcPr>
            <w:tcW w:w="3192" w:type="dxa"/>
          </w:tcPr>
          <w:p w:rsidR="00034BF9" w:rsidRDefault="00034BF9" w:rsidP="005A2715">
            <w:pPr>
              <w:jc w:val="center"/>
              <w:rPr>
                <w:rFonts w:ascii="Times New Roman" w:hAnsi="Times New Roman" w:cs="Times New Roman"/>
              </w:rPr>
            </w:pPr>
            <w:r>
              <w:rPr>
                <w:rFonts w:ascii="Times New Roman" w:hAnsi="Times New Roman" w:cs="Times New Roman"/>
              </w:rPr>
              <w:t>2014</w:t>
            </w:r>
          </w:p>
        </w:tc>
      </w:tr>
      <w:tr w:rsidR="00034BF9" w:rsidTr="005A2715">
        <w:tc>
          <w:tcPr>
            <w:tcW w:w="3192" w:type="dxa"/>
            <w:vAlign w:val="bottom"/>
          </w:tcPr>
          <w:p w:rsidR="00034BF9" w:rsidRDefault="00804026" w:rsidP="005A2715">
            <w:pPr>
              <w:jc w:val="center"/>
              <w:rPr>
                <w:rFonts w:ascii="Calibri" w:hAnsi="Calibri" w:cs="Calibri"/>
                <w:color w:val="000000"/>
              </w:rPr>
            </w:pPr>
            <w:r>
              <w:rPr>
                <w:rFonts w:ascii="Calibri" w:hAnsi="Calibri" w:cs="Calibri"/>
                <w:color w:val="000000"/>
              </w:rPr>
              <w:t>130</w:t>
            </w:r>
          </w:p>
        </w:tc>
        <w:tc>
          <w:tcPr>
            <w:tcW w:w="3192" w:type="dxa"/>
            <w:vAlign w:val="bottom"/>
          </w:tcPr>
          <w:p w:rsidR="00034BF9" w:rsidRDefault="00804026" w:rsidP="005A2715">
            <w:pPr>
              <w:jc w:val="center"/>
              <w:rPr>
                <w:rFonts w:ascii="Calibri" w:hAnsi="Calibri" w:cs="Calibri"/>
                <w:color w:val="000000"/>
              </w:rPr>
            </w:pPr>
            <w:r>
              <w:rPr>
                <w:rFonts w:ascii="Calibri" w:hAnsi="Calibri" w:cs="Calibri"/>
                <w:color w:val="000000"/>
              </w:rPr>
              <w:t>130</w:t>
            </w:r>
          </w:p>
        </w:tc>
        <w:tc>
          <w:tcPr>
            <w:tcW w:w="3192" w:type="dxa"/>
            <w:vAlign w:val="bottom"/>
          </w:tcPr>
          <w:p w:rsidR="00034BF9" w:rsidRDefault="00804026" w:rsidP="005A2715">
            <w:pPr>
              <w:jc w:val="center"/>
              <w:rPr>
                <w:rFonts w:ascii="Calibri" w:hAnsi="Calibri" w:cs="Calibri"/>
                <w:color w:val="000000"/>
              </w:rPr>
            </w:pPr>
            <w:r>
              <w:rPr>
                <w:rFonts w:ascii="Calibri" w:hAnsi="Calibri" w:cs="Calibri"/>
                <w:color w:val="000000"/>
              </w:rPr>
              <w:t>83</w:t>
            </w:r>
          </w:p>
        </w:tc>
      </w:tr>
    </w:tbl>
    <w:p w:rsidR="00034BF9" w:rsidRDefault="00034BF9" w:rsidP="00034BF9">
      <w:pPr>
        <w:rPr>
          <w:rFonts w:ascii="Times New Roman" w:hAnsi="Times New Roman" w:cs="Times New Roman"/>
        </w:rPr>
      </w:pPr>
    </w:p>
    <w:p w:rsidR="00034BF9" w:rsidRDefault="00034BF9" w:rsidP="00034BF9">
      <w:pPr>
        <w:rPr>
          <w:rFonts w:ascii="Times New Roman" w:hAnsi="Times New Roman" w:cs="Times New Roman"/>
        </w:rPr>
      </w:pPr>
      <w:r w:rsidRPr="00C950F4">
        <w:rPr>
          <w:rFonts w:ascii="Times New Roman" w:hAnsi="Times New Roman" w:cs="Times New Roman"/>
          <w:noProof/>
        </w:rPr>
        <w:lastRenderedPageBreak/>
        <w:drawing>
          <wp:inline distT="0" distB="0" distL="0" distR="0">
            <wp:extent cx="2857500" cy="1885950"/>
            <wp:effectExtent l="19050" t="0" r="19050" b="0"/>
            <wp:docPr id="7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495E1E" w:rsidRDefault="00495E1E" w:rsidP="00034BF9">
      <w:pPr>
        <w:rPr>
          <w:rFonts w:ascii="Times New Roman" w:hAnsi="Times New Roman" w:cs="Times New Roman"/>
        </w:rPr>
      </w:pPr>
    </w:p>
    <w:p w:rsidR="00495E1E" w:rsidRDefault="00495E1E" w:rsidP="00034BF9">
      <w:pPr>
        <w:rPr>
          <w:rFonts w:ascii="Times New Roman" w:hAnsi="Times New Roman" w:cs="Times New Roman"/>
        </w:rPr>
      </w:pPr>
    </w:p>
    <w:p w:rsidR="00034BF9" w:rsidRDefault="00034BF9" w:rsidP="00034BF9">
      <w:pPr>
        <w:spacing w:after="200" w:line="276" w:lineRule="auto"/>
        <w:jc w:val="both"/>
        <w:rPr>
          <w:rFonts w:ascii="Times New Roman" w:eastAsia="Times New Roman" w:hAnsi="Times New Roman" w:cs="Times New Roman"/>
          <w:bCs/>
          <w:color w:val="000000"/>
          <w:sz w:val="24"/>
          <w:szCs w:val="24"/>
          <w:shd w:val="clear" w:color="auto" w:fill="FFFFFF"/>
        </w:rPr>
      </w:pPr>
      <w:r w:rsidRPr="004D1ECD">
        <w:rPr>
          <w:rFonts w:ascii="Times New Roman" w:eastAsia="Times New Roman" w:hAnsi="Times New Roman" w:cs="Times New Roman"/>
          <w:color w:val="000000"/>
          <w:sz w:val="24"/>
          <w:szCs w:val="24"/>
          <w:shd w:val="clear" w:color="auto" w:fill="FFFFFF"/>
        </w:rPr>
        <w:t> </w:t>
      </w:r>
      <w:r w:rsidR="00804026" w:rsidRPr="004D1ECD">
        <w:rPr>
          <w:rFonts w:ascii="Times New Roman" w:eastAsia="Times New Roman" w:hAnsi="Times New Roman" w:cs="Times New Roman"/>
          <w:color w:val="000000"/>
          <w:sz w:val="24"/>
          <w:szCs w:val="24"/>
          <w:shd w:val="clear" w:color="auto" w:fill="FFFFFF"/>
        </w:rPr>
        <w:t>Measures</w:t>
      </w:r>
      <w:r w:rsidRPr="004D1ECD">
        <w:rPr>
          <w:rFonts w:ascii="Times New Roman" w:eastAsia="Times New Roman" w:hAnsi="Times New Roman" w:cs="Times New Roman"/>
          <w:color w:val="000000"/>
          <w:sz w:val="24"/>
          <w:szCs w:val="24"/>
          <w:shd w:val="clear" w:color="auto" w:fill="FFFFFF"/>
        </w:rPr>
        <w:t xml:space="preserve"> the number of </w:t>
      </w:r>
      <w:r w:rsidRPr="004D1ECD">
        <w:rPr>
          <w:rFonts w:ascii="Times New Roman" w:eastAsia="Times New Roman" w:hAnsi="Times New Roman" w:cs="Times New Roman"/>
          <w:b/>
          <w:bCs/>
          <w:color w:val="000000"/>
          <w:sz w:val="24"/>
          <w:szCs w:val="24"/>
          <w:shd w:val="clear" w:color="auto" w:fill="FFFFFF"/>
        </w:rPr>
        <w:t>days</w:t>
      </w:r>
      <w:r w:rsidRPr="004D1ECD">
        <w:rPr>
          <w:rFonts w:ascii="Times New Roman" w:eastAsia="Times New Roman" w:hAnsi="Times New Roman" w:cs="Times New Roman"/>
          <w:color w:val="000000"/>
          <w:sz w:val="24"/>
          <w:szCs w:val="24"/>
          <w:shd w:val="clear" w:color="auto" w:fill="FFFFFF"/>
        </w:rPr>
        <w:t xml:space="preserve"> it will take a company to sell </w:t>
      </w:r>
      <w:r w:rsidR="00804026" w:rsidRPr="004D1ECD">
        <w:rPr>
          <w:rFonts w:ascii="Times New Roman" w:eastAsia="Times New Roman" w:hAnsi="Times New Roman" w:cs="Times New Roman"/>
          <w:color w:val="000000"/>
          <w:sz w:val="24"/>
          <w:szCs w:val="24"/>
          <w:shd w:val="clear" w:color="auto" w:fill="FFFFFF"/>
        </w:rPr>
        <w:t>its entire</w:t>
      </w:r>
      <w:r w:rsidRPr="004D1ECD">
        <w:rPr>
          <w:rFonts w:ascii="Times New Roman" w:eastAsia="Times New Roman" w:hAnsi="Times New Roman" w:cs="Times New Roman"/>
          <w:color w:val="000000"/>
          <w:sz w:val="24"/>
          <w:szCs w:val="24"/>
          <w:shd w:val="clear" w:color="auto" w:fill="FFFFFF"/>
        </w:rPr>
        <w:t> </w:t>
      </w:r>
      <w:r w:rsidRPr="004D1ECD">
        <w:rPr>
          <w:rFonts w:ascii="Times New Roman" w:eastAsia="Times New Roman" w:hAnsi="Times New Roman" w:cs="Times New Roman"/>
          <w:bCs/>
          <w:color w:val="000000"/>
          <w:sz w:val="24"/>
          <w:szCs w:val="24"/>
          <w:shd w:val="clear" w:color="auto" w:fill="FFFFFF"/>
        </w:rPr>
        <w:t>inventory. This company DIH in 201</w:t>
      </w:r>
      <w:r>
        <w:rPr>
          <w:rFonts w:ascii="Times New Roman" w:eastAsia="Times New Roman" w:hAnsi="Times New Roman" w:cs="Times New Roman"/>
          <w:bCs/>
          <w:color w:val="000000"/>
          <w:sz w:val="24"/>
          <w:szCs w:val="24"/>
          <w:shd w:val="clear" w:color="auto" w:fill="FFFFFF"/>
        </w:rPr>
        <w:t xml:space="preserve">6 is </w:t>
      </w:r>
      <w:r w:rsidR="00804026">
        <w:rPr>
          <w:rFonts w:ascii="Times New Roman" w:eastAsia="Times New Roman" w:hAnsi="Times New Roman" w:cs="Times New Roman"/>
          <w:bCs/>
          <w:color w:val="000000"/>
          <w:sz w:val="24"/>
          <w:szCs w:val="24"/>
          <w:shd w:val="clear" w:color="auto" w:fill="FFFFFF"/>
        </w:rPr>
        <w:t>130</w:t>
      </w:r>
      <w:r w:rsidRPr="004D1ECD">
        <w:rPr>
          <w:rFonts w:ascii="Times New Roman" w:eastAsia="Times New Roman" w:hAnsi="Times New Roman" w:cs="Times New Roman"/>
          <w:bCs/>
          <w:color w:val="000000"/>
          <w:sz w:val="24"/>
          <w:szCs w:val="24"/>
          <w:shd w:val="clear" w:color="auto" w:fill="FFFFFF"/>
        </w:rPr>
        <w:t xml:space="preserve"> days and in 201</w:t>
      </w:r>
      <w:r>
        <w:rPr>
          <w:rFonts w:ascii="Times New Roman" w:eastAsia="Times New Roman" w:hAnsi="Times New Roman" w:cs="Times New Roman"/>
          <w:bCs/>
          <w:color w:val="000000"/>
          <w:sz w:val="24"/>
          <w:szCs w:val="24"/>
          <w:shd w:val="clear" w:color="auto" w:fill="FFFFFF"/>
        </w:rPr>
        <w:t>5</w:t>
      </w:r>
      <w:r w:rsidRPr="004D1ECD">
        <w:rPr>
          <w:rFonts w:ascii="Times New Roman" w:eastAsia="Times New Roman" w:hAnsi="Times New Roman" w:cs="Times New Roman"/>
          <w:bCs/>
          <w:color w:val="000000"/>
          <w:sz w:val="24"/>
          <w:szCs w:val="24"/>
          <w:shd w:val="clear" w:color="auto" w:fill="FFFFFF"/>
        </w:rPr>
        <w:t xml:space="preserve"> it takes </w:t>
      </w:r>
      <w:r w:rsidR="00804026">
        <w:rPr>
          <w:rFonts w:ascii="Times New Roman" w:eastAsia="Times New Roman" w:hAnsi="Times New Roman" w:cs="Times New Roman"/>
          <w:bCs/>
          <w:color w:val="000000"/>
          <w:sz w:val="24"/>
          <w:szCs w:val="24"/>
          <w:shd w:val="clear" w:color="auto" w:fill="FFFFFF"/>
        </w:rPr>
        <w:t>130</w:t>
      </w:r>
      <w:r>
        <w:rPr>
          <w:rFonts w:ascii="Times New Roman" w:eastAsia="Times New Roman" w:hAnsi="Times New Roman" w:cs="Times New Roman"/>
          <w:bCs/>
          <w:color w:val="000000"/>
          <w:sz w:val="24"/>
          <w:szCs w:val="24"/>
          <w:shd w:val="clear" w:color="auto" w:fill="FFFFFF"/>
        </w:rPr>
        <w:t xml:space="preserve"> days and 2014 takes </w:t>
      </w:r>
      <w:r w:rsidR="00804026">
        <w:rPr>
          <w:rFonts w:ascii="Times New Roman" w:eastAsia="Times New Roman" w:hAnsi="Times New Roman" w:cs="Times New Roman"/>
          <w:bCs/>
          <w:color w:val="000000"/>
          <w:sz w:val="24"/>
          <w:szCs w:val="24"/>
          <w:shd w:val="clear" w:color="auto" w:fill="FFFFFF"/>
        </w:rPr>
        <w:t>83</w:t>
      </w:r>
      <w:r>
        <w:rPr>
          <w:rFonts w:ascii="Times New Roman" w:eastAsia="Times New Roman" w:hAnsi="Times New Roman" w:cs="Times New Roman"/>
          <w:bCs/>
          <w:color w:val="000000"/>
          <w:sz w:val="24"/>
          <w:szCs w:val="24"/>
          <w:shd w:val="clear" w:color="auto" w:fill="FFFFFF"/>
        </w:rPr>
        <w:t xml:space="preserve"> days</w:t>
      </w:r>
      <w:r w:rsidRPr="004D1ECD">
        <w:rPr>
          <w:rFonts w:ascii="Times New Roman" w:eastAsia="Times New Roman" w:hAnsi="Times New Roman" w:cs="Times New Roman"/>
          <w:bCs/>
          <w:color w:val="000000"/>
          <w:sz w:val="24"/>
          <w:szCs w:val="24"/>
          <w:shd w:val="clear" w:color="auto" w:fill="FFFFFF"/>
        </w:rPr>
        <w:t xml:space="preserve"> Comparing th</w:t>
      </w:r>
      <w:r>
        <w:rPr>
          <w:rFonts w:ascii="Times New Roman" w:eastAsia="Times New Roman" w:hAnsi="Times New Roman" w:cs="Times New Roman"/>
          <w:bCs/>
          <w:color w:val="000000"/>
          <w:sz w:val="24"/>
          <w:szCs w:val="24"/>
          <w:shd w:val="clear" w:color="auto" w:fill="FFFFFF"/>
        </w:rPr>
        <w:t xml:space="preserve">ese years </w:t>
      </w:r>
      <w:r w:rsidRPr="004D1ECD">
        <w:rPr>
          <w:rFonts w:ascii="Times New Roman" w:eastAsia="Times New Roman" w:hAnsi="Times New Roman" w:cs="Times New Roman"/>
          <w:bCs/>
          <w:color w:val="000000"/>
          <w:sz w:val="24"/>
          <w:szCs w:val="24"/>
          <w:shd w:val="clear" w:color="auto" w:fill="FFFFFF"/>
        </w:rPr>
        <w:t xml:space="preserve">firm takes shorter time </w:t>
      </w:r>
      <w:r>
        <w:rPr>
          <w:rFonts w:ascii="Times New Roman" w:eastAsia="Times New Roman" w:hAnsi="Times New Roman" w:cs="Times New Roman"/>
          <w:bCs/>
          <w:color w:val="000000"/>
          <w:sz w:val="24"/>
          <w:szCs w:val="24"/>
          <w:shd w:val="clear" w:color="auto" w:fill="FFFFFF"/>
        </w:rPr>
        <w:t>in 201</w:t>
      </w:r>
      <w:r w:rsidR="00804026">
        <w:rPr>
          <w:rFonts w:ascii="Times New Roman" w:eastAsia="Times New Roman" w:hAnsi="Times New Roman" w:cs="Times New Roman"/>
          <w:bCs/>
          <w:color w:val="000000"/>
          <w:sz w:val="24"/>
          <w:szCs w:val="24"/>
          <w:shd w:val="clear" w:color="auto" w:fill="FFFFFF"/>
        </w:rPr>
        <w:t>4</w:t>
      </w:r>
      <w:r>
        <w:rPr>
          <w:rFonts w:ascii="Times New Roman" w:eastAsia="Times New Roman" w:hAnsi="Times New Roman" w:cs="Times New Roman"/>
          <w:bCs/>
          <w:color w:val="000000"/>
          <w:sz w:val="24"/>
          <w:szCs w:val="24"/>
          <w:shd w:val="clear" w:color="auto" w:fill="FFFFFF"/>
        </w:rPr>
        <w:t>.</w:t>
      </w:r>
    </w:p>
    <w:p w:rsidR="00034BF9" w:rsidRPr="004D1ECD" w:rsidRDefault="00034BF9" w:rsidP="00034BF9">
      <w:pPr>
        <w:autoSpaceDE w:val="0"/>
        <w:autoSpaceDN w:val="0"/>
        <w:adjustRightInd w:val="0"/>
        <w:spacing w:after="0" w:line="276" w:lineRule="auto"/>
        <w:jc w:val="both"/>
        <w:rPr>
          <w:rFonts w:ascii="Times New Roman" w:eastAsia="Times New Roman" w:hAnsi="Times New Roman" w:cs="Times New Roman"/>
          <w:sz w:val="24"/>
          <w:szCs w:val="24"/>
        </w:rPr>
      </w:pPr>
    </w:p>
    <w:p w:rsidR="00034BF9" w:rsidRDefault="00034BF9" w:rsidP="00034BF9">
      <w:pPr>
        <w:autoSpaceDE w:val="0"/>
        <w:autoSpaceDN w:val="0"/>
        <w:adjustRightInd w:val="0"/>
        <w:spacing w:after="0" w:line="276" w:lineRule="auto"/>
        <w:jc w:val="both"/>
        <w:rPr>
          <w:rFonts w:ascii="Times New Roman" w:eastAsia="Times New Roman" w:hAnsi="Times New Roman" w:cs="Times New Roman"/>
          <w:sz w:val="24"/>
          <w:szCs w:val="24"/>
        </w:rPr>
      </w:pPr>
      <w:r w:rsidRPr="004D1ECD">
        <w:rPr>
          <w:rFonts w:ascii="Times New Roman" w:eastAsia="Times New Roman" w:hAnsi="Times New Roman" w:cs="Times New Roman"/>
          <w:sz w:val="24"/>
          <w:szCs w:val="24"/>
        </w:rPr>
        <w:t>Here, Work-in-proc</w:t>
      </w:r>
      <w:r>
        <w:rPr>
          <w:rFonts w:ascii="Times New Roman" w:eastAsia="Times New Roman" w:hAnsi="Times New Roman" w:cs="Times New Roman"/>
          <w:sz w:val="24"/>
          <w:szCs w:val="24"/>
        </w:rPr>
        <w:t>ess inventory turnover are 89.78</w:t>
      </w:r>
      <w:r w:rsidRPr="004D1ECD">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imes in 2016 &amp; 56.34 times in 2015and in 2014 it was 86.44. So, the company worked efficiently in 2015 and 2016.</w:t>
      </w:r>
    </w:p>
    <w:p w:rsidR="00034BF9" w:rsidRDefault="00034BF9" w:rsidP="00034BF9">
      <w:pPr>
        <w:autoSpaceDE w:val="0"/>
        <w:autoSpaceDN w:val="0"/>
        <w:adjustRightInd w:val="0"/>
        <w:spacing w:after="0" w:line="276" w:lineRule="auto"/>
        <w:jc w:val="both"/>
        <w:rPr>
          <w:rFonts w:ascii="Times New Roman" w:eastAsia="Times New Roman" w:hAnsi="Times New Roman" w:cs="Times New Roman"/>
          <w:sz w:val="24"/>
          <w:szCs w:val="24"/>
        </w:rPr>
      </w:pPr>
    </w:p>
    <w:p w:rsidR="00034BF9" w:rsidRPr="00A15E21" w:rsidRDefault="00034BF9" w:rsidP="003711B0">
      <w:pPr>
        <w:pStyle w:val="NoSpacing"/>
      </w:pPr>
      <w:r w:rsidRPr="00A15E21">
        <w:t>Finished Goods Inventory turnover</w:t>
      </w:r>
    </w:p>
    <w:p w:rsidR="00034BF9" w:rsidRDefault="00034BF9" w:rsidP="00034BF9"/>
    <w:tbl>
      <w:tblPr>
        <w:tblStyle w:val="TableGrid"/>
        <w:tblW w:w="0" w:type="auto"/>
        <w:tblLook w:val="04A0" w:firstRow="1" w:lastRow="0" w:firstColumn="1" w:lastColumn="0" w:noHBand="0" w:noVBand="1"/>
      </w:tblPr>
      <w:tblGrid>
        <w:gridCol w:w="3192"/>
        <w:gridCol w:w="3192"/>
        <w:gridCol w:w="3192"/>
      </w:tblGrid>
      <w:tr w:rsidR="00034BF9" w:rsidTr="005A2715">
        <w:tc>
          <w:tcPr>
            <w:tcW w:w="3192" w:type="dxa"/>
          </w:tcPr>
          <w:p w:rsidR="00034BF9" w:rsidRDefault="00034BF9" w:rsidP="005A2715">
            <w:pPr>
              <w:jc w:val="center"/>
              <w:rPr>
                <w:rFonts w:ascii="Times New Roman" w:hAnsi="Times New Roman" w:cs="Times New Roman"/>
              </w:rPr>
            </w:pPr>
            <w:r>
              <w:rPr>
                <w:rFonts w:ascii="Times New Roman" w:hAnsi="Times New Roman" w:cs="Times New Roman"/>
                <w:noProof/>
              </w:rPr>
              <w:t>2016</w:t>
            </w:r>
          </w:p>
        </w:tc>
        <w:tc>
          <w:tcPr>
            <w:tcW w:w="3192" w:type="dxa"/>
          </w:tcPr>
          <w:p w:rsidR="00034BF9" w:rsidRDefault="00034BF9" w:rsidP="005A2715">
            <w:pPr>
              <w:jc w:val="center"/>
              <w:rPr>
                <w:rFonts w:ascii="Times New Roman" w:hAnsi="Times New Roman" w:cs="Times New Roman"/>
              </w:rPr>
            </w:pPr>
            <w:r>
              <w:rPr>
                <w:rFonts w:ascii="Times New Roman" w:hAnsi="Times New Roman" w:cs="Times New Roman"/>
              </w:rPr>
              <w:t>2015</w:t>
            </w:r>
          </w:p>
        </w:tc>
        <w:tc>
          <w:tcPr>
            <w:tcW w:w="3192" w:type="dxa"/>
          </w:tcPr>
          <w:p w:rsidR="00034BF9" w:rsidRDefault="00034BF9" w:rsidP="005A2715">
            <w:pPr>
              <w:jc w:val="center"/>
              <w:rPr>
                <w:rFonts w:ascii="Times New Roman" w:hAnsi="Times New Roman" w:cs="Times New Roman"/>
              </w:rPr>
            </w:pPr>
            <w:r>
              <w:rPr>
                <w:rFonts w:ascii="Times New Roman" w:hAnsi="Times New Roman" w:cs="Times New Roman"/>
              </w:rPr>
              <w:t>2014</w:t>
            </w:r>
          </w:p>
        </w:tc>
      </w:tr>
      <w:tr w:rsidR="00034BF9" w:rsidTr="005A2715">
        <w:tc>
          <w:tcPr>
            <w:tcW w:w="3192" w:type="dxa"/>
            <w:vAlign w:val="bottom"/>
          </w:tcPr>
          <w:p w:rsidR="00034BF9" w:rsidRDefault="005C3A53" w:rsidP="005A2715">
            <w:pPr>
              <w:jc w:val="center"/>
              <w:rPr>
                <w:rFonts w:ascii="Calibri" w:hAnsi="Calibri" w:cs="Calibri"/>
                <w:color w:val="000000"/>
              </w:rPr>
            </w:pPr>
            <w:r>
              <w:rPr>
                <w:rFonts w:ascii="Calibri" w:hAnsi="Calibri" w:cs="Calibri"/>
                <w:color w:val="000000"/>
              </w:rPr>
              <w:t>1.15</w:t>
            </w:r>
          </w:p>
        </w:tc>
        <w:tc>
          <w:tcPr>
            <w:tcW w:w="3192" w:type="dxa"/>
            <w:vAlign w:val="bottom"/>
          </w:tcPr>
          <w:p w:rsidR="00034BF9" w:rsidRDefault="005C3A53" w:rsidP="005A2715">
            <w:pPr>
              <w:jc w:val="center"/>
              <w:rPr>
                <w:rFonts w:ascii="Calibri" w:hAnsi="Calibri" w:cs="Calibri"/>
                <w:color w:val="000000"/>
              </w:rPr>
            </w:pPr>
            <w:r>
              <w:rPr>
                <w:rFonts w:ascii="Calibri" w:hAnsi="Calibri" w:cs="Calibri"/>
                <w:color w:val="000000"/>
              </w:rPr>
              <w:t>0.96</w:t>
            </w:r>
          </w:p>
        </w:tc>
        <w:tc>
          <w:tcPr>
            <w:tcW w:w="3192" w:type="dxa"/>
            <w:vAlign w:val="bottom"/>
          </w:tcPr>
          <w:p w:rsidR="00034BF9" w:rsidRDefault="005C3A53" w:rsidP="005A2715">
            <w:pPr>
              <w:jc w:val="center"/>
              <w:rPr>
                <w:rFonts w:ascii="Calibri" w:hAnsi="Calibri" w:cs="Calibri"/>
                <w:color w:val="000000"/>
              </w:rPr>
            </w:pPr>
            <w:r>
              <w:rPr>
                <w:rFonts w:ascii="Calibri" w:hAnsi="Calibri" w:cs="Calibri"/>
                <w:color w:val="000000"/>
              </w:rPr>
              <w:t>1.018</w:t>
            </w:r>
          </w:p>
        </w:tc>
      </w:tr>
    </w:tbl>
    <w:p w:rsidR="00034BF9" w:rsidRDefault="00034BF9" w:rsidP="00034BF9">
      <w:pPr>
        <w:rPr>
          <w:b/>
        </w:rPr>
      </w:pPr>
    </w:p>
    <w:p w:rsidR="00034BF9" w:rsidRDefault="00034BF9" w:rsidP="00034BF9">
      <w:pPr>
        <w:rPr>
          <w:b/>
        </w:rPr>
      </w:pPr>
      <w:r w:rsidRPr="00F61E25">
        <w:rPr>
          <w:b/>
          <w:noProof/>
        </w:rPr>
        <w:drawing>
          <wp:inline distT="0" distB="0" distL="0" distR="0">
            <wp:extent cx="2609850" cy="1647825"/>
            <wp:effectExtent l="19050" t="0" r="19050" b="0"/>
            <wp:docPr id="8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034BF9" w:rsidRDefault="00A43221" w:rsidP="00034BF9">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034BF9" w:rsidRPr="004D1ECD">
        <w:rPr>
          <w:rFonts w:ascii="Times New Roman" w:eastAsia="Times New Roman" w:hAnsi="Times New Roman" w:cs="Times New Roman"/>
          <w:sz w:val="24"/>
          <w:szCs w:val="24"/>
        </w:rPr>
        <w:t xml:space="preserve">inished goods inventory turnover ratio that is: </w:t>
      </w:r>
      <w:r w:rsidR="005C3A53">
        <w:rPr>
          <w:rFonts w:ascii="Times New Roman" w:eastAsia="Times New Roman" w:hAnsi="Times New Roman" w:cs="Times New Roman"/>
          <w:sz w:val="24"/>
          <w:szCs w:val="24"/>
        </w:rPr>
        <w:t>1.15</w:t>
      </w:r>
      <w:r w:rsidR="00034BF9" w:rsidRPr="004D1ECD">
        <w:rPr>
          <w:rFonts w:ascii="Times New Roman" w:eastAsia="Times New Roman" w:hAnsi="Times New Roman" w:cs="Times New Roman"/>
          <w:sz w:val="24"/>
          <w:szCs w:val="24"/>
        </w:rPr>
        <w:t>times in 201</w:t>
      </w:r>
      <w:r w:rsidR="00034BF9">
        <w:rPr>
          <w:rFonts w:ascii="Times New Roman" w:eastAsia="Times New Roman" w:hAnsi="Times New Roman" w:cs="Times New Roman"/>
          <w:sz w:val="24"/>
          <w:szCs w:val="24"/>
        </w:rPr>
        <w:t xml:space="preserve">6 </w:t>
      </w:r>
      <w:r w:rsidR="00034BF9" w:rsidRPr="004D1ECD">
        <w:rPr>
          <w:rFonts w:ascii="Times New Roman" w:eastAsia="Times New Roman" w:hAnsi="Times New Roman" w:cs="Times New Roman"/>
          <w:sz w:val="24"/>
          <w:szCs w:val="24"/>
        </w:rPr>
        <w:t>&amp;</w:t>
      </w:r>
      <w:r w:rsidR="005C3A53">
        <w:rPr>
          <w:rFonts w:ascii="Times New Roman" w:eastAsia="Times New Roman" w:hAnsi="Times New Roman" w:cs="Times New Roman"/>
          <w:sz w:val="24"/>
          <w:szCs w:val="24"/>
        </w:rPr>
        <w:t>0.96</w:t>
      </w:r>
      <w:r w:rsidR="00034BF9" w:rsidRPr="004D1ECD">
        <w:rPr>
          <w:rFonts w:ascii="Times New Roman" w:eastAsia="Times New Roman" w:hAnsi="Times New Roman" w:cs="Times New Roman"/>
          <w:sz w:val="24"/>
          <w:szCs w:val="24"/>
        </w:rPr>
        <w:t xml:space="preserve"> times in 201</w:t>
      </w:r>
      <w:r w:rsidR="00034BF9">
        <w:rPr>
          <w:rFonts w:ascii="Times New Roman" w:eastAsia="Times New Roman" w:hAnsi="Times New Roman" w:cs="Times New Roman"/>
          <w:sz w:val="24"/>
          <w:szCs w:val="24"/>
        </w:rPr>
        <w:t xml:space="preserve">5 and </w:t>
      </w:r>
      <w:r w:rsidR="005C3A53">
        <w:rPr>
          <w:rFonts w:ascii="Times New Roman" w:eastAsia="Times New Roman" w:hAnsi="Times New Roman" w:cs="Times New Roman"/>
          <w:sz w:val="24"/>
          <w:szCs w:val="24"/>
        </w:rPr>
        <w:t>1.018</w:t>
      </w:r>
      <w:r w:rsidR="00034BF9">
        <w:rPr>
          <w:rFonts w:ascii="Times New Roman" w:eastAsia="Times New Roman" w:hAnsi="Times New Roman" w:cs="Times New Roman"/>
          <w:sz w:val="24"/>
          <w:szCs w:val="24"/>
        </w:rPr>
        <w:t xml:space="preserve"> in 2014 </w:t>
      </w:r>
      <w:r w:rsidR="00034BF9" w:rsidRPr="004D1ECD">
        <w:rPr>
          <w:rFonts w:ascii="Times New Roman" w:eastAsia="Times New Roman" w:hAnsi="Times New Roman" w:cs="Times New Roman"/>
          <w:sz w:val="24"/>
          <w:szCs w:val="24"/>
        </w:rPr>
        <w:t>that is</w:t>
      </w:r>
      <w:r w:rsidR="00034BF9">
        <w:rPr>
          <w:rFonts w:ascii="Times New Roman" w:eastAsia="Times New Roman" w:hAnsi="Times New Roman" w:cs="Times New Roman"/>
          <w:sz w:val="24"/>
          <w:szCs w:val="24"/>
        </w:rPr>
        <w:t xml:space="preserve"> not</w:t>
      </w:r>
      <w:r w:rsidR="00034BF9" w:rsidRPr="004D1ECD">
        <w:rPr>
          <w:rFonts w:ascii="Times New Roman" w:eastAsia="Times New Roman" w:hAnsi="Times New Roman" w:cs="Times New Roman"/>
          <w:sz w:val="24"/>
          <w:szCs w:val="24"/>
        </w:rPr>
        <w:t xml:space="preserve"> good for the company.</w:t>
      </w:r>
    </w:p>
    <w:p w:rsidR="00034BF9" w:rsidRDefault="00034BF9" w:rsidP="00034BF9">
      <w:pPr>
        <w:spacing w:after="200" w:line="276" w:lineRule="auto"/>
        <w:jc w:val="both"/>
        <w:rPr>
          <w:rFonts w:ascii="Times New Roman" w:eastAsia="Times New Roman" w:hAnsi="Times New Roman" w:cs="Times New Roman"/>
          <w:sz w:val="24"/>
          <w:szCs w:val="24"/>
        </w:rPr>
      </w:pPr>
    </w:p>
    <w:p w:rsidR="00034BF9" w:rsidRPr="00A15E21" w:rsidRDefault="00034BF9" w:rsidP="00327EB2">
      <w:pPr>
        <w:pStyle w:val="NoSpacing"/>
      </w:pPr>
      <w:r w:rsidRPr="00A15E21">
        <w:lastRenderedPageBreak/>
        <w:t xml:space="preserve">Finished Goods Storage Period </w:t>
      </w:r>
    </w:p>
    <w:p w:rsidR="00034BF9" w:rsidRDefault="00034BF9" w:rsidP="00034BF9"/>
    <w:tbl>
      <w:tblPr>
        <w:tblStyle w:val="TableGrid"/>
        <w:tblW w:w="0" w:type="auto"/>
        <w:tblLook w:val="04A0" w:firstRow="1" w:lastRow="0" w:firstColumn="1" w:lastColumn="0" w:noHBand="0" w:noVBand="1"/>
      </w:tblPr>
      <w:tblGrid>
        <w:gridCol w:w="3192"/>
        <w:gridCol w:w="3192"/>
        <w:gridCol w:w="3192"/>
      </w:tblGrid>
      <w:tr w:rsidR="00034BF9" w:rsidTr="005A2715">
        <w:tc>
          <w:tcPr>
            <w:tcW w:w="3192" w:type="dxa"/>
          </w:tcPr>
          <w:p w:rsidR="00034BF9" w:rsidRDefault="00034BF9" w:rsidP="005A2715">
            <w:pPr>
              <w:jc w:val="center"/>
              <w:rPr>
                <w:rFonts w:ascii="Times New Roman" w:hAnsi="Times New Roman" w:cs="Times New Roman"/>
              </w:rPr>
            </w:pPr>
            <w:r>
              <w:rPr>
                <w:rFonts w:ascii="Times New Roman" w:hAnsi="Times New Roman" w:cs="Times New Roman"/>
                <w:noProof/>
              </w:rPr>
              <w:t>2016</w:t>
            </w:r>
          </w:p>
        </w:tc>
        <w:tc>
          <w:tcPr>
            <w:tcW w:w="3192" w:type="dxa"/>
          </w:tcPr>
          <w:p w:rsidR="00034BF9" w:rsidRDefault="00034BF9" w:rsidP="005A2715">
            <w:pPr>
              <w:jc w:val="center"/>
              <w:rPr>
                <w:rFonts w:ascii="Times New Roman" w:hAnsi="Times New Roman" w:cs="Times New Roman"/>
              </w:rPr>
            </w:pPr>
            <w:r>
              <w:rPr>
                <w:rFonts w:ascii="Times New Roman" w:hAnsi="Times New Roman" w:cs="Times New Roman"/>
              </w:rPr>
              <w:t>2015</w:t>
            </w:r>
          </w:p>
        </w:tc>
        <w:tc>
          <w:tcPr>
            <w:tcW w:w="3192" w:type="dxa"/>
          </w:tcPr>
          <w:p w:rsidR="00034BF9" w:rsidRDefault="00034BF9" w:rsidP="005A2715">
            <w:pPr>
              <w:jc w:val="center"/>
              <w:rPr>
                <w:rFonts w:ascii="Times New Roman" w:hAnsi="Times New Roman" w:cs="Times New Roman"/>
              </w:rPr>
            </w:pPr>
            <w:r>
              <w:rPr>
                <w:rFonts w:ascii="Times New Roman" w:hAnsi="Times New Roman" w:cs="Times New Roman"/>
              </w:rPr>
              <w:t>2014</w:t>
            </w:r>
          </w:p>
        </w:tc>
      </w:tr>
      <w:tr w:rsidR="00034BF9" w:rsidTr="005A2715">
        <w:tc>
          <w:tcPr>
            <w:tcW w:w="3192" w:type="dxa"/>
            <w:vAlign w:val="bottom"/>
          </w:tcPr>
          <w:p w:rsidR="00034BF9" w:rsidRDefault="005C3A53" w:rsidP="005A2715">
            <w:pPr>
              <w:jc w:val="center"/>
              <w:rPr>
                <w:rFonts w:ascii="Calibri" w:hAnsi="Calibri" w:cs="Calibri"/>
                <w:color w:val="000000"/>
              </w:rPr>
            </w:pPr>
            <w:r>
              <w:rPr>
                <w:rFonts w:ascii="Calibri" w:hAnsi="Calibri" w:cs="Calibri"/>
                <w:color w:val="000000"/>
              </w:rPr>
              <w:t>315</w:t>
            </w:r>
          </w:p>
        </w:tc>
        <w:tc>
          <w:tcPr>
            <w:tcW w:w="3192" w:type="dxa"/>
            <w:vAlign w:val="bottom"/>
          </w:tcPr>
          <w:p w:rsidR="00034BF9" w:rsidRDefault="005C3A53" w:rsidP="005A2715">
            <w:pPr>
              <w:jc w:val="center"/>
              <w:rPr>
                <w:rFonts w:ascii="Calibri" w:hAnsi="Calibri" w:cs="Calibri"/>
                <w:color w:val="000000"/>
              </w:rPr>
            </w:pPr>
            <w:r>
              <w:rPr>
                <w:rFonts w:ascii="Calibri" w:hAnsi="Calibri" w:cs="Calibri"/>
                <w:color w:val="000000"/>
              </w:rPr>
              <w:t>379</w:t>
            </w:r>
          </w:p>
        </w:tc>
        <w:tc>
          <w:tcPr>
            <w:tcW w:w="3192" w:type="dxa"/>
            <w:vAlign w:val="bottom"/>
          </w:tcPr>
          <w:p w:rsidR="00034BF9" w:rsidRDefault="005C3A53" w:rsidP="005A2715">
            <w:pPr>
              <w:jc w:val="center"/>
              <w:rPr>
                <w:rFonts w:ascii="Calibri" w:hAnsi="Calibri" w:cs="Calibri"/>
                <w:color w:val="000000"/>
              </w:rPr>
            </w:pPr>
            <w:r>
              <w:rPr>
                <w:rFonts w:ascii="Calibri" w:hAnsi="Calibri" w:cs="Calibri"/>
                <w:color w:val="000000"/>
              </w:rPr>
              <w:t>358</w:t>
            </w:r>
          </w:p>
        </w:tc>
      </w:tr>
    </w:tbl>
    <w:p w:rsidR="00034BF9" w:rsidRDefault="00034BF9" w:rsidP="00034BF9">
      <w:pPr>
        <w:spacing w:after="200" w:line="276" w:lineRule="auto"/>
        <w:jc w:val="both"/>
      </w:pPr>
    </w:p>
    <w:p w:rsidR="00034BF9" w:rsidRPr="004D1ECD" w:rsidRDefault="00034BF9" w:rsidP="00034BF9">
      <w:pPr>
        <w:spacing w:after="200" w:line="276" w:lineRule="auto"/>
        <w:jc w:val="both"/>
        <w:rPr>
          <w:rFonts w:ascii="Times New Roman" w:eastAsia="Times New Roman" w:hAnsi="Times New Roman" w:cs="Times New Roman"/>
          <w:sz w:val="24"/>
          <w:szCs w:val="24"/>
        </w:rPr>
      </w:pPr>
      <w:r w:rsidRPr="00612BB7">
        <w:rPr>
          <w:rFonts w:ascii="Times New Roman" w:eastAsia="Times New Roman" w:hAnsi="Times New Roman" w:cs="Times New Roman"/>
          <w:noProof/>
          <w:sz w:val="24"/>
          <w:szCs w:val="24"/>
        </w:rPr>
        <w:drawing>
          <wp:inline distT="0" distB="0" distL="0" distR="0">
            <wp:extent cx="2609850" cy="1647825"/>
            <wp:effectExtent l="19050" t="0" r="19050" b="0"/>
            <wp:docPr id="8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034BF9" w:rsidRDefault="00A43221" w:rsidP="00034BF9">
      <w:p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Usually Shorter finished good storage period is considered as a good but too low period is risky for company</w:t>
      </w:r>
      <w:r w:rsidR="00034BF9" w:rsidRPr="004D1ECD">
        <w:rPr>
          <w:rFonts w:ascii="Times New Roman" w:eastAsia="Times New Roman" w:hAnsi="Times New Roman" w:cs="Times New Roman"/>
          <w:sz w:val="24"/>
          <w:szCs w:val="24"/>
        </w:rPr>
        <w:t>.</w:t>
      </w:r>
      <w:r w:rsidR="00034BF9">
        <w:rPr>
          <w:rFonts w:ascii="Times New Roman" w:eastAsia="Times New Roman" w:hAnsi="Times New Roman" w:cs="Times New Roman"/>
          <w:sz w:val="24"/>
          <w:szCs w:val="24"/>
        </w:rPr>
        <w:t xml:space="preserve"> So, we can conclude the company </w:t>
      </w:r>
      <w:r w:rsidR="005C3A53">
        <w:rPr>
          <w:rFonts w:ascii="Times New Roman" w:eastAsia="Times New Roman" w:hAnsi="Times New Roman" w:cs="Times New Roman"/>
          <w:sz w:val="24"/>
          <w:szCs w:val="24"/>
        </w:rPr>
        <w:t>did not work</w:t>
      </w:r>
      <w:r w:rsidR="00870082">
        <w:rPr>
          <w:rFonts w:ascii="Times New Roman" w:eastAsia="Times New Roman" w:hAnsi="Times New Roman" w:cs="Times New Roman"/>
          <w:sz w:val="24"/>
          <w:szCs w:val="24"/>
        </w:rPr>
        <w:t xml:space="preserve"> </w:t>
      </w:r>
      <w:r w:rsidR="005C3A53">
        <w:rPr>
          <w:rFonts w:ascii="Times New Roman" w:eastAsia="Times New Roman" w:hAnsi="Times New Roman" w:cs="Times New Roman"/>
          <w:sz w:val="24"/>
          <w:szCs w:val="24"/>
        </w:rPr>
        <w:t>well</w:t>
      </w:r>
      <w:r w:rsidR="00870082">
        <w:rPr>
          <w:rFonts w:ascii="Times New Roman" w:eastAsia="Times New Roman" w:hAnsi="Times New Roman" w:cs="Times New Roman"/>
          <w:sz w:val="24"/>
          <w:szCs w:val="24"/>
        </w:rPr>
        <w:t xml:space="preserve"> </w:t>
      </w:r>
      <w:r w:rsidR="005C3A53">
        <w:rPr>
          <w:rFonts w:ascii="Times New Roman" w:eastAsia="Times New Roman" w:hAnsi="Times New Roman" w:cs="Times New Roman"/>
          <w:sz w:val="24"/>
          <w:szCs w:val="24"/>
        </w:rPr>
        <w:t>throughout these years.</w:t>
      </w:r>
    </w:p>
    <w:p w:rsidR="00034BF9" w:rsidRDefault="00034BF9" w:rsidP="00034BF9">
      <w:pPr>
        <w:autoSpaceDE w:val="0"/>
        <w:autoSpaceDN w:val="0"/>
        <w:adjustRightInd w:val="0"/>
        <w:spacing w:after="0" w:line="276" w:lineRule="auto"/>
        <w:jc w:val="both"/>
        <w:rPr>
          <w:rFonts w:ascii="Times New Roman" w:eastAsia="Times New Roman" w:hAnsi="Times New Roman" w:cs="Times New Roman"/>
          <w:sz w:val="24"/>
          <w:szCs w:val="24"/>
        </w:rPr>
      </w:pPr>
    </w:p>
    <w:p w:rsidR="00034BF9" w:rsidRPr="00A15E21" w:rsidRDefault="00034BF9" w:rsidP="00327EB2">
      <w:pPr>
        <w:pStyle w:val="NoSpacing"/>
      </w:pPr>
      <w:r w:rsidRPr="00A15E21">
        <w:t>Receivable Turnover</w:t>
      </w:r>
    </w:p>
    <w:p w:rsidR="00034BF9" w:rsidRPr="00612BB7" w:rsidRDefault="00034BF9" w:rsidP="00034BF9"/>
    <w:tbl>
      <w:tblPr>
        <w:tblStyle w:val="TableGrid"/>
        <w:tblW w:w="0" w:type="auto"/>
        <w:tblLook w:val="04A0" w:firstRow="1" w:lastRow="0" w:firstColumn="1" w:lastColumn="0" w:noHBand="0" w:noVBand="1"/>
      </w:tblPr>
      <w:tblGrid>
        <w:gridCol w:w="3192"/>
        <w:gridCol w:w="3192"/>
      </w:tblGrid>
      <w:tr w:rsidR="005C3A53" w:rsidTr="005A2715">
        <w:tc>
          <w:tcPr>
            <w:tcW w:w="3192" w:type="dxa"/>
          </w:tcPr>
          <w:p w:rsidR="005C3A53" w:rsidRDefault="005C3A53" w:rsidP="005A2715">
            <w:pPr>
              <w:jc w:val="center"/>
              <w:rPr>
                <w:rFonts w:ascii="Times New Roman" w:hAnsi="Times New Roman" w:cs="Times New Roman"/>
              </w:rPr>
            </w:pPr>
            <w:r>
              <w:rPr>
                <w:rFonts w:ascii="Times New Roman" w:hAnsi="Times New Roman" w:cs="Times New Roman"/>
                <w:noProof/>
              </w:rPr>
              <w:t>2016</w:t>
            </w:r>
          </w:p>
        </w:tc>
        <w:tc>
          <w:tcPr>
            <w:tcW w:w="3192" w:type="dxa"/>
          </w:tcPr>
          <w:p w:rsidR="005C3A53" w:rsidRDefault="005C3A53" w:rsidP="005A2715">
            <w:pPr>
              <w:jc w:val="center"/>
              <w:rPr>
                <w:rFonts w:ascii="Times New Roman" w:hAnsi="Times New Roman" w:cs="Times New Roman"/>
              </w:rPr>
            </w:pPr>
            <w:r>
              <w:rPr>
                <w:rFonts w:ascii="Times New Roman" w:hAnsi="Times New Roman" w:cs="Times New Roman"/>
              </w:rPr>
              <w:t>2014</w:t>
            </w:r>
          </w:p>
        </w:tc>
      </w:tr>
      <w:tr w:rsidR="005C3A53" w:rsidTr="005A2715">
        <w:tc>
          <w:tcPr>
            <w:tcW w:w="3192" w:type="dxa"/>
            <w:vAlign w:val="bottom"/>
          </w:tcPr>
          <w:p w:rsidR="005C3A53" w:rsidRDefault="005C3A53" w:rsidP="005A2715">
            <w:pPr>
              <w:jc w:val="center"/>
              <w:rPr>
                <w:rFonts w:ascii="Calibri" w:hAnsi="Calibri" w:cs="Calibri"/>
                <w:color w:val="000000"/>
              </w:rPr>
            </w:pPr>
            <w:r>
              <w:rPr>
                <w:rFonts w:ascii="Calibri" w:hAnsi="Calibri" w:cs="Calibri"/>
                <w:color w:val="000000"/>
              </w:rPr>
              <w:t>52.61</w:t>
            </w:r>
          </w:p>
        </w:tc>
        <w:tc>
          <w:tcPr>
            <w:tcW w:w="3192" w:type="dxa"/>
            <w:vAlign w:val="bottom"/>
          </w:tcPr>
          <w:p w:rsidR="005C3A53" w:rsidRDefault="005C3A53" w:rsidP="005A2715">
            <w:pPr>
              <w:jc w:val="center"/>
              <w:rPr>
                <w:rFonts w:ascii="Calibri" w:hAnsi="Calibri" w:cs="Calibri"/>
                <w:color w:val="000000"/>
              </w:rPr>
            </w:pPr>
            <w:r>
              <w:rPr>
                <w:rFonts w:ascii="Calibri" w:hAnsi="Calibri" w:cs="Calibri"/>
                <w:color w:val="000000"/>
              </w:rPr>
              <w:t>128.54</w:t>
            </w:r>
          </w:p>
        </w:tc>
      </w:tr>
    </w:tbl>
    <w:p w:rsidR="00034BF9" w:rsidRDefault="00034BF9" w:rsidP="00034BF9">
      <w:pPr>
        <w:rPr>
          <w:b/>
        </w:rPr>
      </w:pPr>
    </w:p>
    <w:p w:rsidR="00034BF9" w:rsidRDefault="00034BF9" w:rsidP="00034BF9">
      <w:pPr>
        <w:rPr>
          <w:b/>
        </w:rPr>
      </w:pPr>
      <w:r w:rsidRPr="006E7FA4">
        <w:rPr>
          <w:b/>
          <w:noProof/>
        </w:rPr>
        <w:drawing>
          <wp:inline distT="0" distB="0" distL="0" distR="0">
            <wp:extent cx="2609850" cy="1647825"/>
            <wp:effectExtent l="19050" t="0" r="19050" b="0"/>
            <wp:docPr id="8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034BF9" w:rsidRDefault="00A43221" w:rsidP="00A432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Receivable ratio lower means the firm relies on credit sales. If firm has no receivables then firm may face solvency problem. Receivable turnover ratio </w:t>
      </w:r>
      <w:r w:rsidR="00034BF9">
        <w:rPr>
          <w:rFonts w:ascii="Times New Roman" w:eastAsia="Times New Roman" w:hAnsi="Times New Roman" w:cs="Times New Roman"/>
          <w:sz w:val="24"/>
          <w:szCs w:val="24"/>
        </w:rPr>
        <w:t xml:space="preserve">are </w:t>
      </w:r>
      <w:r w:rsidR="005C3A53">
        <w:rPr>
          <w:rFonts w:ascii="Times New Roman" w:eastAsia="Times New Roman" w:hAnsi="Times New Roman" w:cs="Times New Roman"/>
          <w:sz w:val="24"/>
          <w:szCs w:val="24"/>
        </w:rPr>
        <w:t>52.61</w:t>
      </w:r>
      <w:r w:rsidR="00034BF9">
        <w:rPr>
          <w:rFonts w:ascii="Times New Roman" w:eastAsia="Times New Roman" w:hAnsi="Times New Roman" w:cs="Times New Roman"/>
          <w:sz w:val="24"/>
          <w:szCs w:val="24"/>
        </w:rPr>
        <w:t xml:space="preserve"> times in 2016and </w:t>
      </w:r>
      <w:r w:rsidR="005C3A53">
        <w:rPr>
          <w:rFonts w:ascii="Times New Roman" w:eastAsia="Times New Roman" w:hAnsi="Times New Roman" w:cs="Times New Roman"/>
          <w:sz w:val="24"/>
          <w:szCs w:val="24"/>
        </w:rPr>
        <w:t>128.54</w:t>
      </w:r>
      <w:r w:rsidR="00034BF9">
        <w:rPr>
          <w:rFonts w:ascii="Times New Roman" w:eastAsia="Times New Roman" w:hAnsi="Times New Roman" w:cs="Times New Roman"/>
          <w:sz w:val="24"/>
          <w:szCs w:val="24"/>
        </w:rPr>
        <w:t xml:space="preserve"> in 2014</w:t>
      </w:r>
      <w:r w:rsidR="00034BF9" w:rsidRPr="004D1ECD">
        <w:rPr>
          <w:rFonts w:ascii="Times New Roman" w:eastAsia="Times New Roman" w:hAnsi="Times New Roman" w:cs="Times New Roman"/>
          <w:sz w:val="24"/>
          <w:szCs w:val="24"/>
        </w:rPr>
        <w:t xml:space="preserve">. </w:t>
      </w:r>
      <w:r w:rsidR="0089708B">
        <w:rPr>
          <w:rFonts w:ascii="Times New Roman" w:eastAsia="Times New Roman" w:hAnsi="Times New Roman" w:cs="Times New Roman"/>
          <w:sz w:val="24"/>
          <w:szCs w:val="24"/>
        </w:rPr>
        <w:t xml:space="preserve">So </w:t>
      </w:r>
      <w:r w:rsidR="005C3A53">
        <w:rPr>
          <w:rFonts w:ascii="Times New Roman" w:eastAsia="Times New Roman" w:hAnsi="Times New Roman" w:cs="Times New Roman"/>
          <w:sz w:val="24"/>
          <w:szCs w:val="24"/>
        </w:rPr>
        <w:t xml:space="preserve"> in 2016 company reliance on credit sales.</w:t>
      </w:r>
    </w:p>
    <w:p w:rsidR="00034BF9" w:rsidRPr="00A15E21" w:rsidRDefault="00034BF9" w:rsidP="00327EB2">
      <w:pPr>
        <w:pStyle w:val="NoSpacing"/>
      </w:pPr>
      <w:r w:rsidRPr="00A15E21">
        <w:t>Days Sales Outstanding</w:t>
      </w:r>
    </w:p>
    <w:p w:rsidR="00034BF9" w:rsidRPr="00581C17" w:rsidRDefault="00034BF9" w:rsidP="00034BF9"/>
    <w:tbl>
      <w:tblPr>
        <w:tblStyle w:val="TableGrid"/>
        <w:tblW w:w="0" w:type="auto"/>
        <w:tblLook w:val="04A0" w:firstRow="1" w:lastRow="0" w:firstColumn="1" w:lastColumn="0" w:noHBand="0" w:noVBand="1"/>
      </w:tblPr>
      <w:tblGrid>
        <w:gridCol w:w="3192"/>
        <w:gridCol w:w="3192"/>
      </w:tblGrid>
      <w:tr w:rsidR="005C3A53" w:rsidTr="005A2715">
        <w:tc>
          <w:tcPr>
            <w:tcW w:w="3192" w:type="dxa"/>
          </w:tcPr>
          <w:p w:rsidR="005C3A53" w:rsidRDefault="005C3A53" w:rsidP="005A2715">
            <w:pPr>
              <w:jc w:val="center"/>
              <w:rPr>
                <w:rFonts w:ascii="Times New Roman" w:hAnsi="Times New Roman" w:cs="Times New Roman"/>
              </w:rPr>
            </w:pPr>
            <w:r>
              <w:rPr>
                <w:rFonts w:ascii="Times New Roman" w:hAnsi="Times New Roman" w:cs="Times New Roman"/>
                <w:noProof/>
              </w:rPr>
              <w:lastRenderedPageBreak/>
              <w:t>2016</w:t>
            </w:r>
          </w:p>
        </w:tc>
        <w:tc>
          <w:tcPr>
            <w:tcW w:w="3192" w:type="dxa"/>
          </w:tcPr>
          <w:p w:rsidR="005C3A53" w:rsidRDefault="005C3A53" w:rsidP="005A2715">
            <w:pPr>
              <w:jc w:val="center"/>
              <w:rPr>
                <w:rFonts w:ascii="Times New Roman" w:hAnsi="Times New Roman" w:cs="Times New Roman"/>
              </w:rPr>
            </w:pPr>
            <w:r>
              <w:rPr>
                <w:rFonts w:ascii="Times New Roman" w:hAnsi="Times New Roman" w:cs="Times New Roman"/>
              </w:rPr>
              <w:t>2014</w:t>
            </w:r>
          </w:p>
        </w:tc>
      </w:tr>
      <w:tr w:rsidR="005C3A53" w:rsidTr="005A2715">
        <w:tc>
          <w:tcPr>
            <w:tcW w:w="3192" w:type="dxa"/>
            <w:vAlign w:val="bottom"/>
          </w:tcPr>
          <w:p w:rsidR="005C3A53" w:rsidRDefault="005C3A53" w:rsidP="005A2715">
            <w:pPr>
              <w:jc w:val="center"/>
              <w:rPr>
                <w:rFonts w:ascii="Calibri" w:hAnsi="Calibri" w:cs="Calibri"/>
                <w:color w:val="000000"/>
              </w:rPr>
            </w:pPr>
            <w:r>
              <w:rPr>
                <w:rFonts w:ascii="Calibri" w:hAnsi="Calibri" w:cs="Calibri"/>
                <w:color w:val="000000"/>
              </w:rPr>
              <w:t>6.93</w:t>
            </w:r>
          </w:p>
        </w:tc>
        <w:tc>
          <w:tcPr>
            <w:tcW w:w="3192" w:type="dxa"/>
            <w:vAlign w:val="bottom"/>
          </w:tcPr>
          <w:p w:rsidR="005C3A53" w:rsidRDefault="005C3A53" w:rsidP="005A2715">
            <w:pPr>
              <w:jc w:val="center"/>
              <w:rPr>
                <w:rFonts w:ascii="Calibri" w:hAnsi="Calibri" w:cs="Calibri"/>
                <w:color w:val="000000"/>
              </w:rPr>
            </w:pPr>
            <w:r>
              <w:rPr>
                <w:rFonts w:ascii="Calibri" w:hAnsi="Calibri" w:cs="Calibri"/>
                <w:color w:val="000000"/>
              </w:rPr>
              <w:t>2.83</w:t>
            </w:r>
          </w:p>
        </w:tc>
      </w:tr>
    </w:tbl>
    <w:p w:rsidR="00034BF9" w:rsidRDefault="00034BF9" w:rsidP="00034BF9"/>
    <w:p w:rsidR="00034BF9" w:rsidRDefault="00034BF9" w:rsidP="00034BF9">
      <w:pPr>
        <w:rPr>
          <w:b/>
        </w:rPr>
      </w:pPr>
      <w:r w:rsidRPr="00581C17">
        <w:rPr>
          <w:noProof/>
        </w:rPr>
        <w:drawing>
          <wp:inline distT="0" distB="0" distL="0" distR="0">
            <wp:extent cx="2609850" cy="1647825"/>
            <wp:effectExtent l="19050" t="0" r="19050" b="0"/>
            <wp:docPr id="8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034BF9" w:rsidRDefault="00034BF9" w:rsidP="00034BF9">
      <w:pPr>
        <w:spacing w:after="200" w:line="276" w:lineRule="auto"/>
        <w:jc w:val="both"/>
        <w:rPr>
          <w:rFonts w:ascii="Times New Roman" w:eastAsia="Times New Roman" w:hAnsi="Times New Roman" w:cs="Times New Roman"/>
          <w:sz w:val="24"/>
          <w:szCs w:val="24"/>
        </w:rPr>
      </w:pPr>
      <w:r w:rsidRPr="004D1ECD">
        <w:rPr>
          <w:rFonts w:ascii="Times New Roman" w:eastAsia="Times New Roman" w:hAnsi="Times New Roman" w:cs="Times New Roman"/>
          <w:sz w:val="24"/>
          <w:szCs w:val="24"/>
        </w:rPr>
        <w:t>In the company, Days Sales Outstand</w:t>
      </w:r>
      <w:r>
        <w:rPr>
          <w:rFonts w:ascii="Times New Roman" w:eastAsia="Times New Roman" w:hAnsi="Times New Roman" w:cs="Times New Roman"/>
          <w:sz w:val="24"/>
          <w:szCs w:val="24"/>
        </w:rPr>
        <w:t xml:space="preserve">ing (DSO) is 6 days in 2016and </w:t>
      </w:r>
      <w:r w:rsidR="005C3A53">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days for 2014. This company performed </w:t>
      </w:r>
      <w:r w:rsidR="005C3A53">
        <w:rPr>
          <w:rFonts w:ascii="Times New Roman" w:eastAsia="Times New Roman" w:hAnsi="Times New Roman" w:cs="Times New Roman"/>
          <w:sz w:val="24"/>
          <w:szCs w:val="24"/>
        </w:rPr>
        <w:t>well in both years.</w:t>
      </w:r>
    </w:p>
    <w:p w:rsidR="00034BF9" w:rsidRPr="00A15E21" w:rsidRDefault="00034BF9" w:rsidP="00327EB2">
      <w:pPr>
        <w:pStyle w:val="NoSpacing"/>
      </w:pPr>
      <w:r w:rsidRPr="00A15E21">
        <w:t>Cash Turnover Ratio</w:t>
      </w:r>
    </w:p>
    <w:p w:rsidR="00034BF9" w:rsidRPr="00CC1F3F" w:rsidRDefault="00034BF9" w:rsidP="00034BF9"/>
    <w:tbl>
      <w:tblPr>
        <w:tblStyle w:val="TableGrid"/>
        <w:tblW w:w="0" w:type="auto"/>
        <w:tblLook w:val="04A0" w:firstRow="1" w:lastRow="0" w:firstColumn="1" w:lastColumn="0" w:noHBand="0" w:noVBand="1"/>
      </w:tblPr>
      <w:tblGrid>
        <w:gridCol w:w="3192"/>
        <w:gridCol w:w="3192"/>
        <w:gridCol w:w="3192"/>
      </w:tblGrid>
      <w:tr w:rsidR="00034BF9" w:rsidTr="005A2715">
        <w:tc>
          <w:tcPr>
            <w:tcW w:w="3192" w:type="dxa"/>
          </w:tcPr>
          <w:p w:rsidR="00034BF9" w:rsidRDefault="00034BF9" w:rsidP="005A2715">
            <w:pPr>
              <w:jc w:val="center"/>
              <w:rPr>
                <w:rFonts w:ascii="Times New Roman" w:hAnsi="Times New Roman" w:cs="Times New Roman"/>
              </w:rPr>
            </w:pPr>
            <w:r>
              <w:rPr>
                <w:rFonts w:ascii="Times New Roman" w:hAnsi="Times New Roman" w:cs="Times New Roman"/>
                <w:noProof/>
              </w:rPr>
              <w:t>2016</w:t>
            </w:r>
          </w:p>
        </w:tc>
        <w:tc>
          <w:tcPr>
            <w:tcW w:w="3192" w:type="dxa"/>
          </w:tcPr>
          <w:p w:rsidR="00034BF9" w:rsidRDefault="00034BF9" w:rsidP="005A2715">
            <w:pPr>
              <w:jc w:val="center"/>
              <w:rPr>
                <w:rFonts w:ascii="Times New Roman" w:hAnsi="Times New Roman" w:cs="Times New Roman"/>
              </w:rPr>
            </w:pPr>
            <w:r>
              <w:rPr>
                <w:rFonts w:ascii="Times New Roman" w:hAnsi="Times New Roman" w:cs="Times New Roman"/>
              </w:rPr>
              <w:t>2015</w:t>
            </w:r>
          </w:p>
        </w:tc>
        <w:tc>
          <w:tcPr>
            <w:tcW w:w="3192" w:type="dxa"/>
          </w:tcPr>
          <w:p w:rsidR="00034BF9" w:rsidRDefault="00034BF9" w:rsidP="005A2715">
            <w:pPr>
              <w:jc w:val="center"/>
              <w:rPr>
                <w:rFonts w:ascii="Times New Roman" w:hAnsi="Times New Roman" w:cs="Times New Roman"/>
              </w:rPr>
            </w:pPr>
            <w:r>
              <w:rPr>
                <w:rFonts w:ascii="Times New Roman" w:hAnsi="Times New Roman" w:cs="Times New Roman"/>
              </w:rPr>
              <w:t>2014</w:t>
            </w:r>
          </w:p>
        </w:tc>
      </w:tr>
      <w:tr w:rsidR="00034BF9" w:rsidTr="005A2715">
        <w:tc>
          <w:tcPr>
            <w:tcW w:w="3192" w:type="dxa"/>
            <w:vAlign w:val="bottom"/>
          </w:tcPr>
          <w:p w:rsidR="00034BF9" w:rsidRDefault="005B2824" w:rsidP="005A2715">
            <w:pPr>
              <w:jc w:val="center"/>
              <w:rPr>
                <w:rFonts w:ascii="Calibri" w:hAnsi="Calibri" w:cs="Calibri"/>
                <w:color w:val="000000"/>
              </w:rPr>
            </w:pPr>
            <w:r>
              <w:rPr>
                <w:rFonts w:ascii="Calibri" w:hAnsi="Calibri" w:cs="Calibri"/>
                <w:color w:val="000000"/>
              </w:rPr>
              <w:t>19.52</w:t>
            </w:r>
          </w:p>
        </w:tc>
        <w:tc>
          <w:tcPr>
            <w:tcW w:w="3192" w:type="dxa"/>
            <w:vAlign w:val="bottom"/>
          </w:tcPr>
          <w:p w:rsidR="00034BF9" w:rsidRDefault="005B2824" w:rsidP="005A2715">
            <w:pPr>
              <w:jc w:val="center"/>
              <w:rPr>
                <w:rFonts w:ascii="Calibri" w:hAnsi="Calibri" w:cs="Calibri"/>
                <w:color w:val="000000"/>
              </w:rPr>
            </w:pPr>
            <w:r>
              <w:rPr>
                <w:rFonts w:ascii="Calibri" w:hAnsi="Calibri" w:cs="Calibri"/>
                <w:color w:val="000000"/>
              </w:rPr>
              <w:t>62.69</w:t>
            </w:r>
          </w:p>
        </w:tc>
        <w:tc>
          <w:tcPr>
            <w:tcW w:w="3192" w:type="dxa"/>
            <w:vAlign w:val="bottom"/>
          </w:tcPr>
          <w:p w:rsidR="00034BF9" w:rsidRDefault="005B2824" w:rsidP="005A2715">
            <w:pPr>
              <w:jc w:val="center"/>
              <w:rPr>
                <w:rFonts w:ascii="Calibri" w:hAnsi="Calibri" w:cs="Calibri"/>
                <w:color w:val="000000"/>
              </w:rPr>
            </w:pPr>
            <w:r>
              <w:rPr>
                <w:rFonts w:ascii="Calibri" w:hAnsi="Calibri" w:cs="Calibri"/>
                <w:color w:val="000000"/>
              </w:rPr>
              <w:t>1.10</w:t>
            </w:r>
          </w:p>
        </w:tc>
      </w:tr>
    </w:tbl>
    <w:p w:rsidR="00034BF9" w:rsidRDefault="00034BF9" w:rsidP="00034BF9">
      <w:pPr>
        <w:rPr>
          <w:b/>
        </w:rPr>
      </w:pPr>
    </w:p>
    <w:p w:rsidR="00034BF9" w:rsidRDefault="00034BF9" w:rsidP="00034BF9">
      <w:pPr>
        <w:rPr>
          <w:b/>
        </w:rPr>
      </w:pPr>
      <w:r w:rsidRPr="00CC1F3F">
        <w:rPr>
          <w:b/>
          <w:noProof/>
        </w:rPr>
        <w:drawing>
          <wp:inline distT="0" distB="0" distL="0" distR="0">
            <wp:extent cx="2609850" cy="1543050"/>
            <wp:effectExtent l="19050" t="0" r="19050" b="0"/>
            <wp:docPr id="8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034BF9" w:rsidRDefault="00034BF9" w:rsidP="00034BF9">
      <w:pPr>
        <w:rPr>
          <w:rFonts w:ascii="Times New Roman" w:hAnsi="Times New Roman" w:cs="Times New Roman"/>
          <w:sz w:val="24"/>
          <w:szCs w:val="24"/>
        </w:rPr>
      </w:pPr>
      <w:r>
        <w:rPr>
          <w:rFonts w:ascii="Times New Roman" w:hAnsi="Times New Roman" w:cs="Times New Roman"/>
          <w:sz w:val="24"/>
          <w:szCs w:val="24"/>
        </w:rPr>
        <w:t>Through These years company used their cash efficiently.</w:t>
      </w:r>
    </w:p>
    <w:p w:rsidR="00034BF9" w:rsidRDefault="00034BF9" w:rsidP="00034BF9">
      <w:pPr>
        <w:pStyle w:val="Heading2"/>
        <w:rPr>
          <w:b/>
          <w:sz w:val="28"/>
          <w:szCs w:val="28"/>
        </w:rPr>
      </w:pPr>
    </w:p>
    <w:p w:rsidR="00034BF9" w:rsidRPr="00A15E21" w:rsidRDefault="00034BF9" w:rsidP="00327EB2">
      <w:pPr>
        <w:pStyle w:val="NoSpacing"/>
      </w:pPr>
      <w:r w:rsidRPr="00A15E21">
        <w:t>Payable Turnover</w:t>
      </w:r>
    </w:p>
    <w:tbl>
      <w:tblPr>
        <w:tblStyle w:val="TableGrid"/>
        <w:tblW w:w="0" w:type="auto"/>
        <w:tblLook w:val="04A0" w:firstRow="1" w:lastRow="0" w:firstColumn="1" w:lastColumn="0" w:noHBand="0" w:noVBand="1"/>
      </w:tblPr>
      <w:tblGrid>
        <w:gridCol w:w="3192"/>
        <w:gridCol w:w="3192"/>
        <w:gridCol w:w="3192"/>
      </w:tblGrid>
      <w:tr w:rsidR="00034BF9" w:rsidTr="005A2715">
        <w:tc>
          <w:tcPr>
            <w:tcW w:w="3192" w:type="dxa"/>
          </w:tcPr>
          <w:p w:rsidR="00034BF9" w:rsidRDefault="00034BF9" w:rsidP="005A2715">
            <w:pPr>
              <w:jc w:val="center"/>
              <w:rPr>
                <w:rFonts w:ascii="Times New Roman" w:hAnsi="Times New Roman" w:cs="Times New Roman"/>
              </w:rPr>
            </w:pPr>
            <w:r>
              <w:rPr>
                <w:rFonts w:ascii="Times New Roman" w:hAnsi="Times New Roman" w:cs="Times New Roman"/>
                <w:noProof/>
              </w:rPr>
              <w:t>2016</w:t>
            </w:r>
          </w:p>
        </w:tc>
        <w:tc>
          <w:tcPr>
            <w:tcW w:w="3192" w:type="dxa"/>
          </w:tcPr>
          <w:p w:rsidR="00034BF9" w:rsidRDefault="00034BF9" w:rsidP="005A2715">
            <w:pPr>
              <w:jc w:val="center"/>
              <w:rPr>
                <w:rFonts w:ascii="Times New Roman" w:hAnsi="Times New Roman" w:cs="Times New Roman"/>
              </w:rPr>
            </w:pPr>
            <w:r>
              <w:rPr>
                <w:rFonts w:ascii="Times New Roman" w:hAnsi="Times New Roman" w:cs="Times New Roman"/>
              </w:rPr>
              <w:t>2015</w:t>
            </w:r>
          </w:p>
        </w:tc>
        <w:tc>
          <w:tcPr>
            <w:tcW w:w="3192" w:type="dxa"/>
          </w:tcPr>
          <w:p w:rsidR="00034BF9" w:rsidRDefault="00034BF9" w:rsidP="005A2715">
            <w:pPr>
              <w:jc w:val="center"/>
              <w:rPr>
                <w:rFonts w:ascii="Times New Roman" w:hAnsi="Times New Roman" w:cs="Times New Roman"/>
              </w:rPr>
            </w:pPr>
            <w:r>
              <w:rPr>
                <w:rFonts w:ascii="Times New Roman" w:hAnsi="Times New Roman" w:cs="Times New Roman"/>
              </w:rPr>
              <w:t>2014</w:t>
            </w:r>
          </w:p>
        </w:tc>
      </w:tr>
      <w:tr w:rsidR="00034BF9" w:rsidTr="005A2715">
        <w:tc>
          <w:tcPr>
            <w:tcW w:w="3192" w:type="dxa"/>
            <w:vAlign w:val="bottom"/>
          </w:tcPr>
          <w:p w:rsidR="00034BF9" w:rsidRDefault="00AA0B9B" w:rsidP="005A2715">
            <w:pPr>
              <w:jc w:val="center"/>
              <w:rPr>
                <w:rFonts w:ascii="Calibri" w:hAnsi="Calibri" w:cs="Calibri"/>
                <w:color w:val="000000"/>
              </w:rPr>
            </w:pPr>
            <w:r>
              <w:rPr>
                <w:rFonts w:ascii="Calibri" w:hAnsi="Calibri" w:cs="Calibri"/>
                <w:color w:val="000000"/>
              </w:rPr>
              <w:t>66.34</w:t>
            </w:r>
          </w:p>
        </w:tc>
        <w:tc>
          <w:tcPr>
            <w:tcW w:w="3192" w:type="dxa"/>
            <w:vAlign w:val="bottom"/>
          </w:tcPr>
          <w:p w:rsidR="00034BF9" w:rsidRDefault="00AA0B9B" w:rsidP="005A2715">
            <w:pPr>
              <w:jc w:val="center"/>
              <w:rPr>
                <w:rFonts w:ascii="Calibri" w:hAnsi="Calibri" w:cs="Calibri"/>
                <w:color w:val="000000"/>
              </w:rPr>
            </w:pPr>
            <w:r>
              <w:rPr>
                <w:rFonts w:ascii="Calibri" w:hAnsi="Calibri" w:cs="Calibri"/>
                <w:color w:val="000000"/>
              </w:rPr>
              <w:t>40.95</w:t>
            </w:r>
          </w:p>
        </w:tc>
        <w:tc>
          <w:tcPr>
            <w:tcW w:w="3192" w:type="dxa"/>
            <w:vAlign w:val="bottom"/>
          </w:tcPr>
          <w:p w:rsidR="00034BF9" w:rsidRDefault="00AA0B9B" w:rsidP="005A2715">
            <w:pPr>
              <w:jc w:val="center"/>
              <w:rPr>
                <w:rFonts w:ascii="Calibri" w:hAnsi="Calibri" w:cs="Calibri"/>
                <w:color w:val="000000"/>
              </w:rPr>
            </w:pPr>
            <w:r>
              <w:rPr>
                <w:rFonts w:ascii="Calibri" w:hAnsi="Calibri" w:cs="Calibri"/>
                <w:color w:val="000000"/>
              </w:rPr>
              <w:t>55.26</w:t>
            </w:r>
          </w:p>
        </w:tc>
      </w:tr>
    </w:tbl>
    <w:p w:rsidR="00034BF9" w:rsidRDefault="00034BF9" w:rsidP="00034BF9"/>
    <w:p w:rsidR="00034BF9" w:rsidRDefault="00034BF9" w:rsidP="00034BF9">
      <w:r w:rsidRPr="00E626EB">
        <w:rPr>
          <w:noProof/>
        </w:rPr>
        <w:lastRenderedPageBreak/>
        <w:drawing>
          <wp:inline distT="0" distB="0" distL="0" distR="0">
            <wp:extent cx="2609850" cy="1543050"/>
            <wp:effectExtent l="19050" t="0" r="19050" b="0"/>
            <wp:docPr id="8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A43221" w:rsidRDefault="00A43221" w:rsidP="00A432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ratio shows when the company make payment to its supplier. We get the ratio by cost of sales divided by average accounts payables. </w:t>
      </w:r>
      <w:r w:rsidRPr="004D1ECD">
        <w:rPr>
          <w:rFonts w:ascii="Times New Roman" w:eastAsia="Times New Roman" w:hAnsi="Times New Roman" w:cs="Times New Roman"/>
          <w:sz w:val="24"/>
          <w:szCs w:val="24"/>
        </w:rPr>
        <w:t>Higher this ratio represent the company use its current asset in efficient way.</w:t>
      </w:r>
    </w:p>
    <w:p w:rsidR="00034BF9" w:rsidRDefault="00034BF9" w:rsidP="00034BF9">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AA0B9B">
        <w:rPr>
          <w:rFonts w:ascii="Times New Roman" w:eastAsia="Times New Roman" w:hAnsi="Times New Roman" w:cs="Times New Roman"/>
          <w:sz w:val="24"/>
          <w:szCs w:val="24"/>
        </w:rPr>
        <w:t>ppex</w:t>
      </w:r>
      <w:r>
        <w:rPr>
          <w:rFonts w:ascii="Times New Roman" w:eastAsia="Times New Roman" w:hAnsi="Times New Roman" w:cs="Times New Roman"/>
          <w:sz w:val="24"/>
          <w:szCs w:val="24"/>
        </w:rPr>
        <w:t xml:space="preserve"> food limited</w:t>
      </w:r>
      <w:r w:rsidRPr="004D1ECD">
        <w:rPr>
          <w:rFonts w:ascii="Times New Roman" w:eastAsia="Times New Roman" w:hAnsi="Times New Roman" w:cs="Times New Roman"/>
          <w:sz w:val="24"/>
          <w:szCs w:val="24"/>
        </w:rPr>
        <w:t xml:space="preserve"> paya</w:t>
      </w:r>
      <w:r>
        <w:rPr>
          <w:rFonts w:ascii="Times New Roman" w:eastAsia="Times New Roman" w:hAnsi="Times New Roman" w:cs="Times New Roman"/>
          <w:sz w:val="24"/>
          <w:szCs w:val="24"/>
        </w:rPr>
        <w:t xml:space="preserve">ble turnover ratio for year 2016 is </w:t>
      </w:r>
      <w:r w:rsidR="00AA0B9B">
        <w:rPr>
          <w:rFonts w:ascii="Times New Roman" w:eastAsia="Times New Roman" w:hAnsi="Times New Roman" w:cs="Times New Roman"/>
          <w:sz w:val="24"/>
          <w:szCs w:val="24"/>
        </w:rPr>
        <w:t>66.34</w:t>
      </w:r>
      <w:r>
        <w:rPr>
          <w:rFonts w:ascii="Times New Roman" w:eastAsia="Times New Roman" w:hAnsi="Times New Roman" w:cs="Times New Roman"/>
          <w:sz w:val="24"/>
          <w:szCs w:val="24"/>
        </w:rPr>
        <w:t>.</w:t>
      </w:r>
      <w:r w:rsidRPr="004D1ECD">
        <w:rPr>
          <w:rFonts w:ascii="Times New Roman" w:eastAsia="Times New Roman" w:hAnsi="Times New Roman" w:cs="Times New Roman"/>
          <w:sz w:val="24"/>
          <w:szCs w:val="24"/>
        </w:rPr>
        <w:t xml:space="preserve"> So, we have seen this company do more efficient in current asset from previous year to current year.</w:t>
      </w:r>
    </w:p>
    <w:p w:rsidR="00034BF9" w:rsidRDefault="00034BF9" w:rsidP="00034BF9">
      <w:pPr>
        <w:spacing w:after="200" w:line="276" w:lineRule="auto"/>
        <w:jc w:val="both"/>
        <w:rPr>
          <w:rFonts w:ascii="Times New Roman" w:eastAsia="Times New Roman" w:hAnsi="Times New Roman" w:cs="Times New Roman"/>
          <w:sz w:val="24"/>
          <w:szCs w:val="24"/>
        </w:rPr>
      </w:pPr>
    </w:p>
    <w:p w:rsidR="00034BF9" w:rsidRPr="00A15E21" w:rsidRDefault="00034BF9" w:rsidP="00327EB2">
      <w:pPr>
        <w:pStyle w:val="NoSpacing"/>
      </w:pPr>
      <w:r w:rsidRPr="00A15E21">
        <w:t>Days Payable Outstanding</w:t>
      </w:r>
    </w:p>
    <w:p w:rsidR="00034BF9" w:rsidRPr="008473B1" w:rsidRDefault="00034BF9" w:rsidP="00034BF9"/>
    <w:tbl>
      <w:tblPr>
        <w:tblStyle w:val="TableGrid"/>
        <w:tblW w:w="0" w:type="auto"/>
        <w:tblLook w:val="04A0" w:firstRow="1" w:lastRow="0" w:firstColumn="1" w:lastColumn="0" w:noHBand="0" w:noVBand="1"/>
      </w:tblPr>
      <w:tblGrid>
        <w:gridCol w:w="3192"/>
        <w:gridCol w:w="3192"/>
        <w:gridCol w:w="3192"/>
      </w:tblGrid>
      <w:tr w:rsidR="00034BF9" w:rsidTr="005A2715">
        <w:tc>
          <w:tcPr>
            <w:tcW w:w="3192" w:type="dxa"/>
          </w:tcPr>
          <w:p w:rsidR="00034BF9" w:rsidRDefault="00034BF9" w:rsidP="005A2715">
            <w:pPr>
              <w:jc w:val="center"/>
              <w:rPr>
                <w:rFonts w:ascii="Times New Roman" w:hAnsi="Times New Roman" w:cs="Times New Roman"/>
              </w:rPr>
            </w:pPr>
            <w:r>
              <w:rPr>
                <w:rFonts w:ascii="Times New Roman" w:hAnsi="Times New Roman" w:cs="Times New Roman"/>
                <w:noProof/>
              </w:rPr>
              <w:t>2016</w:t>
            </w:r>
          </w:p>
        </w:tc>
        <w:tc>
          <w:tcPr>
            <w:tcW w:w="3192" w:type="dxa"/>
          </w:tcPr>
          <w:p w:rsidR="00034BF9" w:rsidRDefault="00034BF9" w:rsidP="005A2715">
            <w:pPr>
              <w:jc w:val="center"/>
              <w:rPr>
                <w:rFonts w:ascii="Times New Roman" w:hAnsi="Times New Roman" w:cs="Times New Roman"/>
              </w:rPr>
            </w:pPr>
            <w:r>
              <w:rPr>
                <w:rFonts w:ascii="Times New Roman" w:hAnsi="Times New Roman" w:cs="Times New Roman"/>
              </w:rPr>
              <w:t>2015</w:t>
            </w:r>
          </w:p>
        </w:tc>
        <w:tc>
          <w:tcPr>
            <w:tcW w:w="3192" w:type="dxa"/>
          </w:tcPr>
          <w:p w:rsidR="00034BF9" w:rsidRDefault="00034BF9" w:rsidP="005A2715">
            <w:pPr>
              <w:jc w:val="center"/>
              <w:rPr>
                <w:rFonts w:ascii="Times New Roman" w:hAnsi="Times New Roman" w:cs="Times New Roman"/>
              </w:rPr>
            </w:pPr>
            <w:r>
              <w:rPr>
                <w:rFonts w:ascii="Times New Roman" w:hAnsi="Times New Roman" w:cs="Times New Roman"/>
              </w:rPr>
              <w:t>2014</w:t>
            </w:r>
          </w:p>
        </w:tc>
      </w:tr>
      <w:tr w:rsidR="00034BF9" w:rsidTr="005A2715">
        <w:tc>
          <w:tcPr>
            <w:tcW w:w="3192" w:type="dxa"/>
            <w:vAlign w:val="bottom"/>
          </w:tcPr>
          <w:p w:rsidR="00034BF9" w:rsidRDefault="00AA0B9B" w:rsidP="005A2715">
            <w:pPr>
              <w:jc w:val="center"/>
              <w:rPr>
                <w:rFonts w:ascii="Calibri" w:hAnsi="Calibri" w:cs="Calibri"/>
                <w:color w:val="000000"/>
              </w:rPr>
            </w:pPr>
            <w:r>
              <w:rPr>
                <w:rFonts w:ascii="Calibri" w:hAnsi="Calibri" w:cs="Calibri"/>
                <w:color w:val="000000"/>
              </w:rPr>
              <w:t>5.5</w:t>
            </w:r>
          </w:p>
        </w:tc>
        <w:tc>
          <w:tcPr>
            <w:tcW w:w="3192" w:type="dxa"/>
            <w:vAlign w:val="bottom"/>
          </w:tcPr>
          <w:p w:rsidR="00034BF9" w:rsidRDefault="00AA0B9B" w:rsidP="005A2715">
            <w:pPr>
              <w:jc w:val="center"/>
              <w:rPr>
                <w:rFonts w:ascii="Calibri" w:hAnsi="Calibri" w:cs="Calibri"/>
                <w:color w:val="000000"/>
              </w:rPr>
            </w:pPr>
            <w:r>
              <w:rPr>
                <w:rFonts w:ascii="Calibri" w:hAnsi="Calibri" w:cs="Calibri"/>
                <w:color w:val="000000"/>
              </w:rPr>
              <w:t>8.91</w:t>
            </w:r>
          </w:p>
        </w:tc>
        <w:tc>
          <w:tcPr>
            <w:tcW w:w="3192" w:type="dxa"/>
            <w:vAlign w:val="bottom"/>
          </w:tcPr>
          <w:p w:rsidR="00034BF9" w:rsidRDefault="00AA0B9B" w:rsidP="005A2715">
            <w:pPr>
              <w:jc w:val="center"/>
              <w:rPr>
                <w:rFonts w:ascii="Calibri" w:hAnsi="Calibri" w:cs="Calibri"/>
                <w:color w:val="000000"/>
              </w:rPr>
            </w:pPr>
            <w:r>
              <w:rPr>
                <w:rFonts w:ascii="Calibri" w:hAnsi="Calibri" w:cs="Calibri"/>
                <w:color w:val="000000"/>
              </w:rPr>
              <w:t>6.6</w:t>
            </w:r>
          </w:p>
        </w:tc>
      </w:tr>
    </w:tbl>
    <w:p w:rsidR="00034BF9" w:rsidRDefault="00034BF9" w:rsidP="00034BF9"/>
    <w:p w:rsidR="00034BF9" w:rsidRDefault="00034BF9" w:rsidP="00034BF9">
      <w:r w:rsidRPr="008473B1">
        <w:rPr>
          <w:noProof/>
        </w:rPr>
        <w:drawing>
          <wp:inline distT="0" distB="0" distL="0" distR="0">
            <wp:extent cx="2609850" cy="1543050"/>
            <wp:effectExtent l="19050" t="0" r="19050" b="0"/>
            <wp:docPr id="8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034BF9" w:rsidRDefault="00034BF9" w:rsidP="00034BF9">
      <w:pPr>
        <w:spacing w:after="200" w:line="276" w:lineRule="auto"/>
        <w:jc w:val="both"/>
        <w:rPr>
          <w:rFonts w:ascii="Times New Roman" w:eastAsia="Times New Roman" w:hAnsi="Times New Roman" w:cs="Times New Roman"/>
          <w:sz w:val="24"/>
          <w:szCs w:val="24"/>
        </w:rPr>
      </w:pPr>
      <w:r w:rsidRPr="004D1ECD">
        <w:rPr>
          <w:rFonts w:ascii="Times New Roman" w:eastAsia="Times New Roman" w:hAnsi="Times New Roman" w:cs="Times New Roman"/>
          <w:sz w:val="24"/>
          <w:szCs w:val="24"/>
        </w:rPr>
        <w:t>This ratio represent a company how delayed their payment to their supplier in a periodic time. This ratio higher means it delays more to pay their supplier and more effic</w:t>
      </w:r>
      <w:r>
        <w:rPr>
          <w:rFonts w:ascii="Times New Roman" w:eastAsia="Times New Roman" w:hAnsi="Times New Roman" w:cs="Times New Roman"/>
          <w:sz w:val="24"/>
          <w:szCs w:val="24"/>
        </w:rPr>
        <w:t xml:space="preserve">ient in their operation. </w:t>
      </w:r>
      <w:r w:rsidR="00AA0B9B">
        <w:rPr>
          <w:rFonts w:ascii="Times New Roman" w:eastAsia="Times New Roman" w:hAnsi="Times New Roman" w:cs="Times New Roman"/>
          <w:sz w:val="24"/>
          <w:szCs w:val="24"/>
        </w:rPr>
        <w:t>So, through these years Appex Food Limited cannot delay their suppliers to pay.</w:t>
      </w:r>
    </w:p>
    <w:p w:rsidR="00034BF9" w:rsidRPr="00A15E21" w:rsidRDefault="00034BF9" w:rsidP="00327EB2">
      <w:pPr>
        <w:pStyle w:val="NoSpacing"/>
      </w:pPr>
      <w:r w:rsidRPr="00A15E21">
        <w:t>Current Ratio</w:t>
      </w:r>
    </w:p>
    <w:tbl>
      <w:tblPr>
        <w:tblStyle w:val="TableGrid"/>
        <w:tblW w:w="0" w:type="auto"/>
        <w:tblLook w:val="04A0" w:firstRow="1" w:lastRow="0" w:firstColumn="1" w:lastColumn="0" w:noHBand="0" w:noVBand="1"/>
      </w:tblPr>
      <w:tblGrid>
        <w:gridCol w:w="3192"/>
        <w:gridCol w:w="3192"/>
        <w:gridCol w:w="3192"/>
      </w:tblGrid>
      <w:tr w:rsidR="00034BF9" w:rsidTr="005A2715">
        <w:tc>
          <w:tcPr>
            <w:tcW w:w="3192" w:type="dxa"/>
          </w:tcPr>
          <w:p w:rsidR="00034BF9" w:rsidRDefault="00034BF9" w:rsidP="005A2715">
            <w:pPr>
              <w:jc w:val="center"/>
              <w:rPr>
                <w:rFonts w:ascii="Times New Roman" w:hAnsi="Times New Roman" w:cs="Times New Roman"/>
              </w:rPr>
            </w:pPr>
            <w:r>
              <w:rPr>
                <w:rFonts w:ascii="Times New Roman" w:hAnsi="Times New Roman" w:cs="Times New Roman"/>
                <w:noProof/>
              </w:rPr>
              <w:t>2016</w:t>
            </w:r>
          </w:p>
        </w:tc>
        <w:tc>
          <w:tcPr>
            <w:tcW w:w="3192" w:type="dxa"/>
          </w:tcPr>
          <w:p w:rsidR="00034BF9" w:rsidRDefault="00034BF9" w:rsidP="005A2715">
            <w:pPr>
              <w:jc w:val="center"/>
              <w:rPr>
                <w:rFonts w:ascii="Times New Roman" w:hAnsi="Times New Roman" w:cs="Times New Roman"/>
              </w:rPr>
            </w:pPr>
            <w:r>
              <w:rPr>
                <w:rFonts w:ascii="Times New Roman" w:hAnsi="Times New Roman" w:cs="Times New Roman"/>
              </w:rPr>
              <w:t>2015</w:t>
            </w:r>
          </w:p>
        </w:tc>
        <w:tc>
          <w:tcPr>
            <w:tcW w:w="3192" w:type="dxa"/>
          </w:tcPr>
          <w:p w:rsidR="00034BF9" w:rsidRDefault="00034BF9" w:rsidP="005A2715">
            <w:pPr>
              <w:jc w:val="center"/>
              <w:rPr>
                <w:rFonts w:ascii="Times New Roman" w:hAnsi="Times New Roman" w:cs="Times New Roman"/>
              </w:rPr>
            </w:pPr>
            <w:r>
              <w:rPr>
                <w:rFonts w:ascii="Times New Roman" w:hAnsi="Times New Roman" w:cs="Times New Roman"/>
              </w:rPr>
              <w:t>2014</w:t>
            </w:r>
          </w:p>
        </w:tc>
      </w:tr>
      <w:tr w:rsidR="00034BF9" w:rsidTr="005A2715">
        <w:tc>
          <w:tcPr>
            <w:tcW w:w="3192" w:type="dxa"/>
            <w:vAlign w:val="bottom"/>
          </w:tcPr>
          <w:p w:rsidR="00034BF9" w:rsidRDefault="00AA0B9B" w:rsidP="005A2715">
            <w:pPr>
              <w:jc w:val="center"/>
              <w:rPr>
                <w:rFonts w:ascii="Calibri" w:hAnsi="Calibri" w:cs="Calibri"/>
                <w:color w:val="000000"/>
              </w:rPr>
            </w:pPr>
            <w:r>
              <w:rPr>
                <w:rFonts w:ascii="Calibri" w:hAnsi="Calibri" w:cs="Calibri"/>
                <w:color w:val="000000"/>
              </w:rPr>
              <w:t>1.34</w:t>
            </w:r>
          </w:p>
        </w:tc>
        <w:tc>
          <w:tcPr>
            <w:tcW w:w="3192" w:type="dxa"/>
            <w:vAlign w:val="bottom"/>
          </w:tcPr>
          <w:p w:rsidR="00034BF9" w:rsidRDefault="00AA0B9B" w:rsidP="005A2715">
            <w:pPr>
              <w:jc w:val="center"/>
              <w:rPr>
                <w:rFonts w:ascii="Calibri" w:hAnsi="Calibri" w:cs="Calibri"/>
                <w:color w:val="000000"/>
              </w:rPr>
            </w:pPr>
            <w:r>
              <w:rPr>
                <w:rFonts w:ascii="Calibri" w:hAnsi="Calibri" w:cs="Calibri"/>
                <w:color w:val="000000"/>
              </w:rPr>
              <w:t>1.31</w:t>
            </w:r>
          </w:p>
        </w:tc>
        <w:tc>
          <w:tcPr>
            <w:tcW w:w="3192" w:type="dxa"/>
            <w:vAlign w:val="bottom"/>
          </w:tcPr>
          <w:p w:rsidR="00034BF9" w:rsidRDefault="00AA0B9B" w:rsidP="005A2715">
            <w:pPr>
              <w:jc w:val="center"/>
              <w:rPr>
                <w:rFonts w:ascii="Calibri" w:hAnsi="Calibri" w:cs="Calibri"/>
                <w:color w:val="000000"/>
              </w:rPr>
            </w:pPr>
            <w:r>
              <w:rPr>
                <w:rFonts w:ascii="Calibri" w:hAnsi="Calibri" w:cs="Calibri"/>
                <w:color w:val="000000"/>
              </w:rPr>
              <w:t>1.26</w:t>
            </w:r>
          </w:p>
        </w:tc>
      </w:tr>
    </w:tbl>
    <w:p w:rsidR="00034BF9" w:rsidRPr="00DC095D" w:rsidRDefault="00034BF9" w:rsidP="00034BF9"/>
    <w:p w:rsidR="00034BF9" w:rsidRDefault="00034BF9" w:rsidP="00034BF9">
      <w:r w:rsidRPr="00DC095D">
        <w:rPr>
          <w:noProof/>
        </w:rPr>
        <w:lastRenderedPageBreak/>
        <w:drawing>
          <wp:inline distT="0" distB="0" distL="0" distR="0">
            <wp:extent cx="2609850" cy="1543050"/>
            <wp:effectExtent l="19050" t="0" r="19050" b="0"/>
            <wp:docPr id="8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34BF9" w:rsidRDefault="00034BF9" w:rsidP="00034BF9">
      <w:pPr>
        <w:spacing w:after="200" w:line="276" w:lineRule="auto"/>
        <w:jc w:val="both"/>
        <w:rPr>
          <w:rFonts w:ascii="Times New Roman" w:eastAsia="Times New Roman" w:hAnsi="Times New Roman" w:cs="Times New Roman"/>
          <w:sz w:val="24"/>
          <w:szCs w:val="24"/>
        </w:rPr>
      </w:pPr>
      <w:r w:rsidRPr="004D1ECD">
        <w:rPr>
          <w:rFonts w:ascii="Times New Roman" w:eastAsia="Times New Roman" w:hAnsi="Times New Roman" w:cs="Times New Roman"/>
          <w:sz w:val="24"/>
          <w:szCs w:val="24"/>
        </w:rPr>
        <w:t xml:space="preserve">It’s a measure of liquidity. It indicates how company is able to pay its debt in a period of </w:t>
      </w:r>
      <w:r>
        <w:rPr>
          <w:rFonts w:ascii="Times New Roman" w:eastAsia="Times New Roman" w:hAnsi="Times New Roman" w:cs="Times New Roman"/>
          <w:sz w:val="24"/>
          <w:szCs w:val="24"/>
        </w:rPr>
        <w:t>time with current asset. Current ratios for the company 1:</w:t>
      </w:r>
      <w:r w:rsidR="00AA0B9B">
        <w:rPr>
          <w:rFonts w:ascii="Times New Roman" w:eastAsia="Times New Roman" w:hAnsi="Times New Roman" w:cs="Times New Roman"/>
          <w:sz w:val="24"/>
          <w:szCs w:val="24"/>
        </w:rPr>
        <w:t>1.34</w:t>
      </w:r>
      <w:r>
        <w:rPr>
          <w:rFonts w:ascii="Times New Roman" w:eastAsia="Times New Roman" w:hAnsi="Times New Roman" w:cs="Times New Roman"/>
          <w:sz w:val="24"/>
          <w:szCs w:val="24"/>
        </w:rPr>
        <w:t>, 1:1</w:t>
      </w:r>
      <w:r w:rsidR="00AA0B9B">
        <w:rPr>
          <w:rFonts w:ascii="Times New Roman" w:eastAsia="Times New Roman" w:hAnsi="Times New Roman" w:cs="Times New Roman"/>
          <w:sz w:val="24"/>
          <w:szCs w:val="24"/>
        </w:rPr>
        <w:t>.31</w:t>
      </w:r>
      <w:r>
        <w:rPr>
          <w:rFonts w:ascii="Times New Roman" w:eastAsia="Times New Roman" w:hAnsi="Times New Roman" w:cs="Times New Roman"/>
          <w:sz w:val="24"/>
          <w:szCs w:val="24"/>
        </w:rPr>
        <w:t>and 1:1.</w:t>
      </w:r>
      <w:r w:rsidR="00AA0B9B">
        <w:rPr>
          <w:rFonts w:ascii="Times New Roman" w:eastAsia="Times New Roman" w:hAnsi="Times New Roman" w:cs="Times New Roman"/>
          <w:sz w:val="24"/>
          <w:szCs w:val="24"/>
        </w:rPr>
        <w:t>26</w:t>
      </w:r>
      <w:r>
        <w:rPr>
          <w:rFonts w:ascii="Times New Roman" w:eastAsia="Times New Roman" w:hAnsi="Times New Roman" w:cs="Times New Roman"/>
          <w:sz w:val="24"/>
          <w:szCs w:val="24"/>
        </w:rPr>
        <w:t>consecutively for the years of 2016, 2015 and 2014.So they have enough liquidity to meet their creditors.</w:t>
      </w:r>
    </w:p>
    <w:p w:rsidR="00034BF9" w:rsidRPr="00A15E21" w:rsidRDefault="00034BF9" w:rsidP="00327EB2">
      <w:pPr>
        <w:pStyle w:val="NoSpacing"/>
      </w:pPr>
      <w:r w:rsidRPr="00A15E21">
        <w:t>Quick ratio</w:t>
      </w:r>
    </w:p>
    <w:tbl>
      <w:tblPr>
        <w:tblStyle w:val="TableGrid"/>
        <w:tblW w:w="0" w:type="auto"/>
        <w:tblLook w:val="04A0" w:firstRow="1" w:lastRow="0" w:firstColumn="1" w:lastColumn="0" w:noHBand="0" w:noVBand="1"/>
      </w:tblPr>
      <w:tblGrid>
        <w:gridCol w:w="3192"/>
        <w:gridCol w:w="3192"/>
        <w:gridCol w:w="3192"/>
      </w:tblGrid>
      <w:tr w:rsidR="00034BF9" w:rsidTr="005A2715">
        <w:tc>
          <w:tcPr>
            <w:tcW w:w="3192" w:type="dxa"/>
          </w:tcPr>
          <w:p w:rsidR="00034BF9" w:rsidRDefault="00034BF9" w:rsidP="005A2715">
            <w:pPr>
              <w:jc w:val="center"/>
              <w:rPr>
                <w:rFonts w:ascii="Times New Roman" w:hAnsi="Times New Roman" w:cs="Times New Roman"/>
              </w:rPr>
            </w:pPr>
            <w:r>
              <w:rPr>
                <w:rFonts w:ascii="Times New Roman" w:hAnsi="Times New Roman" w:cs="Times New Roman"/>
                <w:noProof/>
              </w:rPr>
              <w:t>2016</w:t>
            </w:r>
          </w:p>
        </w:tc>
        <w:tc>
          <w:tcPr>
            <w:tcW w:w="3192" w:type="dxa"/>
          </w:tcPr>
          <w:p w:rsidR="00034BF9" w:rsidRDefault="00034BF9" w:rsidP="005A2715">
            <w:pPr>
              <w:jc w:val="center"/>
              <w:rPr>
                <w:rFonts w:ascii="Times New Roman" w:hAnsi="Times New Roman" w:cs="Times New Roman"/>
              </w:rPr>
            </w:pPr>
            <w:r>
              <w:rPr>
                <w:rFonts w:ascii="Times New Roman" w:hAnsi="Times New Roman" w:cs="Times New Roman"/>
              </w:rPr>
              <w:t>2015</w:t>
            </w:r>
          </w:p>
        </w:tc>
        <w:tc>
          <w:tcPr>
            <w:tcW w:w="3192" w:type="dxa"/>
          </w:tcPr>
          <w:p w:rsidR="00034BF9" w:rsidRDefault="00034BF9" w:rsidP="005A2715">
            <w:pPr>
              <w:jc w:val="center"/>
              <w:rPr>
                <w:rFonts w:ascii="Times New Roman" w:hAnsi="Times New Roman" w:cs="Times New Roman"/>
              </w:rPr>
            </w:pPr>
            <w:r>
              <w:rPr>
                <w:rFonts w:ascii="Times New Roman" w:hAnsi="Times New Roman" w:cs="Times New Roman"/>
              </w:rPr>
              <w:t>2014</w:t>
            </w:r>
          </w:p>
        </w:tc>
      </w:tr>
      <w:tr w:rsidR="00034BF9" w:rsidTr="005A2715">
        <w:tc>
          <w:tcPr>
            <w:tcW w:w="3192" w:type="dxa"/>
            <w:vAlign w:val="bottom"/>
          </w:tcPr>
          <w:p w:rsidR="00034BF9" w:rsidRDefault="00034BF9" w:rsidP="00AA0B9B">
            <w:pPr>
              <w:jc w:val="center"/>
              <w:rPr>
                <w:rFonts w:ascii="Calibri" w:hAnsi="Calibri" w:cs="Calibri"/>
                <w:color w:val="000000"/>
              </w:rPr>
            </w:pPr>
            <w:r>
              <w:rPr>
                <w:rFonts w:ascii="Calibri" w:hAnsi="Calibri" w:cs="Calibri"/>
                <w:color w:val="000000"/>
              </w:rPr>
              <w:t>0.</w:t>
            </w:r>
            <w:r w:rsidR="00AA0B9B">
              <w:rPr>
                <w:rFonts w:ascii="Calibri" w:hAnsi="Calibri" w:cs="Calibri"/>
                <w:color w:val="000000"/>
              </w:rPr>
              <w:t>056</w:t>
            </w:r>
          </w:p>
        </w:tc>
        <w:tc>
          <w:tcPr>
            <w:tcW w:w="3192" w:type="dxa"/>
            <w:vAlign w:val="bottom"/>
          </w:tcPr>
          <w:p w:rsidR="00034BF9" w:rsidRDefault="00034BF9" w:rsidP="00AA0B9B">
            <w:pPr>
              <w:jc w:val="center"/>
              <w:rPr>
                <w:rFonts w:ascii="Calibri" w:hAnsi="Calibri" w:cs="Calibri"/>
                <w:color w:val="000000"/>
              </w:rPr>
            </w:pPr>
            <w:r>
              <w:rPr>
                <w:rFonts w:ascii="Calibri" w:hAnsi="Calibri" w:cs="Calibri"/>
                <w:color w:val="000000"/>
              </w:rPr>
              <w:t>0.</w:t>
            </w:r>
            <w:r w:rsidR="00AA0B9B">
              <w:rPr>
                <w:rFonts w:ascii="Calibri" w:hAnsi="Calibri" w:cs="Calibri"/>
                <w:color w:val="000000"/>
              </w:rPr>
              <w:t>044</w:t>
            </w:r>
          </w:p>
        </w:tc>
        <w:tc>
          <w:tcPr>
            <w:tcW w:w="3192" w:type="dxa"/>
            <w:vAlign w:val="bottom"/>
          </w:tcPr>
          <w:p w:rsidR="00034BF9" w:rsidRDefault="00034BF9" w:rsidP="00AA0B9B">
            <w:pPr>
              <w:jc w:val="center"/>
              <w:rPr>
                <w:rFonts w:ascii="Calibri" w:hAnsi="Calibri" w:cs="Calibri"/>
                <w:color w:val="000000"/>
              </w:rPr>
            </w:pPr>
            <w:r>
              <w:rPr>
                <w:rFonts w:ascii="Calibri" w:hAnsi="Calibri" w:cs="Calibri"/>
                <w:color w:val="000000"/>
              </w:rPr>
              <w:t>0.</w:t>
            </w:r>
            <w:r w:rsidR="00AA0B9B">
              <w:rPr>
                <w:rFonts w:ascii="Calibri" w:hAnsi="Calibri" w:cs="Calibri"/>
                <w:color w:val="000000"/>
              </w:rPr>
              <w:t>26</w:t>
            </w:r>
          </w:p>
        </w:tc>
      </w:tr>
    </w:tbl>
    <w:p w:rsidR="00034BF9" w:rsidRDefault="00034BF9" w:rsidP="00034BF9"/>
    <w:p w:rsidR="00034BF9" w:rsidRPr="000B179F" w:rsidRDefault="00034BF9" w:rsidP="00034BF9">
      <w:r w:rsidRPr="000B179F">
        <w:rPr>
          <w:noProof/>
        </w:rPr>
        <w:drawing>
          <wp:inline distT="0" distB="0" distL="0" distR="0">
            <wp:extent cx="2609850" cy="1543050"/>
            <wp:effectExtent l="19050" t="0" r="19050" b="0"/>
            <wp:docPr id="9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034BF9" w:rsidRPr="004D1ECD" w:rsidRDefault="00736A11" w:rsidP="00034BF9">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Quick ratio</w:t>
      </w:r>
      <w:r w:rsidRPr="004D1ECD">
        <w:rPr>
          <w:rFonts w:ascii="Times New Roman" w:eastAsia="Times New Roman" w:hAnsi="Times New Roman" w:cs="Times New Roman"/>
          <w:sz w:val="24"/>
          <w:szCs w:val="24"/>
        </w:rPr>
        <w:t xml:space="preserve"> measures the ability to use its quick assets (cash and cash equivalents, marketable securities and accounts receivable) to pay its current liabilities. </w:t>
      </w:r>
      <w:r>
        <w:rPr>
          <w:rFonts w:ascii="Times New Roman" w:eastAsia="Times New Roman" w:hAnsi="Times New Roman" w:cs="Times New Roman"/>
          <w:sz w:val="24"/>
          <w:szCs w:val="24"/>
        </w:rPr>
        <w:t xml:space="preserve">This </w:t>
      </w:r>
      <w:r w:rsidRPr="004D1ECD">
        <w:rPr>
          <w:rFonts w:ascii="Times New Roman" w:eastAsia="Times New Roman" w:hAnsi="Times New Roman" w:cs="Times New Roman"/>
          <w:sz w:val="24"/>
          <w:szCs w:val="24"/>
        </w:rPr>
        <w:t>ratio higher means company has many cash or has facing problem in collecting accounts receivable. Lower of the ratio indicates they rely on inventory too much</w:t>
      </w:r>
      <w:r>
        <w:rPr>
          <w:rFonts w:ascii="Times New Roman" w:eastAsia="Times New Roman" w:hAnsi="Times New Roman" w:cs="Times New Roman"/>
          <w:sz w:val="24"/>
          <w:szCs w:val="24"/>
        </w:rPr>
        <w:t xml:space="preserve">. </w:t>
      </w:r>
      <w:r w:rsidR="00034BF9">
        <w:rPr>
          <w:rFonts w:ascii="Times New Roman" w:eastAsia="Times New Roman" w:hAnsi="Times New Roman" w:cs="Times New Roman"/>
          <w:sz w:val="24"/>
          <w:szCs w:val="24"/>
        </w:rPr>
        <w:t>S</w:t>
      </w:r>
      <w:r w:rsidR="00034BF9" w:rsidRPr="004D1ECD">
        <w:rPr>
          <w:rFonts w:ascii="Times New Roman" w:eastAsia="Times New Roman" w:hAnsi="Times New Roman" w:cs="Times New Roman"/>
          <w:sz w:val="24"/>
          <w:szCs w:val="24"/>
        </w:rPr>
        <w:t xml:space="preserve">o we can conclude </w:t>
      </w:r>
      <w:r w:rsidR="00034BF9">
        <w:rPr>
          <w:rFonts w:ascii="Times New Roman" w:eastAsia="Times New Roman" w:hAnsi="Times New Roman" w:cs="Times New Roman"/>
          <w:sz w:val="24"/>
          <w:szCs w:val="24"/>
        </w:rPr>
        <w:t>these years company relies on inventory</w:t>
      </w:r>
      <w:r w:rsidR="00034BF9" w:rsidRPr="004D1ECD">
        <w:rPr>
          <w:rFonts w:ascii="Times New Roman" w:eastAsia="Times New Roman" w:hAnsi="Times New Roman" w:cs="Times New Roman"/>
          <w:sz w:val="24"/>
          <w:szCs w:val="24"/>
        </w:rPr>
        <w:t>.</w:t>
      </w:r>
    </w:p>
    <w:p w:rsidR="00034BF9" w:rsidRPr="00A15E21" w:rsidRDefault="00034BF9" w:rsidP="00327EB2">
      <w:pPr>
        <w:pStyle w:val="NoSpacing"/>
      </w:pPr>
      <w:r w:rsidRPr="00A15E21">
        <w:t>Cash Ratio</w:t>
      </w:r>
    </w:p>
    <w:tbl>
      <w:tblPr>
        <w:tblStyle w:val="TableGrid"/>
        <w:tblW w:w="0" w:type="auto"/>
        <w:tblLook w:val="04A0" w:firstRow="1" w:lastRow="0" w:firstColumn="1" w:lastColumn="0" w:noHBand="0" w:noVBand="1"/>
      </w:tblPr>
      <w:tblGrid>
        <w:gridCol w:w="3192"/>
        <w:gridCol w:w="3192"/>
        <w:gridCol w:w="3192"/>
      </w:tblGrid>
      <w:tr w:rsidR="00034BF9" w:rsidTr="005A2715">
        <w:tc>
          <w:tcPr>
            <w:tcW w:w="3192" w:type="dxa"/>
          </w:tcPr>
          <w:p w:rsidR="00034BF9" w:rsidRDefault="00034BF9" w:rsidP="005A2715">
            <w:pPr>
              <w:jc w:val="center"/>
              <w:rPr>
                <w:rFonts w:ascii="Times New Roman" w:hAnsi="Times New Roman" w:cs="Times New Roman"/>
              </w:rPr>
            </w:pPr>
            <w:r>
              <w:rPr>
                <w:rFonts w:ascii="Times New Roman" w:hAnsi="Times New Roman" w:cs="Times New Roman"/>
                <w:noProof/>
              </w:rPr>
              <w:t>2016</w:t>
            </w:r>
          </w:p>
        </w:tc>
        <w:tc>
          <w:tcPr>
            <w:tcW w:w="3192" w:type="dxa"/>
          </w:tcPr>
          <w:p w:rsidR="00034BF9" w:rsidRDefault="00034BF9" w:rsidP="005A2715">
            <w:pPr>
              <w:jc w:val="center"/>
              <w:rPr>
                <w:rFonts w:ascii="Times New Roman" w:hAnsi="Times New Roman" w:cs="Times New Roman"/>
              </w:rPr>
            </w:pPr>
            <w:r>
              <w:rPr>
                <w:rFonts w:ascii="Times New Roman" w:hAnsi="Times New Roman" w:cs="Times New Roman"/>
              </w:rPr>
              <w:t>2015</w:t>
            </w:r>
          </w:p>
        </w:tc>
        <w:tc>
          <w:tcPr>
            <w:tcW w:w="3192" w:type="dxa"/>
          </w:tcPr>
          <w:p w:rsidR="00034BF9" w:rsidRDefault="00034BF9" w:rsidP="005A2715">
            <w:pPr>
              <w:jc w:val="center"/>
              <w:rPr>
                <w:rFonts w:ascii="Times New Roman" w:hAnsi="Times New Roman" w:cs="Times New Roman"/>
              </w:rPr>
            </w:pPr>
            <w:r>
              <w:rPr>
                <w:rFonts w:ascii="Times New Roman" w:hAnsi="Times New Roman" w:cs="Times New Roman"/>
              </w:rPr>
              <w:t>2014</w:t>
            </w:r>
          </w:p>
        </w:tc>
      </w:tr>
      <w:tr w:rsidR="00034BF9" w:rsidTr="005A2715">
        <w:tc>
          <w:tcPr>
            <w:tcW w:w="3192" w:type="dxa"/>
            <w:vAlign w:val="bottom"/>
          </w:tcPr>
          <w:p w:rsidR="00034BF9" w:rsidRDefault="007F37A2" w:rsidP="005A2715">
            <w:pPr>
              <w:jc w:val="center"/>
              <w:rPr>
                <w:rFonts w:ascii="Calibri" w:hAnsi="Calibri" w:cs="Calibri"/>
                <w:color w:val="000000"/>
              </w:rPr>
            </w:pPr>
            <w:r>
              <w:rPr>
                <w:rFonts w:ascii="Calibri" w:hAnsi="Calibri" w:cs="Calibri"/>
                <w:color w:val="000000"/>
              </w:rPr>
              <w:t>0.0123</w:t>
            </w:r>
          </w:p>
        </w:tc>
        <w:tc>
          <w:tcPr>
            <w:tcW w:w="3192" w:type="dxa"/>
            <w:vAlign w:val="bottom"/>
          </w:tcPr>
          <w:p w:rsidR="00034BF9" w:rsidRDefault="007F37A2" w:rsidP="005A2715">
            <w:pPr>
              <w:jc w:val="center"/>
              <w:rPr>
                <w:rFonts w:ascii="Calibri" w:hAnsi="Calibri" w:cs="Calibri"/>
                <w:color w:val="000000"/>
              </w:rPr>
            </w:pPr>
            <w:r>
              <w:rPr>
                <w:rFonts w:ascii="Calibri" w:hAnsi="Calibri" w:cs="Calibri"/>
                <w:color w:val="000000"/>
              </w:rPr>
              <w:t>0.0039</w:t>
            </w:r>
          </w:p>
        </w:tc>
        <w:tc>
          <w:tcPr>
            <w:tcW w:w="3192" w:type="dxa"/>
            <w:vAlign w:val="bottom"/>
          </w:tcPr>
          <w:p w:rsidR="00034BF9" w:rsidRDefault="007F37A2" w:rsidP="005A2715">
            <w:pPr>
              <w:jc w:val="center"/>
              <w:rPr>
                <w:rFonts w:ascii="Calibri" w:hAnsi="Calibri" w:cs="Calibri"/>
                <w:color w:val="000000"/>
              </w:rPr>
            </w:pPr>
            <w:r>
              <w:rPr>
                <w:rFonts w:ascii="Calibri" w:hAnsi="Calibri" w:cs="Calibri"/>
                <w:color w:val="000000"/>
              </w:rPr>
              <w:t>0.2325</w:t>
            </w:r>
          </w:p>
        </w:tc>
      </w:tr>
    </w:tbl>
    <w:p w:rsidR="00034BF9" w:rsidRPr="00BA29FD" w:rsidRDefault="00034BF9" w:rsidP="00034BF9"/>
    <w:p w:rsidR="00034BF9" w:rsidRDefault="00034BF9" w:rsidP="00034BF9">
      <w:pPr>
        <w:rPr>
          <w:b/>
        </w:rPr>
      </w:pPr>
      <w:r w:rsidRPr="00612C3F">
        <w:rPr>
          <w:b/>
          <w:noProof/>
        </w:rPr>
        <w:lastRenderedPageBreak/>
        <w:drawing>
          <wp:inline distT="0" distB="0" distL="0" distR="0">
            <wp:extent cx="2609850" cy="1543050"/>
            <wp:effectExtent l="19050" t="0" r="19050" b="0"/>
            <wp:docPr id="9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A43221" w:rsidRPr="00FE50EF" w:rsidRDefault="00A43221" w:rsidP="00A43221">
      <w:pPr>
        <w:jc w:val="both"/>
        <w:rPr>
          <w:b/>
        </w:rPr>
      </w:pPr>
      <w:r>
        <w:rPr>
          <w:rFonts w:ascii="Times New Roman" w:eastAsia="Times New Roman" w:hAnsi="Times New Roman" w:cs="Times New Roman"/>
          <w:sz w:val="24"/>
          <w:szCs w:val="24"/>
        </w:rPr>
        <w:t>This ratio measures the liquidity of a company, the ability to pay its supplier short term liabilities with cash. Cash ratio is more liquid and stricter than quick ratio and current ratio.</w:t>
      </w:r>
    </w:p>
    <w:p w:rsidR="00034BF9" w:rsidRDefault="00034BF9" w:rsidP="00034BF9">
      <w:pPr>
        <w:tabs>
          <w:tab w:val="left" w:pos="6168"/>
        </w:tabs>
        <w:spacing w:after="0" w:line="276" w:lineRule="auto"/>
        <w:jc w:val="both"/>
        <w:rPr>
          <w:rFonts w:ascii="Times New Roman" w:eastAsia="Times New Roman" w:hAnsi="Times New Roman" w:cs="Times New Roman"/>
          <w:noProof/>
          <w:color w:val="000000"/>
          <w:sz w:val="24"/>
          <w:szCs w:val="24"/>
        </w:rPr>
      </w:pPr>
      <w:r>
        <w:rPr>
          <w:rFonts w:ascii="Times New Roman" w:eastAsia="Times New Roman" w:hAnsi="Times New Roman" w:cs="Times New Roman"/>
          <w:sz w:val="24"/>
          <w:szCs w:val="24"/>
        </w:rPr>
        <w:t>A</w:t>
      </w:r>
      <w:r w:rsidR="007F37A2">
        <w:rPr>
          <w:rFonts w:ascii="Times New Roman" w:eastAsia="Times New Roman" w:hAnsi="Times New Roman" w:cs="Times New Roman"/>
          <w:sz w:val="24"/>
          <w:szCs w:val="24"/>
        </w:rPr>
        <w:t>ppex</w:t>
      </w:r>
      <w:r w:rsidR="0087008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Food Limited</w:t>
      </w:r>
      <w:r w:rsidRPr="004D1ECD">
        <w:rPr>
          <w:rFonts w:ascii="Times New Roman" w:eastAsia="Times New Roman" w:hAnsi="Times New Roman" w:cs="Times New Roman"/>
          <w:sz w:val="24"/>
          <w:szCs w:val="24"/>
        </w:rPr>
        <w:t xml:space="preserve"> cash ratio for year </w:t>
      </w:r>
      <w:r>
        <w:rPr>
          <w:rFonts w:ascii="Times New Roman" w:eastAsia="Times New Roman" w:hAnsi="Times New Roman" w:cs="Times New Roman"/>
          <w:sz w:val="24"/>
          <w:szCs w:val="24"/>
        </w:rPr>
        <w:t xml:space="preserve">these 3 years (2014-2016) is in small amount </w:t>
      </w:r>
      <w:r w:rsidRPr="004D1ECD">
        <w:rPr>
          <w:rFonts w:ascii="Times New Roman" w:eastAsia="Times New Roman" w:hAnsi="Times New Roman" w:cs="Times New Roman"/>
          <w:sz w:val="24"/>
          <w:szCs w:val="24"/>
        </w:rPr>
        <w:t>So, company maintain lower cash to meet their suppliers.</w:t>
      </w:r>
    </w:p>
    <w:p w:rsidR="00034BF9" w:rsidRDefault="00034BF9" w:rsidP="00034BF9">
      <w:pPr>
        <w:tabs>
          <w:tab w:val="left" w:pos="6168"/>
        </w:tabs>
        <w:spacing w:after="0" w:line="276" w:lineRule="auto"/>
        <w:jc w:val="both"/>
        <w:rPr>
          <w:rFonts w:ascii="Times New Roman" w:eastAsia="Times New Roman" w:hAnsi="Times New Roman" w:cs="Times New Roman"/>
          <w:noProof/>
          <w:color w:val="000000"/>
          <w:sz w:val="24"/>
          <w:szCs w:val="24"/>
        </w:rPr>
      </w:pPr>
    </w:p>
    <w:p w:rsidR="00034BF9" w:rsidRPr="00034BF9" w:rsidRDefault="00034BF9" w:rsidP="00034BF9">
      <w:pPr>
        <w:spacing w:before="100" w:beforeAutospacing="1" w:after="100" w:afterAutospacing="1" w:line="276" w:lineRule="auto"/>
        <w:rPr>
          <w:rFonts w:ascii="Times New Roman" w:eastAsia="Times New Roman" w:hAnsi="Times New Roman" w:cs="Times New Roman"/>
        </w:rPr>
      </w:pPr>
    </w:p>
    <w:p w:rsidR="002016C3" w:rsidRDefault="002016C3" w:rsidP="002016C3"/>
    <w:p w:rsidR="007464DC" w:rsidRDefault="007464DC" w:rsidP="00933128">
      <w:pPr>
        <w:jc w:val="center"/>
        <w:rPr>
          <w:b/>
          <w:sz w:val="48"/>
          <w:szCs w:val="48"/>
        </w:rPr>
      </w:pPr>
    </w:p>
    <w:p w:rsidR="007464DC" w:rsidRDefault="007464DC" w:rsidP="00933128">
      <w:pPr>
        <w:jc w:val="center"/>
        <w:rPr>
          <w:b/>
          <w:sz w:val="48"/>
          <w:szCs w:val="48"/>
        </w:rPr>
      </w:pPr>
    </w:p>
    <w:p w:rsidR="007464DC" w:rsidRDefault="007464DC" w:rsidP="00933128">
      <w:pPr>
        <w:jc w:val="center"/>
        <w:rPr>
          <w:b/>
          <w:sz w:val="48"/>
          <w:szCs w:val="48"/>
        </w:rPr>
      </w:pPr>
    </w:p>
    <w:p w:rsidR="007464DC" w:rsidRDefault="007464DC" w:rsidP="00933128">
      <w:pPr>
        <w:jc w:val="center"/>
        <w:rPr>
          <w:b/>
          <w:sz w:val="48"/>
          <w:szCs w:val="48"/>
        </w:rPr>
      </w:pPr>
    </w:p>
    <w:p w:rsidR="007464DC" w:rsidRDefault="007464DC" w:rsidP="00933128">
      <w:pPr>
        <w:jc w:val="center"/>
        <w:rPr>
          <w:b/>
          <w:sz w:val="48"/>
          <w:szCs w:val="48"/>
        </w:rPr>
      </w:pPr>
    </w:p>
    <w:p w:rsidR="007464DC" w:rsidRDefault="007464DC" w:rsidP="00933128">
      <w:pPr>
        <w:jc w:val="center"/>
        <w:rPr>
          <w:b/>
          <w:sz w:val="48"/>
          <w:szCs w:val="48"/>
        </w:rPr>
      </w:pPr>
    </w:p>
    <w:p w:rsidR="007464DC" w:rsidRDefault="007464DC" w:rsidP="00933128">
      <w:pPr>
        <w:jc w:val="center"/>
        <w:rPr>
          <w:b/>
          <w:sz w:val="48"/>
          <w:szCs w:val="48"/>
        </w:rPr>
      </w:pPr>
    </w:p>
    <w:p w:rsidR="007464DC" w:rsidRDefault="007464DC" w:rsidP="00933128">
      <w:pPr>
        <w:jc w:val="center"/>
        <w:rPr>
          <w:b/>
          <w:sz w:val="48"/>
          <w:szCs w:val="48"/>
        </w:rPr>
      </w:pPr>
    </w:p>
    <w:p w:rsidR="00825250" w:rsidRPr="00825250" w:rsidRDefault="00825250" w:rsidP="00825250">
      <w:pPr>
        <w:pStyle w:val="Heading1"/>
        <w:jc w:val="center"/>
        <w:rPr>
          <w:b/>
          <w:color w:val="4F6228" w:themeColor="accent3" w:themeShade="80"/>
          <w:sz w:val="56"/>
          <w:szCs w:val="56"/>
        </w:rPr>
      </w:pPr>
      <w:bookmarkStart w:id="33" w:name="_Toc18627816"/>
      <w:r w:rsidRPr="00825250">
        <w:rPr>
          <w:b/>
          <w:color w:val="4F6228" w:themeColor="accent3" w:themeShade="80"/>
          <w:sz w:val="56"/>
          <w:szCs w:val="56"/>
        </w:rPr>
        <w:lastRenderedPageBreak/>
        <w:t>Pharmaceuticals Companies</w:t>
      </w:r>
      <w:bookmarkEnd w:id="33"/>
    </w:p>
    <w:p w:rsidR="00933128" w:rsidRPr="00825250" w:rsidRDefault="00933128" w:rsidP="00825250">
      <w:pPr>
        <w:pStyle w:val="Heading2"/>
        <w:jc w:val="center"/>
        <w:rPr>
          <w:sz w:val="48"/>
          <w:szCs w:val="48"/>
        </w:rPr>
      </w:pPr>
      <w:bookmarkStart w:id="34" w:name="_Toc18627817"/>
      <w:r w:rsidRPr="00825250">
        <w:rPr>
          <w:rFonts w:cs="Times New Roman"/>
          <w:sz w:val="48"/>
          <w:szCs w:val="48"/>
        </w:rPr>
        <w:t>Beximco</w:t>
      </w:r>
      <w:r w:rsidRPr="00825250">
        <w:rPr>
          <w:sz w:val="48"/>
          <w:szCs w:val="48"/>
        </w:rPr>
        <w:t xml:space="preserve"> Pharmaceutical Limited</w:t>
      </w:r>
      <w:bookmarkEnd w:id="34"/>
    </w:p>
    <w:p w:rsidR="007464DC" w:rsidRPr="007464DC" w:rsidRDefault="007464DC" w:rsidP="007464DC"/>
    <w:p w:rsidR="00B37540" w:rsidRDefault="00B37540" w:rsidP="00B823E5">
      <w:pPr>
        <w:pStyle w:val="Heading3"/>
        <w:rPr>
          <w:rFonts w:eastAsia="Times New Roman"/>
        </w:rPr>
      </w:pPr>
      <w:bookmarkStart w:id="35" w:name="_Toc18627818"/>
      <w:r>
        <w:rPr>
          <w:rFonts w:eastAsia="Times New Roman"/>
        </w:rPr>
        <w:t>Company Profile</w:t>
      </w:r>
      <w:bookmarkEnd w:id="35"/>
    </w:p>
    <w:p w:rsidR="00B37540" w:rsidRPr="00B37540" w:rsidRDefault="00B37540" w:rsidP="00B37540">
      <w:pPr>
        <w:pStyle w:val="NormalWeb"/>
        <w:spacing w:line="276" w:lineRule="auto"/>
        <w:jc w:val="both"/>
      </w:pPr>
      <w:r w:rsidRPr="00B37540">
        <w:t xml:space="preserve">Beximco Pharmaceuticals Ltd is </w:t>
      </w:r>
      <w:r w:rsidR="00782AB7">
        <w:t>a leading</w:t>
      </w:r>
      <w:r w:rsidRPr="00B37540">
        <w:t xml:space="preserve"> drug player</w:t>
      </w:r>
      <w:r w:rsidR="00782AB7">
        <w:t xml:space="preserve"> who</w:t>
      </w:r>
      <w:r w:rsidRPr="00B37540">
        <w:t xml:space="preserve"> committed to prov</w:t>
      </w:r>
      <w:r w:rsidR="00782AB7">
        <w:t>e</w:t>
      </w:r>
      <w:r w:rsidRPr="00B37540">
        <w:t xml:space="preserve"> access to aff</w:t>
      </w:r>
      <w:r w:rsidR="00782AB7">
        <w:t xml:space="preserve">ordable medicines. Company’s </w:t>
      </w:r>
      <w:r w:rsidRPr="00B37540">
        <w:t xml:space="preserve">manufacturing facilities have been accredited by the regulatory authorities of USA, Australia, </w:t>
      </w:r>
      <w:r w:rsidR="00782AB7">
        <w:t>EU</w:t>
      </w:r>
      <w:r w:rsidRPr="00B37540">
        <w:t xml:space="preserve">, Canada, and Brazil, among others, and it currently focuses on building presence in many </w:t>
      </w:r>
      <w:r w:rsidR="00782AB7">
        <w:t>growing</w:t>
      </w:r>
      <w:r w:rsidRPr="00B37540">
        <w:t xml:space="preserve"> and </w:t>
      </w:r>
      <w:r w:rsidR="00782AB7">
        <w:t>established</w:t>
      </w:r>
      <w:r w:rsidRPr="00B37540">
        <w:t xml:space="preserve"> markets around the world.</w:t>
      </w:r>
    </w:p>
    <w:p w:rsidR="00B37540" w:rsidRDefault="00B37540" w:rsidP="00B37540">
      <w:pPr>
        <w:pStyle w:val="NormalWeb"/>
        <w:spacing w:line="276" w:lineRule="auto"/>
        <w:jc w:val="both"/>
      </w:pPr>
      <w:r w:rsidRPr="00B37540">
        <w:t>Beximco Pharma is building upon its portfolio and currently p</w:t>
      </w:r>
      <w:r w:rsidR="00782AB7">
        <w:t xml:space="preserve">roducing more than 500 products. </w:t>
      </w:r>
      <w:r w:rsidRPr="00B37540">
        <w:t xml:space="preserve">Company created strong </w:t>
      </w:r>
      <w:r w:rsidR="00782AB7">
        <w:t>position</w:t>
      </w:r>
      <w:r w:rsidRPr="00B37540">
        <w:t xml:space="preserve"> by offering a high-tech, specialized products which are difficult to </w:t>
      </w:r>
      <w:r w:rsidR="00782AB7">
        <w:t>copy.</w:t>
      </w:r>
    </w:p>
    <w:p w:rsidR="00EB0730" w:rsidRPr="00B37540" w:rsidRDefault="00EB0730" w:rsidP="00EB0730">
      <w:pPr>
        <w:spacing w:before="100" w:beforeAutospacing="1" w:after="100" w:afterAutospacing="1" w:line="276" w:lineRule="auto"/>
        <w:jc w:val="both"/>
        <w:rPr>
          <w:rFonts w:ascii="Times New Roman" w:eastAsia="Calibri" w:hAnsi="Times New Roman" w:cs="Times New Roman"/>
          <w:sz w:val="24"/>
          <w:szCs w:val="24"/>
          <w:shd w:val="clear" w:color="auto" w:fill="FAFAFA"/>
        </w:rPr>
      </w:pPr>
      <w:r>
        <w:rPr>
          <w:rFonts w:ascii="Times New Roman" w:eastAsia="Times New Roman" w:hAnsi="Times New Roman" w:cs="Times New Roman"/>
          <w:color w:val="000000"/>
          <w:sz w:val="24"/>
          <w:szCs w:val="24"/>
          <w:shd w:val="clear" w:color="auto" w:fill="FFFFFF"/>
        </w:rPr>
        <w:t>Following Analyses are based on Beximco Pharmaceuticals limited’s annual report (2104-2016).</w:t>
      </w:r>
      <w:sdt>
        <w:sdtPr>
          <w:rPr>
            <w:rFonts w:ascii="Times New Roman" w:eastAsia="Times New Roman" w:hAnsi="Times New Roman" w:cs="Times New Roman"/>
            <w:color w:val="000000"/>
            <w:sz w:val="24"/>
            <w:szCs w:val="24"/>
            <w:shd w:val="clear" w:color="auto" w:fill="FFFFFF"/>
          </w:rPr>
          <w:id w:val="611293"/>
          <w:citation/>
        </w:sdtPr>
        <w:sdtEndPr/>
        <w:sdtContent>
          <w:r w:rsidR="00C31EB1">
            <w:rPr>
              <w:rFonts w:ascii="Times New Roman" w:eastAsia="Times New Roman" w:hAnsi="Times New Roman" w:cs="Times New Roman"/>
              <w:color w:val="000000"/>
              <w:sz w:val="24"/>
              <w:szCs w:val="24"/>
              <w:shd w:val="clear" w:color="auto" w:fill="FFFFFF"/>
            </w:rPr>
            <w:fldChar w:fldCharType="begin"/>
          </w:r>
          <w:r>
            <w:rPr>
              <w:rFonts w:ascii="Times New Roman" w:eastAsia="Times New Roman" w:hAnsi="Times New Roman" w:cs="Times New Roman"/>
              <w:color w:val="000000"/>
              <w:sz w:val="24"/>
              <w:szCs w:val="24"/>
              <w:shd w:val="clear" w:color="auto" w:fill="FFFFFF"/>
            </w:rPr>
            <w:instrText xml:space="preserve"> CITATION Bex16 \l 1033 </w:instrText>
          </w:r>
          <w:r w:rsidR="00C31EB1">
            <w:rPr>
              <w:rFonts w:ascii="Times New Roman" w:eastAsia="Times New Roman" w:hAnsi="Times New Roman" w:cs="Times New Roman"/>
              <w:color w:val="000000"/>
              <w:sz w:val="24"/>
              <w:szCs w:val="24"/>
              <w:shd w:val="clear" w:color="auto" w:fill="FFFFFF"/>
            </w:rPr>
            <w:fldChar w:fldCharType="separate"/>
          </w:r>
          <w:r w:rsidRPr="00EB0730">
            <w:rPr>
              <w:rFonts w:ascii="Times New Roman" w:eastAsia="Times New Roman" w:hAnsi="Times New Roman" w:cs="Times New Roman"/>
              <w:noProof/>
              <w:color w:val="000000"/>
              <w:sz w:val="24"/>
              <w:szCs w:val="24"/>
              <w:shd w:val="clear" w:color="auto" w:fill="FFFFFF"/>
            </w:rPr>
            <w:t>(Beximco Pharmaceuticals Limited, 2014-2016)</w:t>
          </w:r>
          <w:r w:rsidR="00C31EB1">
            <w:rPr>
              <w:rFonts w:ascii="Times New Roman" w:eastAsia="Times New Roman" w:hAnsi="Times New Roman" w:cs="Times New Roman"/>
              <w:color w:val="000000"/>
              <w:sz w:val="24"/>
              <w:szCs w:val="24"/>
              <w:shd w:val="clear" w:color="auto" w:fill="FFFFFF"/>
            </w:rPr>
            <w:fldChar w:fldCharType="end"/>
          </w:r>
        </w:sdtContent>
      </w:sdt>
    </w:p>
    <w:p w:rsidR="00B37540" w:rsidRPr="00B37540" w:rsidRDefault="00B37540" w:rsidP="00B37540"/>
    <w:p w:rsidR="00933128" w:rsidRPr="0009451F" w:rsidRDefault="00933128" w:rsidP="00B823E5">
      <w:pPr>
        <w:pStyle w:val="Heading3"/>
        <w:rPr>
          <w:rFonts w:eastAsia="Times New Roman"/>
        </w:rPr>
      </w:pPr>
      <w:bookmarkStart w:id="36" w:name="_Toc18627819"/>
      <w:r w:rsidRPr="004D1ECD">
        <w:rPr>
          <w:rFonts w:eastAsia="Times New Roman"/>
        </w:rPr>
        <w:t>Analysis of Cash Conversion Cycle</w:t>
      </w:r>
      <w:bookmarkEnd w:id="36"/>
    </w:p>
    <w:p w:rsidR="007D7D14" w:rsidRPr="003F1D4F" w:rsidRDefault="007D7D14" w:rsidP="007D7D14">
      <w:pPr>
        <w:spacing w:line="276" w:lineRule="auto"/>
        <w:jc w:val="both"/>
        <w:rPr>
          <w:rFonts w:ascii="Times New Roman" w:hAnsi="Times New Roman" w:cs="Times New Roman"/>
          <w:sz w:val="24"/>
          <w:szCs w:val="24"/>
        </w:rPr>
      </w:pPr>
      <w:r w:rsidRPr="003F1D4F">
        <w:rPr>
          <w:rFonts w:ascii="Times New Roman" w:hAnsi="Times New Roman" w:cs="Times New Roman"/>
          <w:sz w:val="24"/>
          <w:szCs w:val="24"/>
        </w:rPr>
        <w:t>The cash conversion cycle is a cash flow calculation that measure the time it takes a company to companies invest and inventory and resources inputs to cash. Cash conversion cycle gives a total view for effective working capital.</w:t>
      </w:r>
    </w:p>
    <w:p w:rsidR="007D7D14" w:rsidRDefault="007D7D14" w:rsidP="007D7D14">
      <w:pPr>
        <w:tabs>
          <w:tab w:val="left" w:pos="6168"/>
        </w:tabs>
        <w:spacing w:after="0" w:line="276" w:lineRule="auto"/>
        <w:jc w:val="both"/>
        <w:rPr>
          <w:rFonts w:ascii="Times New Roman" w:eastAsia="Times New Roman" w:hAnsi="Times New Roman" w:cs="Times New Roman"/>
          <w:bCs/>
          <w:color w:val="000000"/>
          <w:sz w:val="24"/>
          <w:szCs w:val="24"/>
          <w:bdr w:val="none" w:sz="0" w:space="0" w:color="auto" w:frame="1"/>
          <w:shd w:val="clear" w:color="auto" w:fill="FFFFFF"/>
        </w:rPr>
      </w:pPr>
      <w:r w:rsidRPr="004D1ECD">
        <w:rPr>
          <w:rFonts w:ascii="Times New Roman" w:eastAsia="Times New Roman" w:hAnsi="Times New Roman" w:cs="Times New Roman"/>
          <w:noProof/>
          <w:color w:val="000000"/>
          <w:sz w:val="24"/>
          <w:szCs w:val="24"/>
        </w:rPr>
        <w:t>Cash Conversion Cyle (CCC)</w:t>
      </w:r>
      <w:r w:rsidRPr="004D1ECD">
        <w:rPr>
          <w:rFonts w:ascii="Times New Roman" w:eastAsia="Times New Roman" w:hAnsi="Times New Roman" w:cs="Times New Roman"/>
          <w:b/>
          <w:noProof/>
          <w:color w:val="000000"/>
          <w:sz w:val="24"/>
          <w:szCs w:val="24"/>
        </w:rPr>
        <w:t xml:space="preserve">= </w:t>
      </w:r>
      <w:r w:rsidRPr="004D1ECD">
        <w:rPr>
          <w:rFonts w:ascii="Times New Roman" w:eastAsia="Times New Roman" w:hAnsi="Times New Roman" w:cs="Times New Roman"/>
          <w:bCs/>
          <w:color w:val="000000"/>
          <w:sz w:val="24"/>
          <w:szCs w:val="24"/>
          <w:bdr w:val="none" w:sz="0" w:space="0" w:color="auto" w:frame="1"/>
          <w:shd w:val="clear" w:color="auto" w:fill="FFFFFF"/>
        </w:rPr>
        <w:t>DSO + DIO – DPO</w:t>
      </w:r>
    </w:p>
    <w:p w:rsidR="007D7D14" w:rsidRDefault="007D7D14" w:rsidP="007D7D14">
      <w:pPr>
        <w:tabs>
          <w:tab w:val="left" w:pos="6168"/>
        </w:tabs>
        <w:spacing w:after="0" w:line="276" w:lineRule="auto"/>
        <w:jc w:val="both"/>
        <w:rPr>
          <w:rFonts w:ascii="Times New Roman" w:eastAsia="Times New Roman" w:hAnsi="Times New Roman" w:cs="Times New Roman"/>
          <w:bCs/>
          <w:color w:val="000000"/>
          <w:sz w:val="24"/>
          <w:szCs w:val="24"/>
          <w:bdr w:val="none" w:sz="0" w:space="0" w:color="auto" w:frame="1"/>
          <w:shd w:val="clear" w:color="auto" w:fill="FFFFFF"/>
        </w:rPr>
      </w:pPr>
    </w:p>
    <w:p w:rsidR="007D7D14" w:rsidRDefault="007D7D14" w:rsidP="007D7D14">
      <w:pPr>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In </w:t>
      </w:r>
      <w:r w:rsidRPr="004D1ECD">
        <w:rPr>
          <w:rFonts w:ascii="Times New Roman" w:eastAsia="Times New Roman" w:hAnsi="Times New Roman" w:cs="Times New Roman"/>
          <w:color w:val="000000"/>
          <w:sz w:val="24"/>
          <w:szCs w:val="24"/>
          <w:shd w:val="clear" w:color="auto" w:fill="FFFFFF"/>
        </w:rPr>
        <w:t xml:space="preserve">cash flow calculations, shorter </w:t>
      </w:r>
      <w:r>
        <w:rPr>
          <w:rFonts w:ascii="Times New Roman" w:eastAsia="Times New Roman" w:hAnsi="Times New Roman" w:cs="Times New Roman"/>
          <w:color w:val="000000"/>
          <w:sz w:val="24"/>
          <w:szCs w:val="24"/>
          <w:shd w:val="clear" w:color="auto" w:fill="FFFFFF"/>
        </w:rPr>
        <w:t>value</w:t>
      </w:r>
      <w:r w:rsidRPr="004D1ECD">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is</w:t>
      </w:r>
      <w:r w:rsidRPr="004D1ECD">
        <w:rPr>
          <w:rFonts w:ascii="Times New Roman" w:eastAsia="Times New Roman" w:hAnsi="Times New Roman" w:cs="Times New Roman"/>
          <w:color w:val="000000"/>
          <w:sz w:val="24"/>
          <w:szCs w:val="24"/>
          <w:shd w:val="clear" w:color="auto" w:fill="FFFFFF"/>
        </w:rPr>
        <w:t xml:space="preserve"> almost good</w:t>
      </w:r>
      <w:r>
        <w:rPr>
          <w:rFonts w:ascii="Times New Roman" w:eastAsia="Times New Roman" w:hAnsi="Times New Roman" w:cs="Times New Roman"/>
          <w:color w:val="000000"/>
          <w:sz w:val="24"/>
          <w:szCs w:val="24"/>
          <w:shd w:val="clear" w:color="auto" w:fill="FFFFFF"/>
        </w:rPr>
        <w:t xml:space="preserve"> </w:t>
      </w:r>
      <w:r w:rsidRPr="004D1ECD">
        <w:rPr>
          <w:rFonts w:ascii="Times New Roman" w:eastAsia="Times New Roman" w:hAnsi="Times New Roman" w:cs="Times New Roman"/>
          <w:color w:val="000000"/>
          <w:sz w:val="24"/>
          <w:szCs w:val="24"/>
          <w:shd w:val="clear" w:color="auto" w:fill="FFFFFF"/>
        </w:rPr>
        <w:t xml:space="preserve">always. A </w:t>
      </w:r>
      <w:r>
        <w:rPr>
          <w:rFonts w:ascii="Times New Roman" w:eastAsia="Times New Roman" w:hAnsi="Times New Roman" w:cs="Times New Roman"/>
          <w:color w:val="000000"/>
          <w:sz w:val="24"/>
          <w:szCs w:val="24"/>
          <w:shd w:val="clear" w:color="auto" w:fill="FFFFFF"/>
        </w:rPr>
        <w:t>low</w:t>
      </w:r>
      <w:r w:rsidRPr="004D1ECD">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cash conversion cycle</w:t>
      </w:r>
      <w:r w:rsidRPr="004D1ECD">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describes</w:t>
      </w:r>
      <w:r w:rsidRPr="004D1ECD">
        <w:rPr>
          <w:rFonts w:ascii="Times New Roman" w:eastAsia="Times New Roman" w:hAnsi="Times New Roman" w:cs="Times New Roman"/>
          <w:color w:val="000000"/>
          <w:sz w:val="24"/>
          <w:szCs w:val="24"/>
          <w:shd w:val="clear" w:color="auto" w:fill="FFFFFF"/>
        </w:rPr>
        <w:t xml:space="preserve"> that company’s money is </w:t>
      </w:r>
      <w:r>
        <w:rPr>
          <w:rFonts w:ascii="Times New Roman" w:eastAsia="Times New Roman" w:hAnsi="Times New Roman" w:cs="Times New Roman"/>
          <w:color w:val="000000"/>
          <w:sz w:val="24"/>
          <w:szCs w:val="24"/>
          <w:shd w:val="clear" w:color="auto" w:fill="FFFFFF"/>
        </w:rPr>
        <w:t>active</w:t>
      </w:r>
      <w:r w:rsidRPr="004D1ECD">
        <w:rPr>
          <w:rFonts w:ascii="Times New Roman" w:eastAsia="Times New Roman" w:hAnsi="Times New Roman" w:cs="Times New Roman"/>
          <w:color w:val="000000"/>
          <w:sz w:val="24"/>
          <w:szCs w:val="24"/>
          <w:shd w:val="clear" w:color="auto" w:fill="FFFFFF"/>
        </w:rPr>
        <w:t xml:space="preserve"> in inventory </w:t>
      </w:r>
      <w:r>
        <w:rPr>
          <w:rFonts w:ascii="Times New Roman" w:eastAsia="Times New Roman" w:hAnsi="Times New Roman" w:cs="Times New Roman"/>
          <w:color w:val="000000"/>
          <w:sz w:val="24"/>
          <w:szCs w:val="24"/>
          <w:shd w:val="clear" w:color="auto" w:fill="FFFFFF"/>
        </w:rPr>
        <w:t>for smaller time.</w:t>
      </w:r>
    </w:p>
    <w:p w:rsidR="00933128" w:rsidRDefault="00933128" w:rsidP="003F1D4F">
      <w:pPr>
        <w:tabs>
          <w:tab w:val="left" w:pos="6168"/>
        </w:tabs>
        <w:spacing w:after="0" w:line="276" w:lineRule="auto"/>
        <w:jc w:val="both"/>
        <w:rPr>
          <w:rFonts w:ascii="Times New Roman" w:eastAsia="Times New Roman" w:hAnsi="Times New Roman" w:cs="Times New Roman"/>
          <w:noProof/>
          <w:color w:val="000000"/>
          <w:sz w:val="24"/>
          <w:szCs w:val="24"/>
        </w:rPr>
      </w:pPr>
      <w:r w:rsidRPr="004D1ECD">
        <w:rPr>
          <w:rFonts w:ascii="Times New Roman" w:eastAsia="Times New Roman" w:hAnsi="Times New Roman" w:cs="Times New Roman"/>
          <w:color w:val="000000"/>
          <w:sz w:val="24"/>
          <w:szCs w:val="24"/>
          <w:shd w:val="clear" w:color="auto" w:fill="FFFFFF"/>
        </w:rPr>
        <w:t xml:space="preserve">In the </w:t>
      </w:r>
      <w:r w:rsidR="003F1D4F">
        <w:rPr>
          <w:rFonts w:ascii="Times New Roman" w:eastAsia="Times New Roman" w:hAnsi="Times New Roman" w:cs="Times New Roman"/>
          <w:noProof/>
          <w:color w:val="000000"/>
          <w:sz w:val="24"/>
          <w:szCs w:val="24"/>
        </w:rPr>
        <w:t>Beximco Pharmaceuticals</w:t>
      </w:r>
      <w:r w:rsidRPr="004D1ECD">
        <w:rPr>
          <w:rFonts w:ascii="Times New Roman" w:eastAsia="Times New Roman" w:hAnsi="Times New Roman" w:cs="Times New Roman"/>
          <w:noProof/>
          <w:color w:val="000000"/>
          <w:sz w:val="24"/>
          <w:szCs w:val="24"/>
        </w:rPr>
        <w:t xml:space="preserve"> the Cash Convertion Cycle (CCC) is </w:t>
      </w:r>
      <w:r>
        <w:rPr>
          <w:rFonts w:ascii="Times New Roman" w:eastAsia="Times New Roman" w:hAnsi="Times New Roman" w:cs="Times New Roman"/>
          <w:noProof/>
          <w:color w:val="000000"/>
          <w:sz w:val="24"/>
          <w:szCs w:val="24"/>
        </w:rPr>
        <w:t xml:space="preserve">168,168,173 days for consecutively for year of 2016,2015,2014.So, </w:t>
      </w:r>
      <w:r w:rsidRPr="004D1ECD">
        <w:rPr>
          <w:rFonts w:ascii="Times New Roman" w:eastAsia="Times New Roman" w:hAnsi="Times New Roman" w:cs="Times New Roman"/>
          <w:noProof/>
          <w:color w:val="000000"/>
          <w:sz w:val="24"/>
          <w:szCs w:val="24"/>
        </w:rPr>
        <w:t>that is n</w:t>
      </w:r>
      <w:r>
        <w:rPr>
          <w:rFonts w:ascii="Times New Roman" w:eastAsia="Times New Roman" w:hAnsi="Times New Roman" w:cs="Times New Roman"/>
          <w:noProof/>
          <w:color w:val="000000"/>
          <w:sz w:val="24"/>
          <w:szCs w:val="24"/>
        </w:rPr>
        <w:t>ot satisfactory for the company.</w:t>
      </w:r>
    </w:p>
    <w:p w:rsidR="004668A8" w:rsidRDefault="00B37540" w:rsidP="00B823E5">
      <w:pPr>
        <w:pStyle w:val="Heading3"/>
        <w:rPr>
          <w:rFonts w:eastAsia="Times New Roman"/>
          <w:noProof/>
        </w:rPr>
      </w:pPr>
      <w:bookmarkStart w:id="37" w:name="_Toc18627820"/>
      <w:r>
        <w:rPr>
          <w:rFonts w:eastAsia="Times New Roman"/>
          <w:noProof/>
        </w:rPr>
        <w:t>Ratio Analysis</w:t>
      </w:r>
      <w:bookmarkEnd w:id="37"/>
    </w:p>
    <w:p w:rsidR="004668A8" w:rsidRPr="00D0708E" w:rsidRDefault="004668A8" w:rsidP="004668A8">
      <w:pPr>
        <w:rPr>
          <w:rFonts w:ascii="Times New Roman" w:hAnsi="Times New Roman" w:cs="Times New Roman"/>
        </w:rPr>
      </w:pPr>
    </w:p>
    <w:p w:rsidR="004668A8" w:rsidRPr="004668A8" w:rsidRDefault="004668A8" w:rsidP="00327EB2">
      <w:pPr>
        <w:pStyle w:val="NoSpacing"/>
      </w:pPr>
      <w:r w:rsidRPr="004668A8">
        <w:t>Working Capital Turnover Ratio</w:t>
      </w:r>
    </w:p>
    <w:tbl>
      <w:tblPr>
        <w:tblStyle w:val="TableGrid"/>
        <w:tblW w:w="0" w:type="auto"/>
        <w:tblLook w:val="04A0" w:firstRow="1" w:lastRow="0" w:firstColumn="1" w:lastColumn="0" w:noHBand="0" w:noVBand="1"/>
      </w:tblPr>
      <w:tblGrid>
        <w:gridCol w:w="3192"/>
        <w:gridCol w:w="3192"/>
        <w:gridCol w:w="3192"/>
      </w:tblGrid>
      <w:tr w:rsidR="004668A8" w:rsidTr="005A2715">
        <w:tc>
          <w:tcPr>
            <w:tcW w:w="3192" w:type="dxa"/>
          </w:tcPr>
          <w:p w:rsidR="004668A8" w:rsidRDefault="004668A8" w:rsidP="005A2715">
            <w:pPr>
              <w:jc w:val="center"/>
              <w:rPr>
                <w:rFonts w:ascii="Times New Roman" w:hAnsi="Times New Roman" w:cs="Times New Roman"/>
              </w:rPr>
            </w:pPr>
            <w:r>
              <w:rPr>
                <w:rFonts w:ascii="Times New Roman" w:hAnsi="Times New Roman" w:cs="Times New Roman"/>
                <w:noProof/>
              </w:rPr>
              <w:t>2016</w:t>
            </w:r>
          </w:p>
        </w:tc>
        <w:tc>
          <w:tcPr>
            <w:tcW w:w="3192" w:type="dxa"/>
          </w:tcPr>
          <w:p w:rsidR="004668A8" w:rsidRDefault="004668A8" w:rsidP="005A2715">
            <w:pPr>
              <w:jc w:val="center"/>
              <w:rPr>
                <w:rFonts w:ascii="Times New Roman" w:hAnsi="Times New Roman" w:cs="Times New Roman"/>
              </w:rPr>
            </w:pPr>
            <w:r>
              <w:rPr>
                <w:rFonts w:ascii="Times New Roman" w:hAnsi="Times New Roman" w:cs="Times New Roman"/>
              </w:rPr>
              <w:t>2015</w:t>
            </w:r>
          </w:p>
        </w:tc>
        <w:tc>
          <w:tcPr>
            <w:tcW w:w="3192" w:type="dxa"/>
          </w:tcPr>
          <w:p w:rsidR="004668A8" w:rsidRDefault="004668A8" w:rsidP="005A2715">
            <w:pPr>
              <w:jc w:val="center"/>
              <w:rPr>
                <w:rFonts w:ascii="Times New Roman" w:hAnsi="Times New Roman" w:cs="Times New Roman"/>
              </w:rPr>
            </w:pPr>
            <w:r>
              <w:rPr>
                <w:rFonts w:ascii="Times New Roman" w:hAnsi="Times New Roman" w:cs="Times New Roman"/>
              </w:rPr>
              <w:t>2014</w:t>
            </w:r>
          </w:p>
        </w:tc>
      </w:tr>
      <w:tr w:rsidR="004668A8" w:rsidTr="005A2715">
        <w:tc>
          <w:tcPr>
            <w:tcW w:w="3192" w:type="dxa"/>
            <w:vAlign w:val="bottom"/>
          </w:tcPr>
          <w:p w:rsidR="004668A8" w:rsidRDefault="004668A8" w:rsidP="005A2715">
            <w:pPr>
              <w:jc w:val="center"/>
              <w:rPr>
                <w:rFonts w:ascii="Calibri" w:hAnsi="Calibri" w:cs="Calibri"/>
                <w:color w:val="000000"/>
              </w:rPr>
            </w:pPr>
            <w:r>
              <w:rPr>
                <w:rFonts w:ascii="Calibri" w:hAnsi="Calibri" w:cs="Calibri"/>
                <w:color w:val="000000"/>
              </w:rPr>
              <w:t>3</w:t>
            </w:r>
          </w:p>
        </w:tc>
        <w:tc>
          <w:tcPr>
            <w:tcW w:w="3192" w:type="dxa"/>
            <w:vAlign w:val="bottom"/>
          </w:tcPr>
          <w:p w:rsidR="004668A8" w:rsidRDefault="004668A8" w:rsidP="005A2715">
            <w:pPr>
              <w:jc w:val="center"/>
              <w:rPr>
                <w:rFonts w:ascii="Calibri" w:hAnsi="Calibri" w:cs="Calibri"/>
                <w:color w:val="000000"/>
              </w:rPr>
            </w:pPr>
            <w:r>
              <w:rPr>
                <w:rFonts w:ascii="Calibri" w:hAnsi="Calibri" w:cs="Calibri"/>
                <w:color w:val="000000"/>
              </w:rPr>
              <w:t>2.33</w:t>
            </w:r>
          </w:p>
        </w:tc>
        <w:tc>
          <w:tcPr>
            <w:tcW w:w="3192" w:type="dxa"/>
            <w:vAlign w:val="bottom"/>
          </w:tcPr>
          <w:p w:rsidR="004668A8" w:rsidRDefault="004668A8" w:rsidP="005A2715">
            <w:pPr>
              <w:jc w:val="center"/>
              <w:rPr>
                <w:rFonts w:ascii="Calibri" w:hAnsi="Calibri" w:cs="Calibri"/>
                <w:color w:val="000000"/>
              </w:rPr>
            </w:pPr>
            <w:r>
              <w:rPr>
                <w:rFonts w:ascii="Calibri" w:hAnsi="Calibri" w:cs="Calibri"/>
                <w:color w:val="000000"/>
              </w:rPr>
              <w:t>3.06</w:t>
            </w:r>
          </w:p>
        </w:tc>
      </w:tr>
    </w:tbl>
    <w:p w:rsidR="004668A8" w:rsidRDefault="004668A8" w:rsidP="004668A8"/>
    <w:p w:rsidR="004668A8" w:rsidRDefault="004668A8" w:rsidP="004668A8">
      <w:r w:rsidRPr="002016C3">
        <w:rPr>
          <w:noProof/>
        </w:rPr>
        <w:lastRenderedPageBreak/>
        <w:drawing>
          <wp:inline distT="0" distB="0" distL="0" distR="0">
            <wp:extent cx="2609850" cy="1543050"/>
            <wp:effectExtent l="19050" t="0" r="19050" b="0"/>
            <wp:docPr id="3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8B7EED" w:rsidRDefault="008B7EED" w:rsidP="008B7EE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turnover ratio measures the efficiency to use company’s working capital supporting a certain level of sales. It finds the relationship between funds using in finance and in operation in company.</w:t>
      </w:r>
    </w:p>
    <w:p w:rsidR="004668A8" w:rsidRDefault="004668A8" w:rsidP="004668A8">
      <w:pPr>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ACI food limited</w:t>
      </w:r>
      <w:r w:rsidRPr="004D1ECD">
        <w:rPr>
          <w:rFonts w:ascii="Times New Roman" w:eastAsia="Times New Roman" w:hAnsi="Times New Roman" w:cs="Times New Roman"/>
          <w:color w:val="000000"/>
          <w:sz w:val="24"/>
          <w:szCs w:val="24"/>
        </w:rPr>
        <w:t xml:space="preserve"> Workin</w:t>
      </w:r>
      <w:r>
        <w:rPr>
          <w:rFonts w:ascii="Times New Roman" w:eastAsia="Times New Roman" w:hAnsi="Times New Roman" w:cs="Times New Roman"/>
          <w:color w:val="000000"/>
          <w:sz w:val="24"/>
          <w:szCs w:val="24"/>
        </w:rPr>
        <w:t>g capital turnover ratio in 2016</w:t>
      </w:r>
      <w:r w:rsidRPr="004D1ECD">
        <w:rPr>
          <w:rFonts w:ascii="Times New Roman" w:eastAsia="Times New Roman" w:hAnsi="Times New Roman" w:cs="Times New Roman"/>
          <w:color w:val="000000"/>
          <w:sz w:val="24"/>
          <w:szCs w:val="24"/>
        </w:rPr>
        <w:t xml:space="preserve"> is </w:t>
      </w:r>
      <w:r>
        <w:rPr>
          <w:rFonts w:ascii="Times New Roman" w:eastAsia="Times New Roman" w:hAnsi="Times New Roman" w:cs="Times New Roman"/>
          <w:color w:val="000000"/>
          <w:sz w:val="24"/>
          <w:szCs w:val="24"/>
        </w:rPr>
        <w:t>3 and in 2015</w:t>
      </w:r>
      <w:r w:rsidRPr="004D1ECD">
        <w:rPr>
          <w:rFonts w:ascii="Times New Roman" w:eastAsia="Times New Roman" w:hAnsi="Times New Roman" w:cs="Times New Roman"/>
          <w:color w:val="000000"/>
          <w:sz w:val="24"/>
          <w:szCs w:val="24"/>
        </w:rPr>
        <w:t>is</w:t>
      </w:r>
      <w:r>
        <w:rPr>
          <w:rFonts w:ascii="Times New Roman" w:eastAsia="Times New Roman" w:hAnsi="Times New Roman" w:cs="Times New Roman"/>
          <w:color w:val="000000"/>
          <w:sz w:val="24"/>
          <w:szCs w:val="24"/>
        </w:rPr>
        <w:t xml:space="preserve">2.33 and in 2014 is 3.06. </w:t>
      </w:r>
      <w:r w:rsidRPr="004D1ECD">
        <w:rPr>
          <w:rFonts w:ascii="Times New Roman" w:eastAsia="Times New Roman" w:hAnsi="Times New Roman" w:cs="Times New Roman"/>
          <w:color w:val="000000"/>
          <w:sz w:val="24"/>
          <w:szCs w:val="24"/>
        </w:rPr>
        <w:t xml:space="preserve">Company has a </w:t>
      </w:r>
      <w:r>
        <w:rPr>
          <w:rFonts w:ascii="Times New Roman" w:eastAsia="Times New Roman" w:hAnsi="Times New Roman" w:cs="Times New Roman"/>
          <w:color w:val="000000"/>
          <w:sz w:val="24"/>
          <w:szCs w:val="24"/>
        </w:rPr>
        <w:t>low</w:t>
      </w:r>
      <w:r w:rsidRPr="004D1ECD">
        <w:rPr>
          <w:rFonts w:ascii="Times New Roman" w:eastAsia="Times New Roman" w:hAnsi="Times New Roman" w:cs="Times New Roman"/>
          <w:color w:val="000000"/>
          <w:sz w:val="24"/>
          <w:szCs w:val="24"/>
        </w:rPr>
        <w:t xml:space="preserve"> turnover ratio in </w:t>
      </w:r>
      <w:r>
        <w:rPr>
          <w:rFonts w:ascii="Times New Roman" w:eastAsia="Times New Roman" w:hAnsi="Times New Roman" w:cs="Times New Roman"/>
          <w:color w:val="000000"/>
          <w:sz w:val="24"/>
          <w:szCs w:val="24"/>
        </w:rPr>
        <w:t xml:space="preserve">these years </w:t>
      </w:r>
      <w:r w:rsidRPr="004D1ECD">
        <w:rPr>
          <w:rFonts w:ascii="Times New Roman" w:eastAsia="Times New Roman" w:hAnsi="Times New Roman" w:cs="Times New Roman"/>
          <w:color w:val="000000"/>
          <w:sz w:val="24"/>
          <w:szCs w:val="24"/>
        </w:rPr>
        <w:t>that means company</w:t>
      </w:r>
      <w:r>
        <w:rPr>
          <w:rFonts w:ascii="Times New Roman" w:eastAsia="Times New Roman" w:hAnsi="Times New Roman" w:cs="Times New Roman"/>
          <w:color w:val="000000"/>
          <w:sz w:val="24"/>
          <w:szCs w:val="24"/>
        </w:rPr>
        <w:t xml:space="preserve"> cannot</w:t>
      </w:r>
      <w:r w:rsidRPr="004D1ECD">
        <w:rPr>
          <w:rFonts w:ascii="Times New Roman" w:eastAsia="Times New Roman" w:hAnsi="Times New Roman" w:cs="Times New Roman"/>
          <w:color w:val="000000"/>
          <w:sz w:val="24"/>
          <w:szCs w:val="24"/>
        </w:rPr>
        <w:t xml:space="preserve"> manage its short-term assets and liabilities for supporting sales efficiently.</w:t>
      </w:r>
    </w:p>
    <w:p w:rsidR="004668A8" w:rsidRPr="00A15E21" w:rsidRDefault="004668A8" w:rsidP="00327EB2">
      <w:pPr>
        <w:pStyle w:val="NoSpacing"/>
      </w:pPr>
      <w:r w:rsidRPr="00A15E21">
        <w:t>Current asset turnover ratio</w:t>
      </w:r>
    </w:p>
    <w:tbl>
      <w:tblPr>
        <w:tblStyle w:val="TableGrid"/>
        <w:tblW w:w="0" w:type="auto"/>
        <w:tblLook w:val="04A0" w:firstRow="1" w:lastRow="0" w:firstColumn="1" w:lastColumn="0" w:noHBand="0" w:noVBand="1"/>
      </w:tblPr>
      <w:tblGrid>
        <w:gridCol w:w="3192"/>
        <w:gridCol w:w="3192"/>
        <w:gridCol w:w="3192"/>
      </w:tblGrid>
      <w:tr w:rsidR="004668A8" w:rsidTr="005A2715">
        <w:tc>
          <w:tcPr>
            <w:tcW w:w="3192" w:type="dxa"/>
          </w:tcPr>
          <w:p w:rsidR="004668A8" w:rsidRDefault="004668A8" w:rsidP="005A2715">
            <w:pPr>
              <w:jc w:val="center"/>
              <w:rPr>
                <w:rFonts w:ascii="Times New Roman" w:hAnsi="Times New Roman" w:cs="Times New Roman"/>
              </w:rPr>
            </w:pPr>
            <w:r>
              <w:rPr>
                <w:rFonts w:ascii="Times New Roman" w:hAnsi="Times New Roman" w:cs="Times New Roman"/>
                <w:noProof/>
              </w:rPr>
              <w:t>2016</w:t>
            </w:r>
          </w:p>
        </w:tc>
        <w:tc>
          <w:tcPr>
            <w:tcW w:w="3192" w:type="dxa"/>
          </w:tcPr>
          <w:p w:rsidR="004668A8" w:rsidRDefault="004668A8" w:rsidP="005A2715">
            <w:pPr>
              <w:jc w:val="center"/>
              <w:rPr>
                <w:rFonts w:ascii="Times New Roman" w:hAnsi="Times New Roman" w:cs="Times New Roman"/>
              </w:rPr>
            </w:pPr>
            <w:r>
              <w:rPr>
                <w:rFonts w:ascii="Times New Roman" w:hAnsi="Times New Roman" w:cs="Times New Roman"/>
              </w:rPr>
              <w:t>2015</w:t>
            </w:r>
          </w:p>
        </w:tc>
        <w:tc>
          <w:tcPr>
            <w:tcW w:w="3192" w:type="dxa"/>
          </w:tcPr>
          <w:p w:rsidR="004668A8" w:rsidRDefault="004668A8" w:rsidP="005A2715">
            <w:pPr>
              <w:jc w:val="center"/>
              <w:rPr>
                <w:rFonts w:ascii="Times New Roman" w:hAnsi="Times New Roman" w:cs="Times New Roman"/>
              </w:rPr>
            </w:pPr>
            <w:r>
              <w:rPr>
                <w:rFonts w:ascii="Times New Roman" w:hAnsi="Times New Roman" w:cs="Times New Roman"/>
              </w:rPr>
              <w:t>2014</w:t>
            </w:r>
          </w:p>
        </w:tc>
      </w:tr>
      <w:tr w:rsidR="004668A8" w:rsidTr="005A2715">
        <w:tc>
          <w:tcPr>
            <w:tcW w:w="3192" w:type="dxa"/>
            <w:vAlign w:val="bottom"/>
          </w:tcPr>
          <w:p w:rsidR="004668A8" w:rsidRDefault="004668A8" w:rsidP="005A2715">
            <w:pPr>
              <w:jc w:val="center"/>
              <w:rPr>
                <w:rFonts w:ascii="Calibri" w:hAnsi="Calibri" w:cs="Calibri"/>
                <w:color w:val="000000"/>
              </w:rPr>
            </w:pPr>
            <w:r>
              <w:rPr>
                <w:rFonts w:ascii="Calibri" w:hAnsi="Calibri" w:cs="Calibri"/>
                <w:color w:val="000000"/>
              </w:rPr>
              <w:t>0.91</w:t>
            </w:r>
          </w:p>
        </w:tc>
        <w:tc>
          <w:tcPr>
            <w:tcW w:w="3192" w:type="dxa"/>
            <w:vAlign w:val="bottom"/>
          </w:tcPr>
          <w:p w:rsidR="004668A8" w:rsidRDefault="004668A8" w:rsidP="005A2715">
            <w:pPr>
              <w:jc w:val="center"/>
              <w:rPr>
                <w:rFonts w:ascii="Calibri" w:hAnsi="Calibri" w:cs="Calibri"/>
                <w:color w:val="000000"/>
              </w:rPr>
            </w:pPr>
            <w:r>
              <w:rPr>
                <w:rFonts w:ascii="Calibri" w:hAnsi="Calibri" w:cs="Calibri"/>
                <w:color w:val="000000"/>
              </w:rPr>
              <w:t>0.816</w:t>
            </w:r>
          </w:p>
        </w:tc>
        <w:tc>
          <w:tcPr>
            <w:tcW w:w="3192" w:type="dxa"/>
            <w:vAlign w:val="bottom"/>
          </w:tcPr>
          <w:p w:rsidR="004668A8" w:rsidRDefault="004668A8" w:rsidP="005A2715">
            <w:pPr>
              <w:jc w:val="center"/>
              <w:rPr>
                <w:rFonts w:ascii="Calibri" w:hAnsi="Calibri" w:cs="Calibri"/>
                <w:color w:val="000000"/>
              </w:rPr>
            </w:pPr>
            <w:r>
              <w:rPr>
                <w:rFonts w:ascii="Calibri" w:hAnsi="Calibri" w:cs="Calibri"/>
                <w:color w:val="000000"/>
              </w:rPr>
              <w:t>0.729</w:t>
            </w:r>
          </w:p>
        </w:tc>
      </w:tr>
    </w:tbl>
    <w:p w:rsidR="004668A8" w:rsidRDefault="004668A8" w:rsidP="004668A8">
      <w:pPr>
        <w:rPr>
          <w:rFonts w:ascii="Times New Roman" w:hAnsi="Times New Roman" w:cs="Times New Roman"/>
        </w:rPr>
      </w:pPr>
    </w:p>
    <w:p w:rsidR="004668A8" w:rsidRDefault="004668A8" w:rsidP="004668A8">
      <w:pPr>
        <w:rPr>
          <w:rFonts w:ascii="Times New Roman" w:hAnsi="Times New Roman" w:cs="Times New Roman"/>
        </w:rPr>
      </w:pPr>
      <w:r>
        <w:rPr>
          <w:rFonts w:ascii="Times New Roman" w:hAnsi="Times New Roman" w:cs="Times New Roman"/>
          <w:noProof/>
        </w:rPr>
        <w:drawing>
          <wp:inline distT="0" distB="0" distL="0" distR="0">
            <wp:extent cx="2867025" cy="1800225"/>
            <wp:effectExtent l="19050" t="0" r="9525" b="0"/>
            <wp:docPr id="3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8B7EED" w:rsidRPr="00926891" w:rsidRDefault="008B7EED" w:rsidP="008B7EED">
      <w:pPr>
        <w:jc w:val="both"/>
        <w:rPr>
          <w:rFonts w:ascii="Times New Roman" w:eastAsia="Times New Roman" w:hAnsi="Times New Roman" w:cs="Times New Roman"/>
          <w:b/>
          <w:color w:val="000000"/>
          <w:sz w:val="24"/>
          <w:szCs w:val="24"/>
          <w:shd w:val="clear" w:color="auto" w:fill="FFFFFF"/>
        </w:rPr>
      </w:pPr>
      <w:r>
        <w:rPr>
          <w:rFonts w:ascii="Times New Roman" w:eastAsia="Times New Roman" w:hAnsi="Times New Roman" w:cs="Times New Roman"/>
          <w:color w:val="000000"/>
          <w:sz w:val="24"/>
          <w:szCs w:val="24"/>
        </w:rPr>
        <w:t>Current asset turnover ratio</w:t>
      </w:r>
      <w:r w:rsidRPr="004D1EC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shows</w:t>
      </w:r>
      <w:r w:rsidRPr="004D1EC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the</w:t>
      </w:r>
      <w:r w:rsidRPr="004D1ECD">
        <w:rPr>
          <w:rFonts w:ascii="Times New Roman" w:eastAsia="Times New Roman" w:hAnsi="Times New Roman" w:cs="Times New Roman"/>
          <w:color w:val="000000"/>
          <w:sz w:val="24"/>
          <w:szCs w:val="24"/>
        </w:rPr>
        <w:t xml:space="preserve"> efficiently</w:t>
      </w:r>
      <w:r>
        <w:rPr>
          <w:rFonts w:ascii="Times New Roman" w:eastAsia="Times New Roman" w:hAnsi="Times New Roman" w:cs="Times New Roman"/>
          <w:color w:val="000000"/>
          <w:sz w:val="24"/>
          <w:szCs w:val="24"/>
        </w:rPr>
        <w:t xml:space="preserve"> of</w:t>
      </w:r>
      <w:r w:rsidRPr="004D1ECD">
        <w:rPr>
          <w:rFonts w:ascii="Times New Roman" w:eastAsia="Times New Roman" w:hAnsi="Times New Roman" w:cs="Times New Roman"/>
          <w:color w:val="000000"/>
          <w:sz w:val="24"/>
          <w:szCs w:val="24"/>
        </w:rPr>
        <w:t xml:space="preserve"> firm</w:t>
      </w:r>
      <w:r>
        <w:rPr>
          <w:rFonts w:ascii="Times New Roman" w:eastAsia="Times New Roman" w:hAnsi="Times New Roman" w:cs="Times New Roman"/>
          <w:color w:val="000000"/>
          <w:sz w:val="24"/>
          <w:szCs w:val="24"/>
        </w:rPr>
        <w:t xml:space="preserve"> how they are using its current asset for making revenue.</w:t>
      </w:r>
    </w:p>
    <w:p w:rsidR="004668A8" w:rsidRDefault="004668A8" w:rsidP="004668A8">
      <w:pPr>
        <w:spacing w:after="200" w:line="276" w:lineRule="auto"/>
        <w:jc w:val="both"/>
        <w:rPr>
          <w:rFonts w:ascii="Times New Roman" w:eastAsia="Times New Roman" w:hAnsi="Times New Roman" w:cs="Times New Roman"/>
          <w:color w:val="000000"/>
          <w:sz w:val="24"/>
          <w:szCs w:val="24"/>
        </w:rPr>
      </w:pPr>
      <w:r w:rsidRPr="004D1ECD">
        <w:rPr>
          <w:rFonts w:ascii="Times New Roman" w:eastAsia="Times New Roman" w:hAnsi="Times New Roman" w:cs="Times New Roman"/>
          <w:color w:val="000000"/>
          <w:sz w:val="24"/>
          <w:szCs w:val="24"/>
        </w:rPr>
        <w:t>This firm current asset turnover ratio in 201</w:t>
      </w:r>
      <w:r>
        <w:rPr>
          <w:rFonts w:ascii="Times New Roman" w:eastAsia="Times New Roman" w:hAnsi="Times New Roman" w:cs="Times New Roman"/>
          <w:color w:val="000000"/>
          <w:sz w:val="24"/>
          <w:szCs w:val="24"/>
        </w:rPr>
        <w:t>6</w:t>
      </w:r>
      <w:r w:rsidRPr="004D1ECD">
        <w:rPr>
          <w:rFonts w:ascii="Times New Roman" w:eastAsia="Times New Roman" w:hAnsi="Times New Roman" w:cs="Times New Roman"/>
          <w:color w:val="000000"/>
          <w:sz w:val="24"/>
          <w:szCs w:val="24"/>
        </w:rPr>
        <w:t xml:space="preserve"> is </w:t>
      </w:r>
      <w:r>
        <w:rPr>
          <w:rFonts w:ascii="Times New Roman" w:eastAsia="Times New Roman" w:hAnsi="Times New Roman" w:cs="Times New Roman"/>
          <w:color w:val="000000"/>
          <w:sz w:val="24"/>
          <w:szCs w:val="24"/>
        </w:rPr>
        <w:t>0.91 times, in 2015 is 0.816 and in 2014 is 0.729</w:t>
      </w:r>
      <w:r w:rsidRPr="004D1ECD">
        <w:rPr>
          <w:rFonts w:ascii="Times New Roman" w:eastAsia="Times New Roman" w:hAnsi="Times New Roman" w:cs="Times New Roman"/>
          <w:color w:val="000000"/>
          <w:sz w:val="24"/>
          <w:szCs w:val="24"/>
        </w:rPr>
        <w:t xml:space="preserve"> Ratio is above than 1× indicates firm using its current asset efficiently in </w:t>
      </w:r>
      <w:r>
        <w:rPr>
          <w:rFonts w:ascii="Times New Roman" w:eastAsia="Times New Roman" w:hAnsi="Times New Roman" w:cs="Times New Roman"/>
          <w:color w:val="000000"/>
          <w:sz w:val="24"/>
          <w:szCs w:val="24"/>
        </w:rPr>
        <w:t>these years. So, they did not use current asset efficiently in every year.</w:t>
      </w:r>
    </w:p>
    <w:p w:rsidR="004668A8" w:rsidRPr="002F725F" w:rsidRDefault="004668A8" w:rsidP="004668A8">
      <w:pPr>
        <w:spacing w:after="200" w:line="276" w:lineRule="auto"/>
        <w:jc w:val="both"/>
        <w:rPr>
          <w:rFonts w:ascii="Times New Roman" w:eastAsia="Times New Roman" w:hAnsi="Times New Roman" w:cs="Times New Roman"/>
          <w:b/>
          <w:color w:val="000000"/>
          <w:sz w:val="24"/>
          <w:szCs w:val="24"/>
        </w:rPr>
      </w:pPr>
    </w:p>
    <w:p w:rsidR="004668A8" w:rsidRPr="00A15E21" w:rsidRDefault="004668A8" w:rsidP="00327EB2">
      <w:pPr>
        <w:pStyle w:val="NoSpacing"/>
      </w:pPr>
      <w:r w:rsidRPr="00A15E21">
        <w:t>Inventory turnover Ratio</w:t>
      </w:r>
    </w:p>
    <w:tbl>
      <w:tblPr>
        <w:tblStyle w:val="TableGrid"/>
        <w:tblW w:w="0" w:type="auto"/>
        <w:tblLook w:val="04A0" w:firstRow="1" w:lastRow="0" w:firstColumn="1" w:lastColumn="0" w:noHBand="0" w:noVBand="1"/>
      </w:tblPr>
      <w:tblGrid>
        <w:gridCol w:w="3192"/>
        <w:gridCol w:w="3192"/>
        <w:gridCol w:w="3192"/>
      </w:tblGrid>
      <w:tr w:rsidR="004668A8" w:rsidTr="005A2715">
        <w:tc>
          <w:tcPr>
            <w:tcW w:w="3192" w:type="dxa"/>
          </w:tcPr>
          <w:p w:rsidR="004668A8" w:rsidRDefault="004668A8" w:rsidP="005A2715">
            <w:pPr>
              <w:jc w:val="center"/>
              <w:rPr>
                <w:rFonts w:ascii="Times New Roman" w:hAnsi="Times New Roman" w:cs="Times New Roman"/>
              </w:rPr>
            </w:pPr>
            <w:r>
              <w:rPr>
                <w:rFonts w:ascii="Times New Roman" w:hAnsi="Times New Roman" w:cs="Times New Roman"/>
                <w:noProof/>
              </w:rPr>
              <w:t>2016</w:t>
            </w:r>
          </w:p>
        </w:tc>
        <w:tc>
          <w:tcPr>
            <w:tcW w:w="3192" w:type="dxa"/>
          </w:tcPr>
          <w:p w:rsidR="004668A8" w:rsidRDefault="004668A8" w:rsidP="005A2715">
            <w:pPr>
              <w:jc w:val="center"/>
              <w:rPr>
                <w:rFonts w:ascii="Times New Roman" w:hAnsi="Times New Roman" w:cs="Times New Roman"/>
              </w:rPr>
            </w:pPr>
            <w:r>
              <w:rPr>
                <w:rFonts w:ascii="Times New Roman" w:hAnsi="Times New Roman" w:cs="Times New Roman"/>
              </w:rPr>
              <w:t>2015</w:t>
            </w:r>
          </w:p>
        </w:tc>
        <w:tc>
          <w:tcPr>
            <w:tcW w:w="3192" w:type="dxa"/>
          </w:tcPr>
          <w:p w:rsidR="004668A8" w:rsidRDefault="004668A8" w:rsidP="005A2715">
            <w:pPr>
              <w:jc w:val="center"/>
              <w:rPr>
                <w:rFonts w:ascii="Times New Roman" w:hAnsi="Times New Roman" w:cs="Times New Roman"/>
              </w:rPr>
            </w:pPr>
            <w:r>
              <w:rPr>
                <w:rFonts w:ascii="Times New Roman" w:hAnsi="Times New Roman" w:cs="Times New Roman"/>
              </w:rPr>
              <w:t>2014</w:t>
            </w:r>
          </w:p>
        </w:tc>
      </w:tr>
      <w:tr w:rsidR="004668A8" w:rsidTr="005A2715">
        <w:tc>
          <w:tcPr>
            <w:tcW w:w="3192" w:type="dxa"/>
            <w:vAlign w:val="bottom"/>
          </w:tcPr>
          <w:p w:rsidR="004668A8" w:rsidRDefault="005A2715" w:rsidP="005A2715">
            <w:pPr>
              <w:jc w:val="center"/>
              <w:rPr>
                <w:rFonts w:ascii="Calibri" w:hAnsi="Calibri" w:cs="Calibri"/>
                <w:color w:val="000000"/>
              </w:rPr>
            </w:pPr>
            <w:r>
              <w:rPr>
                <w:rFonts w:ascii="Calibri" w:hAnsi="Calibri" w:cs="Calibri"/>
                <w:color w:val="000000"/>
              </w:rPr>
              <w:lastRenderedPageBreak/>
              <w:t>2.4</w:t>
            </w:r>
          </w:p>
        </w:tc>
        <w:tc>
          <w:tcPr>
            <w:tcW w:w="3192" w:type="dxa"/>
            <w:vAlign w:val="bottom"/>
          </w:tcPr>
          <w:p w:rsidR="004668A8" w:rsidRDefault="005A2715" w:rsidP="005A2715">
            <w:pPr>
              <w:jc w:val="center"/>
              <w:rPr>
                <w:rFonts w:ascii="Calibri" w:hAnsi="Calibri" w:cs="Calibri"/>
                <w:color w:val="000000"/>
              </w:rPr>
            </w:pPr>
            <w:r>
              <w:rPr>
                <w:rFonts w:ascii="Calibri" w:hAnsi="Calibri" w:cs="Calibri"/>
                <w:color w:val="000000"/>
              </w:rPr>
              <w:t>2.5</w:t>
            </w:r>
          </w:p>
        </w:tc>
        <w:tc>
          <w:tcPr>
            <w:tcW w:w="3192" w:type="dxa"/>
            <w:vAlign w:val="bottom"/>
          </w:tcPr>
          <w:p w:rsidR="004668A8" w:rsidRDefault="005A2715" w:rsidP="005A2715">
            <w:pPr>
              <w:jc w:val="center"/>
              <w:rPr>
                <w:rFonts w:ascii="Calibri" w:hAnsi="Calibri" w:cs="Calibri"/>
                <w:color w:val="000000"/>
              </w:rPr>
            </w:pPr>
            <w:r>
              <w:rPr>
                <w:rFonts w:ascii="Calibri" w:hAnsi="Calibri" w:cs="Calibri"/>
                <w:color w:val="000000"/>
              </w:rPr>
              <w:t>2.45</w:t>
            </w:r>
          </w:p>
        </w:tc>
      </w:tr>
    </w:tbl>
    <w:p w:rsidR="004668A8" w:rsidRDefault="004668A8" w:rsidP="004668A8">
      <w:pPr>
        <w:rPr>
          <w:rFonts w:ascii="Times New Roman" w:hAnsi="Times New Roman" w:cs="Times New Roman"/>
        </w:rPr>
      </w:pPr>
    </w:p>
    <w:p w:rsidR="004668A8" w:rsidRDefault="004668A8" w:rsidP="004668A8">
      <w:pPr>
        <w:rPr>
          <w:rFonts w:ascii="Times New Roman" w:hAnsi="Times New Roman" w:cs="Times New Roman"/>
        </w:rPr>
      </w:pPr>
      <w:r w:rsidRPr="00960615">
        <w:rPr>
          <w:rFonts w:ascii="Times New Roman" w:hAnsi="Times New Roman" w:cs="Times New Roman"/>
          <w:noProof/>
        </w:rPr>
        <w:drawing>
          <wp:inline distT="0" distB="0" distL="0" distR="0">
            <wp:extent cx="2733675" cy="1676400"/>
            <wp:effectExtent l="19050" t="0" r="9525" b="0"/>
            <wp:docPr id="4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668A8" w:rsidRDefault="004668A8" w:rsidP="004668A8">
      <w:pPr>
        <w:spacing w:after="200" w:line="276" w:lineRule="auto"/>
        <w:jc w:val="both"/>
        <w:rPr>
          <w:rFonts w:ascii="Times New Roman" w:eastAsia="Times New Roman" w:hAnsi="Times New Roman" w:cs="Times New Roman"/>
          <w:color w:val="000000"/>
          <w:sz w:val="24"/>
          <w:szCs w:val="24"/>
        </w:rPr>
      </w:pPr>
      <w:r w:rsidRPr="004D1ECD">
        <w:rPr>
          <w:rFonts w:ascii="Times New Roman" w:eastAsia="Times New Roman" w:hAnsi="Times New Roman" w:cs="Times New Roman"/>
          <w:color w:val="000000"/>
          <w:sz w:val="24"/>
          <w:szCs w:val="24"/>
        </w:rPr>
        <w:t>Inventory turnover ratio indicates the way management has used inventory to conduct the operations of the business. Inventory turnover of</w:t>
      </w:r>
      <w:r w:rsidR="00870082">
        <w:rPr>
          <w:rFonts w:ascii="Times New Roman" w:eastAsia="Times New Roman" w:hAnsi="Times New Roman" w:cs="Times New Roman"/>
          <w:color w:val="000000"/>
          <w:sz w:val="24"/>
          <w:szCs w:val="24"/>
        </w:rPr>
        <w:t xml:space="preserve"> </w:t>
      </w:r>
      <w:r w:rsidR="001940FD">
        <w:rPr>
          <w:rFonts w:ascii="Times New Roman" w:eastAsia="Times New Roman" w:hAnsi="Times New Roman" w:cs="Times New Roman"/>
          <w:color w:val="000000"/>
          <w:sz w:val="24"/>
          <w:szCs w:val="24"/>
        </w:rPr>
        <w:t>Beximco Pharmaceuticals Ltd</w:t>
      </w:r>
      <w:r>
        <w:rPr>
          <w:rFonts w:ascii="Times New Roman" w:eastAsia="Times New Roman" w:hAnsi="Times New Roman" w:cs="Times New Roman"/>
          <w:color w:val="000000"/>
          <w:sz w:val="24"/>
          <w:szCs w:val="24"/>
        </w:rPr>
        <w:t xml:space="preserve"> of the year 2016</w:t>
      </w:r>
      <w:r w:rsidRPr="004D1ECD">
        <w:rPr>
          <w:rFonts w:ascii="Times New Roman" w:eastAsia="Times New Roman" w:hAnsi="Times New Roman" w:cs="Times New Roman"/>
          <w:color w:val="000000"/>
          <w:sz w:val="24"/>
          <w:szCs w:val="24"/>
        </w:rPr>
        <w:t xml:space="preserve"> is </w:t>
      </w:r>
      <w:r>
        <w:rPr>
          <w:rFonts w:ascii="Times New Roman" w:eastAsia="Times New Roman" w:hAnsi="Times New Roman" w:cs="Times New Roman"/>
          <w:color w:val="000000"/>
          <w:sz w:val="24"/>
          <w:szCs w:val="24"/>
        </w:rPr>
        <w:t>2.</w:t>
      </w:r>
      <w:r w:rsidR="001940FD">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and 2015</w:t>
      </w:r>
      <w:r w:rsidRPr="004D1ECD">
        <w:rPr>
          <w:rFonts w:ascii="Times New Roman" w:eastAsia="Times New Roman" w:hAnsi="Times New Roman" w:cs="Times New Roman"/>
          <w:color w:val="000000"/>
          <w:sz w:val="24"/>
          <w:szCs w:val="24"/>
        </w:rPr>
        <w:t xml:space="preserve"> is </w:t>
      </w:r>
      <w:r>
        <w:rPr>
          <w:rFonts w:ascii="Times New Roman" w:eastAsia="Times New Roman" w:hAnsi="Times New Roman" w:cs="Times New Roman"/>
          <w:color w:val="000000"/>
          <w:sz w:val="24"/>
          <w:szCs w:val="24"/>
        </w:rPr>
        <w:t>2.</w:t>
      </w:r>
      <w:r w:rsidR="001940FD">
        <w:rPr>
          <w:rFonts w:ascii="Times New Roman" w:eastAsia="Times New Roman" w:hAnsi="Times New Roman" w:cs="Times New Roman"/>
          <w:color w:val="000000"/>
          <w:sz w:val="24"/>
          <w:szCs w:val="24"/>
        </w:rPr>
        <w:t>5 and 2014 is 2.45. T</w:t>
      </w:r>
      <w:r w:rsidRPr="004D1ECD">
        <w:rPr>
          <w:rFonts w:ascii="Times New Roman" w:eastAsia="Times New Roman" w:hAnsi="Times New Roman" w:cs="Times New Roman"/>
          <w:color w:val="000000"/>
          <w:sz w:val="24"/>
          <w:szCs w:val="24"/>
        </w:rPr>
        <w:t>he</w:t>
      </w:r>
      <w:r>
        <w:rPr>
          <w:rFonts w:ascii="Times New Roman" w:eastAsia="Times New Roman" w:hAnsi="Times New Roman" w:cs="Times New Roman"/>
          <w:color w:val="000000"/>
          <w:sz w:val="24"/>
          <w:szCs w:val="24"/>
        </w:rPr>
        <w:t>se</w:t>
      </w:r>
      <w:r w:rsidRPr="004D1ECD">
        <w:rPr>
          <w:rFonts w:ascii="Times New Roman" w:eastAsia="Times New Roman" w:hAnsi="Times New Roman" w:cs="Times New Roman"/>
          <w:color w:val="000000"/>
          <w:sz w:val="24"/>
          <w:szCs w:val="24"/>
        </w:rPr>
        <w:t xml:space="preserve"> t</w:t>
      </w:r>
      <w:r>
        <w:rPr>
          <w:rFonts w:ascii="Times New Roman" w:eastAsia="Times New Roman" w:hAnsi="Times New Roman" w:cs="Times New Roman"/>
          <w:color w:val="000000"/>
          <w:sz w:val="24"/>
          <w:szCs w:val="24"/>
        </w:rPr>
        <w:t>hree</w:t>
      </w:r>
      <w:r w:rsidRPr="004D1ECD">
        <w:rPr>
          <w:rFonts w:ascii="Times New Roman" w:eastAsia="Times New Roman" w:hAnsi="Times New Roman" w:cs="Times New Roman"/>
          <w:color w:val="000000"/>
          <w:sz w:val="24"/>
          <w:szCs w:val="24"/>
        </w:rPr>
        <w:t xml:space="preserve"> year</w:t>
      </w:r>
      <w:r>
        <w:rPr>
          <w:rFonts w:ascii="Times New Roman" w:eastAsia="Times New Roman" w:hAnsi="Times New Roman" w:cs="Times New Roman"/>
          <w:color w:val="000000"/>
          <w:sz w:val="24"/>
          <w:szCs w:val="24"/>
        </w:rPr>
        <w:t>s</w:t>
      </w:r>
      <w:r w:rsidRPr="004D1ECD">
        <w:rPr>
          <w:rFonts w:ascii="Times New Roman" w:eastAsia="Times New Roman" w:hAnsi="Times New Roman" w:cs="Times New Roman"/>
          <w:color w:val="000000"/>
          <w:sz w:val="24"/>
          <w:szCs w:val="24"/>
        </w:rPr>
        <w:t xml:space="preserve"> the company had the high amount of inventory which is good for firm because higher the inventory turnover the better for the company.</w:t>
      </w:r>
    </w:p>
    <w:p w:rsidR="004668A8" w:rsidRPr="00A15E21" w:rsidRDefault="004668A8" w:rsidP="00327EB2">
      <w:pPr>
        <w:pStyle w:val="NoSpacing"/>
      </w:pPr>
      <w:r w:rsidRPr="00A15E21">
        <w:t>Daily Inventories Held</w:t>
      </w:r>
    </w:p>
    <w:tbl>
      <w:tblPr>
        <w:tblStyle w:val="TableGrid"/>
        <w:tblW w:w="0" w:type="auto"/>
        <w:tblLook w:val="04A0" w:firstRow="1" w:lastRow="0" w:firstColumn="1" w:lastColumn="0" w:noHBand="0" w:noVBand="1"/>
      </w:tblPr>
      <w:tblGrid>
        <w:gridCol w:w="3192"/>
        <w:gridCol w:w="3192"/>
        <w:gridCol w:w="3192"/>
      </w:tblGrid>
      <w:tr w:rsidR="004668A8" w:rsidTr="005A2715">
        <w:tc>
          <w:tcPr>
            <w:tcW w:w="3192" w:type="dxa"/>
          </w:tcPr>
          <w:p w:rsidR="004668A8" w:rsidRDefault="004668A8" w:rsidP="005A2715">
            <w:pPr>
              <w:jc w:val="center"/>
              <w:rPr>
                <w:rFonts w:ascii="Times New Roman" w:hAnsi="Times New Roman" w:cs="Times New Roman"/>
              </w:rPr>
            </w:pPr>
            <w:r>
              <w:rPr>
                <w:rFonts w:ascii="Times New Roman" w:hAnsi="Times New Roman" w:cs="Times New Roman"/>
                <w:noProof/>
              </w:rPr>
              <w:t>2016</w:t>
            </w:r>
          </w:p>
        </w:tc>
        <w:tc>
          <w:tcPr>
            <w:tcW w:w="3192" w:type="dxa"/>
          </w:tcPr>
          <w:p w:rsidR="004668A8" w:rsidRDefault="004668A8" w:rsidP="005A2715">
            <w:pPr>
              <w:jc w:val="center"/>
              <w:rPr>
                <w:rFonts w:ascii="Times New Roman" w:hAnsi="Times New Roman" w:cs="Times New Roman"/>
              </w:rPr>
            </w:pPr>
            <w:r>
              <w:rPr>
                <w:rFonts w:ascii="Times New Roman" w:hAnsi="Times New Roman" w:cs="Times New Roman"/>
              </w:rPr>
              <w:t>2015</w:t>
            </w:r>
          </w:p>
        </w:tc>
        <w:tc>
          <w:tcPr>
            <w:tcW w:w="3192" w:type="dxa"/>
          </w:tcPr>
          <w:p w:rsidR="004668A8" w:rsidRDefault="004668A8" w:rsidP="005A2715">
            <w:pPr>
              <w:jc w:val="center"/>
              <w:rPr>
                <w:rFonts w:ascii="Times New Roman" w:hAnsi="Times New Roman" w:cs="Times New Roman"/>
              </w:rPr>
            </w:pPr>
            <w:r>
              <w:rPr>
                <w:rFonts w:ascii="Times New Roman" w:hAnsi="Times New Roman" w:cs="Times New Roman"/>
              </w:rPr>
              <w:t>2014</w:t>
            </w:r>
          </w:p>
        </w:tc>
      </w:tr>
      <w:tr w:rsidR="004668A8" w:rsidTr="005A2715">
        <w:tc>
          <w:tcPr>
            <w:tcW w:w="3192" w:type="dxa"/>
            <w:vAlign w:val="bottom"/>
          </w:tcPr>
          <w:p w:rsidR="004668A8" w:rsidRDefault="00495E1E" w:rsidP="005A2715">
            <w:pPr>
              <w:jc w:val="center"/>
              <w:rPr>
                <w:rFonts w:ascii="Calibri" w:hAnsi="Calibri" w:cs="Calibri"/>
                <w:color w:val="000000"/>
              </w:rPr>
            </w:pPr>
            <w:r>
              <w:rPr>
                <w:rFonts w:ascii="Calibri" w:hAnsi="Calibri" w:cs="Calibri"/>
                <w:color w:val="000000"/>
              </w:rPr>
              <w:t>152</w:t>
            </w:r>
          </w:p>
        </w:tc>
        <w:tc>
          <w:tcPr>
            <w:tcW w:w="3192" w:type="dxa"/>
            <w:vAlign w:val="bottom"/>
          </w:tcPr>
          <w:p w:rsidR="004668A8" w:rsidRDefault="00495E1E" w:rsidP="005A2715">
            <w:pPr>
              <w:jc w:val="center"/>
              <w:rPr>
                <w:rFonts w:ascii="Calibri" w:hAnsi="Calibri" w:cs="Calibri"/>
                <w:color w:val="000000"/>
              </w:rPr>
            </w:pPr>
            <w:r>
              <w:rPr>
                <w:rFonts w:ascii="Calibri" w:hAnsi="Calibri" w:cs="Calibri"/>
                <w:color w:val="000000"/>
              </w:rPr>
              <w:t>145</w:t>
            </w:r>
          </w:p>
        </w:tc>
        <w:tc>
          <w:tcPr>
            <w:tcW w:w="3192" w:type="dxa"/>
            <w:vAlign w:val="bottom"/>
          </w:tcPr>
          <w:p w:rsidR="004668A8" w:rsidRDefault="00495E1E" w:rsidP="005A2715">
            <w:pPr>
              <w:jc w:val="center"/>
              <w:rPr>
                <w:rFonts w:ascii="Calibri" w:hAnsi="Calibri" w:cs="Calibri"/>
                <w:color w:val="000000"/>
              </w:rPr>
            </w:pPr>
            <w:r>
              <w:rPr>
                <w:rFonts w:ascii="Calibri" w:hAnsi="Calibri" w:cs="Calibri"/>
                <w:color w:val="000000"/>
              </w:rPr>
              <w:t>149</w:t>
            </w:r>
          </w:p>
        </w:tc>
      </w:tr>
    </w:tbl>
    <w:p w:rsidR="004668A8" w:rsidRDefault="004668A8" w:rsidP="004668A8">
      <w:pPr>
        <w:rPr>
          <w:rFonts w:ascii="Times New Roman" w:hAnsi="Times New Roman" w:cs="Times New Roman"/>
        </w:rPr>
      </w:pPr>
    </w:p>
    <w:p w:rsidR="004668A8" w:rsidRDefault="004668A8" w:rsidP="004668A8">
      <w:pPr>
        <w:rPr>
          <w:rFonts w:ascii="Times New Roman" w:hAnsi="Times New Roman" w:cs="Times New Roman"/>
        </w:rPr>
      </w:pPr>
      <w:r w:rsidRPr="00C950F4">
        <w:rPr>
          <w:rFonts w:ascii="Times New Roman" w:hAnsi="Times New Roman" w:cs="Times New Roman"/>
          <w:noProof/>
        </w:rPr>
        <w:drawing>
          <wp:inline distT="0" distB="0" distL="0" distR="0">
            <wp:extent cx="2857500" cy="1885950"/>
            <wp:effectExtent l="19050" t="0" r="19050" b="0"/>
            <wp:docPr id="4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668A8" w:rsidRDefault="004668A8" w:rsidP="00495E1E">
      <w:pPr>
        <w:spacing w:after="200" w:line="276" w:lineRule="auto"/>
        <w:jc w:val="both"/>
        <w:rPr>
          <w:rFonts w:ascii="Times New Roman" w:eastAsia="Times New Roman" w:hAnsi="Times New Roman" w:cs="Times New Roman"/>
          <w:bCs/>
          <w:color w:val="000000"/>
          <w:sz w:val="24"/>
          <w:szCs w:val="24"/>
          <w:shd w:val="clear" w:color="auto" w:fill="FFFFFF"/>
        </w:rPr>
      </w:pPr>
      <w:r w:rsidRPr="004D1ECD">
        <w:rPr>
          <w:rFonts w:ascii="Times New Roman" w:eastAsia="Times New Roman" w:hAnsi="Times New Roman" w:cs="Times New Roman"/>
          <w:color w:val="000000"/>
          <w:sz w:val="24"/>
          <w:szCs w:val="24"/>
          <w:shd w:val="clear" w:color="auto" w:fill="FFFFFF"/>
        </w:rPr>
        <w:t> Measures the number of </w:t>
      </w:r>
      <w:r w:rsidRPr="004D1ECD">
        <w:rPr>
          <w:rFonts w:ascii="Times New Roman" w:eastAsia="Times New Roman" w:hAnsi="Times New Roman" w:cs="Times New Roman"/>
          <w:b/>
          <w:bCs/>
          <w:color w:val="000000"/>
          <w:sz w:val="24"/>
          <w:szCs w:val="24"/>
          <w:shd w:val="clear" w:color="auto" w:fill="FFFFFF"/>
        </w:rPr>
        <w:t>days</w:t>
      </w:r>
      <w:r w:rsidRPr="004D1ECD">
        <w:rPr>
          <w:rFonts w:ascii="Times New Roman" w:eastAsia="Times New Roman" w:hAnsi="Times New Roman" w:cs="Times New Roman"/>
          <w:color w:val="000000"/>
          <w:sz w:val="24"/>
          <w:szCs w:val="24"/>
          <w:shd w:val="clear" w:color="auto" w:fill="FFFFFF"/>
        </w:rPr>
        <w:t> it will take a company to sell its entire </w:t>
      </w:r>
      <w:r w:rsidRPr="004D1ECD">
        <w:rPr>
          <w:rFonts w:ascii="Times New Roman" w:eastAsia="Times New Roman" w:hAnsi="Times New Roman" w:cs="Times New Roman"/>
          <w:bCs/>
          <w:color w:val="000000"/>
          <w:sz w:val="24"/>
          <w:szCs w:val="24"/>
          <w:shd w:val="clear" w:color="auto" w:fill="FFFFFF"/>
        </w:rPr>
        <w:t>inventory. This company DIH in 201</w:t>
      </w:r>
      <w:r>
        <w:rPr>
          <w:rFonts w:ascii="Times New Roman" w:eastAsia="Times New Roman" w:hAnsi="Times New Roman" w:cs="Times New Roman"/>
          <w:bCs/>
          <w:color w:val="000000"/>
          <w:sz w:val="24"/>
          <w:szCs w:val="24"/>
          <w:shd w:val="clear" w:color="auto" w:fill="FFFFFF"/>
        </w:rPr>
        <w:t>6 is 1</w:t>
      </w:r>
      <w:r w:rsidR="00495E1E">
        <w:rPr>
          <w:rFonts w:ascii="Times New Roman" w:eastAsia="Times New Roman" w:hAnsi="Times New Roman" w:cs="Times New Roman"/>
          <w:bCs/>
          <w:color w:val="000000"/>
          <w:sz w:val="24"/>
          <w:szCs w:val="24"/>
          <w:shd w:val="clear" w:color="auto" w:fill="FFFFFF"/>
        </w:rPr>
        <w:t>52</w:t>
      </w:r>
      <w:r w:rsidRPr="004D1ECD">
        <w:rPr>
          <w:rFonts w:ascii="Times New Roman" w:eastAsia="Times New Roman" w:hAnsi="Times New Roman" w:cs="Times New Roman"/>
          <w:bCs/>
          <w:color w:val="000000"/>
          <w:sz w:val="24"/>
          <w:szCs w:val="24"/>
          <w:shd w:val="clear" w:color="auto" w:fill="FFFFFF"/>
        </w:rPr>
        <w:t xml:space="preserve"> days and in 201</w:t>
      </w:r>
      <w:r>
        <w:rPr>
          <w:rFonts w:ascii="Times New Roman" w:eastAsia="Times New Roman" w:hAnsi="Times New Roman" w:cs="Times New Roman"/>
          <w:bCs/>
          <w:color w:val="000000"/>
          <w:sz w:val="24"/>
          <w:szCs w:val="24"/>
          <w:shd w:val="clear" w:color="auto" w:fill="FFFFFF"/>
        </w:rPr>
        <w:t>5</w:t>
      </w:r>
      <w:r w:rsidRPr="004D1ECD">
        <w:rPr>
          <w:rFonts w:ascii="Times New Roman" w:eastAsia="Times New Roman" w:hAnsi="Times New Roman" w:cs="Times New Roman"/>
          <w:bCs/>
          <w:color w:val="000000"/>
          <w:sz w:val="24"/>
          <w:szCs w:val="24"/>
          <w:shd w:val="clear" w:color="auto" w:fill="FFFFFF"/>
        </w:rPr>
        <w:t xml:space="preserve"> it takes </w:t>
      </w:r>
      <w:r>
        <w:rPr>
          <w:rFonts w:ascii="Times New Roman" w:eastAsia="Times New Roman" w:hAnsi="Times New Roman" w:cs="Times New Roman"/>
          <w:bCs/>
          <w:color w:val="000000"/>
          <w:sz w:val="24"/>
          <w:szCs w:val="24"/>
          <w:shd w:val="clear" w:color="auto" w:fill="FFFFFF"/>
        </w:rPr>
        <w:t>1</w:t>
      </w:r>
      <w:r w:rsidR="00495E1E">
        <w:rPr>
          <w:rFonts w:ascii="Times New Roman" w:eastAsia="Times New Roman" w:hAnsi="Times New Roman" w:cs="Times New Roman"/>
          <w:bCs/>
          <w:color w:val="000000"/>
          <w:sz w:val="24"/>
          <w:szCs w:val="24"/>
          <w:shd w:val="clear" w:color="auto" w:fill="FFFFFF"/>
        </w:rPr>
        <w:t>45</w:t>
      </w:r>
      <w:r>
        <w:rPr>
          <w:rFonts w:ascii="Times New Roman" w:eastAsia="Times New Roman" w:hAnsi="Times New Roman" w:cs="Times New Roman"/>
          <w:bCs/>
          <w:color w:val="000000"/>
          <w:sz w:val="24"/>
          <w:szCs w:val="24"/>
          <w:shd w:val="clear" w:color="auto" w:fill="FFFFFF"/>
        </w:rPr>
        <w:t xml:space="preserve"> days and 2014 takes </w:t>
      </w:r>
      <w:r w:rsidR="00495E1E">
        <w:rPr>
          <w:rFonts w:ascii="Times New Roman" w:eastAsia="Times New Roman" w:hAnsi="Times New Roman" w:cs="Times New Roman"/>
          <w:bCs/>
          <w:color w:val="000000"/>
          <w:sz w:val="24"/>
          <w:szCs w:val="24"/>
          <w:shd w:val="clear" w:color="auto" w:fill="FFFFFF"/>
        </w:rPr>
        <w:t>149</w:t>
      </w:r>
      <w:r>
        <w:rPr>
          <w:rFonts w:ascii="Times New Roman" w:eastAsia="Times New Roman" w:hAnsi="Times New Roman" w:cs="Times New Roman"/>
          <w:bCs/>
          <w:color w:val="000000"/>
          <w:sz w:val="24"/>
          <w:szCs w:val="24"/>
          <w:shd w:val="clear" w:color="auto" w:fill="FFFFFF"/>
        </w:rPr>
        <w:t xml:space="preserve"> days</w:t>
      </w:r>
      <w:r w:rsidR="0089708B">
        <w:rPr>
          <w:rFonts w:ascii="Times New Roman" w:eastAsia="Times New Roman" w:hAnsi="Times New Roman" w:cs="Times New Roman"/>
          <w:bCs/>
          <w:color w:val="000000"/>
          <w:sz w:val="24"/>
          <w:szCs w:val="24"/>
          <w:shd w:val="clear" w:color="auto" w:fill="FFFFFF"/>
        </w:rPr>
        <w:t xml:space="preserve">. </w:t>
      </w:r>
      <w:r w:rsidR="00495E1E">
        <w:rPr>
          <w:rFonts w:ascii="Times New Roman" w:eastAsia="Times New Roman" w:hAnsi="Times New Roman" w:cs="Times New Roman"/>
          <w:bCs/>
          <w:color w:val="000000"/>
          <w:sz w:val="24"/>
          <w:szCs w:val="24"/>
          <w:shd w:val="clear" w:color="auto" w:fill="FFFFFF"/>
        </w:rPr>
        <w:t>T</w:t>
      </w:r>
      <w:r w:rsidRPr="004D1ECD">
        <w:rPr>
          <w:rFonts w:ascii="Times New Roman" w:eastAsia="Times New Roman" w:hAnsi="Times New Roman" w:cs="Times New Roman"/>
          <w:bCs/>
          <w:color w:val="000000"/>
          <w:sz w:val="24"/>
          <w:szCs w:val="24"/>
          <w:shd w:val="clear" w:color="auto" w:fill="FFFFFF"/>
        </w:rPr>
        <w:t>h</w:t>
      </w:r>
      <w:r w:rsidR="00495E1E">
        <w:rPr>
          <w:rFonts w:ascii="Times New Roman" w:eastAsia="Times New Roman" w:hAnsi="Times New Roman" w:cs="Times New Roman"/>
          <w:bCs/>
          <w:color w:val="000000"/>
          <w:sz w:val="24"/>
          <w:szCs w:val="24"/>
          <w:shd w:val="clear" w:color="auto" w:fill="FFFFFF"/>
        </w:rPr>
        <w:t xml:space="preserve">ese </w:t>
      </w:r>
      <w:r w:rsidR="00B667FF">
        <w:rPr>
          <w:rFonts w:ascii="Times New Roman" w:eastAsia="Times New Roman" w:hAnsi="Times New Roman" w:cs="Times New Roman"/>
          <w:bCs/>
          <w:color w:val="000000"/>
          <w:sz w:val="24"/>
          <w:szCs w:val="24"/>
          <w:shd w:val="clear" w:color="auto" w:fill="FFFFFF"/>
        </w:rPr>
        <w:t>years</w:t>
      </w:r>
      <w:r w:rsidR="00870082">
        <w:rPr>
          <w:rFonts w:ascii="Times New Roman" w:eastAsia="Times New Roman" w:hAnsi="Times New Roman" w:cs="Times New Roman"/>
          <w:bCs/>
          <w:color w:val="000000"/>
          <w:sz w:val="24"/>
          <w:szCs w:val="24"/>
          <w:shd w:val="clear" w:color="auto" w:fill="FFFFFF"/>
        </w:rPr>
        <w:t xml:space="preserve"> </w:t>
      </w:r>
      <w:r w:rsidRPr="004D1ECD">
        <w:rPr>
          <w:rFonts w:ascii="Times New Roman" w:eastAsia="Times New Roman" w:hAnsi="Times New Roman" w:cs="Times New Roman"/>
          <w:bCs/>
          <w:color w:val="000000"/>
          <w:sz w:val="24"/>
          <w:szCs w:val="24"/>
          <w:shd w:val="clear" w:color="auto" w:fill="FFFFFF"/>
        </w:rPr>
        <w:t xml:space="preserve">firm takes </w:t>
      </w:r>
      <w:r w:rsidR="00495E1E">
        <w:rPr>
          <w:rFonts w:ascii="Times New Roman" w:eastAsia="Times New Roman" w:hAnsi="Times New Roman" w:cs="Times New Roman"/>
          <w:bCs/>
          <w:color w:val="000000"/>
          <w:sz w:val="24"/>
          <w:szCs w:val="24"/>
          <w:shd w:val="clear" w:color="auto" w:fill="FFFFFF"/>
        </w:rPr>
        <w:t>almost same time to clear inventory.</w:t>
      </w:r>
    </w:p>
    <w:p w:rsidR="00B667FF" w:rsidRPr="00A15E21" w:rsidRDefault="00B667FF" w:rsidP="00327EB2">
      <w:pPr>
        <w:pStyle w:val="NoSpacing"/>
        <w:rPr>
          <w:shd w:val="clear" w:color="auto" w:fill="FFFFFF"/>
        </w:rPr>
      </w:pPr>
      <w:r w:rsidRPr="00A15E21">
        <w:rPr>
          <w:shd w:val="clear" w:color="auto" w:fill="FFFFFF"/>
        </w:rPr>
        <w:t>Raw Materials Inventory Turnover</w:t>
      </w:r>
    </w:p>
    <w:p w:rsidR="00B667FF" w:rsidRDefault="00B667FF" w:rsidP="00B667FF"/>
    <w:tbl>
      <w:tblPr>
        <w:tblStyle w:val="TableGrid"/>
        <w:tblW w:w="0" w:type="auto"/>
        <w:tblLook w:val="04A0" w:firstRow="1" w:lastRow="0" w:firstColumn="1" w:lastColumn="0" w:noHBand="0" w:noVBand="1"/>
      </w:tblPr>
      <w:tblGrid>
        <w:gridCol w:w="3192"/>
        <w:gridCol w:w="3192"/>
        <w:gridCol w:w="3192"/>
      </w:tblGrid>
      <w:tr w:rsidR="00B667FF" w:rsidTr="002A063A">
        <w:tc>
          <w:tcPr>
            <w:tcW w:w="3192" w:type="dxa"/>
          </w:tcPr>
          <w:p w:rsidR="00B667FF" w:rsidRDefault="00B667FF" w:rsidP="002A063A">
            <w:pPr>
              <w:jc w:val="center"/>
              <w:rPr>
                <w:rFonts w:ascii="Times New Roman" w:hAnsi="Times New Roman" w:cs="Times New Roman"/>
              </w:rPr>
            </w:pPr>
            <w:r>
              <w:rPr>
                <w:rFonts w:ascii="Times New Roman" w:hAnsi="Times New Roman" w:cs="Times New Roman"/>
                <w:noProof/>
              </w:rPr>
              <w:t>2016</w:t>
            </w:r>
          </w:p>
        </w:tc>
        <w:tc>
          <w:tcPr>
            <w:tcW w:w="3192" w:type="dxa"/>
          </w:tcPr>
          <w:p w:rsidR="00B667FF" w:rsidRDefault="00B667FF" w:rsidP="002A063A">
            <w:pPr>
              <w:jc w:val="center"/>
              <w:rPr>
                <w:rFonts w:ascii="Times New Roman" w:hAnsi="Times New Roman" w:cs="Times New Roman"/>
              </w:rPr>
            </w:pPr>
            <w:r>
              <w:rPr>
                <w:rFonts w:ascii="Times New Roman" w:hAnsi="Times New Roman" w:cs="Times New Roman"/>
              </w:rPr>
              <w:t>2015</w:t>
            </w:r>
          </w:p>
        </w:tc>
        <w:tc>
          <w:tcPr>
            <w:tcW w:w="3192" w:type="dxa"/>
          </w:tcPr>
          <w:p w:rsidR="00B667FF" w:rsidRDefault="00B667FF" w:rsidP="002A063A">
            <w:pPr>
              <w:jc w:val="center"/>
              <w:rPr>
                <w:rFonts w:ascii="Times New Roman" w:hAnsi="Times New Roman" w:cs="Times New Roman"/>
              </w:rPr>
            </w:pPr>
            <w:r>
              <w:rPr>
                <w:rFonts w:ascii="Times New Roman" w:hAnsi="Times New Roman" w:cs="Times New Roman"/>
              </w:rPr>
              <w:t>2014</w:t>
            </w:r>
          </w:p>
        </w:tc>
      </w:tr>
      <w:tr w:rsidR="00B667FF" w:rsidTr="002A063A">
        <w:tc>
          <w:tcPr>
            <w:tcW w:w="3192" w:type="dxa"/>
            <w:vAlign w:val="bottom"/>
          </w:tcPr>
          <w:p w:rsidR="00B667FF" w:rsidRDefault="00B667FF" w:rsidP="002A063A">
            <w:pPr>
              <w:jc w:val="center"/>
              <w:rPr>
                <w:rFonts w:ascii="Calibri" w:hAnsi="Calibri" w:cs="Calibri"/>
                <w:color w:val="000000"/>
              </w:rPr>
            </w:pPr>
            <w:r>
              <w:rPr>
                <w:rFonts w:ascii="Calibri" w:hAnsi="Calibri" w:cs="Calibri"/>
                <w:color w:val="000000"/>
              </w:rPr>
              <w:lastRenderedPageBreak/>
              <w:t>5.68</w:t>
            </w:r>
          </w:p>
        </w:tc>
        <w:tc>
          <w:tcPr>
            <w:tcW w:w="3192" w:type="dxa"/>
            <w:vAlign w:val="bottom"/>
          </w:tcPr>
          <w:p w:rsidR="00B667FF" w:rsidRDefault="00B667FF" w:rsidP="002A063A">
            <w:pPr>
              <w:jc w:val="center"/>
              <w:rPr>
                <w:rFonts w:ascii="Calibri" w:hAnsi="Calibri" w:cs="Calibri"/>
                <w:color w:val="000000"/>
              </w:rPr>
            </w:pPr>
            <w:r>
              <w:rPr>
                <w:rFonts w:ascii="Calibri" w:hAnsi="Calibri" w:cs="Calibri"/>
                <w:color w:val="000000"/>
              </w:rPr>
              <w:t>6.53</w:t>
            </w:r>
          </w:p>
        </w:tc>
        <w:tc>
          <w:tcPr>
            <w:tcW w:w="3192" w:type="dxa"/>
          </w:tcPr>
          <w:p w:rsidR="00B667FF" w:rsidRDefault="00B667FF" w:rsidP="002A063A">
            <w:pPr>
              <w:jc w:val="center"/>
              <w:rPr>
                <w:rFonts w:ascii="Calibri" w:hAnsi="Calibri" w:cs="Calibri"/>
                <w:color w:val="000000"/>
              </w:rPr>
            </w:pPr>
            <w:r>
              <w:rPr>
                <w:rFonts w:ascii="Calibri" w:hAnsi="Calibri" w:cs="Calibri"/>
                <w:color w:val="000000"/>
              </w:rPr>
              <w:t>7.06</w:t>
            </w:r>
          </w:p>
        </w:tc>
      </w:tr>
    </w:tbl>
    <w:p w:rsidR="00B667FF" w:rsidRDefault="00B667FF" w:rsidP="00B667FF">
      <w:pPr>
        <w:rPr>
          <w:rFonts w:ascii="Times New Roman" w:hAnsi="Times New Roman" w:cs="Times New Roman"/>
        </w:rPr>
      </w:pPr>
    </w:p>
    <w:p w:rsidR="00B667FF" w:rsidRDefault="00B667FF" w:rsidP="00B667FF">
      <w:pPr>
        <w:rPr>
          <w:rFonts w:ascii="Times New Roman" w:hAnsi="Times New Roman" w:cs="Times New Roman"/>
        </w:rPr>
      </w:pPr>
      <w:r w:rsidRPr="00C950F4">
        <w:rPr>
          <w:rFonts w:ascii="Times New Roman" w:hAnsi="Times New Roman" w:cs="Times New Roman"/>
          <w:noProof/>
        </w:rPr>
        <w:drawing>
          <wp:inline distT="0" distB="0" distL="0" distR="0">
            <wp:extent cx="2857500" cy="1885950"/>
            <wp:effectExtent l="19050" t="0" r="19050" b="0"/>
            <wp:docPr id="5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B667FF" w:rsidRPr="004D1ECD" w:rsidRDefault="00B667FF" w:rsidP="00B667FF">
      <w:pPr>
        <w:spacing w:after="200" w:line="276" w:lineRule="auto"/>
        <w:jc w:val="both"/>
        <w:rPr>
          <w:rFonts w:ascii="Times New Roman" w:eastAsia="Times New Roman" w:hAnsi="Times New Roman" w:cs="Times New Roman"/>
          <w:color w:val="000000"/>
          <w:sz w:val="24"/>
          <w:szCs w:val="24"/>
        </w:rPr>
      </w:pPr>
      <w:r w:rsidRPr="004D1ECD">
        <w:rPr>
          <w:rFonts w:ascii="Times New Roman" w:eastAsia="Times New Roman" w:hAnsi="Times New Roman" w:cs="Times New Roman"/>
          <w:color w:val="000000"/>
          <w:sz w:val="24"/>
          <w:szCs w:val="24"/>
        </w:rPr>
        <w:t>This ratio indicates the rate of utilization of raw material.</w:t>
      </w:r>
    </w:p>
    <w:p w:rsidR="00B667FF" w:rsidRDefault="00B667FF" w:rsidP="00584A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2016</w:t>
      </w:r>
      <w:r w:rsidRPr="004D1ECD">
        <w:rPr>
          <w:rFonts w:ascii="Times New Roman" w:eastAsia="Times New Roman" w:hAnsi="Times New Roman" w:cs="Times New Roman"/>
          <w:color w:val="000000"/>
          <w:sz w:val="24"/>
          <w:szCs w:val="24"/>
        </w:rPr>
        <w:t xml:space="preserve"> this ratio is </w:t>
      </w:r>
      <w:r>
        <w:rPr>
          <w:rFonts w:ascii="Times New Roman" w:eastAsia="Times New Roman" w:hAnsi="Times New Roman" w:cs="Times New Roman"/>
          <w:color w:val="000000"/>
          <w:sz w:val="24"/>
          <w:szCs w:val="24"/>
        </w:rPr>
        <w:t>5.68 and in 2015</w:t>
      </w:r>
      <w:r w:rsidRPr="004D1ECD">
        <w:rPr>
          <w:rFonts w:ascii="Times New Roman" w:eastAsia="Times New Roman" w:hAnsi="Times New Roman" w:cs="Times New Roman"/>
          <w:color w:val="000000"/>
          <w:sz w:val="24"/>
          <w:szCs w:val="24"/>
        </w:rPr>
        <w:t xml:space="preserve"> it was </w:t>
      </w:r>
      <w:r>
        <w:rPr>
          <w:rFonts w:ascii="Times New Roman" w:eastAsia="Times New Roman" w:hAnsi="Times New Roman" w:cs="Times New Roman"/>
          <w:color w:val="000000"/>
          <w:sz w:val="24"/>
          <w:szCs w:val="24"/>
        </w:rPr>
        <w:t>6.53 and in 2014 7.06</w:t>
      </w:r>
      <w:r w:rsidRPr="004D1ECD">
        <w:rPr>
          <w:rFonts w:ascii="Times New Roman" w:eastAsia="Times New Roman" w:hAnsi="Times New Roman" w:cs="Times New Roman"/>
          <w:color w:val="000000"/>
          <w:sz w:val="24"/>
          <w:szCs w:val="24"/>
        </w:rPr>
        <w:t xml:space="preserve">This higher turnover ratio of raw material inventory over a period of time indicates </w:t>
      </w:r>
      <w:r>
        <w:rPr>
          <w:rFonts w:ascii="Times New Roman" w:eastAsia="Times New Roman" w:hAnsi="Times New Roman" w:cs="Times New Roman"/>
          <w:color w:val="000000"/>
          <w:sz w:val="24"/>
          <w:szCs w:val="24"/>
        </w:rPr>
        <w:t>Beximco Pharmaceuticals Ltd</w:t>
      </w:r>
      <w:r w:rsidRPr="004D1ECD">
        <w:rPr>
          <w:rFonts w:ascii="Times New Roman" w:eastAsia="Times New Roman" w:hAnsi="Times New Roman" w:cs="Times New Roman"/>
          <w:color w:val="000000"/>
          <w:sz w:val="24"/>
          <w:szCs w:val="24"/>
        </w:rPr>
        <w:t xml:space="preserve"> Company</w:t>
      </w:r>
      <w:r>
        <w:rPr>
          <w:rFonts w:ascii="Times New Roman" w:eastAsia="Times New Roman" w:hAnsi="Times New Roman" w:cs="Times New Roman"/>
          <w:color w:val="000000"/>
          <w:sz w:val="24"/>
          <w:szCs w:val="24"/>
        </w:rPr>
        <w:t xml:space="preserve"> maintaining</w:t>
      </w:r>
      <w:r w:rsidRPr="004D1ECD">
        <w:rPr>
          <w:rFonts w:ascii="Times New Roman" w:eastAsia="Times New Roman" w:hAnsi="Times New Roman" w:cs="Times New Roman"/>
          <w:color w:val="000000"/>
          <w:sz w:val="24"/>
          <w:szCs w:val="24"/>
        </w:rPr>
        <w:t xml:space="preserve"> its utilization</w:t>
      </w:r>
      <w:r>
        <w:rPr>
          <w:rFonts w:ascii="Times New Roman" w:eastAsia="Times New Roman" w:hAnsi="Times New Roman" w:cs="Times New Roman"/>
          <w:color w:val="000000"/>
          <w:sz w:val="24"/>
          <w:szCs w:val="24"/>
        </w:rPr>
        <w:t>.</w:t>
      </w:r>
    </w:p>
    <w:p w:rsidR="00B667FF" w:rsidRDefault="00B667FF" w:rsidP="00B667FF">
      <w:pPr>
        <w:rPr>
          <w:rFonts w:ascii="Times New Roman" w:eastAsia="Times New Roman" w:hAnsi="Times New Roman" w:cs="Times New Roman"/>
          <w:color w:val="000000"/>
          <w:sz w:val="24"/>
          <w:szCs w:val="24"/>
        </w:rPr>
      </w:pPr>
    </w:p>
    <w:p w:rsidR="00B667FF" w:rsidRPr="00A15E21" w:rsidRDefault="00B667FF" w:rsidP="00327EB2">
      <w:pPr>
        <w:pStyle w:val="NoSpacing"/>
      </w:pPr>
      <w:r w:rsidRPr="00A15E21">
        <w:t>Number of days holdings Raw materials</w:t>
      </w:r>
    </w:p>
    <w:tbl>
      <w:tblPr>
        <w:tblStyle w:val="TableGrid"/>
        <w:tblW w:w="0" w:type="auto"/>
        <w:tblLook w:val="04A0" w:firstRow="1" w:lastRow="0" w:firstColumn="1" w:lastColumn="0" w:noHBand="0" w:noVBand="1"/>
      </w:tblPr>
      <w:tblGrid>
        <w:gridCol w:w="3192"/>
        <w:gridCol w:w="3192"/>
        <w:gridCol w:w="3192"/>
      </w:tblGrid>
      <w:tr w:rsidR="00C41425" w:rsidTr="002A063A">
        <w:tc>
          <w:tcPr>
            <w:tcW w:w="3192" w:type="dxa"/>
          </w:tcPr>
          <w:p w:rsidR="00C41425" w:rsidRDefault="00C41425" w:rsidP="002A063A">
            <w:pPr>
              <w:jc w:val="center"/>
              <w:rPr>
                <w:rFonts w:ascii="Times New Roman" w:hAnsi="Times New Roman" w:cs="Times New Roman"/>
              </w:rPr>
            </w:pPr>
            <w:r>
              <w:rPr>
                <w:rFonts w:ascii="Times New Roman" w:hAnsi="Times New Roman" w:cs="Times New Roman"/>
                <w:noProof/>
              </w:rPr>
              <w:t>2016</w:t>
            </w:r>
          </w:p>
        </w:tc>
        <w:tc>
          <w:tcPr>
            <w:tcW w:w="3192" w:type="dxa"/>
          </w:tcPr>
          <w:p w:rsidR="00C41425" w:rsidRDefault="00C41425" w:rsidP="002A063A">
            <w:pPr>
              <w:jc w:val="center"/>
              <w:rPr>
                <w:rFonts w:ascii="Times New Roman" w:hAnsi="Times New Roman" w:cs="Times New Roman"/>
              </w:rPr>
            </w:pPr>
            <w:r>
              <w:rPr>
                <w:rFonts w:ascii="Times New Roman" w:hAnsi="Times New Roman" w:cs="Times New Roman"/>
              </w:rPr>
              <w:t>2015</w:t>
            </w:r>
          </w:p>
        </w:tc>
        <w:tc>
          <w:tcPr>
            <w:tcW w:w="3192" w:type="dxa"/>
          </w:tcPr>
          <w:p w:rsidR="00C41425" w:rsidRDefault="00C41425" w:rsidP="002A063A">
            <w:pPr>
              <w:jc w:val="center"/>
              <w:rPr>
                <w:rFonts w:ascii="Times New Roman" w:hAnsi="Times New Roman" w:cs="Times New Roman"/>
              </w:rPr>
            </w:pPr>
            <w:r>
              <w:rPr>
                <w:rFonts w:ascii="Times New Roman" w:hAnsi="Times New Roman" w:cs="Times New Roman"/>
              </w:rPr>
              <w:t>2014</w:t>
            </w:r>
          </w:p>
        </w:tc>
      </w:tr>
      <w:tr w:rsidR="00C41425" w:rsidTr="002A063A">
        <w:tc>
          <w:tcPr>
            <w:tcW w:w="3192" w:type="dxa"/>
            <w:vAlign w:val="bottom"/>
          </w:tcPr>
          <w:p w:rsidR="00C41425" w:rsidRDefault="00C41425" w:rsidP="002A063A">
            <w:pPr>
              <w:jc w:val="center"/>
              <w:rPr>
                <w:rFonts w:ascii="Calibri" w:hAnsi="Calibri" w:cs="Calibri"/>
                <w:color w:val="000000"/>
              </w:rPr>
            </w:pPr>
            <w:r>
              <w:rPr>
                <w:rFonts w:ascii="Calibri" w:hAnsi="Calibri" w:cs="Calibri"/>
                <w:color w:val="000000"/>
              </w:rPr>
              <w:t>64.23</w:t>
            </w:r>
          </w:p>
        </w:tc>
        <w:tc>
          <w:tcPr>
            <w:tcW w:w="3192" w:type="dxa"/>
            <w:vAlign w:val="bottom"/>
          </w:tcPr>
          <w:p w:rsidR="00C41425" w:rsidRDefault="00C41425" w:rsidP="002A063A">
            <w:pPr>
              <w:jc w:val="center"/>
              <w:rPr>
                <w:rFonts w:ascii="Calibri" w:hAnsi="Calibri" w:cs="Calibri"/>
                <w:color w:val="000000"/>
              </w:rPr>
            </w:pPr>
            <w:r>
              <w:rPr>
                <w:rFonts w:ascii="Calibri" w:hAnsi="Calibri" w:cs="Calibri"/>
                <w:color w:val="000000"/>
              </w:rPr>
              <w:t>55.84</w:t>
            </w:r>
          </w:p>
        </w:tc>
        <w:tc>
          <w:tcPr>
            <w:tcW w:w="3192" w:type="dxa"/>
          </w:tcPr>
          <w:p w:rsidR="00C41425" w:rsidRDefault="00C41425" w:rsidP="002A063A">
            <w:pPr>
              <w:jc w:val="center"/>
              <w:rPr>
                <w:rFonts w:ascii="Calibri" w:hAnsi="Calibri" w:cs="Calibri"/>
                <w:color w:val="000000"/>
              </w:rPr>
            </w:pPr>
            <w:r>
              <w:rPr>
                <w:rFonts w:ascii="Calibri" w:hAnsi="Calibri" w:cs="Calibri"/>
                <w:color w:val="000000"/>
              </w:rPr>
              <w:t>51.69</w:t>
            </w:r>
          </w:p>
        </w:tc>
      </w:tr>
    </w:tbl>
    <w:p w:rsidR="00B667FF" w:rsidRDefault="00B667FF" w:rsidP="00B667FF"/>
    <w:p w:rsidR="00B667FF" w:rsidRDefault="00B667FF" w:rsidP="00B667FF">
      <w:pPr>
        <w:rPr>
          <w:rFonts w:ascii="Times New Roman" w:hAnsi="Times New Roman" w:cs="Times New Roman"/>
        </w:rPr>
      </w:pPr>
      <w:r w:rsidRPr="00BF0FF5">
        <w:rPr>
          <w:noProof/>
        </w:rPr>
        <w:drawing>
          <wp:inline distT="0" distB="0" distL="0" distR="0">
            <wp:extent cx="2857500" cy="1885950"/>
            <wp:effectExtent l="19050" t="0" r="19050" b="0"/>
            <wp:docPr id="5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C41425" w:rsidRDefault="00C41425" w:rsidP="00B667FF">
      <w:pPr>
        <w:pStyle w:val="Heading2"/>
        <w:rPr>
          <w:rFonts w:eastAsia="Times New Roman"/>
          <w:b/>
          <w:sz w:val="28"/>
          <w:szCs w:val="28"/>
          <w:shd w:val="clear" w:color="auto" w:fill="FFFFFF"/>
        </w:rPr>
      </w:pPr>
      <w:bookmarkStart w:id="38" w:name="_Toc18627821"/>
      <w:r>
        <w:rPr>
          <w:rFonts w:ascii="Times New Roman" w:eastAsia="Times New Roman" w:hAnsi="Times New Roman" w:cs="Times New Roman"/>
          <w:color w:val="000000"/>
          <w:sz w:val="24"/>
          <w:szCs w:val="24"/>
        </w:rPr>
        <w:t>Beximco Pharmaceuticals Ltd</w:t>
      </w:r>
      <w:r w:rsidR="00870082">
        <w:rPr>
          <w:rFonts w:ascii="Times New Roman" w:eastAsia="Times New Roman" w:hAnsi="Times New Roman" w:cs="Times New Roman"/>
          <w:color w:val="000000"/>
          <w:sz w:val="24"/>
          <w:szCs w:val="24"/>
        </w:rPr>
        <w:t xml:space="preserve"> is</w:t>
      </w:r>
      <w:r>
        <w:rPr>
          <w:rFonts w:ascii="Times New Roman" w:eastAsia="Times New Roman" w:hAnsi="Times New Roman" w:cs="Times New Roman"/>
          <w:color w:val="000000"/>
          <w:sz w:val="24"/>
          <w:szCs w:val="24"/>
        </w:rPr>
        <w:t xml:space="preserve"> increasing their raw materials holding time throughout the years.</w:t>
      </w:r>
      <w:bookmarkEnd w:id="38"/>
    </w:p>
    <w:p w:rsidR="00B667FF" w:rsidRPr="00A15E21" w:rsidRDefault="00B667FF" w:rsidP="00327EB2">
      <w:pPr>
        <w:pStyle w:val="NoSpacing"/>
        <w:rPr>
          <w:shd w:val="clear" w:color="auto" w:fill="FFFFFF"/>
        </w:rPr>
      </w:pPr>
      <w:r w:rsidRPr="00A15E21">
        <w:rPr>
          <w:shd w:val="clear" w:color="auto" w:fill="FFFFFF"/>
        </w:rPr>
        <w:t>Work in process Inventory turnover</w:t>
      </w:r>
    </w:p>
    <w:tbl>
      <w:tblPr>
        <w:tblStyle w:val="TableGrid"/>
        <w:tblW w:w="0" w:type="auto"/>
        <w:tblLook w:val="04A0" w:firstRow="1" w:lastRow="0" w:firstColumn="1" w:lastColumn="0" w:noHBand="0" w:noVBand="1"/>
      </w:tblPr>
      <w:tblGrid>
        <w:gridCol w:w="3192"/>
        <w:gridCol w:w="3192"/>
        <w:gridCol w:w="3192"/>
      </w:tblGrid>
      <w:tr w:rsidR="00B667FF" w:rsidTr="002A063A">
        <w:tc>
          <w:tcPr>
            <w:tcW w:w="3192" w:type="dxa"/>
          </w:tcPr>
          <w:p w:rsidR="00B667FF" w:rsidRDefault="00B667FF" w:rsidP="002A063A">
            <w:pPr>
              <w:jc w:val="center"/>
              <w:rPr>
                <w:rFonts w:ascii="Times New Roman" w:hAnsi="Times New Roman" w:cs="Times New Roman"/>
              </w:rPr>
            </w:pPr>
            <w:r>
              <w:rPr>
                <w:rFonts w:ascii="Times New Roman" w:hAnsi="Times New Roman" w:cs="Times New Roman"/>
                <w:noProof/>
              </w:rPr>
              <w:t>2016</w:t>
            </w:r>
          </w:p>
        </w:tc>
        <w:tc>
          <w:tcPr>
            <w:tcW w:w="3192" w:type="dxa"/>
          </w:tcPr>
          <w:p w:rsidR="00B667FF" w:rsidRDefault="00B667FF" w:rsidP="002A063A">
            <w:pPr>
              <w:jc w:val="center"/>
              <w:rPr>
                <w:rFonts w:ascii="Times New Roman" w:hAnsi="Times New Roman" w:cs="Times New Roman"/>
              </w:rPr>
            </w:pPr>
            <w:r>
              <w:rPr>
                <w:rFonts w:ascii="Times New Roman" w:hAnsi="Times New Roman" w:cs="Times New Roman"/>
              </w:rPr>
              <w:t>2015</w:t>
            </w:r>
          </w:p>
        </w:tc>
        <w:tc>
          <w:tcPr>
            <w:tcW w:w="3192" w:type="dxa"/>
          </w:tcPr>
          <w:p w:rsidR="00B667FF" w:rsidRDefault="00B667FF" w:rsidP="002A063A">
            <w:pPr>
              <w:jc w:val="center"/>
              <w:rPr>
                <w:rFonts w:ascii="Times New Roman" w:hAnsi="Times New Roman" w:cs="Times New Roman"/>
              </w:rPr>
            </w:pPr>
            <w:r>
              <w:rPr>
                <w:rFonts w:ascii="Times New Roman" w:hAnsi="Times New Roman" w:cs="Times New Roman"/>
              </w:rPr>
              <w:t>2014</w:t>
            </w:r>
          </w:p>
        </w:tc>
      </w:tr>
      <w:tr w:rsidR="00B667FF" w:rsidTr="002A063A">
        <w:tc>
          <w:tcPr>
            <w:tcW w:w="3192" w:type="dxa"/>
            <w:vAlign w:val="bottom"/>
          </w:tcPr>
          <w:p w:rsidR="00B667FF" w:rsidRDefault="007F3D91" w:rsidP="002A063A">
            <w:pPr>
              <w:jc w:val="center"/>
              <w:rPr>
                <w:rFonts w:ascii="Calibri" w:hAnsi="Calibri" w:cs="Calibri"/>
                <w:color w:val="000000"/>
              </w:rPr>
            </w:pPr>
            <w:r>
              <w:rPr>
                <w:rFonts w:ascii="Calibri" w:hAnsi="Calibri" w:cs="Calibri"/>
                <w:color w:val="000000"/>
              </w:rPr>
              <w:t>75.49</w:t>
            </w:r>
          </w:p>
        </w:tc>
        <w:tc>
          <w:tcPr>
            <w:tcW w:w="3192" w:type="dxa"/>
            <w:vAlign w:val="bottom"/>
          </w:tcPr>
          <w:p w:rsidR="00B667FF" w:rsidRDefault="007F3D91" w:rsidP="002A063A">
            <w:pPr>
              <w:jc w:val="center"/>
              <w:rPr>
                <w:rFonts w:ascii="Calibri" w:hAnsi="Calibri" w:cs="Calibri"/>
                <w:color w:val="000000"/>
              </w:rPr>
            </w:pPr>
            <w:r>
              <w:rPr>
                <w:rFonts w:ascii="Calibri" w:hAnsi="Calibri" w:cs="Calibri"/>
                <w:color w:val="000000"/>
              </w:rPr>
              <w:t>35.87</w:t>
            </w:r>
          </w:p>
        </w:tc>
        <w:tc>
          <w:tcPr>
            <w:tcW w:w="3192" w:type="dxa"/>
            <w:vAlign w:val="bottom"/>
          </w:tcPr>
          <w:p w:rsidR="00B667FF" w:rsidRDefault="007F3D91" w:rsidP="002A063A">
            <w:pPr>
              <w:jc w:val="center"/>
              <w:rPr>
                <w:rFonts w:ascii="Calibri" w:hAnsi="Calibri" w:cs="Calibri"/>
                <w:color w:val="000000"/>
              </w:rPr>
            </w:pPr>
            <w:r>
              <w:rPr>
                <w:rFonts w:ascii="Calibri" w:hAnsi="Calibri" w:cs="Calibri"/>
                <w:color w:val="000000"/>
              </w:rPr>
              <w:t>35.52</w:t>
            </w:r>
          </w:p>
        </w:tc>
      </w:tr>
    </w:tbl>
    <w:p w:rsidR="00B667FF" w:rsidRDefault="00B667FF" w:rsidP="00B667FF">
      <w:pPr>
        <w:rPr>
          <w:b/>
        </w:rPr>
      </w:pPr>
    </w:p>
    <w:p w:rsidR="00B667FF" w:rsidRDefault="00B667FF" w:rsidP="00B667FF">
      <w:pPr>
        <w:rPr>
          <w:b/>
        </w:rPr>
      </w:pPr>
      <w:r w:rsidRPr="00034B65">
        <w:rPr>
          <w:b/>
          <w:noProof/>
        </w:rPr>
        <w:drawing>
          <wp:inline distT="0" distB="0" distL="0" distR="0">
            <wp:extent cx="2857500" cy="1885950"/>
            <wp:effectExtent l="19050" t="0" r="19050" b="0"/>
            <wp:docPr id="5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B667FF" w:rsidRDefault="00B667FF" w:rsidP="00B667FF">
      <w:pPr>
        <w:rPr>
          <w:b/>
        </w:rPr>
      </w:pPr>
    </w:p>
    <w:p w:rsidR="008B7EED" w:rsidRDefault="008B7EED" w:rsidP="008B7EED">
      <w:p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Working process inventory turnover ratio higher means accumulation of inventory is lower and few active with working capital. In opposite this ratio gone high indicates management has lags in controlling or external factors delay their production movements. We will compare the ratios with acceptable standards.</w:t>
      </w:r>
    </w:p>
    <w:p w:rsidR="00B667FF" w:rsidRPr="004D1ECD" w:rsidRDefault="00B667FF" w:rsidP="00B667FF">
      <w:pPr>
        <w:autoSpaceDE w:val="0"/>
        <w:autoSpaceDN w:val="0"/>
        <w:adjustRightInd w:val="0"/>
        <w:spacing w:after="0" w:line="276" w:lineRule="auto"/>
        <w:jc w:val="both"/>
        <w:rPr>
          <w:rFonts w:ascii="Times New Roman" w:eastAsia="Times New Roman" w:hAnsi="Times New Roman" w:cs="Times New Roman"/>
          <w:sz w:val="24"/>
          <w:szCs w:val="24"/>
        </w:rPr>
      </w:pPr>
    </w:p>
    <w:p w:rsidR="00B667FF" w:rsidRDefault="00B667FF" w:rsidP="00B667FF">
      <w:pPr>
        <w:autoSpaceDE w:val="0"/>
        <w:autoSpaceDN w:val="0"/>
        <w:adjustRightInd w:val="0"/>
        <w:spacing w:after="0" w:line="276" w:lineRule="auto"/>
        <w:jc w:val="both"/>
        <w:rPr>
          <w:rFonts w:ascii="Times New Roman" w:eastAsia="Times New Roman" w:hAnsi="Times New Roman" w:cs="Times New Roman"/>
          <w:sz w:val="24"/>
          <w:szCs w:val="24"/>
        </w:rPr>
      </w:pPr>
      <w:r w:rsidRPr="004D1ECD">
        <w:rPr>
          <w:rFonts w:ascii="Times New Roman" w:eastAsia="Times New Roman" w:hAnsi="Times New Roman" w:cs="Times New Roman"/>
          <w:sz w:val="24"/>
          <w:szCs w:val="24"/>
        </w:rPr>
        <w:t>Here, Work-in-proc</w:t>
      </w:r>
      <w:r>
        <w:rPr>
          <w:rFonts w:ascii="Times New Roman" w:eastAsia="Times New Roman" w:hAnsi="Times New Roman" w:cs="Times New Roman"/>
          <w:sz w:val="24"/>
          <w:szCs w:val="24"/>
        </w:rPr>
        <w:t xml:space="preserve">ess inventory turnover are </w:t>
      </w:r>
      <w:r w:rsidR="007F3D91">
        <w:rPr>
          <w:rFonts w:ascii="Times New Roman" w:eastAsia="Times New Roman" w:hAnsi="Times New Roman" w:cs="Times New Roman"/>
          <w:sz w:val="24"/>
          <w:szCs w:val="24"/>
        </w:rPr>
        <w:t>75.49</w:t>
      </w:r>
      <w:r w:rsidRPr="004D1ECD">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imes in 2016 &amp;</w:t>
      </w:r>
      <w:r w:rsidR="007F3D91">
        <w:rPr>
          <w:rFonts w:ascii="Times New Roman" w:eastAsia="Times New Roman" w:hAnsi="Times New Roman" w:cs="Times New Roman"/>
          <w:sz w:val="24"/>
          <w:szCs w:val="24"/>
        </w:rPr>
        <w:t>35.87</w:t>
      </w:r>
      <w:r>
        <w:rPr>
          <w:rFonts w:ascii="Times New Roman" w:eastAsia="Times New Roman" w:hAnsi="Times New Roman" w:cs="Times New Roman"/>
          <w:sz w:val="24"/>
          <w:szCs w:val="24"/>
        </w:rPr>
        <w:t xml:space="preserve"> times in 2015and in 2014 it was </w:t>
      </w:r>
      <w:r w:rsidR="007F3D91">
        <w:rPr>
          <w:rFonts w:ascii="Times New Roman" w:eastAsia="Times New Roman" w:hAnsi="Times New Roman" w:cs="Times New Roman"/>
          <w:sz w:val="24"/>
          <w:szCs w:val="24"/>
        </w:rPr>
        <w:t>35.52</w:t>
      </w:r>
      <w:r>
        <w:rPr>
          <w:rFonts w:ascii="Times New Roman" w:eastAsia="Times New Roman" w:hAnsi="Times New Roman" w:cs="Times New Roman"/>
          <w:sz w:val="24"/>
          <w:szCs w:val="24"/>
        </w:rPr>
        <w:t xml:space="preserve">. So, the company worked efficiently in </w:t>
      </w:r>
      <w:r w:rsidR="007F3D91">
        <w:rPr>
          <w:rFonts w:ascii="Times New Roman" w:eastAsia="Times New Roman" w:hAnsi="Times New Roman" w:cs="Times New Roman"/>
          <w:sz w:val="24"/>
          <w:szCs w:val="24"/>
        </w:rPr>
        <w:t>2016.</w:t>
      </w:r>
    </w:p>
    <w:p w:rsidR="00B667FF" w:rsidRDefault="00B667FF" w:rsidP="00B667FF">
      <w:pPr>
        <w:autoSpaceDE w:val="0"/>
        <w:autoSpaceDN w:val="0"/>
        <w:adjustRightInd w:val="0"/>
        <w:spacing w:after="0" w:line="276" w:lineRule="auto"/>
        <w:jc w:val="both"/>
        <w:rPr>
          <w:rFonts w:ascii="Times New Roman" w:eastAsia="Times New Roman" w:hAnsi="Times New Roman" w:cs="Times New Roman"/>
          <w:sz w:val="24"/>
          <w:szCs w:val="24"/>
        </w:rPr>
      </w:pPr>
    </w:p>
    <w:p w:rsidR="00B667FF" w:rsidRDefault="00B667FF" w:rsidP="00495E1E">
      <w:pPr>
        <w:spacing w:after="200" w:line="276" w:lineRule="auto"/>
        <w:jc w:val="both"/>
        <w:rPr>
          <w:rFonts w:ascii="Times New Roman" w:eastAsia="Times New Roman" w:hAnsi="Times New Roman" w:cs="Times New Roman"/>
          <w:bCs/>
          <w:color w:val="000000"/>
          <w:sz w:val="24"/>
          <w:szCs w:val="24"/>
          <w:shd w:val="clear" w:color="auto" w:fill="FFFFFF"/>
        </w:rPr>
      </w:pPr>
    </w:p>
    <w:p w:rsidR="00495E1E" w:rsidRPr="00495E1E" w:rsidRDefault="00495E1E" w:rsidP="00495E1E">
      <w:pPr>
        <w:spacing w:after="200" w:line="276" w:lineRule="auto"/>
        <w:jc w:val="both"/>
        <w:rPr>
          <w:rFonts w:ascii="Times New Roman" w:eastAsia="Times New Roman" w:hAnsi="Times New Roman" w:cs="Times New Roman"/>
          <w:bCs/>
          <w:color w:val="000000"/>
          <w:sz w:val="24"/>
          <w:szCs w:val="24"/>
          <w:shd w:val="clear" w:color="auto" w:fill="FFFFFF"/>
        </w:rPr>
      </w:pPr>
    </w:p>
    <w:p w:rsidR="004668A8" w:rsidRPr="00A15E21" w:rsidRDefault="004668A8" w:rsidP="00327EB2">
      <w:pPr>
        <w:pStyle w:val="NoSpacing"/>
      </w:pPr>
      <w:r w:rsidRPr="00A15E21">
        <w:t>Finished Goods Inventory turnover</w:t>
      </w:r>
    </w:p>
    <w:p w:rsidR="004668A8" w:rsidRDefault="004668A8" w:rsidP="004668A8"/>
    <w:tbl>
      <w:tblPr>
        <w:tblStyle w:val="TableGrid"/>
        <w:tblW w:w="0" w:type="auto"/>
        <w:tblLook w:val="04A0" w:firstRow="1" w:lastRow="0" w:firstColumn="1" w:lastColumn="0" w:noHBand="0" w:noVBand="1"/>
      </w:tblPr>
      <w:tblGrid>
        <w:gridCol w:w="3192"/>
        <w:gridCol w:w="3192"/>
        <w:gridCol w:w="3192"/>
      </w:tblGrid>
      <w:tr w:rsidR="004668A8" w:rsidTr="005A2715">
        <w:tc>
          <w:tcPr>
            <w:tcW w:w="3192" w:type="dxa"/>
          </w:tcPr>
          <w:p w:rsidR="004668A8" w:rsidRDefault="004668A8" w:rsidP="005A2715">
            <w:pPr>
              <w:jc w:val="center"/>
              <w:rPr>
                <w:rFonts w:ascii="Times New Roman" w:hAnsi="Times New Roman" w:cs="Times New Roman"/>
              </w:rPr>
            </w:pPr>
            <w:r>
              <w:rPr>
                <w:rFonts w:ascii="Times New Roman" w:hAnsi="Times New Roman" w:cs="Times New Roman"/>
                <w:noProof/>
              </w:rPr>
              <w:t>2016</w:t>
            </w:r>
          </w:p>
        </w:tc>
        <w:tc>
          <w:tcPr>
            <w:tcW w:w="3192" w:type="dxa"/>
          </w:tcPr>
          <w:p w:rsidR="004668A8" w:rsidRDefault="004668A8" w:rsidP="005A2715">
            <w:pPr>
              <w:jc w:val="center"/>
              <w:rPr>
                <w:rFonts w:ascii="Times New Roman" w:hAnsi="Times New Roman" w:cs="Times New Roman"/>
              </w:rPr>
            </w:pPr>
            <w:r>
              <w:rPr>
                <w:rFonts w:ascii="Times New Roman" w:hAnsi="Times New Roman" w:cs="Times New Roman"/>
              </w:rPr>
              <w:t>2015</w:t>
            </w:r>
          </w:p>
        </w:tc>
        <w:tc>
          <w:tcPr>
            <w:tcW w:w="3192" w:type="dxa"/>
          </w:tcPr>
          <w:p w:rsidR="004668A8" w:rsidRDefault="004668A8" w:rsidP="005A2715">
            <w:pPr>
              <w:jc w:val="center"/>
              <w:rPr>
                <w:rFonts w:ascii="Times New Roman" w:hAnsi="Times New Roman" w:cs="Times New Roman"/>
              </w:rPr>
            </w:pPr>
            <w:r>
              <w:rPr>
                <w:rFonts w:ascii="Times New Roman" w:hAnsi="Times New Roman" w:cs="Times New Roman"/>
              </w:rPr>
              <w:t>2014</w:t>
            </w:r>
          </w:p>
        </w:tc>
      </w:tr>
      <w:tr w:rsidR="004668A8" w:rsidTr="005A2715">
        <w:tc>
          <w:tcPr>
            <w:tcW w:w="3192" w:type="dxa"/>
            <w:vAlign w:val="bottom"/>
          </w:tcPr>
          <w:p w:rsidR="004668A8" w:rsidRDefault="00DB0BC9" w:rsidP="005A2715">
            <w:pPr>
              <w:jc w:val="center"/>
              <w:rPr>
                <w:rFonts w:ascii="Calibri" w:hAnsi="Calibri" w:cs="Calibri"/>
                <w:color w:val="000000"/>
              </w:rPr>
            </w:pPr>
            <w:r>
              <w:rPr>
                <w:rFonts w:ascii="Calibri" w:hAnsi="Calibri" w:cs="Calibri"/>
                <w:color w:val="000000"/>
              </w:rPr>
              <w:t>12.83</w:t>
            </w:r>
          </w:p>
        </w:tc>
        <w:tc>
          <w:tcPr>
            <w:tcW w:w="3192" w:type="dxa"/>
            <w:vAlign w:val="bottom"/>
          </w:tcPr>
          <w:p w:rsidR="004668A8" w:rsidRDefault="00DB0BC9" w:rsidP="005A2715">
            <w:pPr>
              <w:jc w:val="center"/>
              <w:rPr>
                <w:rFonts w:ascii="Calibri" w:hAnsi="Calibri" w:cs="Calibri"/>
                <w:color w:val="000000"/>
              </w:rPr>
            </w:pPr>
            <w:r>
              <w:rPr>
                <w:rFonts w:ascii="Calibri" w:hAnsi="Calibri" w:cs="Calibri"/>
                <w:color w:val="000000"/>
              </w:rPr>
              <w:t>10.88</w:t>
            </w:r>
          </w:p>
        </w:tc>
        <w:tc>
          <w:tcPr>
            <w:tcW w:w="3192" w:type="dxa"/>
            <w:vAlign w:val="bottom"/>
          </w:tcPr>
          <w:p w:rsidR="004668A8" w:rsidRDefault="00DB0BC9" w:rsidP="005A2715">
            <w:pPr>
              <w:jc w:val="center"/>
              <w:rPr>
                <w:rFonts w:ascii="Calibri" w:hAnsi="Calibri" w:cs="Calibri"/>
                <w:color w:val="000000"/>
              </w:rPr>
            </w:pPr>
            <w:r>
              <w:rPr>
                <w:rFonts w:ascii="Calibri" w:hAnsi="Calibri" w:cs="Calibri"/>
                <w:color w:val="000000"/>
              </w:rPr>
              <w:t>9.63</w:t>
            </w:r>
          </w:p>
        </w:tc>
      </w:tr>
    </w:tbl>
    <w:p w:rsidR="004668A8" w:rsidRDefault="004668A8" w:rsidP="004668A8">
      <w:pPr>
        <w:rPr>
          <w:b/>
        </w:rPr>
      </w:pPr>
    </w:p>
    <w:p w:rsidR="004668A8" w:rsidRDefault="004668A8" w:rsidP="004668A8">
      <w:pPr>
        <w:rPr>
          <w:b/>
        </w:rPr>
      </w:pPr>
      <w:r w:rsidRPr="00F61E25">
        <w:rPr>
          <w:b/>
          <w:noProof/>
        </w:rPr>
        <w:drawing>
          <wp:inline distT="0" distB="0" distL="0" distR="0">
            <wp:extent cx="2609850" cy="1647825"/>
            <wp:effectExtent l="19050" t="0" r="19050" b="0"/>
            <wp:docPr id="4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4668A8" w:rsidRDefault="008B7EED" w:rsidP="004668A8">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w:t>
      </w:r>
      <w:r w:rsidR="004668A8" w:rsidRPr="004D1ECD">
        <w:rPr>
          <w:rFonts w:ascii="Times New Roman" w:eastAsia="Times New Roman" w:hAnsi="Times New Roman" w:cs="Times New Roman"/>
          <w:sz w:val="24"/>
          <w:szCs w:val="24"/>
        </w:rPr>
        <w:t xml:space="preserve">inished goods inventory turnover ratio that is: </w:t>
      </w:r>
      <w:r w:rsidR="00DB0BC9">
        <w:rPr>
          <w:rFonts w:ascii="Times New Roman" w:eastAsia="Times New Roman" w:hAnsi="Times New Roman" w:cs="Times New Roman"/>
          <w:sz w:val="24"/>
          <w:szCs w:val="24"/>
        </w:rPr>
        <w:t>12.83</w:t>
      </w:r>
      <w:r w:rsidR="004668A8" w:rsidRPr="004D1ECD">
        <w:rPr>
          <w:rFonts w:ascii="Times New Roman" w:eastAsia="Times New Roman" w:hAnsi="Times New Roman" w:cs="Times New Roman"/>
          <w:sz w:val="24"/>
          <w:szCs w:val="24"/>
        </w:rPr>
        <w:t>times in 201</w:t>
      </w:r>
      <w:r w:rsidR="004668A8">
        <w:rPr>
          <w:rFonts w:ascii="Times New Roman" w:eastAsia="Times New Roman" w:hAnsi="Times New Roman" w:cs="Times New Roman"/>
          <w:sz w:val="24"/>
          <w:szCs w:val="24"/>
        </w:rPr>
        <w:t xml:space="preserve">6 </w:t>
      </w:r>
      <w:r w:rsidR="004668A8" w:rsidRPr="004D1ECD">
        <w:rPr>
          <w:rFonts w:ascii="Times New Roman" w:eastAsia="Times New Roman" w:hAnsi="Times New Roman" w:cs="Times New Roman"/>
          <w:sz w:val="24"/>
          <w:szCs w:val="24"/>
        </w:rPr>
        <w:t>&amp;</w:t>
      </w:r>
      <w:r w:rsidR="00DB0BC9">
        <w:rPr>
          <w:rFonts w:ascii="Times New Roman" w:eastAsia="Times New Roman" w:hAnsi="Times New Roman" w:cs="Times New Roman"/>
          <w:sz w:val="24"/>
          <w:szCs w:val="24"/>
        </w:rPr>
        <w:t>10.88</w:t>
      </w:r>
      <w:r w:rsidR="004668A8" w:rsidRPr="004D1ECD">
        <w:rPr>
          <w:rFonts w:ascii="Times New Roman" w:eastAsia="Times New Roman" w:hAnsi="Times New Roman" w:cs="Times New Roman"/>
          <w:sz w:val="24"/>
          <w:szCs w:val="24"/>
        </w:rPr>
        <w:t xml:space="preserve"> times in 201</w:t>
      </w:r>
      <w:r w:rsidR="004668A8">
        <w:rPr>
          <w:rFonts w:ascii="Times New Roman" w:eastAsia="Times New Roman" w:hAnsi="Times New Roman" w:cs="Times New Roman"/>
          <w:sz w:val="24"/>
          <w:szCs w:val="24"/>
        </w:rPr>
        <w:t xml:space="preserve">5 and </w:t>
      </w:r>
      <w:r w:rsidR="00DB0BC9">
        <w:rPr>
          <w:rFonts w:ascii="Times New Roman" w:eastAsia="Times New Roman" w:hAnsi="Times New Roman" w:cs="Times New Roman"/>
          <w:sz w:val="24"/>
          <w:szCs w:val="24"/>
        </w:rPr>
        <w:t>9.63</w:t>
      </w:r>
      <w:r w:rsidR="004668A8">
        <w:rPr>
          <w:rFonts w:ascii="Times New Roman" w:eastAsia="Times New Roman" w:hAnsi="Times New Roman" w:cs="Times New Roman"/>
          <w:sz w:val="24"/>
          <w:szCs w:val="24"/>
        </w:rPr>
        <w:t xml:space="preserve"> in 2014 </w:t>
      </w:r>
      <w:r w:rsidR="004668A8" w:rsidRPr="004D1ECD">
        <w:rPr>
          <w:rFonts w:ascii="Times New Roman" w:eastAsia="Times New Roman" w:hAnsi="Times New Roman" w:cs="Times New Roman"/>
          <w:sz w:val="24"/>
          <w:szCs w:val="24"/>
        </w:rPr>
        <w:t>that is</w:t>
      </w:r>
      <w:r w:rsidR="00870082">
        <w:rPr>
          <w:rFonts w:ascii="Times New Roman" w:eastAsia="Times New Roman" w:hAnsi="Times New Roman" w:cs="Times New Roman"/>
          <w:sz w:val="24"/>
          <w:szCs w:val="24"/>
        </w:rPr>
        <w:t xml:space="preserve"> </w:t>
      </w:r>
      <w:r w:rsidR="004668A8" w:rsidRPr="004D1ECD">
        <w:rPr>
          <w:rFonts w:ascii="Times New Roman" w:eastAsia="Times New Roman" w:hAnsi="Times New Roman" w:cs="Times New Roman"/>
          <w:sz w:val="24"/>
          <w:szCs w:val="24"/>
        </w:rPr>
        <w:t>good for the company.</w:t>
      </w:r>
    </w:p>
    <w:p w:rsidR="004668A8" w:rsidRDefault="004668A8" w:rsidP="004668A8">
      <w:pPr>
        <w:spacing w:after="200" w:line="276" w:lineRule="auto"/>
        <w:jc w:val="both"/>
        <w:rPr>
          <w:rFonts w:ascii="Times New Roman" w:eastAsia="Times New Roman" w:hAnsi="Times New Roman" w:cs="Times New Roman"/>
          <w:sz w:val="24"/>
          <w:szCs w:val="24"/>
        </w:rPr>
      </w:pPr>
    </w:p>
    <w:p w:rsidR="004668A8" w:rsidRPr="00A15E21" w:rsidRDefault="004668A8" w:rsidP="00327EB2">
      <w:pPr>
        <w:pStyle w:val="NoSpacing"/>
      </w:pPr>
      <w:r w:rsidRPr="00A15E21">
        <w:t xml:space="preserve">Finished Goods Storage Period </w:t>
      </w:r>
    </w:p>
    <w:p w:rsidR="004668A8" w:rsidRDefault="004668A8" w:rsidP="004668A8"/>
    <w:tbl>
      <w:tblPr>
        <w:tblStyle w:val="TableGrid"/>
        <w:tblW w:w="0" w:type="auto"/>
        <w:tblLook w:val="04A0" w:firstRow="1" w:lastRow="0" w:firstColumn="1" w:lastColumn="0" w:noHBand="0" w:noVBand="1"/>
      </w:tblPr>
      <w:tblGrid>
        <w:gridCol w:w="3192"/>
        <w:gridCol w:w="3192"/>
        <w:gridCol w:w="3192"/>
      </w:tblGrid>
      <w:tr w:rsidR="004668A8" w:rsidTr="005A2715">
        <w:tc>
          <w:tcPr>
            <w:tcW w:w="3192" w:type="dxa"/>
          </w:tcPr>
          <w:p w:rsidR="004668A8" w:rsidRDefault="004668A8" w:rsidP="005A2715">
            <w:pPr>
              <w:jc w:val="center"/>
              <w:rPr>
                <w:rFonts w:ascii="Times New Roman" w:hAnsi="Times New Roman" w:cs="Times New Roman"/>
              </w:rPr>
            </w:pPr>
            <w:r>
              <w:rPr>
                <w:rFonts w:ascii="Times New Roman" w:hAnsi="Times New Roman" w:cs="Times New Roman"/>
                <w:noProof/>
              </w:rPr>
              <w:t>2016</w:t>
            </w:r>
          </w:p>
        </w:tc>
        <w:tc>
          <w:tcPr>
            <w:tcW w:w="3192" w:type="dxa"/>
          </w:tcPr>
          <w:p w:rsidR="004668A8" w:rsidRDefault="004668A8" w:rsidP="005A2715">
            <w:pPr>
              <w:jc w:val="center"/>
              <w:rPr>
                <w:rFonts w:ascii="Times New Roman" w:hAnsi="Times New Roman" w:cs="Times New Roman"/>
              </w:rPr>
            </w:pPr>
            <w:r>
              <w:rPr>
                <w:rFonts w:ascii="Times New Roman" w:hAnsi="Times New Roman" w:cs="Times New Roman"/>
              </w:rPr>
              <w:t>2015</w:t>
            </w:r>
          </w:p>
        </w:tc>
        <w:tc>
          <w:tcPr>
            <w:tcW w:w="3192" w:type="dxa"/>
          </w:tcPr>
          <w:p w:rsidR="004668A8" w:rsidRDefault="004668A8" w:rsidP="005A2715">
            <w:pPr>
              <w:jc w:val="center"/>
              <w:rPr>
                <w:rFonts w:ascii="Times New Roman" w:hAnsi="Times New Roman" w:cs="Times New Roman"/>
              </w:rPr>
            </w:pPr>
            <w:r>
              <w:rPr>
                <w:rFonts w:ascii="Times New Roman" w:hAnsi="Times New Roman" w:cs="Times New Roman"/>
              </w:rPr>
              <w:t>2014</w:t>
            </w:r>
          </w:p>
        </w:tc>
      </w:tr>
      <w:tr w:rsidR="004668A8" w:rsidTr="005A2715">
        <w:tc>
          <w:tcPr>
            <w:tcW w:w="3192" w:type="dxa"/>
            <w:vAlign w:val="bottom"/>
          </w:tcPr>
          <w:p w:rsidR="004668A8" w:rsidRDefault="00DB0BC9" w:rsidP="005A2715">
            <w:pPr>
              <w:jc w:val="center"/>
              <w:rPr>
                <w:rFonts w:ascii="Calibri" w:hAnsi="Calibri" w:cs="Calibri"/>
                <w:color w:val="000000"/>
              </w:rPr>
            </w:pPr>
            <w:r>
              <w:rPr>
                <w:rFonts w:ascii="Calibri" w:hAnsi="Calibri" w:cs="Calibri"/>
                <w:color w:val="000000"/>
              </w:rPr>
              <w:t>28</w:t>
            </w:r>
          </w:p>
        </w:tc>
        <w:tc>
          <w:tcPr>
            <w:tcW w:w="3192" w:type="dxa"/>
            <w:vAlign w:val="bottom"/>
          </w:tcPr>
          <w:p w:rsidR="004668A8" w:rsidRDefault="00DB0BC9" w:rsidP="005A2715">
            <w:pPr>
              <w:jc w:val="center"/>
              <w:rPr>
                <w:rFonts w:ascii="Calibri" w:hAnsi="Calibri" w:cs="Calibri"/>
                <w:color w:val="000000"/>
              </w:rPr>
            </w:pPr>
            <w:r>
              <w:rPr>
                <w:rFonts w:ascii="Calibri" w:hAnsi="Calibri" w:cs="Calibri"/>
                <w:color w:val="000000"/>
              </w:rPr>
              <w:t>33</w:t>
            </w:r>
          </w:p>
        </w:tc>
        <w:tc>
          <w:tcPr>
            <w:tcW w:w="3192" w:type="dxa"/>
            <w:vAlign w:val="bottom"/>
          </w:tcPr>
          <w:p w:rsidR="004668A8" w:rsidRDefault="00DB0BC9" w:rsidP="005A2715">
            <w:pPr>
              <w:jc w:val="center"/>
              <w:rPr>
                <w:rFonts w:ascii="Calibri" w:hAnsi="Calibri" w:cs="Calibri"/>
                <w:color w:val="000000"/>
              </w:rPr>
            </w:pPr>
            <w:r>
              <w:rPr>
                <w:rFonts w:ascii="Calibri" w:hAnsi="Calibri" w:cs="Calibri"/>
                <w:color w:val="000000"/>
              </w:rPr>
              <w:t>37</w:t>
            </w:r>
          </w:p>
        </w:tc>
      </w:tr>
    </w:tbl>
    <w:p w:rsidR="004668A8" w:rsidRDefault="004668A8" w:rsidP="004668A8">
      <w:pPr>
        <w:spacing w:after="200" w:line="276" w:lineRule="auto"/>
        <w:jc w:val="both"/>
      </w:pPr>
    </w:p>
    <w:p w:rsidR="004668A8" w:rsidRPr="004D1ECD" w:rsidRDefault="004668A8" w:rsidP="004668A8">
      <w:pPr>
        <w:spacing w:after="200" w:line="276" w:lineRule="auto"/>
        <w:jc w:val="both"/>
        <w:rPr>
          <w:rFonts w:ascii="Times New Roman" w:eastAsia="Times New Roman" w:hAnsi="Times New Roman" w:cs="Times New Roman"/>
          <w:sz w:val="24"/>
          <w:szCs w:val="24"/>
        </w:rPr>
      </w:pPr>
      <w:r w:rsidRPr="00612BB7">
        <w:rPr>
          <w:rFonts w:ascii="Times New Roman" w:eastAsia="Times New Roman" w:hAnsi="Times New Roman" w:cs="Times New Roman"/>
          <w:noProof/>
          <w:sz w:val="24"/>
          <w:szCs w:val="24"/>
        </w:rPr>
        <w:drawing>
          <wp:inline distT="0" distB="0" distL="0" distR="0">
            <wp:extent cx="2609850" cy="1647825"/>
            <wp:effectExtent l="19050" t="0" r="19050" b="0"/>
            <wp:docPr id="4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4668A8" w:rsidRDefault="008B7EED" w:rsidP="004668A8">
      <w:p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Usually Shorter finished good storage period is considered as a good but too low period is risky for company. So</w:t>
      </w:r>
      <w:r w:rsidR="004668A8">
        <w:rPr>
          <w:rFonts w:ascii="Times New Roman" w:eastAsia="Times New Roman" w:hAnsi="Times New Roman" w:cs="Times New Roman"/>
          <w:sz w:val="24"/>
          <w:szCs w:val="24"/>
        </w:rPr>
        <w:t xml:space="preserve"> we can conclude the company work</w:t>
      </w:r>
      <w:r w:rsidR="00DB0BC9">
        <w:rPr>
          <w:rFonts w:ascii="Times New Roman" w:eastAsia="Times New Roman" w:hAnsi="Times New Roman" w:cs="Times New Roman"/>
          <w:sz w:val="24"/>
          <w:szCs w:val="24"/>
        </w:rPr>
        <w:t>ed</w:t>
      </w:r>
      <w:r w:rsidR="004668A8">
        <w:rPr>
          <w:rFonts w:ascii="Times New Roman" w:eastAsia="Times New Roman" w:hAnsi="Times New Roman" w:cs="Times New Roman"/>
          <w:sz w:val="24"/>
          <w:szCs w:val="24"/>
        </w:rPr>
        <w:t xml:space="preserve"> well throughout these years.</w:t>
      </w:r>
    </w:p>
    <w:p w:rsidR="004668A8" w:rsidRDefault="004668A8" w:rsidP="004668A8">
      <w:pPr>
        <w:autoSpaceDE w:val="0"/>
        <w:autoSpaceDN w:val="0"/>
        <w:adjustRightInd w:val="0"/>
        <w:spacing w:after="0" w:line="276" w:lineRule="auto"/>
        <w:jc w:val="both"/>
        <w:rPr>
          <w:rFonts w:ascii="Times New Roman" w:eastAsia="Times New Roman" w:hAnsi="Times New Roman" w:cs="Times New Roman"/>
          <w:sz w:val="24"/>
          <w:szCs w:val="24"/>
        </w:rPr>
      </w:pPr>
    </w:p>
    <w:p w:rsidR="00327EB2" w:rsidRDefault="00327EB2" w:rsidP="00327EB2">
      <w:pPr>
        <w:pStyle w:val="NoSpacing"/>
      </w:pPr>
    </w:p>
    <w:p w:rsidR="004668A8" w:rsidRPr="00A15E21" w:rsidRDefault="004668A8" w:rsidP="00327EB2">
      <w:pPr>
        <w:pStyle w:val="NoSpacing"/>
      </w:pPr>
      <w:r w:rsidRPr="00A15E21">
        <w:t>Receivable Turnover</w:t>
      </w:r>
    </w:p>
    <w:p w:rsidR="004668A8" w:rsidRPr="00612BB7" w:rsidRDefault="004668A8" w:rsidP="004668A8"/>
    <w:tbl>
      <w:tblPr>
        <w:tblStyle w:val="TableGrid"/>
        <w:tblW w:w="0" w:type="auto"/>
        <w:tblLook w:val="04A0" w:firstRow="1" w:lastRow="0" w:firstColumn="1" w:lastColumn="0" w:noHBand="0" w:noVBand="1"/>
      </w:tblPr>
      <w:tblGrid>
        <w:gridCol w:w="3192"/>
        <w:gridCol w:w="3192"/>
        <w:gridCol w:w="3192"/>
      </w:tblGrid>
      <w:tr w:rsidR="00DB0BC9" w:rsidTr="002A063A">
        <w:tc>
          <w:tcPr>
            <w:tcW w:w="3192" w:type="dxa"/>
          </w:tcPr>
          <w:p w:rsidR="00DB0BC9" w:rsidRDefault="00DB0BC9" w:rsidP="005A2715">
            <w:pPr>
              <w:jc w:val="center"/>
              <w:rPr>
                <w:rFonts w:ascii="Times New Roman" w:hAnsi="Times New Roman" w:cs="Times New Roman"/>
              </w:rPr>
            </w:pPr>
            <w:r>
              <w:rPr>
                <w:rFonts w:ascii="Times New Roman" w:hAnsi="Times New Roman" w:cs="Times New Roman"/>
                <w:noProof/>
              </w:rPr>
              <w:t>2016</w:t>
            </w:r>
          </w:p>
        </w:tc>
        <w:tc>
          <w:tcPr>
            <w:tcW w:w="3192" w:type="dxa"/>
          </w:tcPr>
          <w:p w:rsidR="00DB0BC9" w:rsidRDefault="00DB0BC9" w:rsidP="00DB0BC9">
            <w:pPr>
              <w:jc w:val="center"/>
              <w:rPr>
                <w:rFonts w:ascii="Times New Roman" w:hAnsi="Times New Roman" w:cs="Times New Roman"/>
              </w:rPr>
            </w:pPr>
            <w:r>
              <w:rPr>
                <w:rFonts w:ascii="Times New Roman" w:hAnsi="Times New Roman" w:cs="Times New Roman"/>
              </w:rPr>
              <w:t>2015</w:t>
            </w:r>
          </w:p>
        </w:tc>
        <w:tc>
          <w:tcPr>
            <w:tcW w:w="3192" w:type="dxa"/>
          </w:tcPr>
          <w:p w:rsidR="00DB0BC9" w:rsidRDefault="00DB0BC9" w:rsidP="005A2715">
            <w:pPr>
              <w:jc w:val="center"/>
              <w:rPr>
                <w:rFonts w:ascii="Times New Roman" w:hAnsi="Times New Roman" w:cs="Times New Roman"/>
              </w:rPr>
            </w:pPr>
            <w:r>
              <w:rPr>
                <w:rFonts w:ascii="Times New Roman" w:hAnsi="Times New Roman" w:cs="Times New Roman"/>
              </w:rPr>
              <w:t>2014</w:t>
            </w:r>
          </w:p>
        </w:tc>
      </w:tr>
      <w:tr w:rsidR="00DB0BC9" w:rsidTr="002A063A">
        <w:tc>
          <w:tcPr>
            <w:tcW w:w="3192" w:type="dxa"/>
            <w:vAlign w:val="bottom"/>
          </w:tcPr>
          <w:p w:rsidR="00DB0BC9" w:rsidRDefault="00DB0BC9" w:rsidP="005A2715">
            <w:pPr>
              <w:jc w:val="center"/>
              <w:rPr>
                <w:rFonts w:ascii="Calibri" w:hAnsi="Calibri" w:cs="Calibri"/>
                <w:color w:val="000000"/>
              </w:rPr>
            </w:pPr>
            <w:r>
              <w:rPr>
                <w:rFonts w:ascii="Calibri" w:hAnsi="Calibri" w:cs="Calibri"/>
                <w:color w:val="000000"/>
              </w:rPr>
              <w:t>7.15</w:t>
            </w:r>
          </w:p>
        </w:tc>
        <w:tc>
          <w:tcPr>
            <w:tcW w:w="3192" w:type="dxa"/>
            <w:vAlign w:val="bottom"/>
          </w:tcPr>
          <w:p w:rsidR="00DB0BC9" w:rsidRDefault="00DB0BC9" w:rsidP="005A2715">
            <w:pPr>
              <w:jc w:val="center"/>
              <w:rPr>
                <w:rFonts w:ascii="Calibri" w:hAnsi="Calibri" w:cs="Calibri"/>
                <w:color w:val="000000"/>
              </w:rPr>
            </w:pPr>
            <w:r>
              <w:rPr>
                <w:rFonts w:ascii="Calibri" w:hAnsi="Calibri" w:cs="Calibri"/>
                <w:color w:val="000000"/>
              </w:rPr>
              <w:t>7.71</w:t>
            </w:r>
          </w:p>
        </w:tc>
        <w:tc>
          <w:tcPr>
            <w:tcW w:w="3192" w:type="dxa"/>
          </w:tcPr>
          <w:p w:rsidR="00DB0BC9" w:rsidRDefault="00DB0BC9" w:rsidP="005A2715">
            <w:pPr>
              <w:jc w:val="center"/>
              <w:rPr>
                <w:rFonts w:ascii="Calibri" w:hAnsi="Calibri" w:cs="Calibri"/>
                <w:color w:val="000000"/>
              </w:rPr>
            </w:pPr>
            <w:r>
              <w:rPr>
                <w:rFonts w:ascii="Calibri" w:hAnsi="Calibri" w:cs="Calibri"/>
                <w:color w:val="000000"/>
              </w:rPr>
              <w:t>8.02</w:t>
            </w:r>
          </w:p>
        </w:tc>
      </w:tr>
    </w:tbl>
    <w:p w:rsidR="004668A8" w:rsidRDefault="004668A8" w:rsidP="004668A8">
      <w:pPr>
        <w:rPr>
          <w:b/>
        </w:rPr>
      </w:pPr>
    </w:p>
    <w:p w:rsidR="004668A8" w:rsidRDefault="004668A8" w:rsidP="004668A8">
      <w:pPr>
        <w:rPr>
          <w:b/>
        </w:rPr>
      </w:pPr>
      <w:r w:rsidRPr="006E7FA4">
        <w:rPr>
          <w:b/>
          <w:noProof/>
        </w:rPr>
        <w:drawing>
          <wp:inline distT="0" distB="0" distL="0" distR="0">
            <wp:extent cx="2609850" cy="1647825"/>
            <wp:effectExtent l="19050" t="0" r="19050" b="0"/>
            <wp:docPr id="4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4668A8" w:rsidRDefault="008B7EED" w:rsidP="008B7EE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Receivable ratio lower means the firm relies on credit sales. If firm has no receivables then firm may face solvency problem. Receivable turnover </w:t>
      </w:r>
      <w:r w:rsidR="00584A0D">
        <w:rPr>
          <w:rFonts w:ascii="Times New Roman" w:eastAsia="Times New Roman" w:hAnsi="Times New Roman" w:cs="Times New Roman"/>
          <w:sz w:val="24"/>
          <w:szCs w:val="24"/>
        </w:rPr>
        <w:t>ratio is</w:t>
      </w:r>
      <w:r w:rsidR="004668A8">
        <w:rPr>
          <w:rFonts w:ascii="Times New Roman" w:eastAsia="Times New Roman" w:hAnsi="Times New Roman" w:cs="Times New Roman"/>
          <w:sz w:val="24"/>
          <w:szCs w:val="24"/>
        </w:rPr>
        <w:t xml:space="preserve"> </w:t>
      </w:r>
      <w:r w:rsidR="009B637E">
        <w:rPr>
          <w:rFonts w:ascii="Times New Roman" w:eastAsia="Times New Roman" w:hAnsi="Times New Roman" w:cs="Times New Roman"/>
          <w:sz w:val="24"/>
          <w:szCs w:val="24"/>
        </w:rPr>
        <w:t>7.15</w:t>
      </w:r>
      <w:r w:rsidR="004668A8">
        <w:rPr>
          <w:rFonts w:ascii="Times New Roman" w:eastAsia="Times New Roman" w:hAnsi="Times New Roman" w:cs="Times New Roman"/>
          <w:sz w:val="24"/>
          <w:szCs w:val="24"/>
        </w:rPr>
        <w:t xml:space="preserve"> times in 2016 and </w:t>
      </w:r>
      <w:r w:rsidR="009B637E">
        <w:rPr>
          <w:rFonts w:ascii="Times New Roman" w:eastAsia="Times New Roman" w:hAnsi="Times New Roman" w:cs="Times New Roman"/>
          <w:sz w:val="24"/>
          <w:szCs w:val="24"/>
        </w:rPr>
        <w:t>7.71 in 2015 and 8.02 in 2014</w:t>
      </w:r>
      <w:r w:rsidR="004668A8" w:rsidRPr="004D1ECD">
        <w:rPr>
          <w:rFonts w:ascii="Times New Roman" w:eastAsia="Times New Roman" w:hAnsi="Times New Roman" w:cs="Times New Roman"/>
          <w:sz w:val="24"/>
          <w:szCs w:val="24"/>
        </w:rPr>
        <w:t xml:space="preserve">. </w:t>
      </w:r>
      <w:r w:rsidR="004668A8">
        <w:rPr>
          <w:rFonts w:ascii="Times New Roman" w:eastAsia="Times New Roman" w:hAnsi="Times New Roman" w:cs="Times New Roman"/>
          <w:sz w:val="24"/>
          <w:szCs w:val="24"/>
        </w:rPr>
        <w:t xml:space="preserve">So, company </w:t>
      </w:r>
      <w:r w:rsidR="009B637E">
        <w:rPr>
          <w:rFonts w:ascii="Times New Roman" w:eastAsia="Times New Roman" w:hAnsi="Times New Roman" w:cs="Times New Roman"/>
          <w:sz w:val="24"/>
          <w:szCs w:val="24"/>
        </w:rPr>
        <w:t>becoming dependent</w:t>
      </w:r>
      <w:r w:rsidR="004668A8">
        <w:rPr>
          <w:rFonts w:ascii="Times New Roman" w:eastAsia="Times New Roman" w:hAnsi="Times New Roman" w:cs="Times New Roman"/>
          <w:sz w:val="24"/>
          <w:szCs w:val="24"/>
        </w:rPr>
        <w:t xml:space="preserve"> on credit sales.</w:t>
      </w:r>
    </w:p>
    <w:p w:rsidR="004668A8" w:rsidRPr="00A15E21" w:rsidRDefault="004668A8" w:rsidP="00327EB2">
      <w:pPr>
        <w:pStyle w:val="NoSpacing"/>
      </w:pPr>
      <w:r w:rsidRPr="00A15E21">
        <w:t>Days Sales Outstanding</w:t>
      </w:r>
    </w:p>
    <w:p w:rsidR="004668A8" w:rsidRPr="00581C17" w:rsidRDefault="004668A8" w:rsidP="004668A8"/>
    <w:tbl>
      <w:tblPr>
        <w:tblStyle w:val="TableGrid"/>
        <w:tblW w:w="0" w:type="auto"/>
        <w:tblLook w:val="04A0" w:firstRow="1" w:lastRow="0" w:firstColumn="1" w:lastColumn="0" w:noHBand="0" w:noVBand="1"/>
      </w:tblPr>
      <w:tblGrid>
        <w:gridCol w:w="3192"/>
        <w:gridCol w:w="3192"/>
        <w:gridCol w:w="3192"/>
      </w:tblGrid>
      <w:tr w:rsidR="00FC0BFE" w:rsidTr="002A063A">
        <w:tc>
          <w:tcPr>
            <w:tcW w:w="3192" w:type="dxa"/>
          </w:tcPr>
          <w:p w:rsidR="00FC0BFE" w:rsidRDefault="00FC0BFE" w:rsidP="005A2715">
            <w:pPr>
              <w:jc w:val="center"/>
              <w:rPr>
                <w:rFonts w:ascii="Times New Roman" w:hAnsi="Times New Roman" w:cs="Times New Roman"/>
              </w:rPr>
            </w:pPr>
            <w:r>
              <w:rPr>
                <w:rFonts w:ascii="Times New Roman" w:hAnsi="Times New Roman" w:cs="Times New Roman"/>
                <w:noProof/>
              </w:rPr>
              <w:t>2016</w:t>
            </w:r>
          </w:p>
        </w:tc>
        <w:tc>
          <w:tcPr>
            <w:tcW w:w="3192" w:type="dxa"/>
          </w:tcPr>
          <w:p w:rsidR="00FC0BFE" w:rsidRDefault="00FC0BFE" w:rsidP="005A2715">
            <w:pPr>
              <w:jc w:val="center"/>
              <w:rPr>
                <w:rFonts w:ascii="Times New Roman" w:hAnsi="Times New Roman" w:cs="Times New Roman"/>
              </w:rPr>
            </w:pPr>
            <w:r>
              <w:rPr>
                <w:rFonts w:ascii="Times New Roman" w:hAnsi="Times New Roman" w:cs="Times New Roman"/>
              </w:rPr>
              <w:t>2015</w:t>
            </w:r>
          </w:p>
        </w:tc>
        <w:tc>
          <w:tcPr>
            <w:tcW w:w="3192" w:type="dxa"/>
          </w:tcPr>
          <w:p w:rsidR="00FC0BFE" w:rsidRDefault="00FC0BFE" w:rsidP="005A2715">
            <w:pPr>
              <w:jc w:val="center"/>
              <w:rPr>
                <w:rFonts w:ascii="Times New Roman" w:hAnsi="Times New Roman" w:cs="Times New Roman"/>
              </w:rPr>
            </w:pPr>
            <w:r>
              <w:rPr>
                <w:rFonts w:ascii="Times New Roman" w:hAnsi="Times New Roman" w:cs="Times New Roman"/>
              </w:rPr>
              <w:t>2014</w:t>
            </w:r>
          </w:p>
        </w:tc>
      </w:tr>
      <w:tr w:rsidR="00FC0BFE" w:rsidTr="002A063A">
        <w:tc>
          <w:tcPr>
            <w:tcW w:w="3192" w:type="dxa"/>
            <w:vAlign w:val="bottom"/>
          </w:tcPr>
          <w:p w:rsidR="00FC0BFE" w:rsidRDefault="00FC0BFE" w:rsidP="005A2715">
            <w:pPr>
              <w:jc w:val="center"/>
              <w:rPr>
                <w:rFonts w:ascii="Calibri" w:hAnsi="Calibri" w:cs="Calibri"/>
                <w:color w:val="000000"/>
              </w:rPr>
            </w:pPr>
            <w:r>
              <w:rPr>
                <w:rFonts w:ascii="Calibri" w:hAnsi="Calibri" w:cs="Calibri"/>
                <w:color w:val="000000"/>
              </w:rPr>
              <w:t>51</w:t>
            </w:r>
          </w:p>
        </w:tc>
        <w:tc>
          <w:tcPr>
            <w:tcW w:w="3192" w:type="dxa"/>
            <w:vAlign w:val="bottom"/>
          </w:tcPr>
          <w:p w:rsidR="00FC0BFE" w:rsidRDefault="00FC0BFE" w:rsidP="005A2715">
            <w:pPr>
              <w:jc w:val="center"/>
              <w:rPr>
                <w:rFonts w:ascii="Calibri" w:hAnsi="Calibri" w:cs="Calibri"/>
                <w:color w:val="000000"/>
              </w:rPr>
            </w:pPr>
            <w:r>
              <w:rPr>
                <w:rFonts w:ascii="Calibri" w:hAnsi="Calibri" w:cs="Calibri"/>
                <w:color w:val="000000"/>
              </w:rPr>
              <w:t>47</w:t>
            </w:r>
          </w:p>
        </w:tc>
        <w:tc>
          <w:tcPr>
            <w:tcW w:w="3192" w:type="dxa"/>
          </w:tcPr>
          <w:p w:rsidR="00FC0BFE" w:rsidRDefault="00FC0BFE" w:rsidP="005A2715">
            <w:pPr>
              <w:jc w:val="center"/>
              <w:rPr>
                <w:rFonts w:ascii="Calibri" w:hAnsi="Calibri" w:cs="Calibri"/>
                <w:color w:val="000000"/>
              </w:rPr>
            </w:pPr>
            <w:r>
              <w:rPr>
                <w:rFonts w:ascii="Calibri" w:hAnsi="Calibri" w:cs="Calibri"/>
                <w:color w:val="000000"/>
              </w:rPr>
              <w:t>45</w:t>
            </w:r>
          </w:p>
        </w:tc>
      </w:tr>
    </w:tbl>
    <w:p w:rsidR="004668A8" w:rsidRDefault="004668A8" w:rsidP="004668A8"/>
    <w:p w:rsidR="004668A8" w:rsidRDefault="004668A8" w:rsidP="004668A8">
      <w:pPr>
        <w:rPr>
          <w:b/>
        </w:rPr>
      </w:pPr>
      <w:r w:rsidRPr="00581C17">
        <w:rPr>
          <w:noProof/>
        </w:rPr>
        <w:drawing>
          <wp:inline distT="0" distB="0" distL="0" distR="0">
            <wp:extent cx="2609850" cy="1647825"/>
            <wp:effectExtent l="19050" t="0" r="19050" b="0"/>
            <wp:docPr id="4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4668A8" w:rsidRDefault="004668A8" w:rsidP="004668A8">
      <w:pPr>
        <w:spacing w:after="200" w:line="276" w:lineRule="auto"/>
        <w:jc w:val="both"/>
        <w:rPr>
          <w:rFonts w:ascii="Times New Roman" w:eastAsia="Times New Roman" w:hAnsi="Times New Roman" w:cs="Times New Roman"/>
          <w:sz w:val="24"/>
          <w:szCs w:val="24"/>
        </w:rPr>
      </w:pPr>
      <w:r w:rsidRPr="004D1ECD">
        <w:rPr>
          <w:rFonts w:ascii="Times New Roman" w:eastAsia="Times New Roman" w:hAnsi="Times New Roman" w:cs="Times New Roman"/>
          <w:sz w:val="24"/>
          <w:szCs w:val="24"/>
        </w:rPr>
        <w:t>In the company, Days Sales Outstand</w:t>
      </w:r>
      <w:r>
        <w:rPr>
          <w:rFonts w:ascii="Times New Roman" w:eastAsia="Times New Roman" w:hAnsi="Times New Roman" w:cs="Times New Roman"/>
          <w:sz w:val="24"/>
          <w:szCs w:val="24"/>
        </w:rPr>
        <w:t>ing (DS</w:t>
      </w:r>
      <w:r w:rsidR="00FC0BFE">
        <w:rPr>
          <w:rFonts w:ascii="Times New Roman" w:eastAsia="Times New Roman" w:hAnsi="Times New Roman" w:cs="Times New Roman"/>
          <w:sz w:val="24"/>
          <w:szCs w:val="24"/>
        </w:rPr>
        <w:t>O) is 51</w:t>
      </w:r>
      <w:r>
        <w:rPr>
          <w:rFonts w:ascii="Times New Roman" w:eastAsia="Times New Roman" w:hAnsi="Times New Roman" w:cs="Times New Roman"/>
          <w:sz w:val="24"/>
          <w:szCs w:val="24"/>
        </w:rPr>
        <w:t xml:space="preserve"> days in 2016</w:t>
      </w:r>
      <w:r w:rsidR="00FC0BFE">
        <w:rPr>
          <w:rFonts w:ascii="Times New Roman" w:eastAsia="Times New Roman" w:hAnsi="Times New Roman" w:cs="Times New Roman"/>
          <w:sz w:val="24"/>
          <w:szCs w:val="24"/>
        </w:rPr>
        <w:t>and 47 days for 2015 and 45 days in 2014</w:t>
      </w:r>
      <w:r>
        <w:rPr>
          <w:rFonts w:ascii="Times New Roman" w:eastAsia="Times New Roman" w:hAnsi="Times New Roman" w:cs="Times New Roman"/>
          <w:sz w:val="24"/>
          <w:szCs w:val="24"/>
        </w:rPr>
        <w:t xml:space="preserve">. This company performed </w:t>
      </w:r>
      <w:r w:rsidR="00FC0BFE">
        <w:rPr>
          <w:rFonts w:ascii="Times New Roman" w:eastAsia="Times New Roman" w:hAnsi="Times New Roman" w:cs="Times New Roman"/>
          <w:sz w:val="24"/>
          <w:szCs w:val="24"/>
        </w:rPr>
        <w:t>average in these years.</w:t>
      </w:r>
    </w:p>
    <w:p w:rsidR="004668A8" w:rsidRPr="00A15E21" w:rsidRDefault="004668A8" w:rsidP="00327EB2">
      <w:pPr>
        <w:pStyle w:val="NoSpacing"/>
      </w:pPr>
      <w:r w:rsidRPr="00A15E21">
        <w:t>Cash Turnover Ratio</w:t>
      </w:r>
    </w:p>
    <w:p w:rsidR="004668A8" w:rsidRPr="00CC1F3F" w:rsidRDefault="004668A8" w:rsidP="004668A8"/>
    <w:tbl>
      <w:tblPr>
        <w:tblStyle w:val="TableGrid"/>
        <w:tblW w:w="0" w:type="auto"/>
        <w:tblLook w:val="04A0" w:firstRow="1" w:lastRow="0" w:firstColumn="1" w:lastColumn="0" w:noHBand="0" w:noVBand="1"/>
      </w:tblPr>
      <w:tblGrid>
        <w:gridCol w:w="3192"/>
        <w:gridCol w:w="3192"/>
        <w:gridCol w:w="3192"/>
      </w:tblGrid>
      <w:tr w:rsidR="004668A8" w:rsidTr="005A2715">
        <w:tc>
          <w:tcPr>
            <w:tcW w:w="3192" w:type="dxa"/>
          </w:tcPr>
          <w:p w:rsidR="004668A8" w:rsidRDefault="004668A8" w:rsidP="005A2715">
            <w:pPr>
              <w:jc w:val="center"/>
              <w:rPr>
                <w:rFonts w:ascii="Times New Roman" w:hAnsi="Times New Roman" w:cs="Times New Roman"/>
              </w:rPr>
            </w:pPr>
            <w:r>
              <w:rPr>
                <w:rFonts w:ascii="Times New Roman" w:hAnsi="Times New Roman" w:cs="Times New Roman"/>
                <w:noProof/>
              </w:rPr>
              <w:t>2016</w:t>
            </w:r>
          </w:p>
        </w:tc>
        <w:tc>
          <w:tcPr>
            <w:tcW w:w="3192" w:type="dxa"/>
          </w:tcPr>
          <w:p w:rsidR="004668A8" w:rsidRDefault="004668A8" w:rsidP="005A2715">
            <w:pPr>
              <w:jc w:val="center"/>
              <w:rPr>
                <w:rFonts w:ascii="Times New Roman" w:hAnsi="Times New Roman" w:cs="Times New Roman"/>
              </w:rPr>
            </w:pPr>
            <w:r>
              <w:rPr>
                <w:rFonts w:ascii="Times New Roman" w:hAnsi="Times New Roman" w:cs="Times New Roman"/>
              </w:rPr>
              <w:t>2015</w:t>
            </w:r>
          </w:p>
        </w:tc>
        <w:tc>
          <w:tcPr>
            <w:tcW w:w="3192" w:type="dxa"/>
          </w:tcPr>
          <w:p w:rsidR="004668A8" w:rsidRDefault="004668A8" w:rsidP="005A2715">
            <w:pPr>
              <w:jc w:val="center"/>
              <w:rPr>
                <w:rFonts w:ascii="Times New Roman" w:hAnsi="Times New Roman" w:cs="Times New Roman"/>
              </w:rPr>
            </w:pPr>
            <w:r>
              <w:rPr>
                <w:rFonts w:ascii="Times New Roman" w:hAnsi="Times New Roman" w:cs="Times New Roman"/>
              </w:rPr>
              <w:t>2014</w:t>
            </w:r>
          </w:p>
        </w:tc>
      </w:tr>
      <w:tr w:rsidR="004668A8" w:rsidTr="005A2715">
        <w:tc>
          <w:tcPr>
            <w:tcW w:w="3192" w:type="dxa"/>
            <w:vAlign w:val="bottom"/>
          </w:tcPr>
          <w:p w:rsidR="004668A8" w:rsidRDefault="00961407" w:rsidP="005A2715">
            <w:pPr>
              <w:jc w:val="center"/>
              <w:rPr>
                <w:rFonts w:ascii="Calibri" w:hAnsi="Calibri" w:cs="Calibri"/>
                <w:color w:val="000000"/>
              </w:rPr>
            </w:pPr>
            <w:r>
              <w:rPr>
                <w:rFonts w:ascii="Calibri" w:hAnsi="Calibri" w:cs="Calibri"/>
                <w:color w:val="000000"/>
              </w:rPr>
              <w:t>13.58</w:t>
            </w:r>
          </w:p>
        </w:tc>
        <w:tc>
          <w:tcPr>
            <w:tcW w:w="3192" w:type="dxa"/>
            <w:vAlign w:val="bottom"/>
          </w:tcPr>
          <w:p w:rsidR="004668A8" w:rsidRDefault="00961407" w:rsidP="005A2715">
            <w:pPr>
              <w:jc w:val="center"/>
              <w:rPr>
                <w:rFonts w:ascii="Calibri" w:hAnsi="Calibri" w:cs="Calibri"/>
                <w:color w:val="000000"/>
              </w:rPr>
            </w:pPr>
            <w:r>
              <w:rPr>
                <w:rFonts w:ascii="Calibri" w:hAnsi="Calibri" w:cs="Calibri"/>
                <w:color w:val="000000"/>
              </w:rPr>
              <w:t>14.24</w:t>
            </w:r>
          </w:p>
        </w:tc>
        <w:tc>
          <w:tcPr>
            <w:tcW w:w="3192" w:type="dxa"/>
            <w:vAlign w:val="bottom"/>
          </w:tcPr>
          <w:p w:rsidR="004668A8" w:rsidRDefault="00961407" w:rsidP="005A2715">
            <w:pPr>
              <w:jc w:val="center"/>
              <w:rPr>
                <w:rFonts w:ascii="Calibri" w:hAnsi="Calibri" w:cs="Calibri"/>
                <w:color w:val="000000"/>
              </w:rPr>
            </w:pPr>
            <w:r>
              <w:rPr>
                <w:rFonts w:ascii="Calibri" w:hAnsi="Calibri" w:cs="Calibri"/>
                <w:color w:val="000000"/>
              </w:rPr>
              <w:t>12.08</w:t>
            </w:r>
          </w:p>
        </w:tc>
      </w:tr>
    </w:tbl>
    <w:p w:rsidR="004668A8" w:rsidRDefault="004668A8" w:rsidP="004668A8">
      <w:pPr>
        <w:rPr>
          <w:b/>
        </w:rPr>
      </w:pPr>
    </w:p>
    <w:p w:rsidR="004668A8" w:rsidRDefault="004668A8" w:rsidP="004668A8">
      <w:pPr>
        <w:rPr>
          <w:b/>
        </w:rPr>
      </w:pPr>
      <w:r w:rsidRPr="00CC1F3F">
        <w:rPr>
          <w:b/>
          <w:noProof/>
        </w:rPr>
        <w:drawing>
          <wp:inline distT="0" distB="0" distL="0" distR="0">
            <wp:extent cx="2609850" cy="1543050"/>
            <wp:effectExtent l="19050" t="0" r="19050" b="0"/>
            <wp:docPr id="4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4668A8" w:rsidRDefault="004668A8" w:rsidP="004668A8">
      <w:pPr>
        <w:rPr>
          <w:rFonts w:ascii="Times New Roman" w:hAnsi="Times New Roman" w:cs="Times New Roman"/>
          <w:sz w:val="24"/>
          <w:szCs w:val="24"/>
        </w:rPr>
      </w:pPr>
      <w:r>
        <w:rPr>
          <w:rFonts w:ascii="Times New Roman" w:hAnsi="Times New Roman" w:cs="Times New Roman"/>
          <w:sz w:val="24"/>
          <w:szCs w:val="24"/>
        </w:rPr>
        <w:t>Through These years company used their cash efficiently.</w:t>
      </w:r>
    </w:p>
    <w:p w:rsidR="004668A8" w:rsidRDefault="004668A8" w:rsidP="004668A8">
      <w:pPr>
        <w:pStyle w:val="Heading2"/>
        <w:rPr>
          <w:b/>
          <w:sz w:val="28"/>
          <w:szCs w:val="28"/>
        </w:rPr>
      </w:pPr>
    </w:p>
    <w:p w:rsidR="004668A8" w:rsidRPr="00A15E21" w:rsidRDefault="004668A8" w:rsidP="00206565">
      <w:pPr>
        <w:pStyle w:val="NoSpacing"/>
      </w:pPr>
      <w:r w:rsidRPr="00A15E21">
        <w:t>Payable Turnover</w:t>
      </w:r>
    </w:p>
    <w:tbl>
      <w:tblPr>
        <w:tblStyle w:val="TableGrid"/>
        <w:tblW w:w="0" w:type="auto"/>
        <w:tblLook w:val="04A0" w:firstRow="1" w:lastRow="0" w:firstColumn="1" w:lastColumn="0" w:noHBand="0" w:noVBand="1"/>
      </w:tblPr>
      <w:tblGrid>
        <w:gridCol w:w="3192"/>
        <w:gridCol w:w="3192"/>
        <w:gridCol w:w="3192"/>
      </w:tblGrid>
      <w:tr w:rsidR="004668A8" w:rsidTr="005A2715">
        <w:tc>
          <w:tcPr>
            <w:tcW w:w="3192" w:type="dxa"/>
          </w:tcPr>
          <w:p w:rsidR="004668A8" w:rsidRDefault="004668A8" w:rsidP="005A2715">
            <w:pPr>
              <w:jc w:val="center"/>
              <w:rPr>
                <w:rFonts w:ascii="Times New Roman" w:hAnsi="Times New Roman" w:cs="Times New Roman"/>
              </w:rPr>
            </w:pPr>
            <w:r>
              <w:rPr>
                <w:rFonts w:ascii="Times New Roman" w:hAnsi="Times New Roman" w:cs="Times New Roman"/>
                <w:noProof/>
              </w:rPr>
              <w:lastRenderedPageBreak/>
              <w:t>2016</w:t>
            </w:r>
          </w:p>
        </w:tc>
        <w:tc>
          <w:tcPr>
            <w:tcW w:w="3192" w:type="dxa"/>
          </w:tcPr>
          <w:p w:rsidR="004668A8" w:rsidRDefault="004668A8" w:rsidP="005A2715">
            <w:pPr>
              <w:jc w:val="center"/>
              <w:rPr>
                <w:rFonts w:ascii="Times New Roman" w:hAnsi="Times New Roman" w:cs="Times New Roman"/>
              </w:rPr>
            </w:pPr>
            <w:r>
              <w:rPr>
                <w:rFonts w:ascii="Times New Roman" w:hAnsi="Times New Roman" w:cs="Times New Roman"/>
              </w:rPr>
              <w:t>2015</w:t>
            </w:r>
          </w:p>
        </w:tc>
        <w:tc>
          <w:tcPr>
            <w:tcW w:w="3192" w:type="dxa"/>
          </w:tcPr>
          <w:p w:rsidR="004668A8" w:rsidRDefault="004668A8" w:rsidP="005A2715">
            <w:pPr>
              <w:jc w:val="center"/>
              <w:rPr>
                <w:rFonts w:ascii="Times New Roman" w:hAnsi="Times New Roman" w:cs="Times New Roman"/>
              </w:rPr>
            </w:pPr>
            <w:r>
              <w:rPr>
                <w:rFonts w:ascii="Times New Roman" w:hAnsi="Times New Roman" w:cs="Times New Roman"/>
              </w:rPr>
              <w:t>2014</w:t>
            </w:r>
          </w:p>
        </w:tc>
      </w:tr>
      <w:tr w:rsidR="004668A8" w:rsidTr="005A2715">
        <w:tc>
          <w:tcPr>
            <w:tcW w:w="3192" w:type="dxa"/>
            <w:vAlign w:val="bottom"/>
          </w:tcPr>
          <w:p w:rsidR="004668A8" w:rsidRDefault="00920FC1" w:rsidP="005A2715">
            <w:pPr>
              <w:jc w:val="center"/>
              <w:rPr>
                <w:rFonts w:ascii="Calibri" w:hAnsi="Calibri" w:cs="Calibri"/>
                <w:color w:val="000000"/>
              </w:rPr>
            </w:pPr>
            <w:r>
              <w:rPr>
                <w:rFonts w:ascii="Calibri" w:hAnsi="Calibri" w:cs="Calibri"/>
                <w:color w:val="000000"/>
              </w:rPr>
              <w:t>10.61</w:t>
            </w:r>
          </w:p>
        </w:tc>
        <w:tc>
          <w:tcPr>
            <w:tcW w:w="3192" w:type="dxa"/>
            <w:vAlign w:val="bottom"/>
          </w:tcPr>
          <w:p w:rsidR="004668A8" w:rsidRDefault="00920FC1" w:rsidP="005A2715">
            <w:pPr>
              <w:jc w:val="center"/>
              <w:rPr>
                <w:rFonts w:ascii="Calibri" w:hAnsi="Calibri" w:cs="Calibri"/>
                <w:color w:val="000000"/>
              </w:rPr>
            </w:pPr>
            <w:r>
              <w:rPr>
                <w:rFonts w:ascii="Calibri" w:hAnsi="Calibri" w:cs="Calibri"/>
                <w:color w:val="000000"/>
              </w:rPr>
              <w:t>15.34</w:t>
            </w:r>
          </w:p>
        </w:tc>
        <w:tc>
          <w:tcPr>
            <w:tcW w:w="3192" w:type="dxa"/>
            <w:vAlign w:val="bottom"/>
          </w:tcPr>
          <w:p w:rsidR="004668A8" w:rsidRDefault="00920FC1" w:rsidP="005A2715">
            <w:pPr>
              <w:jc w:val="center"/>
              <w:rPr>
                <w:rFonts w:ascii="Calibri" w:hAnsi="Calibri" w:cs="Calibri"/>
                <w:color w:val="000000"/>
              </w:rPr>
            </w:pPr>
            <w:r>
              <w:rPr>
                <w:rFonts w:ascii="Calibri" w:hAnsi="Calibri" w:cs="Calibri"/>
                <w:color w:val="000000"/>
              </w:rPr>
              <w:t>17.06</w:t>
            </w:r>
          </w:p>
        </w:tc>
      </w:tr>
    </w:tbl>
    <w:p w:rsidR="004668A8" w:rsidRDefault="004668A8" w:rsidP="004668A8"/>
    <w:p w:rsidR="004668A8" w:rsidRDefault="004668A8" w:rsidP="004668A8">
      <w:r w:rsidRPr="00E626EB">
        <w:rPr>
          <w:noProof/>
        </w:rPr>
        <w:drawing>
          <wp:inline distT="0" distB="0" distL="0" distR="0">
            <wp:extent cx="2609850" cy="1543050"/>
            <wp:effectExtent l="19050" t="0" r="19050" b="0"/>
            <wp:docPr id="4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8B7EED" w:rsidRDefault="008B7EED" w:rsidP="008B7EE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ratio shows when the company make payment to its supplier. We get the ratio by cost of sales divided by average accounts payables. </w:t>
      </w:r>
      <w:r w:rsidRPr="004D1ECD">
        <w:rPr>
          <w:rFonts w:ascii="Times New Roman" w:eastAsia="Times New Roman" w:hAnsi="Times New Roman" w:cs="Times New Roman"/>
          <w:sz w:val="24"/>
          <w:szCs w:val="24"/>
        </w:rPr>
        <w:t>Higher this ratio represent the company use its current asset in efficient way.</w:t>
      </w:r>
    </w:p>
    <w:p w:rsidR="004668A8" w:rsidRDefault="00920FC1" w:rsidP="004668A8">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Beximco Pharmaceuticals Ltd</w:t>
      </w:r>
      <w:r w:rsidR="008B7EED">
        <w:rPr>
          <w:rFonts w:ascii="Times New Roman" w:eastAsia="Times New Roman" w:hAnsi="Times New Roman" w:cs="Times New Roman"/>
          <w:color w:val="000000"/>
          <w:sz w:val="24"/>
          <w:szCs w:val="24"/>
        </w:rPr>
        <w:t xml:space="preserve"> </w:t>
      </w:r>
      <w:r w:rsidR="004668A8" w:rsidRPr="004D1ECD">
        <w:rPr>
          <w:rFonts w:ascii="Times New Roman" w:eastAsia="Times New Roman" w:hAnsi="Times New Roman" w:cs="Times New Roman"/>
          <w:sz w:val="24"/>
          <w:szCs w:val="24"/>
        </w:rPr>
        <w:t>paya</w:t>
      </w:r>
      <w:r w:rsidR="004668A8">
        <w:rPr>
          <w:rFonts w:ascii="Times New Roman" w:eastAsia="Times New Roman" w:hAnsi="Times New Roman" w:cs="Times New Roman"/>
          <w:sz w:val="24"/>
          <w:szCs w:val="24"/>
        </w:rPr>
        <w:t xml:space="preserve">ble turnover ratio for year 2016 is </w:t>
      </w:r>
      <w:r>
        <w:rPr>
          <w:rFonts w:ascii="Times New Roman" w:eastAsia="Times New Roman" w:hAnsi="Times New Roman" w:cs="Times New Roman"/>
          <w:sz w:val="24"/>
          <w:szCs w:val="24"/>
        </w:rPr>
        <w:t>10.61,2015 is 15.34 and 2014 is 17.06</w:t>
      </w:r>
      <w:r w:rsidR="004668A8">
        <w:rPr>
          <w:rFonts w:ascii="Times New Roman" w:eastAsia="Times New Roman" w:hAnsi="Times New Roman" w:cs="Times New Roman"/>
          <w:sz w:val="24"/>
          <w:szCs w:val="24"/>
        </w:rPr>
        <w:t>.</w:t>
      </w:r>
      <w:r w:rsidR="004668A8" w:rsidRPr="004D1ECD">
        <w:rPr>
          <w:rFonts w:ascii="Times New Roman" w:eastAsia="Times New Roman" w:hAnsi="Times New Roman" w:cs="Times New Roman"/>
          <w:sz w:val="24"/>
          <w:szCs w:val="24"/>
        </w:rPr>
        <w:t xml:space="preserve"> So, we have seen this company </w:t>
      </w:r>
      <w:r>
        <w:rPr>
          <w:rFonts w:ascii="Times New Roman" w:eastAsia="Times New Roman" w:hAnsi="Times New Roman" w:cs="Times New Roman"/>
          <w:sz w:val="24"/>
          <w:szCs w:val="24"/>
        </w:rPr>
        <w:t>did not work efficiently with their payable through these years.</w:t>
      </w:r>
    </w:p>
    <w:p w:rsidR="004668A8" w:rsidRDefault="004668A8" w:rsidP="004668A8">
      <w:pPr>
        <w:spacing w:after="200" w:line="276" w:lineRule="auto"/>
        <w:jc w:val="both"/>
        <w:rPr>
          <w:rFonts w:ascii="Times New Roman" w:eastAsia="Times New Roman" w:hAnsi="Times New Roman" w:cs="Times New Roman"/>
          <w:sz w:val="24"/>
          <w:szCs w:val="24"/>
        </w:rPr>
      </w:pPr>
    </w:p>
    <w:p w:rsidR="00327EB2" w:rsidRDefault="00327EB2" w:rsidP="004668A8">
      <w:pPr>
        <w:pStyle w:val="Heading2"/>
        <w:rPr>
          <w:rFonts w:eastAsia="Times New Roman"/>
          <w:b/>
          <w:sz w:val="28"/>
          <w:szCs w:val="28"/>
        </w:rPr>
      </w:pPr>
    </w:p>
    <w:p w:rsidR="00327EB2" w:rsidRDefault="00327EB2" w:rsidP="00327EB2">
      <w:pPr>
        <w:pStyle w:val="NoSpacing"/>
      </w:pPr>
    </w:p>
    <w:p w:rsidR="004668A8" w:rsidRPr="00A15E21" w:rsidRDefault="004668A8" w:rsidP="00327EB2">
      <w:pPr>
        <w:pStyle w:val="NoSpacing"/>
      </w:pPr>
      <w:r w:rsidRPr="00A15E21">
        <w:t>Days Payable Outstanding</w:t>
      </w:r>
    </w:p>
    <w:p w:rsidR="004668A8" w:rsidRPr="008473B1" w:rsidRDefault="004668A8" w:rsidP="004668A8"/>
    <w:tbl>
      <w:tblPr>
        <w:tblStyle w:val="TableGrid"/>
        <w:tblW w:w="0" w:type="auto"/>
        <w:tblLook w:val="04A0" w:firstRow="1" w:lastRow="0" w:firstColumn="1" w:lastColumn="0" w:noHBand="0" w:noVBand="1"/>
      </w:tblPr>
      <w:tblGrid>
        <w:gridCol w:w="3192"/>
        <w:gridCol w:w="3192"/>
        <w:gridCol w:w="3192"/>
      </w:tblGrid>
      <w:tr w:rsidR="004668A8" w:rsidTr="005A2715">
        <w:tc>
          <w:tcPr>
            <w:tcW w:w="3192" w:type="dxa"/>
          </w:tcPr>
          <w:p w:rsidR="004668A8" w:rsidRDefault="004668A8" w:rsidP="005A2715">
            <w:pPr>
              <w:jc w:val="center"/>
              <w:rPr>
                <w:rFonts w:ascii="Times New Roman" w:hAnsi="Times New Roman" w:cs="Times New Roman"/>
              </w:rPr>
            </w:pPr>
            <w:r>
              <w:rPr>
                <w:rFonts w:ascii="Times New Roman" w:hAnsi="Times New Roman" w:cs="Times New Roman"/>
                <w:noProof/>
              </w:rPr>
              <w:t>2016</w:t>
            </w:r>
          </w:p>
        </w:tc>
        <w:tc>
          <w:tcPr>
            <w:tcW w:w="3192" w:type="dxa"/>
          </w:tcPr>
          <w:p w:rsidR="004668A8" w:rsidRDefault="004668A8" w:rsidP="005A2715">
            <w:pPr>
              <w:jc w:val="center"/>
              <w:rPr>
                <w:rFonts w:ascii="Times New Roman" w:hAnsi="Times New Roman" w:cs="Times New Roman"/>
              </w:rPr>
            </w:pPr>
            <w:r>
              <w:rPr>
                <w:rFonts w:ascii="Times New Roman" w:hAnsi="Times New Roman" w:cs="Times New Roman"/>
              </w:rPr>
              <w:t>2015</w:t>
            </w:r>
          </w:p>
        </w:tc>
        <w:tc>
          <w:tcPr>
            <w:tcW w:w="3192" w:type="dxa"/>
          </w:tcPr>
          <w:p w:rsidR="004668A8" w:rsidRDefault="004668A8" w:rsidP="005A2715">
            <w:pPr>
              <w:jc w:val="center"/>
              <w:rPr>
                <w:rFonts w:ascii="Times New Roman" w:hAnsi="Times New Roman" w:cs="Times New Roman"/>
              </w:rPr>
            </w:pPr>
            <w:r>
              <w:rPr>
                <w:rFonts w:ascii="Times New Roman" w:hAnsi="Times New Roman" w:cs="Times New Roman"/>
              </w:rPr>
              <w:t>2014</w:t>
            </w:r>
          </w:p>
        </w:tc>
      </w:tr>
      <w:tr w:rsidR="004668A8" w:rsidTr="005A2715">
        <w:tc>
          <w:tcPr>
            <w:tcW w:w="3192" w:type="dxa"/>
            <w:vAlign w:val="bottom"/>
          </w:tcPr>
          <w:p w:rsidR="004668A8" w:rsidRDefault="00D9209D" w:rsidP="005A2715">
            <w:pPr>
              <w:jc w:val="center"/>
              <w:rPr>
                <w:rFonts w:ascii="Calibri" w:hAnsi="Calibri" w:cs="Calibri"/>
                <w:color w:val="000000"/>
              </w:rPr>
            </w:pPr>
            <w:r>
              <w:rPr>
                <w:rFonts w:ascii="Calibri" w:hAnsi="Calibri" w:cs="Calibri"/>
                <w:color w:val="000000"/>
              </w:rPr>
              <w:t>34.37</w:t>
            </w:r>
          </w:p>
        </w:tc>
        <w:tc>
          <w:tcPr>
            <w:tcW w:w="3192" w:type="dxa"/>
            <w:vAlign w:val="bottom"/>
          </w:tcPr>
          <w:p w:rsidR="004668A8" w:rsidRDefault="00D9209D" w:rsidP="005A2715">
            <w:pPr>
              <w:jc w:val="center"/>
              <w:rPr>
                <w:rFonts w:ascii="Calibri" w:hAnsi="Calibri" w:cs="Calibri"/>
                <w:color w:val="000000"/>
              </w:rPr>
            </w:pPr>
            <w:r>
              <w:rPr>
                <w:rFonts w:ascii="Calibri" w:hAnsi="Calibri" w:cs="Calibri"/>
                <w:color w:val="000000"/>
              </w:rPr>
              <w:t>23.78</w:t>
            </w:r>
          </w:p>
        </w:tc>
        <w:tc>
          <w:tcPr>
            <w:tcW w:w="3192" w:type="dxa"/>
            <w:vAlign w:val="bottom"/>
          </w:tcPr>
          <w:p w:rsidR="004668A8" w:rsidRDefault="00D9209D" w:rsidP="005A2715">
            <w:pPr>
              <w:jc w:val="center"/>
              <w:rPr>
                <w:rFonts w:ascii="Calibri" w:hAnsi="Calibri" w:cs="Calibri"/>
                <w:color w:val="000000"/>
              </w:rPr>
            </w:pPr>
            <w:r>
              <w:rPr>
                <w:rFonts w:ascii="Calibri" w:hAnsi="Calibri" w:cs="Calibri"/>
                <w:color w:val="000000"/>
              </w:rPr>
              <w:t>21.39</w:t>
            </w:r>
          </w:p>
        </w:tc>
      </w:tr>
    </w:tbl>
    <w:p w:rsidR="004668A8" w:rsidRDefault="004668A8" w:rsidP="004668A8"/>
    <w:p w:rsidR="004668A8" w:rsidRDefault="004668A8" w:rsidP="004668A8">
      <w:r w:rsidRPr="008473B1">
        <w:rPr>
          <w:noProof/>
        </w:rPr>
        <w:drawing>
          <wp:inline distT="0" distB="0" distL="0" distR="0">
            <wp:extent cx="2609850" cy="1543050"/>
            <wp:effectExtent l="19050" t="0" r="19050" b="0"/>
            <wp:docPr id="4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4668A8" w:rsidRDefault="004668A8" w:rsidP="004668A8">
      <w:pPr>
        <w:spacing w:after="200" w:line="276" w:lineRule="auto"/>
        <w:jc w:val="both"/>
        <w:rPr>
          <w:rFonts w:ascii="Times New Roman" w:eastAsia="Times New Roman" w:hAnsi="Times New Roman" w:cs="Times New Roman"/>
          <w:sz w:val="24"/>
          <w:szCs w:val="24"/>
        </w:rPr>
      </w:pPr>
      <w:r w:rsidRPr="004D1ECD">
        <w:rPr>
          <w:rFonts w:ascii="Times New Roman" w:eastAsia="Times New Roman" w:hAnsi="Times New Roman" w:cs="Times New Roman"/>
          <w:sz w:val="24"/>
          <w:szCs w:val="24"/>
        </w:rPr>
        <w:lastRenderedPageBreak/>
        <w:t>This ratio represent a company how delayed their payment to their supplier in a periodic time. This ratio higher means it delays more to pay their supplier and more effic</w:t>
      </w:r>
      <w:r>
        <w:rPr>
          <w:rFonts w:ascii="Times New Roman" w:eastAsia="Times New Roman" w:hAnsi="Times New Roman" w:cs="Times New Roman"/>
          <w:sz w:val="24"/>
          <w:szCs w:val="24"/>
        </w:rPr>
        <w:t>ient in th</w:t>
      </w:r>
      <w:r w:rsidR="00D9209D">
        <w:rPr>
          <w:rFonts w:ascii="Times New Roman" w:eastAsia="Times New Roman" w:hAnsi="Times New Roman" w:cs="Times New Roman"/>
          <w:sz w:val="24"/>
          <w:szCs w:val="24"/>
        </w:rPr>
        <w:t>eir operation. So, the year of 2016</w:t>
      </w:r>
      <w:r w:rsidR="00D9209D">
        <w:rPr>
          <w:rFonts w:ascii="Times New Roman" w:eastAsia="Times New Roman" w:hAnsi="Times New Roman" w:cs="Times New Roman"/>
          <w:color w:val="000000"/>
          <w:sz w:val="24"/>
          <w:szCs w:val="24"/>
        </w:rPr>
        <w:t>Beximco Pharmaceuticals Ltd</w:t>
      </w:r>
      <w:r w:rsidR="0087008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delay</w:t>
      </w:r>
      <w:r w:rsidR="00D9209D">
        <w:rPr>
          <w:rFonts w:ascii="Times New Roman" w:eastAsia="Times New Roman" w:hAnsi="Times New Roman" w:cs="Times New Roman"/>
          <w:sz w:val="24"/>
          <w:szCs w:val="24"/>
        </w:rPr>
        <w:t>ed more to</w:t>
      </w:r>
      <w:r>
        <w:rPr>
          <w:rFonts w:ascii="Times New Roman" w:eastAsia="Times New Roman" w:hAnsi="Times New Roman" w:cs="Times New Roman"/>
          <w:sz w:val="24"/>
          <w:szCs w:val="24"/>
        </w:rPr>
        <w:t xml:space="preserve"> their suppliers to pay.</w:t>
      </w:r>
    </w:p>
    <w:p w:rsidR="004668A8" w:rsidRPr="00A15E21" w:rsidRDefault="004668A8" w:rsidP="00327EB2">
      <w:pPr>
        <w:pStyle w:val="NoSpacing"/>
      </w:pPr>
      <w:r w:rsidRPr="00A15E21">
        <w:t>Current Ratio</w:t>
      </w:r>
    </w:p>
    <w:tbl>
      <w:tblPr>
        <w:tblStyle w:val="TableGrid"/>
        <w:tblW w:w="0" w:type="auto"/>
        <w:tblLook w:val="04A0" w:firstRow="1" w:lastRow="0" w:firstColumn="1" w:lastColumn="0" w:noHBand="0" w:noVBand="1"/>
      </w:tblPr>
      <w:tblGrid>
        <w:gridCol w:w="3192"/>
        <w:gridCol w:w="3192"/>
        <w:gridCol w:w="3192"/>
      </w:tblGrid>
      <w:tr w:rsidR="004668A8" w:rsidTr="005A2715">
        <w:tc>
          <w:tcPr>
            <w:tcW w:w="3192" w:type="dxa"/>
          </w:tcPr>
          <w:p w:rsidR="004668A8" w:rsidRDefault="004668A8" w:rsidP="005A2715">
            <w:pPr>
              <w:jc w:val="center"/>
              <w:rPr>
                <w:rFonts w:ascii="Times New Roman" w:hAnsi="Times New Roman" w:cs="Times New Roman"/>
              </w:rPr>
            </w:pPr>
            <w:r>
              <w:rPr>
                <w:rFonts w:ascii="Times New Roman" w:hAnsi="Times New Roman" w:cs="Times New Roman"/>
                <w:noProof/>
              </w:rPr>
              <w:t>2016</w:t>
            </w:r>
          </w:p>
        </w:tc>
        <w:tc>
          <w:tcPr>
            <w:tcW w:w="3192" w:type="dxa"/>
          </w:tcPr>
          <w:p w:rsidR="004668A8" w:rsidRDefault="004668A8" w:rsidP="005A2715">
            <w:pPr>
              <w:jc w:val="center"/>
              <w:rPr>
                <w:rFonts w:ascii="Times New Roman" w:hAnsi="Times New Roman" w:cs="Times New Roman"/>
              </w:rPr>
            </w:pPr>
            <w:r>
              <w:rPr>
                <w:rFonts w:ascii="Times New Roman" w:hAnsi="Times New Roman" w:cs="Times New Roman"/>
              </w:rPr>
              <w:t>2015</w:t>
            </w:r>
          </w:p>
        </w:tc>
        <w:tc>
          <w:tcPr>
            <w:tcW w:w="3192" w:type="dxa"/>
          </w:tcPr>
          <w:p w:rsidR="004668A8" w:rsidRDefault="004668A8" w:rsidP="005A2715">
            <w:pPr>
              <w:jc w:val="center"/>
              <w:rPr>
                <w:rFonts w:ascii="Times New Roman" w:hAnsi="Times New Roman" w:cs="Times New Roman"/>
              </w:rPr>
            </w:pPr>
            <w:r>
              <w:rPr>
                <w:rFonts w:ascii="Times New Roman" w:hAnsi="Times New Roman" w:cs="Times New Roman"/>
              </w:rPr>
              <w:t>2014</w:t>
            </w:r>
          </w:p>
        </w:tc>
      </w:tr>
      <w:tr w:rsidR="004668A8" w:rsidTr="005A2715">
        <w:tc>
          <w:tcPr>
            <w:tcW w:w="3192" w:type="dxa"/>
            <w:vAlign w:val="bottom"/>
          </w:tcPr>
          <w:p w:rsidR="004668A8" w:rsidRDefault="004517A3" w:rsidP="005A2715">
            <w:pPr>
              <w:jc w:val="center"/>
              <w:rPr>
                <w:rFonts w:ascii="Calibri" w:hAnsi="Calibri" w:cs="Calibri"/>
                <w:color w:val="000000"/>
              </w:rPr>
            </w:pPr>
            <w:r>
              <w:rPr>
                <w:rFonts w:ascii="Calibri" w:hAnsi="Calibri" w:cs="Calibri"/>
                <w:color w:val="000000"/>
              </w:rPr>
              <w:t>2.68</w:t>
            </w:r>
          </w:p>
        </w:tc>
        <w:tc>
          <w:tcPr>
            <w:tcW w:w="3192" w:type="dxa"/>
            <w:vAlign w:val="bottom"/>
          </w:tcPr>
          <w:p w:rsidR="004668A8" w:rsidRDefault="004517A3" w:rsidP="005A2715">
            <w:pPr>
              <w:jc w:val="center"/>
              <w:rPr>
                <w:rFonts w:ascii="Calibri" w:hAnsi="Calibri" w:cs="Calibri"/>
                <w:color w:val="000000"/>
              </w:rPr>
            </w:pPr>
            <w:r>
              <w:rPr>
                <w:rFonts w:ascii="Calibri" w:hAnsi="Calibri" w:cs="Calibri"/>
                <w:color w:val="000000"/>
              </w:rPr>
              <w:t>2.85</w:t>
            </w:r>
          </w:p>
        </w:tc>
        <w:tc>
          <w:tcPr>
            <w:tcW w:w="3192" w:type="dxa"/>
            <w:vAlign w:val="bottom"/>
          </w:tcPr>
          <w:p w:rsidR="004668A8" w:rsidRDefault="004517A3" w:rsidP="005A2715">
            <w:pPr>
              <w:jc w:val="center"/>
              <w:rPr>
                <w:rFonts w:ascii="Calibri" w:hAnsi="Calibri" w:cs="Calibri"/>
                <w:color w:val="000000"/>
              </w:rPr>
            </w:pPr>
            <w:r>
              <w:rPr>
                <w:rFonts w:ascii="Calibri" w:hAnsi="Calibri" w:cs="Calibri"/>
                <w:color w:val="000000"/>
              </w:rPr>
              <w:t>1.77</w:t>
            </w:r>
          </w:p>
        </w:tc>
      </w:tr>
    </w:tbl>
    <w:p w:rsidR="004668A8" w:rsidRPr="00DC095D" w:rsidRDefault="004668A8" w:rsidP="004668A8"/>
    <w:p w:rsidR="004668A8" w:rsidRDefault="004668A8" w:rsidP="004668A8">
      <w:r w:rsidRPr="00DC095D">
        <w:rPr>
          <w:noProof/>
        </w:rPr>
        <w:drawing>
          <wp:inline distT="0" distB="0" distL="0" distR="0">
            <wp:extent cx="2609850" cy="1543050"/>
            <wp:effectExtent l="19050" t="0" r="19050" b="0"/>
            <wp:docPr id="4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4668A8" w:rsidRDefault="004668A8" w:rsidP="004668A8">
      <w:pPr>
        <w:spacing w:after="200" w:line="276" w:lineRule="auto"/>
        <w:jc w:val="both"/>
        <w:rPr>
          <w:rFonts w:ascii="Times New Roman" w:eastAsia="Times New Roman" w:hAnsi="Times New Roman" w:cs="Times New Roman"/>
          <w:sz w:val="24"/>
          <w:szCs w:val="24"/>
        </w:rPr>
      </w:pPr>
      <w:r w:rsidRPr="004D1ECD">
        <w:rPr>
          <w:rFonts w:ascii="Times New Roman" w:eastAsia="Times New Roman" w:hAnsi="Times New Roman" w:cs="Times New Roman"/>
          <w:sz w:val="24"/>
          <w:szCs w:val="24"/>
        </w:rPr>
        <w:t xml:space="preserve">It’s a measure of liquidity. It indicates how company is able to pay its debt in a period of </w:t>
      </w:r>
      <w:r>
        <w:rPr>
          <w:rFonts w:ascii="Times New Roman" w:eastAsia="Times New Roman" w:hAnsi="Times New Roman" w:cs="Times New Roman"/>
          <w:sz w:val="24"/>
          <w:szCs w:val="24"/>
        </w:rPr>
        <w:t>time with current asset. Current ratios for the company 1:</w:t>
      </w:r>
      <w:r w:rsidR="004517A3">
        <w:rPr>
          <w:rFonts w:ascii="Times New Roman" w:eastAsia="Times New Roman" w:hAnsi="Times New Roman" w:cs="Times New Roman"/>
          <w:sz w:val="24"/>
          <w:szCs w:val="24"/>
        </w:rPr>
        <w:t>2.68</w:t>
      </w:r>
      <w:r>
        <w:rPr>
          <w:rFonts w:ascii="Times New Roman" w:eastAsia="Times New Roman" w:hAnsi="Times New Roman" w:cs="Times New Roman"/>
          <w:sz w:val="24"/>
          <w:szCs w:val="24"/>
        </w:rPr>
        <w:t>, 1:</w:t>
      </w:r>
      <w:r w:rsidR="004517A3">
        <w:rPr>
          <w:rFonts w:ascii="Times New Roman" w:eastAsia="Times New Roman" w:hAnsi="Times New Roman" w:cs="Times New Roman"/>
          <w:sz w:val="24"/>
          <w:szCs w:val="24"/>
        </w:rPr>
        <w:t>2.85</w:t>
      </w:r>
      <w:r>
        <w:rPr>
          <w:rFonts w:ascii="Times New Roman" w:eastAsia="Times New Roman" w:hAnsi="Times New Roman" w:cs="Times New Roman"/>
          <w:sz w:val="24"/>
          <w:szCs w:val="24"/>
        </w:rPr>
        <w:t xml:space="preserve"> 1:</w:t>
      </w:r>
      <w:r w:rsidR="004517A3">
        <w:rPr>
          <w:rFonts w:ascii="Times New Roman" w:eastAsia="Times New Roman" w:hAnsi="Times New Roman" w:cs="Times New Roman"/>
          <w:sz w:val="24"/>
          <w:szCs w:val="24"/>
        </w:rPr>
        <w:t xml:space="preserve">1.77 </w:t>
      </w:r>
      <w:r>
        <w:rPr>
          <w:rFonts w:ascii="Times New Roman" w:eastAsia="Times New Roman" w:hAnsi="Times New Roman" w:cs="Times New Roman"/>
          <w:sz w:val="24"/>
          <w:szCs w:val="24"/>
        </w:rPr>
        <w:t>consecutively for the years of 2016, 2015 and 2014.So they have enough liquidity to meet their creditors.</w:t>
      </w:r>
    </w:p>
    <w:p w:rsidR="004668A8" w:rsidRPr="00A15E21" w:rsidRDefault="004668A8" w:rsidP="00327EB2">
      <w:pPr>
        <w:pStyle w:val="NoSpacing"/>
      </w:pPr>
      <w:r w:rsidRPr="00A15E21">
        <w:t>Quick ratio</w:t>
      </w:r>
    </w:p>
    <w:tbl>
      <w:tblPr>
        <w:tblStyle w:val="TableGrid"/>
        <w:tblW w:w="0" w:type="auto"/>
        <w:tblLook w:val="04A0" w:firstRow="1" w:lastRow="0" w:firstColumn="1" w:lastColumn="0" w:noHBand="0" w:noVBand="1"/>
      </w:tblPr>
      <w:tblGrid>
        <w:gridCol w:w="3192"/>
        <w:gridCol w:w="3192"/>
        <w:gridCol w:w="3192"/>
      </w:tblGrid>
      <w:tr w:rsidR="004668A8" w:rsidTr="005A2715">
        <w:tc>
          <w:tcPr>
            <w:tcW w:w="3192" w:type="dxa"/>
          </w:tcPr>
          <w:p w:rsidR="004668A8" w:rsidRDefault="004668A8" w:rsidP="005A2715">
            <w:pPr>
              <w:jc w:val="center"/>
              <w:rPr>
                <w:rFonts w:ascii="Times New Roman" w:hAnsi="Times New Roman" w:cs="Times New Roman"/>
              </w:rPr>
            </w:pPr>
            <w:r>
              <w:rPr>
                <w:rFonts w:ascii="Times New Roman" w:hAnsi="Times New Roman" w:cs="Times New Roman"/>
                <w:noProof/>
              </w:rPr>
              <w:t>2016</w:t>
            </w:r>
          </w:p>
        </w:tc>
        <w:tc>
          <w:tcPr>
            <w:tcW w:w="3192" w:type="dxa"/>
          </w:tcPr>
          <w:p w:rsidR="004668A8" w:rsidRDefault="004668A8" w:rsidP="005A2715">
            <w:pPr>
              <w:jc w:val="center"/>
              <w:rPr>
                <w:rFonts w:ascii="Times New Roman" w:hAnsi="Times New Roman" w:cs="Times New Roman"/>
              </w:rPr>
            </w:pPr>
            <w:r>
              <w:rPr>
                <w:rFonts w:ascii="Times New Roman" w:hAnsi="Times New Roman" w:cs="Times New Roman"/>
              </w:rPr>
              <w:t>2015</w:t>
            </w:r>
          </w:p>
        </w:tc>
        <w:tc>
          <w:tcPr>
            <w:tcW w:w="3192" w:type="dxa"/>
          </w:tcPr>
          <w:p w:rsidR="004668A8" w:rsidRDefault="004668A8" w:rsidP="005A2715">
            <w:pPr>
              <w:jc w:val="center"/>
              <w:rPr>
                <w:rFonts w:ascii="Times New Roman" w:hAnsi="Times New Roman" w:cs="Times New Roman"/>
              </w:rPr>
            </w:pPr>
            <w:r>
              <w:rPr>
                <w:rFonts w:ascii="Times New Roman" w:hAnsi="Times New Roman" w:cs="Times New Roman"/>
              </w:rPr>
              <w:t>2014</w:t>
            </w:r>
          </w:p>
        </w:tc>
      </w:tr>
      <w:tr w:rsidR="004668A8" w:rsidTr="005A2715">
        <w:tc>
          <w:tcPr>
            <w:tcW w:w="3192" w:type="dxa"/>
            <w:vAlign w:val="bottom"/>
          </w:tcPr>
          <w:p w:rsidR="004668A8" w:rsidRDefault="004517A3" w:rsidP="005A2715">
            <w:pPr>
              <w:jc w:val="center"/>
              <w:rPr>
                <w:rFonts w:ascii="Calibri" w:hAnsi="Calibri" w:cs="Calibri"/>
                <w:color w:val="000000"/>
              </w:rPr>
            </w:pPr>
            <w:r>
              <w:rPr>
                <w:rFonts w:ascii="Calibri" w:hAnsi="Calibri" w:cs="Calibri"/>
                <w:color w:val="000000"/>
              </w:rPr>
              <w:t>0.717</w:t>
            </w:r>
          </w:p>
        </w:tc>
        <w:tc>
          <w:tcPr>
            <w:tcW w:w="3192" w:type="dxa"/>
            <w:vAlign w:val="bottom"/>
          </w:tcPr>
          <w:p w:rsidR="004668A8" w:rsidRDefault="004517A3" w:rsidP="005A2715">
            <w:pPr>
              <w:jc w:val="center"/>
              <w:rPr>
                <w:rFonts w:ascii="Calibri" w:hAnsi="Calibri" w:cs="Calibri"/>
                <w:color w:val="000000"/>
              </w:rPr>
            </w:pPr>
            <w:r>
              <w:rPr>
                <w:rFonts w:ascii="Calibri" w:hAnsi="Calibri" w:cs="Calibri"/>
                <w:color w:val="000000"/>
              </w:rPr>
              <w:t>0.818</w:t>
            </w:r>
          </w:p>
        </w:tc>
        <w:tc>
          <w:tcPr>
            <w:tcW w:w="3192" w:type="dxa"/>
            <w:vAlign w:val="bottom"/>
          </w:tcPr>
          <w:p w:rsidR="004668A8" w:rsidRDefault="004517A3" w:rsidP="005A2715">
            <w:pPr>
              <w:jc w:val="center"/>
              <w:rPr>
                <w:rFonts w:ascii="Calibri" w:hAnsi="Calibri" w:cs="Calibri"/>
                <w:color w:val="000000"/>
              </w:rPr>
            </w:pPr>
            <w:r>
              <w:rPr>
                <w:rFonts w:ascii="Calibri" w:hAnsi="Calibri" w:cs="Calibri"/>
                <w:color w:val="000000"/>
              </w:rPr>
              <w:t>0.344</w:t>
            </w:r>
          </w:p>
        </w:tc>
      </w:tr>
    </w:tbl>
    <w:p w:rsidR="004668A8" w:rsidRDefault="004668A8" w:rsidP="004668A8"/>
    <w:p w:rsidR="004668A8" w:rsidRPr="000B179F" w:rsidRDefault="004668A8" w:rsidP="004668A8">
      <w:r w:rsidRPr="000B179F">
        <w:rPr>
          <w:noProof/>
        </w:rPr>
        <w:drawing>
          <wp:inline distT="0" distB="0" distL="0" distR="0">
            <wp:extent cx="2609850" cy="1543050"/>
            <wp:effectExtent l="19050" t="0" r="19050" b="0"/>
            <wp:docPr id="5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4668A8" w:rsidRPr="004D1ECD" w:rsidRDefault="00736A11" w:rsidP="004668A8">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Quick ratio</w:t>
      </w:r>
      <w:r w:rsidRPr="004D1ECD">
        <w:rPr>
          <w:rFonts w:ascii="Times New Roman" w:eastAsia="Times New Roman" w:hAnsi="Times New Roman" w:cs="Times New Roman"/>
          <w:sz w:val="24"/>
          <w:szCs w:val="24"/>
        </w:rPr>
        <w:t xml:space="preserve"> measures the ability to use its quick assets (cash and cash equivalents, marketable securities and accounts receivable) to pay its current liabilities. </w:t>
      </w:r>
      <w:r>
        <w:rPr>
          <w:rFonts w:ascii="Times New Roman" w:eastAsia="Times New Roman" w:hAnsi="Times New Roman" w:cs="Times New Roman"/>
          <w:sz w:val="24"/>
          <w:szCs w:val="24"/>
        </w:rPr>
        <w:t xml:space="preserve">This </w:t>
      </w:r>
      <w:r w:rsidRPr="004D1ECD">
        <w:rPr>
          <w:rFonts w:ascii="Times New Roman" w:eastAsia="Times New Roman" w:hAnsi="Times New Roman" w:cs="Times New Roman"/>
          <w:sz w:val="24"/>
          <w:szCs w:val="24"/>
        </w:rPr>
        <w:t xml:space="preserve">ratio higher means company has many cash or has facing problem in collecting accounts receivable. Lower of the ratio indicates they rely on inventory too much. </w:t>
      </w:r>
      <w:r w:rsidR="004668A8">
        <w:rPr>
          <w:rFonts w:ascii="Times New Roman" w:eastAsia="Times New Roman" w:hAnsi="Times New Roman" w:cs="Times New Roman"/>
          <w:sz w:val="24"/>
          <w:szCs w:val="24"/>
        </w:rPr>
        <w:t>S</w:t>
      </w:r>
      <w:r w:rsidR="004668A8" w:rsidRPr="004D1ECD">
        <w:rPr>
          <w:rFonts w:ascii="Times New Roman" w:eastAsia="Times New Roman" w:hAnsi="Times New Roman" w:cs="Times New Roman"/>
          <w:sz w:val="24"/>
          <w:szCs w:val="24"/>
        </w:rPr>
        <w:t xml:space="preserve">o we can conclude </w:t>
      </w:r>
      <w:r w:rsidR="004668A8">
        <w:rPr>
          <w:rFonts w:ascii="Times New Roman" w:eastAsia="Times New Roman" w:hAnsi="Times New Roman" w:cs="Times New Roman"/>
          <w:sz w:val="24"/>
          <w:szCs w:val="24"/>
        </w:rPr>
        <w:t>these years company relies on inventory</w:t>
      </w:r>
      <w:r w:rsidR="004668A8" w:rsidRPr="004D1ECD">
        <w:rPr>
          <w:rFonts w:ascii="Times New Roman" w:eastAsia="Times New Roman" w:hAnsi="Times New Roman" w:cs="Times New Roman"/>
          <w:sz w:val="24"/>
          <w:szCs w:val="24"/>
        </w:rPr>
        <w:t>.</w:t>
      </w:r>
    </w:p>
    <w:p w:rsidR="004668A8" w:rsidRPr="00A15E21" w:rsidRDefault="004668A8" w:rsidP="00327EB2">
      <w:pPr>
        <w:pStyle w:val="NoSpacing"/>
      </w:pPr>
      <w:r w:rsidRPr="00A15E21">
        <w:lastRenderedPageBreak/>
        <w:t>Cash Ratio</w:t>
      </w:r>
    </w:p>
    <w:tbl>
      <w:tblPr>
        <w:tblStyle w:val="TableGrid"/>
        <w:tblW w:w="0" w:type="auto"/>
        <w:tblLook w:val="04A0" w:firstRow="1" w:lastRow="0" w:firstColumn="1" w:lastColumn="0" w:noHBand="0" w:noVBand="1"/>
      </w:tblPr>
      <w:tblGrid>
        <w:gridCol w:w="3192"/>
        <w:gridCol w:w="3192"/>
        <w:gridCol w:w="3192"/>
      </w:tblGrid>
      <w:tr w:rsidR="004668A8" w:rsidTr="005A2715">
        <w:tc>
          <w:tcPr>
            <w:tcW w:w="3192" w:type="dxa"/>
          </w:tcPr>
          <w:p w:rsidR="004668A8" w:rsidRDefault="004668A8" w:rsidP="005A2715">
            <w:pPr>
              <w:jc w:val="center"/>
              <w:rPr>
                <w:rFonts w:ascii="Times New Roman" w:hAnsi="Times New Roman" w:cs="Times New Roman"/>
              </w:rPr>
            </w:pPr>
            <w:r>
              <w:rPr>
                <w:rFonts w:ascii="Times New Roman" w:hAnsi="Times New Roman" w:cs="Times New Roman"/>
                <w:noProof/>
              </w:rPr>
              <w:t>2016</w:t>
            </w:r>
          </w:p>
        </w:tc>
        <w:tc>
          <w:tcPr>
            <w:tcW w:w="3192" w:type="dxa"/>
          </w:tcPr>
          <w:p w:rsidR="004668A8" w:rsidRDefault="004668A8" w:rsidP="005A2715">
            <w:pPr>
              <w:jc w:val="center"/>
              <w:rPr>
                <w:rFonts w:ascii="Times New Roman" w:hAnsi="Times New Roman" w:cs="Times New Roman"/>
              </w:rPr>
            </w:pPr>
            <w:r>
              <w:rPr>
                <w:rFonts w:ascii="Times New Roman" w:hAnsi="Times New Roman" w:cs="Times New Roman"/>
              </w:rPr>
              <w:t>2015</w:t>
            </w:r>
          </w:p>
        </w:tc>
        <w:tc>
          <w:tcPr>
            <w:tcW w:w="3192" w:type="dxa"/>
          </w:tcPr>
          <w:p w:rsidR="004668A8" w:rsidRDefault="004668A8" w:rsidP="005A2715">
            <w:pPr>
              <w:jc w:val="center"/>
              <w:rPr>
                <w:rFonts w:ascii="Times New Roman" w:hAnsi="Times New Roman" w:cs="Times New Roman"/>
              </w:rPr>
            </w:pPr>
            <w:r>
              <w:rPr>
                <w:rFonts w:ascii="Times New Roman" w:hAnsi="Times New Roman" w:cs="Times New Roman"/>
              </w:rPr>
              <w:t>2014</w:t>
            </w:r>
          </w:p>
        </w:tc>
      </w:tr>
      <w:tr w:rsidR="004668A8" w:rsidTr="005A2715">
        <w:tc>
          <w:tcPr>
            <w:tcW w:w="3192" w:type="dxa"/>
            <w:vAlign w:val="bottom"/>
          </w:tcPr>
          <w:p w:rsidR="004668A8" w:rsidRDefault="004517A3" w:rsidP="005A2715">
            <w:pPr>
              <w:jc w:val="center"/>
              <w:rPr>
                <w:rFonts w:ascii="Calibri" w:hAnsi="Calibri" w:cs="Calibri"/>
                <w:color w:val="000000"/>
              </w:rPr>
            </w:pPr>
            <w:r>
              <w:rPr>
                <w:rFonts w:ascii="Calibri" w:hAnsi="Calibri" w:cs="Calibri"/>
                <w:color w:val="000000"/>
              </w:rPr>
              <w:t>0.081</w:t>
            </w:r>
          </w:p>
        </w:tc>
        <w:tc>
          <w:tcPr>
            <w:tcW w:w="3192" w:type="dxa"/>
            <w:vAlign w:val="bottom"/>
          </w:tcPr>
          <w:p w:rsidR="004668A8" w:rsidRDefault="004517A3" w:rsidP="005A2715">
            <w:pPr>
              <w:jc w:val="center"/>
              <w:rPr>
                <w:rFonts w:ascii="Calibri" w:hAnsi="Calibri" w:cs="Calibri"/>
                <w:color w:val="000000"/>
              </w:rPr>
            </w:pPr>
            <w:r>
              <w:rPr>
                <w:rFonts w:ascii="Calibri" w:hAnsi="Calibri" w:cs="Calibri"/>
                <w:color w:val="000000"/>
              </w:rPr>
              <w:t>0.074</w:t>
            </w:r>
          </w:p>
        </w:tc>
        <w:tc>
          <w:tcPr>
            <w:tcW w:w="3192" w:type="dxa"/>
            <w:vAlign w:val="bottom"/>
          </w:tcPr>
          <w:p w:rsidR="004668A8" w:rsidRDefault="004517A3" w:rsidP="005A2715">
            <w:pPr>
              <w:jc w:val="center"/>
              <w:rPr>
                <w:rFonts w:ascii="Calibri" w:hAnsi="Calibri" w:cs="Calibri"/>
                <w:color w:val="000000"/>
              </w:rPr>
            </w:pPr>
            <w:r>
              <w:rPr>
                <w:rFonts w:ascii="Calibri" w:hAnsi="Calibri" w:cs="Calibri"/>
                <w:color w:val="000000"/>
              </w:rPr>
              <w:t>0.047</w:t>
            </w:r>
          </w:p>
        </w:tc>
      </w:tr>
    </w:tbl>
    <w:p w:rsidR="004668A8" w:rsidRPr="00BA29FD" w:rsidRDefault="004668A8" w:rsidP="004668A8"/>
    <w:p w:rsidR="004668A8" w:rsidRDefault="004668A8" w:rsidP="004668A8">
      <w:pPr>
        <w:rPr>
          <w:b/>
        </w:rPr>
      </w:pPr>
      <w:r w:rsidRPr="00612C3F">
        <w:rPr>
          <w:b/>
          <w:noProof/>
        </w:rPr>
        <w:drawing>
          <wp:inline distT="0" distB="0" distL="0" distR="0">
            <wp:extent cx="2609850" cy="1543050"/>
            <wp:effectExtent l="19050" t="0" r="19050" b="0"/>
            <wp:docPr id="5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8B7EED" w:rsidRPr="00FE50EF" w:rsidRDefault="008B7EED" w:rsidP="008B7EED">
      <w:pPr>
        <w:jc w:val="both"/>
        <w:rPr>
          <w:b/>
        </w:rPr>
      </w:pPr>
      <w:r>
        <w:rPr>
          <w:rFonts w:ascii="Times New Roman" w:eastAsia="Times New Roman" w:hAnsi="Times New Roman" w:cs="Times New Roman"/>
          <w:sz w:val="24"/>
          <w:szCs w:val="24"/>
        </w:rPr>
        <w:t>This ratio measures the liquidity of a company, the ability to pay its supplier short term liabilities with cash. Cash ratio is more liquid and stricter than quick ratio and current ratio.</w:t>
      </w:r>
    </w:p>
    <w:p w:rsidR="004668A8" w:rsidRDefault="004517A3" w:rsidP="004668A8">
      <w:pPr>
        <w:tabs>
          <w:tab w:val="left" w:pos="6168"/>
        </w:tabs>
        <w:spacing w:after="0" w:line="276" w:lineRule="auto"/>
        <w:jc w:val="both"/>
        <w:rPr>
          <w:rFonts w:ascii="Times New Roman" w:eastAsia="Times New Roman" w:hAnsi="Times New Roman" w:cs="Times New Roman"/>
          <w:noProof/>
          <w:color w:val="000000"/>
          <w:sz w:val="24"/>
          <w:szCs w:val="24"/>
        </w:rPr>
      </w:pPr>
      <w:r>
        <w:rPr>
          <w:rFonts w:ascii="Times New Roman" w:eastAsia="Times New Roman" w:hAnsi="Times New Roman" w:cs="Times New Roman"/>
          <w:color w:val="000000"/>
          <w:sz w:val="24"/>
          <w:szCs w:val="24"/>
        </w:rPr>
        <w:t>Beximco Pharmaceuticals Ltd</w:t>
      </w:r>
      <w:r w:rsidR="00870082">
        <w:rPr>
          <w:rFonts w:ascii="Times New Roman" w:eastAsia="Times New Roman" w:hAnsi="Times New Roman" w:cs="Times New Roman"/>
          <w:color w:val="000000"/>
          <w:sz w:val="24"/>
          <w:szCs w:val="24"/>
        </w:rPr>
        <w:t xml:space="preserve"> </w:t>
      </w:r>
      <w:r w:rsidR="004668A8" w:rsidRPr="004D1ECD">
        <w:rPr>
          <w:rFonts w:ascii="Times New Roman" w:eastAsia="Times New Roman" w:hAnsi="Times New Roman" w:cs="Times New Roman"/>
          <w:sz w:val="24"/>
          <w:szCs w:val="24"/>
        </w:rPr>
        <w:t xml:space="preserve">cash ratio for year </w:t>
      </w:r>
      <w:r w:rsidR="004668A8">
        <w:rPr>
          <w:rFonts w:ascii="Times New Roman" w:eastAsia="Times New Roman" w:hAnsi="Times New Roman" w:cs="Times New Roman"/>
          <w:sz w:val="24"/>
          <w:szCs w:val="24"/>
        </w:rPr>
        <w:t xml:space="preserve">these 3 years (2014-2016) is in small amount </w:t>
      </w:r>
      <w:r w:rsidR="004668A8" w:rsidRPr="004D1ECD">
        <w:rPr>
          <w:rFonts w:ascii="Times New Roman" w:eastAsia="Times New Roman" w:hAnsi="Times New Roman" w:cs="Times New Roman"/>
          <w:sz w:val="24"/>
          <w:szCs w:val="24"/>
        </w:rPr>
        <w:t>So, company maintain lower cash to meet their suppliers.</w:t>
      </w:r>
    </w:p>
    <w:p w:rsidR="003F1D4F" w:rsidRDefault="003F1D4F" w:rsidP="00870082">
      <w:pPr>
        <w:pStyle w:val="Heading2"/>
        <w:jc w:val="center"/>
        <w:rPr>
          <w:sz w:val="48"/>
          <w:szCs w:val="48"/>
        </w:rPr>
      </w:pPr>
    </w:p>
    <w:p w:rsidR="008B7EED" w:rsidRDefault="008B7EED" w:rsidP="00870082">
      <w:pPr>
        <w:pStyle w:val="Heading2"/>
        <w:jc w:val="center"/>
        <w:rPr>
          <w:sz w:val="48"/>
          <w:szCs w:val="48"/>
        </w:rPr>
      </w:pPr>
      <w:bookmarkStart w:id="39" w:name="_Toc18627822"/>
    </w:p>
    <w:p w:rsidR="008B7EED" w:rsidRDefault="008B7EED" w:rsidP="00870082">
      <w:pPr>
        <w:pStyle w:val="Heading2"/>
        <w:jc w:val="center"/>
        <w:rPr>
          <w:sz w:val="48"/>
          <w:szCs w:val="48"/>
        </w:rPr>
      </w:pPr>
    </w:p>
    <w:p w:rsidR="008B7EED" w:rsidRDefault="008B7EED" w:rsidP="00870082">
      <w:pPr>
        <w:pStyle w:val="Heading2"/>
        <w:jc w:val="center"/>
        <w:rPr>
          <w:sz w:val="48"/>
          <w:szCs w:val="48"/>
        </w:rPr>
      </w:pPr>
    </w:p>
    <w:p w:rsidR="008B7EED" w:rsidRDefault="008B7EED" w:rsidP="00870082">
      <w:pPr>
        <w:pStyle w:val="Heading2"/>
        <w:jc w:val="center"/>
        <w:rPr>
          <w:sz w:val="48"/>
          <w:szCs w:val="48"/>
        </w:rPr>
      </w:pPr>
    </w:p>
    <w:p w:rsidR="008B7EED" w:rsidRDefault="008B7EED" w:rsidP="00870082">
      <w:pPr>
        <w:pStyle w:val="Heading2"/>
        <w:jc w:val="center"/>
        <w:rPr>
          <w:sz w:val="48"/>
          <w:szCs w:val="48"/>
        </w:rPr>
      </w:pPr>
    </w:p>
    <w:p w:rsidR="008B7EED" w:rsidRDefault="008B7EED" w:rsidP="00870082">
      <w:pPr>
        <w:pStyle w:val="Heading2"/>
        <w:jc w:val="center"/>
        <w:rPr>
          <w:sz w:val="48"/>
          <w:szCs w:val="48"/>
        </w:rPr>
      </w:pPr>
    </w:p>
    <w:p w:rsidR="008B7EED" w:rsidRDefault="008B7EED" w:rsidP="008B7EED"/>
    <w:p w:rsidR="008B7EED" w:rsidRPr="008B7EED" w:rsidRDefault="008B7EED" w:rsidP="008B7EED"/>
    <w:p w:rsidR="008B7EED" w:rsidRDefault="008B7EED" w:rsidP="00870082">
      <w:pPr>
        <w:pStyle w:val="Heading2"/>
        <w:jc w:val="center"/>
        <w:rPr>
          <w:sz w:val="48"/>
          <w:szCs w:val="48"/>
        </w:rPr>
      </w:pPr>
    </w:p>
    <w:p w:rsidR="007B14BE" w:rsidRDefault="007B14BE" w:rsidP="00870082">
      <w:pPr>
        <w:pStyle w:val="Heading2"/>
        <w:jc w:val="center"/>
        <w:rPr>
          <w:sz w:val="48"/>
          <w:szCs w:val="48"/>
        </w:rPr>
      </w:pPr>
    </w:p>
    <w:p w:rsidR="0043614D" w:rsidRPr="00825250" w:rsidRDefault="0043614D" w:rsidP="00870082">
      <w:pPr>
        <w:pStyle w:val="Heading2"/>
        <w:jc w:val="center"/>
        <w:rPr>
          <w:sz w:val="48"/>
          <w:szCs w:val="48"/>
        </w:rPr>
      </w:pPr>
      <w:r w:rsidRPr="00825250">
        <w:rPr>
          <w:sz w:val="48"/>
          <w:szCs w:val="48"/>
        </w:rPr>
        <w:t>Square Pharmaceuticals Ltd</w:t>
      </w:r>
      <w:bookmarkEnd w:id="39"/>
    </w:p>
    <w:p w:rsidR="007134D5" w:rsidRDefault="007134D5" w:rsidP="007134D5">
      <w:pPr>
        <w:rPr>
          <w:rFonts w:ascii="Times New Roman" w:hAnsi="Times New Roman" w:cs="Times New Roman"/>
          <w:b/>
          <w:color w:val="4F81BD" w:themeColor="accent1"/>
          <w:sz w:val="48"/>
          <w:szCs w:val="48"/>
        </w:rPr>
      </w:pPr>
    </w:p>
    <w:p w:rsidR="00870082" w:rsidRPr="007134D5" w:rsidRDefault="00870082" w:rsidP="007134D5"/>
    <w:p w:rsidR="00B37540" w:rsidRDefault="00B37540" w:rsidP="00B823E5">
      <w:pPr>
        <w:pStyle w:val="Heading3"/>
        <w:rPr>
          <w:rFonts w:eastAsia="Times New Roman"/>
        </w:rPr>
      </w:pPr>
      <w:bookmarkStart w:id="40" w:name="_Toc18627823"/>
      <w:r>
        <w:rPr>
          <w:rFonts w:eastAsia="Times New Roman"/>
        </w:rPr>
        <w:t>Company Profile</w:t>
      </w:r>
      <w:bookmarkEnd w:id="40"/>
    </w:p>
    <w:p w:rsidR="00B37540" w:rsidRPr="00B37540" w:rsidRDefault="00B37540" w:rsidP="00B37540">
      <w:pPr>
        <w:pStyle w:val="NormalWeb"/>
        <w:spacing w:line="276" w:lineRule="auto"/>
        <w:jc w:val="both"/>
      </w:pPr>
      <w:r w:rsidRPr="00B37540">
        <w:t xml:space="preserve">From the inception in 1958, it has today </w:t>
      </w:r>
      <w:r w:rsidR="006B4BD0">
        <w:t>achieved</w:t>
      </w:r>
      <w:r w:rsidRPr="00B37540">
        <w:t xml:space="preserve"> into one of the top line </w:t>
      </w:r>
      <w:r w:rsidR="006B4BD0">
        <w:t>industry</w:t>
      </w:r>
      <w:r w:rsidRPr="00B37540">
        <w:t xml:space="preserve"> in Banglades</w:t>
      </w:r>
      <w:r w:rsidR="006B4BD0">
        <w:t xml:space="preserve">h. Square Pharmaceuticals Ltd </w:t>
      </w:r>
      <w:r w:rsidRPr="00B37540">
        <w:t>is holding the strong position in the pharmaceutical industry of Bangladesh</w:t>
      </w:r>
      <w:r w:rsidR="006B4BD0">
        <w:t>. N</w:t>
      </w:r>
      <w:r w:rsidRPr="00B37540">
        <w:t>ow</w:t>
      </w:r>
      <w:r w:rsidR="006B4BD0">
        <w:t>adays</w:t>
      </w:r>
      <w:r w:rsidR="0088074F">
        <w:t xml:space="preserve"> it is becoming a high performer in</w:t>
      </w:r>
      <w:r w:rsidRPr="00B37540">
        <w:t xml:space="preserve"> global </w:t>
      </w:r>
      <w:r w:rsidR="0088074F">
        <w:t>market.</w:t>
      </w:r>
    </w:p>
    <w:p w:rsidR="00927847" w:rsidRDefault="00927847" w:rsidP="00EB0730">
      <w:pPr>
        <w:spacing w:before="100" w:beforeAutospacing="1" w:after="100" w:afterAutospacing="1" w:line="276"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Square pharmaceutical limited is the dominant company in pharmaceuticals industries in Bangladesh. It holds first position continuously from 1985 in pharmaceuticals companies. In 1991 this company was listed as a public limited company and go for stock exchange in 1995. Square pharmaceutical has turnover of taka 45.88 billion. They have 16% market share and its growing. Growth rate is 8.25%. </w:t>
      </w:r>
    </w:p>
    <w:p w:rsidR="00EB0730" w:rsidRPr="00B37540" w:rsidRDefault="00EB0730" w:rsidP="00EB0730">
      <w:pPr>
        <w:spacing w:before="100" w:beforeAutospacing="1" w:after="100" w:afterAutospacing="1" w:line="276" w:lineRule="auto"/>
        <w:jc w:val="both"/>
        <w:rPr>
          <w:rFonts w:ascii="Times New Roman" w:eastAsia="Calibri" w:hAnsi="Times New Roman" w:cs="Times New Roman"/>
          <w:sz w:val="24"/>
          <w:szCs w:val="24"/>
          <w:shd w:val="clear" w:color="auto" w:fill="FAFAFA"/>
        </w:rPr>
      </w:pPr>
      <w:r>
        <w:rPr>
          <w:rFonts w:ascii="Times New Roman" w:eastAsia="Times New Roman" w:hAnsi="Times New Roman" w:cs="Times New Roman"/>
          <w:color w:val="000000"/>
          <w:sz w:val="24"/>
          <w:szCs w:val="24"/>
          <w:shd w:val="clear" w:color="auto" w:fill="FFFFFF"/>
        </w:rPr>
        <w:t>Following Analyses are based on Square Pharmaceuticals limited’s annual report (2104-2016).</w:t>
      </w:r>
      <w:sdt>
        <w:sdtPr>
          <w:rPr>
            <w:rFonts w:ascii="Times New Roman" w:eastAsia="Times New Roman" w:hAnsi="Times New Roman" w:cs="Times New Roman"/>
            <w:color w:val="000000"/>
            <w:sz w:val="24"/>
            <w:szCs w:val="24"/>
            <w:shd w:val="clear" w:color="auto" w:fill="FFFFFF"/>
          </w:rPr>
          <w:id w:val="611294"/>
          <w:citation/>
        </w:sdtPr>
        <w:sdtEndPr/>
        <w:sdtContent>
          <w:r w:rsidR="00C31EB1">
            <w:rPr>
              <w:rFonts w:ascii="Times New Roman" w:eastAsia="Times New Roman" w:hAnsi="Times New Roman" w:cs="Times New Roman"/>
              <w:color w:val="000000"/>
              <w:sz w:val="24"/>
              <w:szCs w:val="24"/>
              <w:shd w:val="clear" w:color="auto" w:fill="FFFFFF"/>
            </w:rPr>
            <w:fldChar w:fldCharType="begin"/>
          </w:r>
          <w:r>
            <w:rPr>
              <w:rFonts w:ascii="Times New Roman" w:eastAsia="Times New Roman" w:hAnsi="Times New Roman" w:cs="Times New Roman"/>
              <w:color w:val="000000"/>
              <w:sz w:val="24"/>
              <w:szCs w:val="24"/>
              <w:shd w:val="clear" w:color="auto" w:fill="FFFFFF"/>
            </w:rPr>
            <w:instrText xml:space="preserve"> CITATION Squ161 \l 1033 </w:instrText>
          </w:r>
          <w:r w:rsidR="00C31EB1">
            <w:rPr>
              <w:rFonts w:ascii="Times New Roman" w:eastAsia="Times New Roman" w:hAnsi="Times New Roman" w:cs="Times New Roman"/>
              <w:color w:val="000000"/>
              <w:sz w:val="24"/>
              <w:szCs w:val="24"/>
              <w:shd w:val="clear" w:color="auto" w:fill="FFFFFF"/>
            </w:rPr>
            <w:fldChar w:fldCharType="separate"/>
          </w:r>
          <w:r w:rsidRPr="00EB0730">
            <w:rPr>
              <w:rFonts w:ascii="Times New Roman" w:eastAsia="Times New Roman" w:hAnsi="Times New Roman" w:cs="Times New Roman"/>
              <w:noProof/>
              <w:color w:val="000000"/>
              <w:sz w:val="24"/>
              <w:szCs w:val="24"/>
              <w:shd w:val="clear" w:color="auto" w:fill="FFFFFF"/>
            </w:rPr>
            <w:t>(Square Pharmaceuticals Limited, 2014-2016)</w:t>
          </w:r>
          <w:r w:rsidR="00C31EB1">
            <w:rPr>
              <w:rFonts w:ascii="Times New Roman" w:eastAsia="Times New Roman" w:hAnsi="Times New Roman" w:cs="Times New Roman"/>
              <w:color w:val="000000"/>
              <w:sz w:val="24"/>
              <w:szCs w:val="24"/>
              <w:shd w:val="clear" w:color="auto" w:fill="FFFFFF"/>
            </w:rPr>
            <w:fldChar w:fldCharType="end"/>
          </w:r>
        </w:sdtContent>
      </w:sdt>
    </w:p>
    <w:p w:rsidR="00EB0730" w:rsidRPr="00B37540" w:rsidRDefault="00EB0730" w:rsidP="00B37540">
      <w:pPr>
        <w:pStyle w:val="NormalWeb"/>
        <w:spacing w:line="276" w:lineRule="auto"/>
        <w:jc w:val="both"/>
      </w:pPr>
    </w:p>
    <w:p w:rsidR="00B37540" w:rsidRPr="008C418C" w:rsidRDefault="00B37540" w:rsidP="00B37540"/>
    <w:p w:rsidR="00B37540" w:rsidRPr="00637DBF" w:rsidRDefault="00B37540" w:rsidP="00B823E5">
      <w:pPr>
        <w:pStyle w:val="Heading3"/>
        <w:rPr>
          <w:rFonts w:eastAsia="Times New Roman"/>
        </w:rPr>
      </w:pPr>
      <w:bookmarkStart w:id="41" w:name="_Toc18627824"/>
      <w:r>
        <w:rPr>
          <w:rFonts w:eastAsia="Times New Roman"/>
        </w:rPr>
        <w:t>Ratio Analysis</w:t>
      </w:r>
      <w:bookmarkEnd w:id="41"/>
    </w:p>
    <w:p w:rsidR="00B37540" w:rsidRPr="00B37540" w:rsidRDefault="00B37540" w:rsidP="00B37540"/>
    <w:p w:rsidR="0043614D" w:rsidRPr="0009451F" w:rsidRDefault="0043614D" w:rsidP="00206565">
      <w:pPr>
        <w:pStyle w:val="NoSpacing"/>
      </w:pPr>
      <w:r w:rsidRPr="004D1ECD">
        <w:t xml:space="preserve">Analysis of Cash Conversion Cycle </w:t>
      </w:r>
    </w:p>
    <w:p w:rsidR="00E609CA" w:rsidRPr="003F1D4F" w:rsidRDefault="00E609CA" w:rsidP="00E609CA">
      <w:pPr>
        <w:spacing w:line="276" w:lineRule="auto"/>
        <w:jc w:val="both"/>
        <w:rPr>
          <w:rFonts w:ascii="Times New Roman" w:hAnsi="Times New Roman" w:cs="Times New Roman"/>
          <w:sz w:val="24"/>
          <w:szCs w:val="24"/>
        </w:rPr>
      </w:pPr>
      <w:r w:rsidRPr="003F1D4F">
        <w:rPr>
          <w:rFonts w:ascii="Times New Roman" w:hAnsi="Times New Roman" w:cs="Times New Roman"/>
          <w:sz w:val="24"/>
          <w:szCs w:val="24"/>
        </w:rPr>
        <w:t>The cash conversion cycle is a cash flow calculation that measure the time it takes a company to companies invest and inventory and resources inputs to cash. Cash conversion cycle gives a total view for effective working capital.</w:t>
      </w:r>
    </w:p>
    <w:p w:rsidR="00E609CA" w:rsidRDefault="00E609CA" w:rsidP="00E609CA">
      <w:pPr>
        <w:tabs>
          <w:tab w:val="left" w:pos="6168"/>
        </w:tabs>
        <w:spacing w:after="0" w:line="276" w:lineRule="auto"/>
        <w:jc w:val="both"/>
        <w:rPr>
          <w:rFonts w:ascii="Times New Roman" w:eastAsia="Times New Roman" w:hAnsi="Times New Roman" w:cs="Times New Roman"/>
          <w:bCs/>
          <w:color w:val="000000"/>
          <w:sz w:val="24"/>
          <w:szCs w:val="24"/>
          <w:bdr w:val="none" w:sz="0" w:space="0" w:color="auto" w:frame="1"/>
          <w:shd w:val="clear" w:color="auto" w:fill="FFFFFF"/>
        </w:rPr>
      </w:pPr>
      <w:r w:rsidRPr="004D1ECD">
        <w:rPr>
          <w:rFonts w:ascii="Times New Roman" w:eastAsia="Times New Roman" w:hAnsi="Times New Roman" w:cs="Times New Roman"/>
          <w:noProof/>
          <w:color w:val="000000"/>
          <w:sz w:val="24"/>
          <w:szCs w:val="24"/>
        </w:rPr>
        <w:t>Cash Conversion Cyle (CCC)</w:t>
      </w:r>
      <w:r w:rsidRPr="004D1ECD">
        <w:rPr>
          <w:rFonts w:ascii="Times New Roman" w:eastAsia="Times New Roman" w:hAnsi="Times New Roman" w:cs="Times New Roman"/>
          <w:b/>
          <w:noProof/>
          <w:color w:val="000000"/>
          <w:sz w:val="24"/>
          <w:szCs w:val="24"/>
        </w:rPr>
        <w:t xml:space="preserve">= </w:t>
      </w:r>
      <w:r w:rsidRPr="004D1ECD">
        <w:rPr>
          <w:rFonts w:ascii="Times New Roman" w:eastAsia="Times New Roman" w:hAnsi="Times New Roman" w:cs="Times New Roman"/>
          <w:bCs/>
          <w:color w:val="000000"/>
          <w:sz w:val="24"/>
          <w:szCs w:val="24"/>
          <w:bdr w:val="none" w:sz="0" w:space="0" w:color="auto" w:frame="1"/>
          <w:shd w:val="clear" w:color="auto" w:fill="FFFFFF"/>
        </w:rPr>
        <w:t>DSO + DIO – DPO</w:t>
      </w:r>
    </w:p>
    <w:p w:rsidR="00E609CA" w:rsidRDefault="00E609CA" w:rsidP="00E609CA">
      <w:pPr>
        <w:tabs>
          <w:tab w:val="left" w:pos="6168"/>
        </w:tabs>
        <w:spacing w:after="0" w:line="276" w:lineRule="auto"/>
        <w:jc w:val="both"/>
        <w:rPr>
          <w:rFonts w:ascii="Times New Roman" w:eastAsia="Times New Roman" w:hAnsi="Times New Roman" w:cs="Times New Roman"/>
          <w:bCs/>
          <w:color w:val="000000"/>
          <w:sz w:val="24"/>
          <w:szCs w:val="24"/>
          <w:bdr w:val="none" w:sz="0" w:space="0" w:color="auto" w:frame="1"/>
          <w:shd w:val="clear" w:color="auto" w:fill="FFFFFF"/>
        </w:rPr>
      </w:pPr>
    </w:p>
    <w:p w:rsidR="00E609CA" w:rsidRDefault="00E609CA" w:rsidP="00E609CA">
      <w:pPr>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In </w:t>
      </w:r>
      <w:r w:rsidRPr="004D1ECD">
        <w:rPr>
          <w:rFonts w:ascii="Times New Roman" w:eastAsia="Times New Roman" w:hAnsi="Times New Roman" w:cs="Times New Roman"/>
          <w:color w:val="000000"/>
          <w:sz w:val="24"/>
          <w:szCs w:val="24"/>
          <w:shd w:val="clear" w:color="auto" w:fill="FFFFFF"/>
        </w:rPr>
        <w:t xml:space="preserve">cash flow calculations, shorter </w:t>
      </w:r>
      <w:r>
        <w:rPr>
          <w:rFonts w:ascii="Times New Roman" w:eastAsia="Times New Roman" w:hAnsi="Times New Roman" w:cs="Times New Roman"/>
          <w:color w:val="000000"/>
          <w:sz w:val="24"/>
          <w:szCs w:val="24"/>
          <w:shd w:val="clear" w:color="auto" w:fill="FFFFFF"/>
        </w:rPr>
        <w:t>value</w:t>
      </w:r>
      <w:r w:rsidRPr="004D1ECD">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is</w:t>
      </w:r>
      <w:r w:rsidRPr="004D1ECD">
        <w:rPr>
          <w:rFonts w:ascii="Times New Roman" w:eastAsia="Times New Roman" w:hAnsi="Times New Roman" w:cs="Times New Roman"/>
          <w:color w:val="000000"/>
          <w:sz w:val="24"/>
          <w:szCs w:val="24"/>
          <w:shd w:val="clear" w:color="auto" w:fill="FFFFFF"/>
        </w:rPr>
        <w:t xml:space="preserve"> almost good</w:t>
      </w:r>
      <w:r>
        <w:rPr>
          <w:rFonts w:ascii="Times New Roman" w:eastAsia="Times New Roman" w:hAnsi="Times New Roman" w:cs="Times New Roman"/>
          <w:color w:val="000000"/>
          <w:sz w:val="24"/>
          <w:szCs w:val="24"/>
          <w:shd w:val="clear" w:color="auto" w:fill="FFFFFF"/>
        </w:rPr>
        <w:t xml:space="preserve"> </w:t>
      </w:r>
      <w:r w:rsidRPr="004D1ECD">
        <w:rPr>
          <w:rFonts w:ascii="Times New Roman" w:eastAsia="Times New Roman" w:hAnsi="Times New Roman" w:cs="Times New Roman"/>
          <w:color w:val="000000"/>
          <w:sz w:val="24"/>
          <w:szCs w:val="24"/>
          <w:shd w:val="clear" w:color="auto" w:fill="FFFFFF"/>
        </w:rPr>
        <w:t xml:space="preserve">always. A </w:t>
      </w:r>
      <w:r>
        <w:rPr>
          <w:rFonts w:ascii="Times New Roman" w:eastAsia="Times New Roman" w:hAnsi="Times New Roman" w:cs="Times New Roman"/>
          <w:color w:val="000000"/>
          <w:sz w:val="24"/>
          <w:szCs w:val="24"/>
          <w:shd w:val="clear" w:color="auto" w:fill="FFFFFF"/>
        </w:rPr>
        <w:t>low</w:t>
      </w:r>
      <w:r w:rsidRPr="004D1ECD">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cash conversion cycle</w:t>
      </w:r>
      <w:r w:rsidRPr="004D1ECD">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describes</w:t>
      </w:r>
      <w:r w:rsidRPr="004D1ECD">
        <w:rPr>
          <w:rFonts w:ascii="Times New Roman" w:eastAsia="Times New Roman" w:hAnsi="Times New Roman" w:cs="Times New Roman"/>
          <w:color w:val="000000"/>
          <w:sz w:val="24"/>
          <w:szCs w:val="24"/>
          <w:shd w:val="clear" w:color="auto" w:fill="FFFFFF"/>
        </w:rPr>
        <w:t xml:space="preserve"> that company’s money is </w:t>
      </w:r>
      <w:r>
        <w:rPr>
          <w:rFonts w:ascii="Times New Roman" w:eastAsia="Times New Roman" w:hAnsi="Times New Roman" w:cs="Times New Roman"/>
          <w:color w:val="000000"/>
          <w:sz w:val="24"/>
          <w:szCs w:val="24"/>
          <w:shd w:val="clear" w:color="auto" w:fill="FFFFFF"/>
        </w:rPr>
        <w:t>active</w:t>
      </w:r>
      <w:r w:rsidRPr="004D1ECD">
        <w:rPr>
          <w:rFonts w:ascii="Times New Roman" w:eastAsia="Times New Roman" w:hAnsi="Times New Roman" w:cs="Times New Roman"/>
          <w:color w:val="000000"/>
          <w:sz w:val="24"/>
          <w:szCs w:val="24"/>
          <w:shd w:val="clear" w:color="auto" w:fill="FFFFFF"/>
        </w:rPr>
        <w:t xml:space="preserve"> in inventory </w:t>
      </w:r>
      <w:r>
        <w:rPr>
          <w:rFonts w:ascii="Times New Roman" w:eastAsia="Times New Roman" w:hAnsi="Times New Roman" w:cs="Times New Roman"/>
          <w:color w:val="000000"/>
          <w:sz w:val="24"/>
          <w:szCs w:val="24"/>
          <w:shd w:val="clear" w:color="auto" w:fill="FFFFFF"/>
        </w:rPr>
        <w:t>for smaller time.</w:t>
      </w:r>
    </w:p>
    <w:p w:rsidR="0043614D" w:rsidRDefault="0043614D" w:rsidP="003F1D4F">
      <w:pPr>
        <w:tabs>
          <w:tab w:val="left" w:pos="6168"/>
        </w:tabs>
        <w:spacing w:after="0" w:line="276" w:lineRule="auto"/>
        <w:jc w:val="both"/>
        <w:rPr>
          <w:rFonts w:ascii="Times New Roman" w:eastAsia="Times New Roman" w:hAnsi="Times New Roman" w:cs="Times New Roman"/>
          <w:noProof/>
          <w:color w:val="000000"/>
          <w:sz w:val="24"/>
          <w:szCs w:val="24"/>
        </w:rPr>
      </w:pPr>
      <w:r w:rsidRPr="004D1ECD">
        <w:rPr>
          <w:rFonts w:ascii="Times New Roman" w:eastAsia="Times New Roman" w:hAnsi="Times New Roman" w:cs="Times New Roman"/>
          <w:color w:val="000000"/>
          <w:sz w:val="24"/>
          <w:szCs w:val="24"/>
          <w:shd w:val="clear" w:color="auto" w:fill="FFFFFF"/>
        </w:rPr>
        <w:lastRenderedPageBreak/>
        <w:t xml:space="preserve">In the </w:t>
      </w:r>
      <w:r w:rsidRPr="004D1ECD">
        <w:rPr>
          <w:rFonts w:ascii="Times New Roman" w:eastAsia="Times New Roman" w:hAnsi="Times New Roman" w:cs="Times New Roman"/>
          <w:noProof/>
          <w:color w:val="000000"/>
          <w:sz w:val="24"/>
          <w:szCs w:val="24"/>
        </w:rPr>
        <w:t xml:space="preserve">Square </w:t>
      </w:r>
      <w:r w:rsidR="003F1D4F">
        <w:rPr>
          <w:rFonts w:ascii="Times New Roman" w:eastAsia="Times New Roman" w:hAnsi="Times New Roman" w:cs="Times New Roman"/>
          <w:noProof/>
          <w:color w:val="000000"/>
          <w:sz w:val="24"/>
          <w:szCs w:val="24"/>
        </w:rPr>
        <w:t>Pharmaceuticals</w:t>
      </w:r>
      <w:r w:rsidRPr="004D1ECD">
        <w:rPr>
          <w:rFonts w:ascii="Times New Roman" w:eastAsia="Times New Roman" w:hAnsi="Times New Roman" w:cs="Times New Roman"/>
          <w:noProof/>
          <w:color w:val="000000"/>
          <w:sz w:val="24"/>
          <w:szCs w:val="24"/>
        </w:rPr>
        <w:t xml:space="preserve"> Limited, the Cash Convertion Cycle (CCC) is </w:t>
      </w:r>
      <w:r>
        <w:rPr>
          <w:rFonts w:ascii="Times New Roman" w:eastAsia="Times New Roman" w:hAnsi="Times New Roman" w:cs="Times New Roman"/>
          <w:noProof/>
          <w:color w:val="000000"/>
          <w:sz w:val="24"/>
          <w:szCs w:val="24"/>
        </w:rPr>
        <w:t xml:space="preserve">70,21days for consecutively for year of 2016 and  2014.So, </w:t>
      </w:r>
      <w:r w:rsidRPr="004D1ECD">
        <w:rPr>
          <w:rFonts w:ascii="Times New Roman" w:eastAsia="Times New Roman" w:hAnsi="Times New Roman" w:cs="Times New Roman"/>
          <w:noProof/>
          <w:color w:val="000000"/>
          <w:sz w:val="24"/>
          <w:szCs w:val="24"/>
        </w:rPr>
        <w:t xml:space="preserve">that is </w:t>
      </w:r>
      <w:r>
        <w:rPr>
          <w:rFonts w:ascii="Times New Roman" w:eastAsia="Times New Roman" w:hAnsi="Times New Roman" w:cs="Times New Roman"/>
          <w:noProof/>
          <w:color w:val="000000"/>
          <w:sz w:val="24"/>
          <w:szCs w:val="24"/>
        </w:rPr>
        <w:t>really satisfactory for the company.</w:t>
      </w:r>
    </w:p>
    <w:p w:rsidR="0043614D" w:rsidRDefault="0043614D" w:rsidP="0043614D">
      <w:pPr>
        <w:tabs>
          <w:tab w:val="left" w:pos="6168"/>
        </w:tabs>
        <w:spacing w:after="0" w:line="276" w:lineRule="auto"/>
        <w:jc w:val="both"/>
        <w:rPr>
          <w:rFonts w:ascii="Times New Roman" w:eastAsia="Times New Roman" w:hAnsi="Times New Roman" w:cs="Times New Roman"/>
          <w:noProof/>
          <w:color w:val="000000"/>
          <w:sz w:val="24"/>
          <w:szCs w:val="24"/>
        </w:rPr>
      </w:pPr>
    </w:p>
    <w:p w:rsidR="0043614D" w:rsidRDefault="0043614D" w:rsidP="0043614D">
      <w:pPr>
        <w:tabs>
          <w:tab w:val="left" w:pos="6168"/>
        </w:tabs>
        <w:spacing w:after="0" w:line="276" w:lineRule="auto"/>
        <w:jc w:val="both"/>
        <w:rPr>
          <w:rFonts w:ascii="Times New Roman" w:eastAsia="Times New Roman" w:hAnsi="Times New Roman" w:cs="Times New Roman"/>
          <w:noProof/>
          <w:color w:val="000000"/>
          <w:sz w:val="24"/>
          <w:szCs w:val="24"/>
        </w:rPr>
      </w:pPr>
    </w:p>
    <w:p w:rsidR="0043614D" w:rsidRPr="00D0708E" w:rsidRDefault="0043614D" w:rsidP="0043614D">
      <w:pPr>
        <w:rPr>
          <w:rFonts w:ascii="Times New Roman" w:hAnsi="Times New Roman" w:cs="Times New Roman"/>
        </w:rPr>
      </w:pPr>
    </w:p>
    <w:p w:rsidR="0043614D" w:rsidRPr="004668A8" w:rsidRDefault="0043614D" w:rsidP="00327EB2">
      <w:pPr>
        <w:pStyle w:val="NoSpacing"/>
      </w:pPr>
      <w:r w:rsidRPr="004668A8">
        <w:t>Working Capital Turnover Ratio</w:t>
      </w:r>
    </w:p>
    <w:tbl>
      <w:tblPr>
        <w:tblStyle w:val="TableGrid"/>
        <w:tblW w:w="0" w:type="auto"/>
        <w:tblLook w:val="04A0" w:firstRow="1" w:lastRow="0" w:firstColumn="1" w:lastColumn="0" w:noHBand="0" w:noVBand="1"/>
      </w:tblPr>
      <w:tblGrid>
        <w:gridCol w:w="3192"/>
        <w:gridCol w:w="3192"/>
        <w:gridCol w:w="3192"/>
      </w:tblGrid>
      <w:tr w:rsidR="0043614D" w:rsidTr="002A063A">
        <w:tc>
          <w:tcPr>
            <w:tcW w:w="3192" w:type="dxa"/>
          </w:tcPr>
          <w:p w:rsidR="0043614D" w:rsidRDefault="0043614D" w:rsidP="002A063A">
            <w:pPr>
              <w:jc w:val="center"/>
              <w:rPr>
                <w:rFonts w:ascii="Times New Roman" w:hAnsi="Times New Roman" w:cs="Times New Roman"/>
              </w:rPr>
            </w:pPr>
            <w:r>
              <w:rPr>
                <w:rFonts w:ascii="Times New Roman" w:hAnsi="Times New Roman" w:cs="Times New Roman"/>
                <w:noProof/>
              </w:rPr>
              <w:t>2016</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2015</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2014</w:t>
            </w:r>
          </w:p>
        </w:tc>
      </w:tr>
      <w:tr w:rsidR="0043614D" w:rsidTr="002A063A">
        <w:tc>
          <w:tcPr>
            <w:tcW w:w="3192" w:type="dxa"/>
            <w:vAlign w:val="bottom"/>
          </w:tcPr>
          <w:p w:rsidR="0043614D" w:rsidRDefault="0043614D" w:rsidP="002A063A">
            <w:pPr>
              <w:jc w:val="center"/>
              <w:rPr>
                <w:rFonts w:ascii="Calibri" w:hAnsi="Calibri" w:cs="Calibri"/>
                <w:color w:val="000000"/>
              </w:rPr>
            </w:pPr>
            <w:r>
              <w:rPr>
                <w:rFonts w:ascii="Calibri" w:hAnsi="Calibri" w:cs="Calibri"/>
                <w:color w:val="000000"/>
              </w:rPr>
              <w:t>2</w:t>
            </w:r>
          </w:p>
        </w:tc>
        <w:tc>
          <w:tcPr>
            <w:tcW w:w="3192" w:type="dxa"/>
            <w:vAlign w:val="bottom"/>
          </w:tcPr>
          <w:p w:rsidR="0043614D" w:rsidRDefault="0043614D" w:rsidP="002A063A">
            <w:pPr>
              <w:jc w:val="center"/>
              <w:rPr>
                <w:rFonts w:ascii="Calibri" w:hAnsi="Calibri" w:cs="Calibri"/>
                <w:color w:val="000000"/>
              </w:rPr>
            </w:pPr>
            <w:r>
              <w:rPr>
                <w:rFonts w:ascii="Calibri" w:hAnsi="Calibri" w:cs="Calibri"/>
                <w:color w:val="000000"/>
              </w:rPr>
              <w:t>-3.33</w:t>
            </w:r>
          </w:p>
        </w:tc>
        <w:tc>
          <w:tcPr>
            <w:tcW w:w="3192" w:type="dxa"/>
            <w:vAlign w:val="bottom"/>
          </w:tcPr>
          <w:p w:rsidR="0043614D" w:rsidRDefault="0043614D" w:rsidP="002A063A">
            <w:pPr>
              <w:jc w:val="center"/>
              <w:rPr>
                <w:rFonts w:ascii="Calibri" w:hAnsi="Calibri" w:cs="Calibri"/>
                <w:color w:val="000000"/>
              </w:rPr>
            </w:pPr>
            <w:r>
              <w:rPr>
                <w:rFonts w:ascii="Calibri" w:hAnsi="Calibri" w:cs="Calibri"/>
                <w:color w:val="000000"/>
              </w:rPr>
              <w:t>-2.55</w:t>
            </w:r>
          </w:p>
        </w:tc>
      </w:tr>
    </w:tbl>
    <w:p w:rsidR="0043614D" w:rsidRDefault="0043614D" w:rsidP="0043614D"/>
    <w:p w:rsidR="0043614D" w:rsidRDefault="0043614D" w:rsidP="0043614D">
      <w:r w:rsidRPr="002016C3">
        <w:rPr>
          <w:noProof/>
        </w:rPr>
        <w:drawing>
          <wp:inline distT="0" distB="0" distL="0" distR="0">
            <wp:extent cx="3295650" cy="2047875"/>
            <wp:effectExtent l="19050" t="0" r="19050" b="0"/>
            <wp:docPr id="5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E609CA" w:rsidRDefault="00E609CA" w:rsidP="00E609CA">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turnover ratio measures the efficiency to use company’s working capital supporting a certain level of sales. It finds the relationship between funds using in finance and in operation in company.</w:t>
      </w:r>
    </w:p>
    <w:p w:rsidR="0043614D" w:rsidRDefault="0043614D" w:rsidP="0043614D">
      <w:pPr>
        <w:spacing w:after="20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Square Pharmaceutical limited</w:t>
      </w:r>
      <w:r w:rsidRPr="004D1ECD">
        <w:rPr>
          <w:rFonts w:ascii="Times New Roman" w:eastAsia="Times New Roman" w:hAnsi="Times New Roman" w:cs="Times New Roman"/>
          <w:color w:val="000000"/>
          <w:sz w:val="24"/>
          <w:szCs w:val="24"/>
        </w:rPr>
        <w:t xml:space="preserve"> Workin</w:t>
      </w:r>
      <w:r>
        <w:rPr>
          <w:rFonts w:ascii="Times New Roman" w:eastAsia="Times New Roman" w:hAnsi="Times New Roman" w:cs="Times New Roman"/>
          <w:color w:val="000000"/>
          <w:sz w:val="24"/>
          <w:szCs w:val="24"/>
        </w:rPr>
        <w:t>g capital turnover ratio in 2016</w:t>
      </w:r>
      <w:r w:rsidRPr="004D1ECD">
        <w:rPr>
          <w:rFonts w:ascii="Times New Roman" w:eastAsia="Times New Roman" w:hAnsi="Times New Roman" w:cs="Times New Roman"/>
          <w:color w:val="000000"/>
          <w:sz w:val="24"/>
          <w:szCs w:val="24"/>
        </w:rPr>
        <w:t xml:space="preserve"> is </w:t>
      </w:r>
      <w:r>
        <w:rPr>
          <w:rFonts w:ascii="Times New Roman" w:eastAsia="Times New Roman" w:hAnsi="Times New Roman" w:cs="Times New Roman"/>
          <w:color w:val="000000"/>
          <w:sz w:val="24"/>
          <w:szCs w:val="24"/>
        </w:rPr>
        <w:t>2 and in 2015</w:t>
      </w:r>
      <w:r w:rsidRPr="004D1ECD">
        <w:rPr>
          <w:rFonts w:ascii="Times New Roman" w:eastAsia="Times New Roman" w:hAnsi="Times New Roman" w:cs="Times New Roman"/>
          <w:color w:val="000000"/>
          <w:sz w:val="24"/>
          <w:szCs w:val="24"/>
        </w:rPr>
        <w:t xml:space="preserve"> is </w:t>
      </w:r>
      <w:r>
        <w:rPr>
          <w:rFonts w:ascii="Times New Roman" w:eastAsia="Times New Roman" w:hAnsi="Times New Roman" w:cs="Times New Roman"/>
          <w:color w:val="000000"/>
          <w:sz w:val="24"/>
          <w:szCs w:val="24"/>
        </w:rPr>
        <w:t xml:space="preserve">-3.33 and in 2014 is -2.55. </w:t>
      </w:r>
      <w:r w:rsidRPr="004D1ECD">
        <w:rPr>
          <w:rFonts w:ascii="Times New Roman" w:eastAsia="Times New Roman" w:hAnsi="Times New Roman" w:cs="Times New Roman"/>
          <w:color w:val="000000"/>
          <w:sz w:val="24"/>
          <w:szCs w:val="24"/>
        </w:rPr>
        <w:t xml:space="preserve">Company has a </w:t>
      </w:r>
      <w:r>
        <w:rPr>
          <w:rFonts w:ascii="Times New Roman" w:eastAsia="Times New Roman" w:hAnsi="Times New Roman" w:cs="Times New Roman"/>
          <w:color w:val="000000"/>
          <w:sz w:val="24"/>
          <w:szCs w:val="24"/>
        </w:rPr>
        <w:t>low</w:t>
      </w:r>
      <w:r w:rsidRPr="004D1ECD">
        <w:rPr>
          <w:rFonts w:ascii="Times New Roman" w:eastAsia="Times New Roman" w:hAnsi="Times New Roman" w:cs="Times New Roman"/>
          <w:color w:val="000000"/>
          <w:sz w:val="24"/>
          <w:szCs w:val="24"/>
        </w:rPr>
        <w:t xml:space="preserve"> turnover ratio in </w:t>
      </w:r>
      <w:r>
        <w:rPr>
          <w:rFonts w:ascii="Times New Roman" w:eastAsia="Times New Roman" w:hAnsi="Times New Roman" w:cs="Times New Roman"/>
          <w:color w:val="000000"/>
          <w:sz w:val="24"/>
          <w:szCs w:val="24"/>
        </w:rPr>
        <w:t xml:space="preserve">these years </w:t>
      </w:r>
      <w:r w:rsidRPr="004D1ECD">
        <w:rPr>
          <w:rFonts w:ascii="Times New Roman" w:eastAsia="Times New Roman" w:hAnsi="Times New Roman" w:cs="Times New Roman"/>
          <w:color w:val="000000"/>
          <w:sz w:val="24"/>
          <w:szCs w:val="24"/>
        </w:rPr>
        <w:t>that means company</w:t>
      </w:r>
      <w:r>
        <w:rPr>
          <w:rFonts w:ascii="Times New Roman" w:eastAsia="Times New Roman" w:hAnsi="Times New Roman" w:cs="Times New Roman"/>
          <w:color w:val="000000"/>
          <w:sz w:val="24"/>
          <w:szCs w:val="24"/>
        </w:rPr>
        <w:t xml:space="preserve"> cannot</w:t>
      </w:r>
      <w:r w:rsidRPr="004D1ECD">
        <w:rPr>
          <w:rFonts w:ascii="Times New Roman" w:eastAsia="Times New Roman" w:hAnsi="Times New Roman" w:cs="Times New Roman"/>
          <w:color w:val="000000"/>
          <w:sz w:val="24"/>
          <w:szCs w:val="24"/>
        </w:rPr>
        <w:t xml:space="preserve"> manage its short-term assets and liabilities for supporting sales efficiently.</w:t>
      </w:r>
    </w:p>
    <w:p w:rsidR="0043614D" w:rsidRPr="00A15E21" w:rsidRDefault="0043614D" w:rsidP="00327EB2">
      <w:pPr>
        <w:pStyle w:val="NoSpacing"/>
      </w:pPr>
      <w:r w:rsidRPr="00A15E21">
        <w:t>Current asset turnover ratio</w:t>
      </w:r>
    </w:p>
    <w:tbl>
      <w:tblPr>
        <w:tblStyle w:val="TableGrid"/>
        <w:tblW w:w="0" w:type="auto"/>
        <w:tblLook w:val="04A0" w:firstRow="1" w:lastRow="0" w:firstColumn="1" w:lastColumn="0" w:noHBand="0" w:noVBand="1"/>
      </w:tblPr>
      <w:tblGrid>
        <w:gridCol w:w="3192"/>
        <w:gridCol w:w="3192"/>
        <w:gridCol w:w="3192"/>
      </w:tblGrid>
      <w:tr w:rsidR="0043614D" w:rsidTr="002A063A">
        <w:tc>
          <w:tcPr>
            <w:tcW w:w="3192" w:type="dxa"/>
          </w:tcPr>
          <w:p w:rsidR="0043614D" w:rsidRDefault="0043614D" w:rsidP="002A063A">
            <w:pPr>
              <w:jc w:val="center"/>
              <w:rPr>
                <w:rFonts w:ascii="Times New Roman" w:hAnsi="Times New Roman" w:cs="Times New Roman"/>
              </w:rPr>
            </w:pPr>
            <w:r>
              <w:rPr>
                <w:rFonts w:ascii="Times New Roman" w:hAnsi="Times New Roman" w:cs="Times New Roman"/>
                <w:noProof/>
              </w:rPr>
              <w:t>2016</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2015</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2014</w:t>
            </w:r>
          </w:p>
        </w:tc>
      </w:tr>
      <w:tr w:rsidR="0043614D" w:rsidTr="002A063A">
        <w:tc>
          <w:tcPr>
            <w:tcW w:w="3192" w:type="dxa"/>
            <w:vAlign w:val="bottom"/>
          </w:tcPr>
          <w:p w:rsidR="0043614D" w:rsidRDefault="0043614D" w:rsidP="002A063A">
            <w:pPr>
              <w:jc w:val="center"/>
              <w:rPr>
                <w:rFonts w:ascii="Calibri" w:hAnsi="Calibri" w:cs="Calibri"/>
                <w:color w:val="000000"/>
              </w:rPr>
            </w:pPr>
            <w:r>
              <w:rPr>
                <w:rFonts w:ascii="Calibri" w:hAnsi="Calibri" w:cs="Calibri"/>
                <w:color w:val="000000"/>
              </w:rPr>
              <w:t>0.</w:t>
            </w:r>
            <w:r w:rsidR="00952C2D">
              <w:rPr>
                <w:rFonts w:ascii="Calibri" w:hAnsi="Calibri" w:cs="Calibri"/>
                <w:color w:val="000000"/>
              </w:rPr>
              <w:t>879</w:t>
            </w:r>
          </w:p>
        </w:tc>
        <w:tc>
          <w:tcPr>
            <w:tcW w:w="3192" w:type="dxa"/>
            <w:vAlign w:val="bottom"/>
          </w:tcPr>
          <w:p w:rsidR="0043614D" w:rsidRDefault="0043614D" w:rsidP="002A063A">
            <w:pPr>
              <w:jc w:val="center"/>
              <w:rPr>
                <w:rFonts w:ascii="Calibri" w:hAnsi="Calibri" w:cs="Calibri"/>
                <w:color w:val="000000"/>
              </w:rPr>
            </w:pPr>
            <w:r>
              <w:rPr>
                <w:rFonts w:ascii="Calibri" w:hAnsi="Calibri" w:cs="Calibri"/>
                <w:color w:val="000000"/>
              </w:rPr>
              <w:t>0.816</w:t>
            </w:r>
          </w:p>
        </w:tc>
        <w:tc>
          <w:tcPr>
            <w:tcW w:w="3192" w:type="dxa"/>
            <w:vAlign w:val="bottom"/>
          </w:tcPr>
          <w:p w:rsidR="0043614D" w:rsidRDefault="00952C2D" w:rsidP="002A063A">
            <w:pPr>
              <w:jc w:val="center"/>
              <w:rPr>
                <w:rFonts w:ascii="Calibri" w:hAnsi="Calibri" w:cs="Calibri"/>
                <w:color w:val="000000"/>
              </w:rPr>
            </w:pPr>
            <w:r>
              <w:rPr>
                <w:rFonts w:ascii="Calibri" w:hAnsi="Calibri" w:cs="Calibri"/>
                <w:color w:val="000000"/>
              </w:rPr>
              <w:t>10.29</w:t>
            </w:r>
          </w:p>
        </w:tc>
      </w:tr>
    </w:tbl>
    <w:p w:rsidR="0043614D" w:rsidRDefault="0043614D" w:rsidP="0043614D">
      <w:pPr>
        <w:rPr>
          <w:rFonts w:ascii="Times New Roman" w:hAnsi="Times New Roman" w:cs="Times New Roman"/>
        </w:rPr>
      </w:pPr>
    </w:p>
    <w:p w:rsidR="0043614D" w:rsidRDefault="0043614D" w:rsidP="0043614D">
      <w:pPr>
        <w:rPr>
          <w:rFonts w:ascii="Times New Roman" w:hAnsi="Times New Roman" w:cs="Times New Roman"/>
        </w:rPr>
      </w:pPr>
      <w:r>
        <w:rPr>
          <w:rFonts w:ascii="Times New Roman" w:hAnsi="Times New Roman" w:cs="Times New Roman"/>
          <w:noProof/>
        </w:rPr>
        <w:lastRenderedPageBreak/>
        <w:drawing>
          <wp:inline distT="0" distB="0" distL="0" distR="0">
            <wp:extent cx="2867025" cy="1800225"/>
            <wp:effectExtent l="19050" t="0" r="9525" b="0"/>
            <wp:docPr id="5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43614D" w:rsidRPr="00E609CA" w:rsidRDefault="00E609CA" w:rsidP="00E609CA">
      <w:pPr>
        <w:jc w:val="both"/>
        <w:rPr>
          <w:rFonts w:ascii="Times New Roman" w:eastAsia="Times New Roman" w:hAnsi="Times New Roman" w:cs="Times New Roman"/>
          <w:b/>
          <w:color w:val="000000"/>
          <w:sz w:val="24"/>
          <w:szCs w:val="24"/>
          <w:shd w:val="clear" w:color="auto" w:fill="FFFFFF"/>
        </w:rPr>
      </w:pPr>
      <w:r>
        <w:rPr>
          <w:rFonts w:ascii="Times New Roman" w:eastAsia="Times New Roman" w:hAnsi="Times New Roman" w:cs="Times New Roman"/>
          <w:color w:val="000000"/>
          <w:sz w:val="24"/>
          <w:szCs w:val="24"/>
        </w:rPr>
        <w:t>Current asset turnover ratio</w:t>
      </w:r>
      <w:r w:rsidRPr="004D1EC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shows</w:t>
      </w:r>
      <w:r w:rsidRPr="004D1EC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the</w:t>
      </w:r>
      <w:r w:rsidRPr="004D1ECD">
        <w:rPr>
          <w:rFonts w:ascii="Times New Roman" w:eastAsia="Times New Roman" w:hAnsi="Times New Roman" w:cs="Times New Roman"/>
          <w:color w:val="000000"/>
          <w:sz w:val="24"/>
          <w:szCs w:val="24"/>
        </w:rPr>
        <w:t xml:space="preserve"> efficiently</w:t>
      </w:r>
      <w:r>
        <w:rPr>
          <w:rFonts w:ascii="Times New Roman" w:eastAsia="Times New Roman" w:hAnsi="Times New Roman" w:cs="Times New Roman"/>
          <w:color w:val="000000"/>
          <w:sz w:val="24"/>
          <w:szCs w:val="24"/>
        </w:rPr>
        <w:t xml:space="preserve"> of</w:t>
      </w:r>
      <w:r w:rsidRPr="004D1ECD">
        <w:rPr>
          <w:rFonts w:ascii="Times New Roman" w:eastAsia="Times New Roman" w:hAnsi="Times New Roman" w:cs="Times New Roman"/>
          <w:color w:val="000000"/>
          <w:sz w:val="24"/>
          <w:szCs w:val="24"/>
        </w:rPr>
        <w:t xml:space="preserve"> firm</w:t>
      </w:r>
      <w:r>
        <w:rPr>
          <w:rFonts w:ascii="Times New Roman" w:eastAsia="Times New Roman" w:hAnsi="Times New Roman" w:cs="Times New Roman"/>
          <w:color w:val="000000"/>
          <w:sz w:val="24"/>
          <w:szCs w:val="24"/>
        </w:rPr>
        <w:t xml:space="preserve"> how they are using its current asset for making revenue</w:t>
      </w:r>
      <w:r>
        <w:rPr>
          <w:rFonts w:ascii="Times New Roman" w:eastAsia="Times New Roman" w:hAnsi="Times New Roman" w:cs="Times New Roman"/>
          <w:b/>
          <w:color w:val="000000"/>
          <w:sz w:val="24"/>
          <w:szCs w:val="24"/>
          <w:shd w:val="clear" w:color="auto" w:fill="FFFFFF"/>
        </w:rPr>
        <w:t xml:space="preserve">. </w:t>
      </w:r>
      <w:r w:rsidR="0043614D" w:rsidRPr="004D1ECD">
        <w:rPr>
          <w:rFonts w:ascii="Times New Roman" w:eastAsia="Times New Roman" w:hAnsi="Times New Roman" w:cs="Times New Roman"/>
          <w:color w:val="000000"/>
          <w:sz w:val="24"/>
          <w:szCs w:val="24"/>
        </w:rPr>
        <w:t>This firm current asset turnover ratio in 201</w:t>
      </w:r>
      <w:r w:rsidR="0043614D">
        <w:rPr>
          <w:rFonts w:ascii="Times New Roman" w:eastAsia="Times New Roman" w:hAnsi="Times New Roman" w:cs="Times New Roman"/>
          <w:color w:val="000000"/>
          <w:sz w:val="24"/>
          <w:szCs w:val="24"/>
        </w:rPr>
        <w:t>6</w:t>
      </w:r>
      <w:r w:rsidR="0043614D" w:rsidRPr="004D1ECD">
        <w:rPr>
          <w:rFonts w:ascii="Times New Roman" w:eastAsia="Times New Roman" w:hAnsi="Times New Roman" w:cs="Times New Roman"/>
          <w:color w:val="000000"/>
          <w:sz w:val="24"/>
          <w:szCs w:val="24"/>
        </w:rPr>
        <w:t xml:space="preserve"> is </w:t>
      </w:r>
      <w:r w:rsidR="0043614D">
        <w:rPr>
          <w:rFonts w:ascii="Times New Roman" w:eastAsia="Times New Roman" w:hAnsi="Times New Roman" w:cs="Times New Roman"/>
          <w:color w:val="000000"/>
          <w:sz w:val="24"/>
          <w:szCs w:val="24"/>
        </w:rPr>
        <w:t>0.</w:t>
      </w:r>
      <w:r w:rsidR="00952C2D">
        <w:rPr>
          <w:rFonts w:ascii="Times New Roman" w:eastAsia="Times New Roman" w:hAnsi="Times New Roman" w:cs="Times New Roman"/>
          <w:color w:val="000000"/>
          <w:sz w:val="24"/>
          <w:szCs w:val="24"/>
        </w:rPr>
        <w:t>879</w:t>
      </w:r>
      <w:r w:rsidR="0043614D">
        <w:rPr>
          <w:rFonts w:ascii="Times New Roman" w:eastAsia="Times New Roman" w:hAnsi="Times New Roman" w:cs="Times New Roman"/>
          <w:color w:val="000000"/>
          <w:sz w:val="24"/>
          <w:szCs w:val="24"/>
        </w:rPr>
        <w:t xml:space="preserve"> times, in 2015 is 0.816 and in 2014 is </w:t>
      </w:r>
      <w:r w:rsidR="00952C2D">
        <w:rPr>
          <w:rFonts w:ascii="Times New Roman" w:eastAsia="Times New Roman" w:hAnsi="Times New Roman" w:cs="Times New Roman"/>
          <w:color w:val="000000"/>
          <w:sz w:val="24"/>
          <w:szCs w:val="24"/>
        </w:rPr>
        <w:t>10.29</w:t>
      </w:r>
      <w:r w:rsidR="0043614D" w:rsidRPr="004D1ECD">
        <w:rPr>
          <w:rFonts w:ascii="Times New Roman" w:eastAsia="Times New Roman" w:hAnsi="Times New Roman" w:cs="Times New Roman"/>
          <w:color w:val="000000"/>
          <w:sz w:val="24"/>
          <w:szCs w:val="24"/>
        </w:rPr>
        <w:t xml:space="preserve"> Ratio is above than 1× indicates firm using its current asset efficiently in </w:t>
      </w:r>
      <w:r w:rsidR="0043614D">
        <w:rPr>
          <w:rFonts w:ascii="Times New Roman" w:eastAsia="Times New Roman" w:hAnsi="Times New Roman" w:cs="Times New Roman"/>
          <w:color w:val="000000"/>
          <w:sz w:val="24"/>
          <w:szCs w:val="24"/>
        </w:rPr>
        <w:t xml:space="preserve">these years. So, </w:t>
      </w:r>
      <w:r w:rsidR="00952C2D">
        <w:rPr>
          <w:rFonts w:ascii="Times New Roman" w:eastAsia="Times New Roman" w:hAnsi="Times New Roman" w:cs="Times New Roman"/>
          <w:color w:val="000000"/>
          <w:sz w:val="24"/>
          <w:szCs w:val="24"/>
        </w:rPr>
        <w:t>Square Pharmaceutical</w:t>
      </w:r>
      <w:r w:rsidR="0043614D">
        <w:rPr>
          <w:rFonts w:ascii="Times New Roman" w:eastAsia="Times New Roman" w:hAnsi="Times New Roman" w:cs="Times New Roman"/>
          <w:color w:val="000000"/>
          <w:sz w:val="24"/>
          <w:szCs w:val="24"/>
        </w:rPr>
        <w:t xml:space="preserve"> use</w:t>
      </w:r>
      <w:r w:rsidR="00952C2D">
        <w:rPr>
          <w:rFonts w:ascii="Times New Roman" w:eastAsia="Times New Roman" w:hAnsi="Times New Roman" w:cs="Times New Roman"/>
          <w:color w:val="000000"/>
          <w:sz w:val="24"/>
          <w:szCs w:val="24"/>
        </w:rPr>
        <w:t>d</w:t>
      </w:r>
      <w:r w:rsidR="0043614D">
        <w:rPr>
          <w:rFonts w:ascii="Times New Roman" w:eastAsia="Times New Roman" w:hAnsi="Times New Roman" w:cs="Times New Roman"/>
          <w:color w:val="000000"/>
          <w:sz w:val="24"/>
          <w:szCs w:val="24"/>
        </w:rPr>
        <w:t xml:space="preserve"> current asset efficiently i</w:t>
      </w:r>
      <w:r w:rsidR="00952C2D">
        <w:rPr>
          <w:rFonts w:ascii="Times New Roman" w:eastAsia="Times New Roman" w:hAnsi="Times New Roman" w:cs="Times New Roman"/>
          <w:color w:val="000000"/>
          <w:sz w:val="24"/>
          <w:szCs w:val="24"/>
        </w:rPr>
        <w:t>n every year of 2014.</w:t>
      </w:r>
    </w:p>
    <w:p w:rsidR="0043614D" w:rsidRPr="002F725F" w:rsidRDefault="0043614D" w:rsidP="0043614D">
      <w:pPr>
        <w:spacing w:after="200" w:line="276" w:lineRule="auto"/>
        <w:jc w:val="both"/>
        <w:rPr>
          <w:rFonts w:ascii="Times New Roman" w:eastAsia="Times New Roman" w:hAnsi="Times New Roman" w:cs="Times New Roman"/>
          <w:b/>
          <w:color w:val="000000"/>
          <w:sz w:val="24"/>
          <w:szCs w:val="24"/>
        </w:rPr>
      </w:pPr>
    </w:p>
    <w:p w:rsidR="0043614D" w:rsidRPr="00A15E21" w:rsidRDefault="0043614D" w:rsidP="00327EB2">
      <w:pPr>
        <w:pStyle w:val="NoSpacing"/>
      </w:pPr>
      <w:r w:rsidRPr="00A15E21">
        <w:t>Inventory turnover Ratio</w:t>
      </w:r>
    </w:p>
    <w:tbl>
      <w:tblPr>
        <w:tblStyle w:val="TableGrid"/>
        <w:tblW w:w="0" w:type="auto"/>
        <w:tblLook w:val="04A0" w:firstRow="1" w:lastRow="0" w:firstColumn="1" w:lastColumn="0" w:noHBand="0" w:noVBand="1"/>
      </w:tblPr>
      <w:tblGrid>
        <w:gridCol w:w="3192"/>
        <w:gridCol w:w="3192"/>
        <w:gridCol w:w="3192"/>
      </w:tblGrid>
      <w:tr w:rsidR="0043614D" w:rsidTr="002A063A">
        <w:tc>
          <w:tcPr>
            <w:tcW w:w="3192" w:type="dxa"/>
          </w:tcPr>
          <w:p w:rsidR="0043614D" w:rsidRDefault="0043614D" w:rsidP="002A063A">
            <w:pPr>
              <w:jc w:val="center"/>
              <w:rPr>
                <w:rFonts w:ascii="Times New Roman" w:hAnsi="Times New Roman" w:cs="Times New Roman"/>
              </w:rPr>
            </w:pPr>
            <w:r>
              <w:rPr>
                <w:rFonts w:ascii="Times New Roman" w:hAnsi="Times New Roman" w:cs="Times New Roman"/>
                <w:noProof/>
              </w:rPr>
              <w:t>2016</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2015</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2014</w:t>
            </w:r>
          </w:p>
        </w:tc>
      </w:tr>
      <w:tr w:rsidR="0043614D" w:rsidTr="002A063A">
        <w:tc>
          <w:tcPr>
            <w:tcW w:w="3192" w:type="dxa"/>
            <w:vAlign w:val="bottom"/>
          </w:tcPr>
          <w:p w:rsidR="0043614D" w:rsidRDefault="00952C2D" w:rsidP="002A063A">
            <w:pPr>
              <w:jc w:val="center"/>
              <w:rPr>
                <w:rFonts w:ascii="Calibri" w:hAnsi="Calibri" w:cs="Calibri"/>
                <w:color w:val="000000"/>
              </w:rPr>
            </w:pPr>
            <w:r>
              <w:rPr>
                <w:rFonts w:ascii="Calibri" w:hAnsi="Calibri" w:cs="Calibri"/>
                <w:color w:val="000000"/>
              </w:rPr>
              <w:t>5.089</w:t>
            </w:r>
          </w:p>
        </w:tc>
        <w:tc>
          <w:tcPr>
            <w:tcW w:w="3192" w:type="dxa"/>
            <w:vAlign w:val="bottom"/>
          </w:tcPr>
          <w:p w:rsidR="0043614D" w:rsidRDefault="00952C2D" w:rsidP="002A063A">
            <w:pPr>
              <w:jc w:val="center"/>
              <w:rPr>
                <w:rFonts w:ascii="Calibri" w:hAnsi="Calibri" w:cs="Calibri"/>
                <w:color w:val="000000"/>
              </w:rPr>
            </w:pPr>
            <w:r>
              <w:rPr>
                <w:rFonts w:ascii="Calibri" w:hAnsi="Calibri" w:cs="Calibri"/>
                <w:color w:val="000000"/>
              </w:rPr>
              <w:t>0.95</w:t>
            </w:r>
          </w:p>
        </w:tc>
        <w:tc>
          <w:tcPr>
            <w:tcW w:w="3192" w:type="dxa"/>
            <w:vAlign w:val="bottom"/>
          </w:tcPr>
          <w:p w:rsidR="00952C2D" w:rsidRDefault="00952C2D" w:rsidP="00952C2D">
            <w:pPr>
              <w:jc w:val="center"/>
              <w:rPr>
                <w:rFonts w:ascii="Calibri" w:hAnsi="Calibri" w:cs="Calibri"/>
                <w:color w:val="000000"/>
              </w:rPr>
            </w:pPr>
            <w:r>
              <w:rPr>
                <w:rFonts w:ascii="Calibri" w:hAnsi="Calibri" w:cs="Calibri"/>
                <w:color w:val="000000"/>
              </w:rPr>
              <w:t>21.53</w:t>
            </w:r>
          </w:p>
        </w:tc>
      </w:tr>
    </w:tbl>
    <w:p w:rsidR="0043614D" w:rsidRDefault="0043614D" w:rsidP="0043614D">
      <w:pPr>
        <w:rPr>
          <w:rFonts w:ascii="Times New Roman" w:hAnsi="Times New Roman" w:cs="Times New Roman"/>
        </w:rPr>
      </w:pPr>
    </w:p>
    <w:p w:rsidR="0043614D" w:rsidRDefault="0043614D" w:rsidP="0043614D">
      <w:pPr>
        <w:rPr>
          <w:rFonts w:ascii="Times New Roman" w:hAnsi="Times New Roman" w:cs="Times New Roman"/>
        </w:rPr>
      </w:pPr>
      <w:r w:rsidRPr="00960615">
        <w:rPr>
          <w:rFonts w:ascii="Times New Roman" w:hAnsi="Times New Roman" w:cs="Times New Roman"/>
          <w:noProof/>
        </w:rPr>
        <w:drawing>
          <wp:inline distT="0" distB="0" distL="0" distR="0">
            <wp:extent cx="2733675" cy="1676400"/>
            <wp:effectExtent l="19050" t="0" r="9525" b="0"/>
            <wp:docPr id="6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43614D" w:rsidRDefault="0043614D" w:rsidP="0043614D">
      <w:pPr>
        <w:spacing w:after="200" w:line="276" w:lineRule="auto"/>
        <w:jc w:val="both"/>
        <w:rPr>
          <w:rFonts w:ascii="Times New Roman" w:eastAsia="Times New Roman" w:hAnsi="Times New Roman" w:cs="Times New Roman"/>
          <w:color w:val="000000"/>
          <w:sz w:val="24"/>
          <w:szCs w:val="24"/>
        </w:rPr>
      </w:pPr>
      <w:r w:rsidRPr="004D1ECD">
        <w:rPr>
          <w:rFonts w:ascii="Times New Roman" w:eastAsia="Times New Roman" w:hAnsi="Times New Roman" w:cs="Times New Roman"/>
          <w:color w:val="000000"/>
          <w:sz w:val="24"/>
          <w:szCs w:val="24"/>
        </w:rPr>
        <w:t>Inventory turnover ratio indicates the way management has used inventory to conduct the operations of the business. Inventory turnover of</w:t>
      </w:r>
      <w:r w:rsidR="00870082">
        <w:rPr>
          <w:rFonts w:ascii="Times New Roman" w:eastAsia="Times New Roman" w:hAnsi="Times New Roman" w:cs="Times New Roman"/>
          <w:color w:val="000000"/>
          <w:sz w:val="24"/>
          <w:szCs w:val="24"/>
        </w:rPr>
        <w:t xml:space="preserve"> </w:t>
      </w:r>
      <w:r w:rsidR="00952C2D">
        <w:rPr>
          <w:rFonts w:ascii="Times New Roman" w:eastAsia="Times New Roman" w:hAnsi="Times New Roman" w:cs="Times New Roman"/>
          <w:color w:val="000000"/>
          <w:sz w:val="24"/>
          <w:szCs w:val="24"/>
        </w:rPr>
        <w:t xml:space="preserve">Square Pharmaceutical Ltd </w:t>
      </w:r>
      <w:r>
        <w:rPr>
          <w:rFonts w:ascii="Times New Roman" w:eastAsia="Times New Roman" w:hAnsi="Times New Roman" w:cs="Times New Roman"/>
          <w:color w:val="000000"/>
          <w:sz w:val="24"/>
          <w:szCs w:val="24"/>
        </w:rPr>
        <w:t>of the year 2016</w:t>
      </w:r>
      <w:r w:rsidRPr="004D1ECD">
        <w:rPr>
          <w:rFonts w:ascii="Times New Roman" w:eastAsia="Times New Roman" w:hAnsi="Times New Roman" w:cs="Times New Roman"/>
          <w:color w:val="000000"/>
          <w:sz w:val="24"/>
          <w:szCs w:val="24"/>
        </w:rPr>
        <w:t xml:space="preserve"> is </w:t>
      </w:r>
      <w:r w:rsidR="00952C2D">
        <w:rPr>
          <w:rFonts w:ascii="Times New Roman" w:eastAsia="Times New Roman" w:hAnsi="Times New Roman" w:cs="Times New Roman"/>
          <w:color w:val="000000"/>
          <w:sz w:val="24"/>
          <w:szCs w:val="24"/>
        </w:rPr>
        <w:t>5.089</w:t>
      </w:r>
      <w:r>
        <w:rPr>
          <w:rFonts w:ascii="Times New Roman" w:eastAsia="Times New Roman" w:hAnsi="Times New Roman" w:cs="Times New Roman"/>
          <w:color w:val="000000"/>
          <w:sz w:val="24"/>
          <w:szCs w:val="24"/>
        </w:rPr>
        <w:t xml:space="preserve"> and 2015</w:t>
      </w:r>
      <w:r w:rsidRPr="004D1ECD">
        <w:rPr>
          <w:rFonts w:ascii="Times New Roman" w:eastAsia="Times New Roman" w:hAnsi="Times New Roman" w:cs="Times New Roman"/>
          <w:color w:val="000000"/>
          <w:sz w:val="24"/>
          <w:szCs w:val="24"/>
        </w:rPr>
        <w:t xml:space="preserve"> is </w:t>
      </w:r>
      <w:r w:rsidR="00952C2D">
        <w:rPr>
          <w:rFonts w:ascii="Times New Roman" w:eastAsia="Times New Roman" w:hAnsi="Times New Roman" w:cs="Times New Roman"/>
          <w:color w:val="000000"/>
          <w:sz w:val="24"/>
          <w:szCs w:val="24"/>
        </w:rPr>
        <w:t>0.95</w:t>
      </w:r>
      <w:r>
        <w:rPr>
          <w:rFonts w:ascii="Times New Roman" w:eastAsia="Times New Roman" w:hAnsi="Times New Roman" w:cs="Times New Roman"/>
          <w:color w:val="000000"/>
          <w:sz w:val="24"/>
          <w:szCs w:val="24"/>
        </w:rPr>
        <w:t xml:space="preserve"> and 2014 is </w:t>
      </w:r>
      <w:r w:rsidR="00952C2D">
        <w:rPr>
          <w:rFonts w:ascii="Times New Roman" w:eastAsia="Times New Roman" w:hAnsi="Times New Roman" w:cs="Times New Roman"/>
          <w:color w:val="000000"/>
          <w:sz w:val="24"/>
          <w:szCs w:val="24"/>
        </w:rPr>
        <w:t>21.53</w:t>
      </w:r>
      <w:r>
        <w:rPr>
          <w:rFonts w:ascii="Times New Roman" w:eastAsia="Times New Roman" w:hAnsi="Times New Roman" w:cs="Times New Roman"/>
          <w:color w:val="000000"/>
          <w:sz w:val="24"/>
          <w:szCs w:val="24"/>
        </w:rPr>
        <w:t xml:space="preserve">. </w:t>
      </w:r>
      <w:r w:rsidR="00952C2D">
        <w:rPr>
          <w:rFonts w:ascii="Times New Roman" w:eastAsia="Times New Roman" w:hAnsi="Times New Roman" w:cs="Times New Roman"/>
          <w:color w:val="000000"/>
          <w:sz w:val="24"/>
          <w:szCs w:val="24"/>
        </w:rPr>
        <w:t>2014 and 2016</w:t>
      </w:r>
      <w:r w:rsidRPr="004D1ECD">
        <w:rPr>
          <w:rFonts w:ascii="Times New Roman" w:eastAsia="Times New Roman" w:hAnsi="Times New Roman" w:cs="Times New Roman"/>
          <w:color w:val="000000"/>
          <w:sz w:val="24"/>
          <w:szCs w:val="24"/>
        </w:rPr>
        <w:t xml:space="preserve"> the company had the high amount of inventory which is good for firm because higher the inventory turnover the better for the company.</w:t>
      </w:r>
    </w:p>
    <w:p w:rsidR="0043614D" w:rsidRPr="00A15E21" w:rsidRDefault="0043614D" w:rsidP="00327EB2">
      <w:pPr>
        <w:pStyle w:val="NoSpacing"/>
      </w:pPr>
      <w:r w:rsidRPr="00A15E21">
        <w:t>Daily Inventories Held</w:t>
      </w:r>
    </w:p>
    <w:tbl>
      <w:tblPr>
        <w:tblStyle w:val="TableGrid"/>
        <w:tblW w:w="0" w:type="auto"/>
        <w:tblLook w:val="04A0" w:firstRow="1" w:lastRow="0" w:firstColumn="1" w:lastColumn="0" w:noHBand="0" w:noVBand="1"/>
      </w:tblPr>
      <w:tblGrid>
        <w:gridCol w:w="3192"/>
        <w:gridCol w:w="3192"/>
        <w:gridCol w:w="3192"/>
      </w:tblGrid>
      <w:tr w:rsidR="0043614D" w:rsidTr="002A063A">
        <w:tc>
          <w:tcPr>
            <w:tcW w:w="3192" w:type="dxa"/>
          </w:tcPr>
          <w:p w:rsidR="0043614D" w:rsidRDefault="0043614D" w:rsidP="002A063A">
            <w:pPr>
              <w:jc w:val="center"/>
              <w:rPr>
                <w:rFonts w:ascii="Times New Roman" w:hAnsi="Times New Roman" w:cs="Times New Roman"/>
              </w:rPr>
            </w:pPr>
            <w:r>
              <w:rPr>
                <w:rFonts w:ascii="Times New Roman" w:hAnsi="Times New Roman" w:cs="Times New Roman"/>
                <w:noProof/>
              </w:rPr>
              <w:t>2016</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2015</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2014</w:t>
            </w:r>
          </w:p>
        </w:tc>
      </w:tr>
      <w:tr w:rsidR="0043614D" w:rsidTr="002A063A">
        <w:tc>
          <w:tcPr>
            <w:tcW w:w="3192" w:type="dxa"/>
            <w:vAlign w:val="bottom"/>
          </w:tcPr>
          <w:p w:rsidR="0043614D" w:rsidRDefault="00E91FDE" w:rsidP="002A063A">
            <w:pPr>
              <w:jc w:val="center"/>
              <w:rPr>
                <w:rFonts w:ascii="Calibri" w:hAnsi="Calibri" w:cs="Calibri"/>
                <w:color w:val="000000"/>
              </w:rPr>
            </w:pPr>
            <w:r>
              <w:rPr>
                <w:rFonts w:ascii="Calibri" w:hAnsi="Calibri" w:cs="Calibri"/>
                <w:color w:val="000000"/>
              </w:rPr>
              <w:t>71</w:t>
            </w:r>
          </w:p>
        </w:tc>
        <w:tc>
          <w:tcPr>
            <w:tcW w:w="3192" w:type="dxa"/>
            <w:vAlign w:val="bottom"/>
          </w:tcPr>
          <w:p w:rsidR="0043614D" w:rsidRDefault="00E91FDE" w:rsidP="002A063A">
            <w:pPr>
              <w:jc w:val="center"/>
              <w:rPr>
                <w:rFonts w:ascii="Calibri" w:hAnsi="Calibri" w:cs="Calibri"/>
                <w:color w:val="000000"/>
              </w:rPr>
            </w:pPr>
            <w:r>
              <w:rPr>
                <w:rFonts w:ascii="Calibri" w:hAnsi="Calibri" w:cs="Calibri"/>
                <w:color w:val="000000"/>
              </w:rPr>
              <w:t>384</w:t>
            </w:r>
          </w:p>
        </w:tc>
        <w:tc>
          <w:tcPr>
            <w:tcW w:w="3192" w:type="dxa"/>
            <w:vAlign w:val="bottom"/>
          </w:tcPr>
          <w:p w:rsidR="0043614D" w:rsidRDefault="00E91FDE" w:rsidP="002A063A">
            <w:pPr>
              <w:jc w:val="center"/>
              <w:rPr>
                <w:rFonts w:ascii="Calibri" w:hAnsi="Calibri" w:cs="Calibri"/>
                <w:color w:val="000000"/>
              </w:rPr>
            </w:pPr>
            <w:r>
              <w:rPr>
                <w:rFonts w:ascii="Calibri" w:hAnsi="Calibri" w:cs="Calibri"/>
                <w:color w:val="000000"/>
              </w:rPr>
              <w:t>16</w:t>
            </w:r>
          </w:p>
        </w:tc>
      </w:tr>
    </w:tbl>
    <w:p w:rsidR="0043614D" w:rsidRDefault="0043614D" w:rsidP="0043614D">
      <w:pPr>
        <w:rPr>
          <w:rFonts w:ascii="Times New Roman" w:hAnsi="Times New Roman" w:cs="Times New Roman"/>
        </w:rPr>
      </w:pPr>
    </w:p>
    <w:p w:rsidR="0043614D" w:rsidRDefault="0043614D" w:rsidP="0043614D">
      <w:pPr>
        <w:rPr>
          <w:rFonts w:ascii="Times New Roman" w:hAnsi="Times New Roman" w:cs="Times New Roman"/>
        </w:rPr>
      </w:pPr>
      <w:r w:rsidRPr="00C950F4">
        <w:rPr>
          <w:rFonts w:ascii="Times New Roman" w:hAnsi="Times New Roman" w:cs="Times New Roman"/>
          <w:noProof/>
        </w:rPr>
        <w:lastRenderedPageBreak/>
        <w:drawing>
          <wp:inline distT="0" distB="0" distL="0" distR="0">
            <wp:extent cx="2857500" cy="1885950"/>
            <wp:effectExtent l="19050" t="0" r="19050" b="0"/>
            <wp:docPr id="6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43614D" w:rsidRDefault="0043614D" w:rsidP="0043614D">
      <w:pPr>
        <w:spacing w:after="200" w:line="276" w:lineRule="auto"/>
        <w:jc w:val="both"/>
        <w:rPr>
          <w:rFonts w:ascii="Times New Roman" w:eastAsia="Times New Roman" w:hAnsi="Times New Roman" w:cs="Times New Roman"/>
          <w:bCs/>
          <w:color w:val="000000"/>
          <w:sz w:val="24"/>
          <w:szCs w:val="24"/>
          <w:shd w:val="clear" w:color="auto" w:fill="FFFFFF"/>
        </w:rPr>
      </w:pPr>
      <w:r w:rsidRPr="004D1ECD">
        <w:rPr>
          <w:rFonts w:ascii="Times New Roman" w:eastAsia="Times New Roman" w:hAnsi="Times New Roman" w:cs="Times New Roman"/>
          <w:color w:val="000000"/>
          <w:sz w:val="24"/>
          <w:szCs w:val="24"/>
          <w:shd w:val="clear" w:color="auto" w:fill="FFFFFF"/>
        </w:rPr>
        <w:t> Measures the number of </w:t>
      </w:r>
      <w:r w:rsidRPr="004D1ECD">
        <w:rPr>
          <w:rFonts w:ascii="Times New Roman" w:eastAsia="Times New Roman" w:hAnsi="Times New Roman" w:cs="Times New Roman"/>
          <w:b/>
          <w:bCs/>
          <w:color w:val="000000"/>
          <w:sz w:val="24"/>
          <w:szCs w:val="24"/>
          <w:shd w:val="clear" w:color="auto" w:fill="FFFFFF"/>
        </w:rPr>
        <w:t>days</w:t>
      </w:r>
      <w:r w:rsidRPr="004D1ECD">
        <w:rPr>
          <w:rFonts w:ascii="Times New Roman" w:eastAsia="Times New Roman" w:hAnsi="Times New Roman" w:cs="Times New Roman"/>
          <w:color w:val="000000"/>
          <w:sz w:val="24"/>
          <w:szCs w:val="24"/>
          <w:shd w:val="clear" w:color="auto" w:fill="FFFFFF"/>
        </w:rPr>
        <w:t> it will take a company to sell its entire </w:t>
      </w:r>
      <w:r w:rsidRPr="004D1ECD">
        <w:rPr>
          <w:rFonts w:ascii="Times New Roman" w:eastAsia="Times New Roman" w:hAnsi="Times New Roman" w:cs="Times New Roman"/>
          <w:bCs/>
          <w:color w:val="000000"/>
          <w:sz w:val="24"/>
          <w:szCs w:val="24"/>
          <w:shd w:val="clear" w:color="auto" w:fill="FFFFFF"/>
        </w:rPr>
        <w:t>inventory. This company DIH in 201</w:t>
      </w:r>
      <w:r>
        <w:rPr>
          <w:rFonts w:ascii="Times New Roman" w:eastAsia="Times New Roman" w:hAnsi="Times New Roman" w:cs="Times New Roman"/>
          <w:bCs/>
          <w:color w:val="000000"/>
          <w:sz w:val="24"/>
          <w:szCs w:val="24"/>
          <w:shd w:val="clear" w:color="auto" w:fill="FFFFFF"/>
        </w:rPr>
        <w:t xml:space="preserve">6 is </w:t>
      </w:r>
      <w:r w:rsidR="00E91FDE">
        <w:rPr>
          <w:rFonts w:ascii="Times New Roman" w:eastAsia="Times New Roman" w:hAnsi="Times New Roman" w:cs="Times New Roman"/>
          <w:bCs/>
          <w:color w:val="000000"/>
          <w:sz w:val="24"/>
          <w:szCs w:val="24"/>
          <w:shd w:val="clear" w:color="auto" w:fill="FFFFFF"/>
        </w:rPr>
        <w:t>71</w:t>
      </w:r>
      <w:r w:rsidRPr="004D1ECD">
        <w:rPr>
          <w:rFonts w:ascii="Times New Roman" w:eastAsia="Times New Roman" w:hAnsi="Times New Roman" w:cs="Times New Roman"/>
          <w:bCs/>
          <w:color w:val="000000"/>
          <w:sz w:val="24"/>
          <w:szCs w:val="24"/>
          <w:shd w:val="clear" w:color="auto" w:fill="FFFFFF"/>
        </w:rPr>
        <w:t xml:space="preserve"> days and in 201</w:t>
      </w:r>
      <w:r>
        <w:rPr>
          <w:rFonts w:ascii="Times New Roman" w:eastAsia="Times New Roman" w:hAnsi="Times New Roman" w:cs="Times New Roman"/>
          <w:bCs/>
          <w:color w:val="000000"/>
          <w:sz w:val="24"/>
          <w:szCs w:val="24"/>
          <w:shd w:val="clear" w:color="auto" w:fill="FFFFFF"/>
        </w:rPr>
        <w:t>5</w:t>
      </w:r>
      <w:r w:rsidRPr="004D1ECD">
        <w:rPr>
          <w:rFonts w:ascii="Times New Roman" w:eastAsia="Times New Roman" w:hAnsi="Times New Roman" w:cs="Times New Roman"/>
          <w:bCs/>
          <w:color w:val="000000"/>
          <w:sz w:val="24"/>
          <w:szCs w:val="24"/>
          <w:shd w:val="clear" w:color="auto" w:fill="FFFFFF"/>
        </w:rPr>
        <w:t xml:space="preserve"> it takes </w:t>
      </w:r>
      <w:r w:rsidR="00E91FDE">
        <w:rPr>
          <w:rFonts w:ascii="Times New Roman" w:eastAsia="Times New Roman" w:hAnsi="Times New Roman" w:cs="Times New Roman"/>
          <w:bCs/>
          <w:color w:val="000000"/>
          <w:sz w:val="24"/>
          <w:szCs w:val="24"/>
          <w:shd w:val="clear" w:color="auto" w:fill="FFFFFF"/>
        </w:rPr>
        <w:t>384</w:t>
      </w:r>
      <w:r>
        <w:rPr>
          <w:rFonts w:ascii="Times New Roman" w:eastAsia="Times New Roman" w:hAnsi="Times New Roman" w:cs="Times New Roman"/>
          <w:bCs/>
          <w:color w:val="000000"/>
          <w:sz w:val="24"/>
          <w:szCs w:val="24"/>
          <w:shd w:val="clear" w:color="auto" w:fill="FFFFFF"/>
        </w:rPr>
        <w:t xml:space="preserve"> days and 2014 takes </w:t>
      </w:r>
      <w:r w:rsidR="00E91FDE">
        <w:rPr>
          <w:rFonts w:ascii="Times New Roman" w:eastAsia="Times New Roman" w:hAnsi="Times New Roman" w:cs="Times New Roman"/>
          <w:bCs/>
          <w:color w:val="000000"/>
          <w:sz w:val="24"/>
          <w:szCs w:val="24"/>
          <w:shd w:val="clear" w:color="auto" w:fill="FFFFFF"/>
        </w:rPr>
        <w:t>16</w:t>
      </w:r>
      <w:r>
        <w:rPr>
          <w:rFonts w:ascii="Times New Roman" w:eastAsia="Times New Roman" w:hAnsi="Times New Roman" w:cs="Times New Roman"/>
          <w:bCs/>
          <w:color w:val="000000"/>
          <w:sz w:val="24"/>
          <w:szCs w:val="24"/>
          <w:shd w:val="clear" w:color="auto" w:fill="FFFFFF"/>
        </w:rPr>
        <w:t xml:space="preserve"> days. </w:t>
      </w:r>
      <w:r w:rsidR="00E91FDE">
        <w:rPr>
          <w:rFonts w:ascii="Times New Roman" w:eastAsia="Times New Roman" w:hAnsi="Times New Roman" w:cs="Times New Roman"/>
          <w:bCs/>
          <w:color w:val="000000"/>
          <w:sz w:val="24"/>
          <w:szCs w:val="24"/>
          <w:shd w:val="clear" w:color="auto" w:fill="FFFFFF"/>
        </w:rPr>
        <w:t>So, the year of 2014 and 2016 company did well to sale inventory.</w:t>
      </w:r>
    </w:p>
    <w:p w:rsidR="0043614D" w:rsidRPr="00A15E21" w:rsidRDefault="0043614D" w:rsidP="00327EB2">
      <w:pPr>
        <w:pStyle w:val="NoSpacing"/>
        <w:rPr>
          <w:shd w:val="clear" w:color="auto" w:fill="FFFFFF"/>
        </w:rPr>
      </w:pPr>
      <w:r w:rsidRPr="00A15E21">
        <w:rPr>
          <w:shd w:val="clear" w:color="auto" w:fill="FFFFFF"/>
        </w:rPr>
        <w:t>Raw Materials Inventory Turnover</w:t>
      </w:r>
    </w:p>
    <w:p w:rsidR="0043614D" w:rsidRDefault="0043614D" w:rsidP="0043614D"/>
    <w:tbl>
      <w:tblPr>
        <w:tblStyle w:val="TableGrid"/>
        <w:tblW w:w="0" w:type="auto"/>
        <w:tblLook w:val="04A0" w:firstRow="1" w:lastRow="0" w:firstColumn="1" w:lastColumn="0" w:noHBand="0" w:noVBand="1"/>
      </w:tblPr>
      <w:tblGrid>
        <w:gridCol w:w="3192"/>
        <w:gridCol w:w="3192"/>
        <w:gridCol w:w="3192"/>
      </w:tblGrid>
      <w:tr w:rsidR="0043614D" w:rsidTr="002A063A">
        <w:tc>
          <w:tcPr>
            <w:tcW w:w="3192" w:type="dxa"/>
          </w:tcPr>
          <w:p w:rsidR="0043614D" w:rsidRDefault="0043614D" w:rsidP="002A063A">
            <w:pPr>
              <w:jc w:val="center"/>
              <w:rPr>
                <w:rFonts w:ascii="Times New Roman" w:hAnsi="Times New Roman" w:cs="Times New Roman"/>
              </w:rPr>
            </w:pPr>
            <w:r>
              <w:rPr>
                <w:rFonts w:ascii="Times New Roman" w:hAnsi="Times New Roman" w:cs="Times New Roman"/>
                <w:noProof/>
              </w:rPr>
              <w:t>2016</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2015</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2014</w:t>
            </w:r>
          </w:p>
        </w:tc>
      </w:tr>
      <w:tr w:rsidR="0043614D" w:rsidTr="002A063A">
        <w:tc>
          <w:tcPr>
            <w:tcW w:w="3192" w:type="dxa"/>
            <w:vAlign w:val="bottom"/>
          </w:tcPr>
          <w:p w:rsidR="0043614D" w:rsidRDefault="00E91FDE" w:rsidP="002A063A">
            <w:pPr>
              <w:jc w:val="center"/>
              <w:rPr>
                <w:rFonts w:ascii="Calibri" w:hAnsi="Calibri" w:cs="Calibri"/>
                <w:color w:val="000000"/>
              </w:rPr>
            </w:pPr>
            <w:r>
              <w:rPr>
                <w:rFonts w:ascii="Calibri" w:hAnsi="Calibri" w:cs="Calibri"/>
                <w:color w:val="000000"/>
              </w:rPr>
              <w:t>17.21</w:t>
            </w:r>
          </w:p>
        </w:tc>
        <w:tc>
          <w:tcPr>
            <w:tcW w:w="3192" w:type="dxa"/>
            <w:vAlign w:val="bottom"/>
          </w:tcPr>
          <w:p w:rsidR="0043614D" w:rsidRDefault="00E91FDE" w:rsidP="002A063A">
            <w:pPr>
              <w:jc w:val="center"/>
              <w:rPr>
                <w:rFonts w:ascii="Calibri" w:hAnsi="Calibri" w:cs="Calibri"/>
                <w:color w:val="000000"/>
              </w:rPr>
            </w:pPr>
            <w:r>
              <w:rPr>
                <w:rFonts w:ascii="Calibri" w:hAnsi="Calibri" w:cs="Calibri"/>
                <w:color w:val="000000"/>
              </w:rPr>
              <w:t>5.87</w:t>
            </w:r>
          </w:p>
        </w:tc>
        <w:tc>
          <w:tcPr>
            <w:tcW w:w="3192" w:type="dxa"/>
          </w:tcPr>
          <w:p w:rsidR="0043614D" w:rsidRDefault="00E91FDE" w:rsidP="002A063A">
            <w:pPr>
              <w:jc w:val="center"/>
              <w:rPr>
                <w:rFonts w:ascii="Calibri" w:hAnsi="Calibri" w:cs="Calibri"/>
                <w:color w:val="000000"/>
              </w:rPr>
            </w:pPr>
            <w:r>
              <w:rPr>
                <w:rFonts w:ascii="Calibri" w:hAnsi="Calibri" w:cs="Calibri"/>
                <w:color w:val="000000"/>
              </w:rPr>
              <w:t>6.43</w:t>
            </w:r>
          </w:p>
        </w:tc>
      </w:tr>
    </w:tbl>
    <w:p w:rsidR="0043614D" w:rsidRDefault="0043614D" w:rsidP="0043614D">
      <w:pPr>
        <w:rPr>
          <w:rFonts w:ascii="Times New Roman" w:hAnsi="Times New Roman" w:cs="Times New Roman"/>
        </w:rPr>
      </w:pPr>
    </w:p>
    <w:p w:rsidR="0043614D" w:rsidRDefault="0043614D" w:rsidP="0043614D">
      <w:pPr>
        <w:rPr>
          <w:rFonts w:ascii="Times New Roman" w:hAnsi="Times New Roman" w:cs="Times New Roman"/>
        </w:rPr>
      </w:pPr>
      <w:r w:rsidRPr="00C950F4">
        <w:rPr>
          <w:rFonts w:ascii="Times New Roman" w:hAnsi="Times New Roman" w:cs="Times New Roman"/>
          <w:noProof/>
        </w:rPr>
        <w:drawing>
          <wp:inline distT="0" distB="0" distL="0" distR="0">
            <wp:extent cx="2857500" cy="1885950"/>
            <wp:effectExtent l="19050" t="0" r="19050" b="0"/>
            <wp:docPr id="6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43614D" w:rsidRPr="004D1ECD" w:rsidRDefault="0043614D" w:rsidP="0043614D">
      <w:pPr>
        <w:spacing w:after="200" w:line="276" w:lineRule="auto"/>
        <w:jc w:val="both"/>
        <w:rPr>
          <w:rFonts w:ascii="Times New Roman" w:eastAsia="Times New Roman" w:hAnsi="Times New Roman" w:cs="Times New Roman"/>
          <w:color w:val="000000"/>
          <w:sz w:val="24"/>
          <w:szCs w:val="24"/>
        </w:rPr>
      </w:pPr>
      <w:r w:rsidRPr="004D1ECD">
        <w:rPr>
          <w:rFonts w:ascii="Times New Roman" w:eastAsia="Times New Roman" w:hAnsi="Times New Roman" w:cs="Times New Roman"/>
          <w:color w:val="000000"/>
          <w:sz w:val="24"/>
          <w:szCs w:val="24"/>
        </w:rPr>
        <w:t>This ratio indicates the rate of utilization of raw material.</w:t>
      </w:r>
    </w:p>
    <w:p w:rsidR="0043614D" w:rsidRDefault="0043614D" w:rsidP="00584A0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2016</w:t>
      </w:r>
      <w:r w:rsidRPr="004D1ECD">
        <w:rPr>
          <w:rFonts w:ascii="Times New Roman" w:eastAsia="Times New Roman" w:hAnsi="Times New Roman" w:cs="Times New Roman"/>
          <w:color w:val="000000"/>
          <w:sz w:val="24"/>
          <w:szCs w:val="24"/>
        </w:rPr>
        <w:t xml:space="preserve"> this ratio is </w:t>
      </w:r>
      <w:r w:rsidR="00E91FDE">
        <w:rPr>
          <w:rFonts w:ascii="Times New Roman" w:eastAsia="Times New Roman" w:hAnsi="Times New Roman" w:cs="Times New Roman"/>
          <w:color w:val="000000"/>
          <w:sz w:val="24"/>
          <w:szCs w:val="24"/>
        </w:rPr>
        <w:t>17.21</w:t>
      </w:r>
      <w:r>
        <w:rPr>
          <w:rFonts w:ascii="Times New Roman" w:eastAsia="Times New Roman" w:hAnsi="Times New Roman" w:cs="Times New Roman"/>
          <w:color w:val="000000"/>
          <w:sz w:val="24"/>
          <w:szCs w:val="24"/>
        </w:rPr>
        <w:t xml:space="preserve"> and in 2015</w:t>
      </w:r>
      <w:r w:rsidRPr="004D1ECD">
        <w:rPr>
          <w:rFonts w:ascii="Times New Roman" w:eastAsia="Times New Roman" w:hAnsi="Times New Roman" w:cs="Times New Roman"/>
          <w:color w:val="000000"/>
          <w:sz w:val="24"/>
          <w:szCs w:val="24"/>
        </w:rPr>
        <w:t xml:space="preserve"> it was </w:t>
      </w:r>
      <w:r w:rsidR="00E91FDE">
        <w:rPr>
          <w:rFonts w:ascii="Times New Roman" w:eastAsia="Times New Roman" w:hAnsi="Times New Roman" w:cs="Times New Roman"/>
          <w:color w:val="000000"/>
          <w:sz w:val="24"/>
          <w:szCs w:val="24"/>
        </w:rPr>
        <w:t>5.87</w:t>
      </w:r>
      <w:r>
        <w:rPr>
          <w:rFonts w:ascii="Times New Roman" w:eastAsia="Times New Roman" w:hAnsi="Times New Roman" w:cs="Times New Roman"/>
          <w:color w:val="000000"/>
          <w:sz w:val="24"/>
          <w:szCs w:val="24"/>
        </w:rPr>
        <w:t xml:space="preserve"> and in 2014 </w:t>
      </w:r>
      <w:r w:rsidR="00E91FDE">
        <w:rPr>
          <w:rFonts w:ascii="Times New Roman" w:eastAsia="Times New Roman" w:hAnsi="Times New Roman" w:cs="Times New Roman"/>
          <w:color w:val="000000"/>
          <w:sz w:val="24"/>
          <w:szCs w:val="24"/>
        </w:rPr>
        <w:t>6.43</w:t>
      </w:r>
      <w:r w:rsidRPr="004D1ECD">
        <w:rPr>
          <w:rFonts w:ascii="Times New Roman" w:eastAsia="Times New Roman" w:hAnsi="Times New Roman" w:cs="Times New Roman"/>
          <w:color w:val="000000"/>
          <w:sz w:val="24"/>
          <w:szCs w:val="24"/>
        </w:rPr>
        <w:t xml:space="preserve">This higher turnover ratio of raw material inventory over a period of time indicates </w:t>
      </w:r>
      <w:r w:rsidR="00E91FDE">
        <w:rPr>
          <w:rFonts w:ascii="Times New Roman" w:eastAsia="Times New Roman" w:hAnsi="Times New Roman" w:cs="Times New Roman"/>
          <w:color w:val="000000"/>
          <w:sz w:val="24"/>
          <w:szCs w:val="24"/>
        </w:rPr>
        <w:t xml:space="preserve">Square Pharmaceutical Ltd </w:t>
      </w:r>
      <w:r w:rsidRPr="004D1ECD">
        <w:rPr>
          <w:rFonts w:ascii="Times New Roman" w:eastAsia="Times New Roman" w:hAnsi="Times New Roman" w:cs="Times New Roman"/>
          <w:color w:val="000000"/>
          <w:sz w:val="24"/>
          <w:szCs w:val="24"/>
        </w:rPr>
        <w:t>Company</w:t>
      </w:r>
      <w:r>
        <w:rPr>
          <w:rFonts w:ascii="Times New Roman" w:eastAsia="Times New Roman" w:hAnsi="Times New Roman" w:cs="Times New Roman"/>
          <w:color w:val="000000"/>
          <w:sz w:val="24"/>
          <w:szCs w:val="24"/>
        </w:rPr>
        <w:t xml:space="preserve"> maintaining</w:t>
      </w:r>
      <w:r w:rsidRPr="004D1ECD">
        <w:rPr>
          <w:rFonts w:ascii="Times New Roman" w:eastAsia="Times New Roman" w:hAnsi="Times New Roman" w:cs="Times New Roman"/>
          <w:color w:val="000000"/>
          <w:sz w:val="24"/>
          <w:szCs w:val="24"/>
        </w:rPr>
        <w:t xml:space="preserve"> its utilization</w:t>
      </w:r>
      <w:r>
        <w:rPr>
          <w:rFonts w:ascii="Times New Roman" w:eastAsia="Times New Roman" w:hAnsi="Times New Roman" w:cs="Times New Roman"/>
          <w:color w:val="000000"/>
          <w:sz w:val="24"/>
          <w:szCs w:val="24"/>
        </w:rPr>
        <w:t>.</w:t>
      </w:r>
    </w:p>
    <w:p w:rsidR="0043614D" w:rsidRDefault="0043614D" w:rsidP="0043614D">
      <w:pPr>
        <w:rPr>
          <w:rFonts w:ascii="Times New Roman" w:eastAsia="Times New Roman" w:hAnsi="Times New Roman" w:cs="Times New Roman"/>
          <w:color w:val="000000"/>
          <w:sz w:val="24"/>
          <w:szCs w:val="24"/>
        </w:rPr>
      </w:pPr>
    </w:p>
    <w:p w:rsidR="0043614D" w:rsidRPr="00A15E21" w:rsidRDefault="0043614D" w:rsidP="00327EB2">
      <w:pPr>
        <w:pStyle w:val="NoSpacing"/>
      </w:pPr>
      <w:r w:rsidRPr="00A15E21">
        <w:t>Number of days holdings Raw materials</w:t>
      </w:r>
    </w:p>
    <w:tbl>
      <w:tblPr>
        <w:tblStyle w:val="TableGrid"/>
        <w:tblW w:w="0" w:type="auto"/>
        <w:tblLook w:val="04A0" w:firstRow="1" w:lastRow="0" w:firstColumn="1" w:lastColumn="0" w:noHBand="0" w:noVBand="1"/>
      </w:tblPr>
      <w:tblGrid>
        <w:gridCol w:w="3192"/>
        <w:gridCol w:w="3192"/>
        <w:gridCol w:w="3192"/>
      </w:tblGrid>
      <w:tr w:rsidR="0043614D" w:rsidTr="002A063A">
        <w:tc>
          <w:tcPr>
            <w:tcW w:w="3192" w:type="dxa"/>
          </w:tcPr>
          <w:p w:rsidR="0043614D" w:rsidRDefault="0043614D" w:rsidP="002A063A">
            <w:pPr>
              <w:jc w:val="center"/>
              <w:rPr>
                <w:rFonts w:ascii="Times New Roman" w:hAnsi="Times New Roman" w:cs="Times New Roman"/>
              </w:rPr>
            </w:pPr>
            <w:r>
              <w:rPr>
                <w:rFonts w:ascii="Times New Roman" w:hAnsi="Times New Roman" w:cs="Times New Roman"/>
                <w:noProof/>
              </w:rPr>
              <w:t>2016</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2015</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2014</w:t>
            </w:r>
          </w:p>
        </w:tc>
      </w:tr>
      <w:tr w:rsidR="0043614D" w:rsidTr="002A063A">
        <w:tc>
          <w:tcPr>
            <w:tcW w:w="3192" w:type="dxa"/>
            <w:vAlign w:val="bottom"/>
          </w:tcPr>
          <w:p w:rsidR="0043614D" w:rsidRDefault="004F24C3" w:rsidP="002A063A">
            <w:pPr>
              <w:jc w:val="center"/>
              <w:rPr>
                <w:rFonts w:ascii="Calibri" w:hAnsi="Calibri" w:cs="Calibri"/>
                <w:color w:val="000000"/>
              </w:rPr>
            </w:pPr>
            <w:r>
              <w:rPr>
                <w:rFonts w:ascii="Calibri" w:hAnsi="Calibri" w:cs="Calibri"/>
                <w:color w:val="000000"/>
              </w:rPr>
              <w:t>21.20</w:t>
            </w:r>
          </w:p>
        </w:tc>
        <w:tc>
          <w:tcPr>
            <w:tcW w:w="3192" w:type="dxa"/>
            <w:vAlign w:val="bottom"/>
          </w:tcPr>
          <w:p w:rsidR="0043614D" w:rsidRDefault="004F56AD" w:rsidP="002A063A">
            <w:pPr>
              <w:jc w:val="center"/>
              <w:rPr>
                <w:rFonts w:ascii="Calibri" w:hAnsi="Calibri" w:cs="Calibri"/>
                <w:color w:val="000000"/>
              </w:rPr>
            </w:pPr>
            <w:r>
              <w:rPr>
                <w:rFonts w:ascii="Calibri" w:hAnsi="Calibri" w:cs="Calibri"/>
                <w:color w:val="000000"/>
              </w:rPr>
              <w:t>62.14</w:t>
            </w:r>
          </w:p>
        </w:tc>
        <w:tc>
          <w:tcPr>
            <w:tcW w:w="3192" w:type="dxa"/>
          </w:tcPr>
          <w:p w:rsidR="0043614D" w:rsidRDefault="004F56AD" w:rsidP="002A063A">
            <w:pPr>
              <w:jc w:val="center"/>
              <w:rPr>
                <w:rFonts w:ascii="Calibri" w:hAnsi="Calibri" w:cs="Calibri"/>
                <w:color w:val="000000"/>
              </w:rPr>
            </w:pPr>
            <w:r>
              <w:rPr>
                <w:rFonts w:ascii="Calibri" w:hAnsi="Calibri" w:cs="Calibri"/>
                <w:color w:val="000000"/>
              </w:rPr>
              <w:t>56.74</w:t>
            </w:r>
          </w:p>
        </w:tc>
      </w:tr>
    </w:tbl>
    <w:p w:rsidR="0043614D" w:rsidRDefault="0043614D" w:rsidP="0043614D"/>
    <w:p w:rsidR="0043614D" w:rsidRDefault="0043614D" w:rsidP="0043614D">
      <w:pPr>
        <w:rPr>
          <w:rFonts w:ascii="Times New Roman" w:hAnsi="Times New Roman" w:cs="Times New Roman"/>
        </w:rPr>
      </w:pPr>
      <w:r w:rsidRPr="00BF0FF5">
        <w:rPr>
          <w:noProof/>
        </w:rPr>
        <w:drawing>
          <wp:inline distT="0" distB="0" distL="0" distR="0">
            <wp:extent cx="3133725" cy="2152650"/>
            <wp:effectExtent l="19050" t="0" r="9525" b="0"/>
            <wp:docPr id="6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43614D" w:rsidRDefault="00584A0D" w:rsidP="00584A0D">
      <w:pPr>
        <w:pStyle w:val="Heading2"/>
        <w:jc w:val="both"/>
        <w:rPr>
          <w:rFonts w:eastAsia="Times New Roman"/>
          <w:b/>
          <w:sz w:val="28"/>
          <w:szCs w:val="28"/>
          <w:shd w:val="clear" w:color="auto" w:fill="FFFFFF"/>
        </w:rPr>
      </w:pPr>
      <w:bookmarkStart w:id="42" w:name="_Toc18627825"/>
      <w:r>
        <w:rPr>
          <w:rFonts w:ascii="Times New Roman" w:eastAsia="Times New Roman" w:hAnsi="Times New Roman" w:cs="Times New Roman"/>
          <w:color w:val="000000"/>
          <w:sz w:val="24"/>
          <w:szCs w:val="24"/>
        </w:rPr>
        <w:t>Square Pharmaceutical</w:t>
      </w:r>
      <w:r w:rsidR="004F56AD">
        <w:rPr>
          <w:rFonts w:ascii="Times New Roman" w:eastAsia="Times New Roman" w:hAnsi="Times New Roman" w:cs="Times New Roman"/>
          <w:color w:val="000000"/>
          <w:sz w:val="24"/>
          <w:szCs w:val="24"/>
        </w:rPr>
        <w:t xml:space="preserve"> Ltd de</w:t>
      </w:r>
      <w:r w:rsidR="0043614D">
        <w:rPr>
          <w:rFonts w:ascii="Times New Roman" w:eastAsia="Times New Roman" w:hAnsi="Times New Roman" w:cs="Times New Roman"/>
          <w:color w:val="000000"/>
          <w:sz w:val="24"/>
          <w:szCs w:val="24"/>
        </w:rPr>
        <w:t>creasing their raw materials holding time throughout the years.</w:t>
      </w:r>
      <w:bookmarkEnd w:id="42"/>
    </w:p>
    <w:p w:rsidR="00327EB2" w:rsidRDefault="00327EB2" w:rsidP="00327EB2">
      <w:pPr>
        <w:pStyle w:val="NoSpacing"/>
        <w:rPr>
          <w:shd w:val="clear" w:color="auto" w:fill="FFFFFF"/>
        </w:rPr>
      </w:pPr>
    </w:p>
    <w:p w:rsidR="0043614D" w:rsidRPr="00A15E21" w:rsidRDefault="0043614D" w:rsidP="00327EB2">
      <w:pPr>
        <w:pStyle w:val="NoSpacing"/>
        <w:rPr>
          <w:shd w:val="clear" w:color="auto" w:fill="FFFFFF"/>
        </w:rPr>
      </w:pPr>
      <w:r w:rsidRPr="00A15E21">
        <w:rPr>
          <w:shd w:val="clear" w:color="auto" w:fill="FFFFFF"/>
        </w:rPr>
        <w:t>Work in process Inventory turnover</w:t>
      </w:r>
    </w:p>
    <w:tbl>
      <w:tblPr>
        <w:tblStyle w:val="TableGrid"/>
        <w:tblW w:w="0" w:type="auto"/>
        <w:tblLook w:val="04A0" w:firstRow="1" w:lastRow="0" w:firstColumn="1" w:lastColumn="0" w:noHBand="0" w:noVBand="1"/>
      </w:tblPr>
      <w:tblGrid>
        <w:gridCol w:w="3192"/>
        <w:gridCol w:w="3192"/>
        <w:gridCol w:w="3192"/>
      </w:tblGrid>
      <w:tr w:rsidR="0043614D" w:rsidTr="002A063A">
        <w:tc>
          <w:tcPr>
            <w:tcW w:w="3192" w:type="dxa"/>
          </w:tcPr>
          <w:p w:rsidR="0043614D" w:rsidRDefault="0043614D" w:rsidP="002A063A">
            <w:pPr>
              <w:jc w:val="center"/>
              <w:rPr>
                <w:rFonts w:ascii="Times New Roman" w:hAnsi="Times New Roman" w:cs="Times New Roman"/>
              </w:rPr>
            </w:pPr>
            <w:r>
              <w:rPr>
                <w:rFonts w:ascii="Times New Roman" w:hAnsi="Times New Roman" w:cs="Times New Roman"/>
                <w:noProof/>
              </w:rPr>
              <w:t>2016</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2015</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2014</w:t>
            </w:r>
          </w:p>
        </w:tc>
      </w:tr>
      <w:tr w:rsidR="0043614D" w:rsidTr="002A063A">
        <w:tc>
          <w:tcPr>
            <w:tcW w:w="3192" w:type="dxa"/>
            <w:vAlign w:val="bottom"/>
          </w:tcPr>
          <w:p w:rsidR="0043614D" w:rsidRDefault="0043614D" w:rsidP="002A063A">
            <w:pPr>
              <w:jc w:val="center"/>
              <w:rPr>
                <w:rFonts w:ascii="Calibri" w:hAnsi="Calibri" w:cs="Calibri"/>
                <w:color w:val="000000"/>
              </w:rPr>
            </w:pPr>
            <w:r>
              <w:rPr>
                <w:rFonts w:ascii="Calibri" w:hAnsi="Calibri" w:cs="Calibri"/>
                <w:color w:val="000000"/>
              </w:rPr>
              <w:t>75.49</w:t>
            </w:r>
          </w:p>
        </w:tc>
        <w:tc>
          <w:tcPr>
            <w:tcW w:w="3192" w:type="dxa"/>
            <w:vAlign w:val="bottom"/>
          </w:tcPr>
          <w:p w:rsidR="0043614D" w:rsidRDefault="003E6C3A" w:rsidP="002A063A">
            <w:pPr>
              <w:jc w:val="center"/>
              <w:rPr>
                <w:rFonts w:ascii="Calibri" w:hAnsi="Calibri" w:cs="Calibri"/>
                <w:color w:val="000000"/>
              </w:rPr>
            </w:pPr>
            <w:r>
              <w:rPr>
                <w:rFonts w:ascii="Calibri" w:hAnsi="Calibri" w:cs="Calibri"/>
                <w:color w:val="000000"/>
              </w:rPr>
              <w:t>2.7</w:t>
            </w:r>
          </w:p>
        </w:tc>
        <w:tc>
          <w:tcPr>
            <w:tcW w:w="3192" w:type="dxa"/>
            <w:vAlign w:val="bottom"/>
          </w:tcPr>
          <w:p w:rsidR="0043614D" w:rsidRDefault="003E6C3A" w:rsidP="002A063A">
            <w:pPr>
              <w:jc w:val="center"/>
              <w:rPr>
                <w:rFonts w:ascii="Calibri" w:hAnsi="Calibri" w:cs="Calibri"/>
                <w:color w:val="000000"/>
              </w:rPr>
            </w:pPr>
            <w:r>
              <w:rPr>
                <w:rFonts w:ascii="Calibri" w:hAnsi="Calibri" w:cs="Calibri"/>
                <w:color w:val="000000"/>
              </w:rPr>
              <w:t>6.21</w:t>
            </w:r>
          </w:p>
        </w:tc>
      </w:tr>
    </w:tbl>
    <w:p w:rsidR="0043614D" w:rsidRDefault="0043614D" w:rsidP="0043614D">
      <w:pPr>
        <w:rPr>
          <w:b/>
        </w:rPr>
      </w:pPr>
    </w:p>
    <w:p w:rsidR="0094117D" w:rsidRDefault="0094117D" w:rsidP="0043614D">
      <w:pPr>
        <w:rPr>
          <w:b/>
        </w:rPr>
      </w:pPr>
      <w:r w:rsidRPr="0094117D">
        <w:rPr>
          <w:b/>
          <w:noProof/>
        </w:rPr>
        <w:drawing>
          <wp:inline distT="0" distB="0" distL="0" distR="0">
            <wp:extent cx="3133725" cy="2152650"/>
            <wp:effectExtent l="19050" t="0" r="9525" b="0"/>
            <wp:docPr id="9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43614D" w:rsidRDefault="0043614D" w:rsidP="0043614D">
      <w:pPr>
        <w:rPr>
          <w:b/>
        </w:rPr>
      </w:pPr>
    </w:p>
    <w:p w:rsidR="0043614D" w:rsidRDefault="0043614D" w:rsidP="0043614D">
      <w:pPr>
        <w:rPr>
          <w:b/>
        </w:rPr>
      </w:pPr>
    </w:p>
    <w:p w:rsidR="0043614D" w:rsidRDefault="00E609CA" w:rsidP="0043614D">
      <w:p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Working process inventory turnover ratio higher means accumulation of inventory is lower and few active with working capital. In opposite this ratio gone high indicates management has lags in controlling or external factors delay their production movements. We will compare the ratios with acceptable standards.</w:t>
      </w:r>
    </w:p>
    <w:p w:rsidR="00E609CA" w:rsidRPr="004D1ECD" w:rsidRDefault="00E609CA" w:rsidP="0043614D">
      <w:pPr>
        <w:autoSpaceDE w:val="0"/>
        <w:autoSpaceDN w:val="0"/>
        <w:adjustRightInd w:val="0"/>
        <w:spacing w:after="0" w:line="276" w:lineRule="auto"/>
        <w:jc w:val="both"/>
        <w:rPr>
          <w:rFonts w:ascii="Times New Roman" w:eastAsia="Times New Roman" w:hAnsi="Times New Roman" w:cs="Times New Roman"/>
          <w:sz w:val="24"/>
          <w:szCs w:val="24"/>
        </w:rPr>
      </w:pPr>
    </w:p>
    <w:p w:rsidR="0043614D" w:rsidRDefault="0043614D" w:rsidP="0043614D">
      <w:pPr>
        <w:autoSpaceDE w:val="0"/>
        <w:autoSpaceDN w:val="0"/>
        <w:adjustRightInd w:val="0"/>
        <w:spacing w:after="0" w:line="276" w:lineRule="auto"/>
        <w:jc w:val="both"/>
        <w:rPr>
          <w:rFonts w:ascii="Times New Roman" w:eastAsia="Times New Roman" w:hAnsi="Times New Roman" w:cs="Times New Roman"/>
          <w:sz w:val="24"/>
          <w:szCs w:val="24"/>
        </w:rPr>
      </w:pPr>
      <w:r w:rsidRPr="004D1ECD">
        <w:rPr>
          <w:rFonts w:ascii="Times New Roman" w:eastAsia="Times New Roman" w:hAnsi="Times New Roman" w:cs="Times New Roman"/>
          <w:sz w:val="24"/>
          <w:szCs w:val="24"/>
        </w:rPr>
        <w:lastRenderedPageBreak/>
        <w:t>Here, Work-in-proc</w:t>
      </w:r>
      <w:r>
        <w:rPr>
          <w:rFonts w:ascii="Times New Roman" w:eastAsia="Times New Roman" w:hAnsi="Times New Roman" w:cs="Times New Roman"/>
          <w:sz w:val="24"/>
          <w:szCs w:val="24"/>
        </w:rPr>
        <w:t>ess inventory turnover are 75.49</w:t>
      </w:r>
      <w:r w:rsidRPr="004D1ECD">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imes in 2016 &amp;</w:t>
      </w:r>
      <w:r w:rsidR="003E6C3A">
        <w:rPr>
          <w:rFonts w:ascii="Times New Roman" w:eastAsia="Times New Roman" w:hAnsi="Times New Roman" w:cs="Times New Roman"/>
          <w:sz w:val="24"/>
          <w:szCs w:val="24"/>
        </w:rPr>
        <w:t>2.7</w:t>
      </w:r>
      <w:r>
        <w:rPr>
          <w:rFonts w:ascii="Times New Roman" w:eastAsia="Times New Roman" w:hAnsi="Times New Roman" w:cs="Times New Roman"/>
          <w:sz w:val="24"/>
          <w:szCs w:val="24"/>
        </w:rPr>
        <w:t xml:space="preserve"> times in 2015and in 2014 it was </w:t>
      </w:r>
      <w:r w:rsidR="003E6C3A">
        <w:rPr>
          <w:rFonts w:ascii="Times New Roman" w:eastAsia="Times New Roman" w:hAnsi="Times New Roman" w:cs="Times New Roman"/>
          <w:sz w:val="24"/>
          <w:szCs w:val="24"/>
        </w:rPr>
        <w:t>6.21</w:t>
      </w:r>
      <w:r>
        <w:rPr>
          <w:rFonts w:ascii="Times New Roman" w:eastAsia="Times New Roman" w:hAnsi="Times New Roman" w:cs="Times New Roman"/>
          <w:sz w:val="24"/>
          <w:szCs w:val="24"/>
        </w:rPr>
        <w:t>. So, the company worked efficiently in 2016.</w:t>
      </w:r>
    </w:p>
    <w:p w:rsidR="0043614D" w:rsidRDefault="0043614D" w:rsidP="0043614D">
      <w:pPr>
        <w:autoSpaceDE w:val="0"/>
        <w:autoSpaceDN w:val="0"/>
        <w:adjustRightInd w:val="0"/>
        <w:spacing w:after="0" w:line="276" w:lineRule="auto"/>
        <w:jc w:val="both"/>
        <w:rPr>
          <w:rFonts w:ascii="Times New Roman" w:eastAsia="Times New Roman" w:hAnsi="Times New Roman" w:cs="Times New Roman"/>
          <w:sz w:val="24"/>
          <w:szCs w:val="24"/>
        </w:rPr>
      </w:pPr>
    </w:p>
    <w:p w:rsidR="0043614D" w:rsidRDefault="0043614D" w:rsidP="0043614D">
      <w:pPr>
        <w:spacing w:after="200" w:line="276" w:lineRule="auto"/>
        <w:jc w:val="both"/>
        <w:rPr>
          <w:rFonts w:ascii="Times New Roman" w:eastAsia="Times New Roman" w:hAnsi="Times New Roman" w:cs="Times New Roman"/>
          <w:bCs/>
          <w:color w:val="000000"/>
          <w:sz w:val="24"/>
          <w:szCs w:val="24"/>
          <w:shd w:val="clear" w:color="auto" w:fill="FFFFFF"/>
        </w:rPr>
      </w:pPr>
    </w:p>
    <w:p w:rsidR="0043614D" w:rsidRPr="00495E1E" w:rsidRDefault="0043614D" w:rsidP="0043614D">
      <w:pPr>
        <w:spacing w:after="200" w:line="276" w:lineRule="auto"/>
        <w:jc w:val="both"/>
        <w:rPr>
          <w:rFonts w:ascii="Times New Roman" w:eastAsia="Times New Roman" w:hAnsi="Times New Roman" w:cs="Times New Roman"/>
          <w:bCs/>
          <w:color w:val="000000"/>
          <w:sz w:val="24"/>
          <w:szCs w:val="24"/>
          <w:shd w:val="clear" w:color="auto" w:fill="FFFFFF"/>
        </w:rPr>
      </w:pPr>
    </w:p>
    <w:p w:rsidR="0043614D" w:rsidRPr="00A15E21" w:rsidRDefault="0043614D" w:rsidP="00327EB2">
      <w:pPr>
        <w:pStyle w:val="NoSpacing"/>
      </w:pPr>
      <w:r w:rsidRPr="00A15E21">
        <w:t>Finished Goods Inventory turnover</w:t>
      </w:r>
    </w:p>
    <w:p w:rsidR="0043614D" w:rsidRDefault="0043614D" w:rsidP="0043614D"/>
    <w:tbl>
      <w:tblPr>
        <w:tblStyle w:val="TableGrid"/>
        <w:tblW w:w="0" w:type="auto"/>
        <w:tblLook w:val="04A0" w:firstRow="1" w:lastRow="0" w:firstColumn="1" w:lastColumn="0" w:noHBand="0" w:noVBand="1"/>
      </w:tblPr>
      <w:tblGrid>
        <w:gridCol w:w="3192"/>
        <w:gridCol w:w="3192"/>
        <w:gridCol w:w="3192"/>
      </w:tblGrid>
      <w:tr w:rsidR="0043614D" w:rsidTr="002A063A">
        <w:tc>
          <w:tcPr>
            <w:tcW w:w="3192" w:type="dxa"/>
          </w:tcPr>
          <w:p w:rsidR="0043614D" w:rsidRDefault="0043614D" w:rsidP="002A063A">
            <w:pPr>
              <w:jc w:val="center"/>
              <w:rPr>
                <w:rFonts w:ascii="Times New Roman" w:hAnsi="Times New Roman" w:cs="Times New Roman"/>
              </w:rPr>
            </w:pPr>
            <w:r>
              <w:rPr>
                <w:rFonts w:ascii="Times New Roman" w:hAnsi="Times New Roman" w:cs="Times New Roman"/>
                <w:noProof/>
              </w:rPr>
              <w:t>2016</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2015</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2014</w:t>
            </w:r>
          </w:p>
        </w:tc>
      </w:tr>
      <w:tr w:rsidR="0043614D" w:rsidTr="002A063A">
        <w:tc>
          <w:tcPr>
            <w:tcW w:w="3192" w:type="dxa"/>
            <w:vAlign w:val="bottom"/>
          </w:tcPr>
          <w:p w:rsidR="0043614D" w:rsidRDefault="005448DB" w:rsidP="002A063A">
            <w:pPr>
              <w:jc w:val="center"/>
              <w:rPr>
                <w:rFonts w:ascii="Calibri" w:hAnsi="Calibri" w:cs="Calibri"/>
                <w:color w:val="000000"/>
              </w:rPr>
            </w:pPr>
            <w:r>
              <w:rPr>
                <w:rFonts w:ascii="Calibri" w:hAnsi="Calibri" w:cs="Calibri"/>
                <w:color w:val="000000"/>
              </w:rPr>
              <w:t>18.07</w:t>
            </w:r>
          </w:p>
        </w:tc>
        <w:tc>
          <w:tcPr>
            <w:tcW w:w="3192" w:type="dxa"/>
            <w:vAlign w:val="bottom"/>
          </w:tcPr>
          <w:p w:rsidR="0043614D" w:rsidRDefault="005448DB" w:rsidP="002A063A">
            <w:pPr>
              <w:jc w:val="center"/>
              <w:rPr>
                <w:rFonts w:ascii="Calibri" w:hAnsi="Calibri" w:cs="Calibri"/>
                <w:color w:val="000000"/>
              </w:rPr>
            </w:pPr>
            <w:r>
              <w:rPr>
                <w:rFonts w:ascii="Calibri" w:hAnsi="Calibri" w:cs="Calibri"/>
                <w:color w:val="000000"/>
              </w:rPr>
              <w:t>0.56</w:t>
            </w:r>
          </w:p>
        </w:tc>
        <w:tc>
          <w:tcPr>
            <w:tcW w:w="3192" w:type="dxa"/>
            <w:vAlign w:val="bottom"/>
          </w:tcPr>
          <w:p w:rsidR="0043614D" w:rsidRDefault="005448DB" w:rsidP="002A063A">
            <w:pPr>
              <w:jc w:val="center"/>
              <w:rPr>
                <w:rFonts w:ascii="Calibri" w:hAnsi="Calibri" w:cs="Calibri"/>
                <w:color w:val="000000"/>
              </w:rPr>
            </w:pPr>
            <w:r>
              <w:rPr>
                <w:rFonts w:ascii="Calibri" w:hAnsi="Calibri" w:cs="Calibri"/>
                <w:color w:val="000000"/>
              </w:rPr>
              <w:t>1.53</w:t>
            </w:r>
          </w:p>
        </w:tc>
      </w:tr>
    </w:tbl>
    <w:p w:rsidR="0043614D" w:rsidRDefault="0043614D" w:rsidP="0043614D">
      <w:pPr>
        <w:rPr>
          <w:b/>
        </w:rPr>
      </w:pPr>
    </w:p>
    <w:p w:rsidR="0043614D" w:rsidRDefault="0043614D" w:rsidP="0043614D">
      <w:pPr>
        <w:rPr>
          <w:b/>
        </w:rPr>
      </w:pPr>
      <w:r w:rsidRPr="00F61E25">
        <w:rPr>
          <w:b/>
          <w:noProof/>
        </w:rPr>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2609850" cy="1647825"/>
            <wp:effectExtent l="19050" t="0" r="19050" b="0"/>
            <wp:wrapSquare wrapText="bothSides"/>
            <wp:docPr id="6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anchor>
        </w:drawing>
      </w:r>
      <w:r w:rsidR="0094117D">
        <w:rPr>
          <w:b/>
        </w:rPr>
        <w:br w:type="textWrapping" w:clear="all"/>
      </w:r>
    </w:p>
    <w:p w:rsidR="0043614D" w:rsidRDefault="00E609CA" w:rsidP="0043614D">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43614D" w:rsidRPr="004D1ECD">
        <w:rPr>
          <w:rFonts w:ascii="Times New Roman" w:eastAsia="Times New Roman" w:hAnsi="Times New Roman" w:cs="Times New Roman"/>
          <w:sz w:val="24"/>
          <w:szCs w:val="24"/>
        </w:rPr>
        <w:t xml:space="preserve">inished goods inventory turnover ratio that is: </w:t>
      </w:r>
      <w:r w:rsidR="005448DB">
        <w:rPr>
          <w:rFonts w:ascii="Times New Roman" w:eastAsia="Times New Roman" w:hAnsi="Times New Roman" w:cs="Times New Roman"/>
          <w:sz w:val="24"/>
          <w:szCs w:val="24"/>
        </w:rPr>
        <w:t>18.07</w:t>
      </w:r>
      <w:r w:rsidR="0043614D" w:rsidRPr="004D1ECD">
        <w:rPr>
          <w:rFonts w:ascii="Times New Roman" w:eastAsia="Times New Roman" w:hAnsi="Times New Roman" w:cs="Times New Roman"/>
          <w:sz w:val="24"/>
          <w:szCs w:val="24"/>
        </w:rPr>
        <w:t>times in 201</w:t>
      </w:r>
      <w:r w:rsidR="0043614D">
        <w:rPr>
          <w:rFonts w:ascii="Times New Roman" w:eastAsia="Times New Roman" w:hAnsi="Times New Roman" w:cs="Times New Roman"/>
          <w:sz w:val="24"/>
          <w:szCs w:val="24"/>
        </w:rPr>
        <w:t xml:space="preserve">6 </w:t>
      </w:r>
      <w:r w:rsidR="0043614D" w:rsidRPr="004D1ECD">
        <w:rPr>
          <w:rFonts w:ascii="Times New Roman" w:eastAsia="Times New Roman" w:hAnsi="Times New Roman" w:cs="Times New Roman"/>
          <w:sz w:val="24"/>
          <w:szCs w:val="24"/>
        </w:rPr>
        <w:t>&amp;</w:t>
      </w:r>
      <w:r w:rsidR="005448DB">
        <w:rPr>
          <w:rFonts w:ascii="Times New Roman" w:eastAsia="Times New Roman" w:hAnsi="Times New Roman" w:cs="Times New Roman"/>
          <w:sz w:val="24"/>
          <w:szCs w:val="24"/>
        </w:rPr>
        <w:t>0.56</w:t>
      </w:r>
      <w:r w:rsidR="0043614D" w:rsidRPr="004D1ECD">
        <w:rPr>
          <w:rFonts w:ascii="Times New Roman" w:eastAsia="Times New Roman" w:hAnsi="Times New Roman" w:cs="Times New Roman"/>
          <w:sz w:val="24"/>
          <w:szCs w:val="24"/>
        </w:rPr>
        <w:t xml:space="preserve"> times in 201</w:t>
      </w:r>
      <w:r w:rsidR="0043614D">
        <w:rPr>
          <w:rFonts w:ascii="Times New Roman" w:eastAsia="Times New Roman" w:hAnsi="Times New Roman" w:cs="Times New Roman"/>
          <w:sz w:val="24"/>
          <w:szCs w:val="24"/>
        </w:rPr>
        <w:t xml:space="preserve">5 and </w:t>
      </w:r>
      <w:r w:rsidR="005448DB">
        <w:rPr>
          <w:rFonts w:ascii="Times New Roman" w:eastAsia="Times New Roman" w:hAnsi="Times New Roman" w:cs="Times New Roman"/>
          <w:sz w:val="24"/>
          <w:szCs w:val="24"/>
        </w:rPr>
        <w:t>1.53</w:t>
      </w:r>
      <w:r w:rsidR="0043614D">
        <w:rPr>
          <w:rFonts w:ascii="Times New Roman" w:eastAsia="Times New Roman" w:hAnsi="Times New Roman" w:cs="Times New Roman"/>
          <w:sz w:val="24"/>
          <w:szCs w:val="24"/>
        </w:rPr>
        <w:t xml:space="preserve"> in 2014</w:t>
      </w:r>
      <w:r w:rsidR="005448DB">
        <w:rPr>
          <w:rFonts w:ascii="Times New Roman" w:eastAsia="Times New Roman" w:hAnsi="Times New Roman" w:cs="Times New Roman"/>
          <w:sz w:val="24"/>
          <w:szCs w:val="24"/>
        </w:rPr>
        <w:t>.So</w:t>
      </w:r>
      <w:r w:rsidR="0043614D" w:rsidRPr="004D1ECD">
        <w:rPr>
          <w:rFonts w:ascii="Times New Roman" w:eastAsia="Times New Roman" w:hAnsi="Times New Roman" w:cs="Times New Roman"/>
          <w:sz w:val="24"/>
          <w:szCs w:val="24"/>
        </w:rPr>
        <w:t>that is</w:t>
      </w:r>
      <w:r w:rsidR="00870082">
        <w:rPr>
          <w:rFonts w:ascii="Times New Roman" w:eastAsia="Times New Roman" w:hAnsi="Times New Roman" w:cs="Times New Roman"/>
          <w:sz w:val="24"/>
          <w:szCs w:val="24"/>
        </w:rPr>
        <w:t xml:space="preserve"> </w:t>
      </w:r>
      <w:r w:rsidR="005448DB">
        <w:rPr>
          <w:rFonts w:ascii="Times New Roman" w:eastAsia="Times New Roman" w:hAnsi="Times New Roman" w:cs="Times New Roman"/>
          <w:sz w:val="24"/>
          <w:szCs w:val="24"/>
        </w:rPr>
        <w:t>good for the company for the year of 2016.</w:t>
      </w:r>
    </w:p>
    <w:p w:rsidR="0043614D" w:rsidRDefault="0043614D" w:rsidP="0043614D">
      <w:pPr>
        <w:spacing w:after="200" w:line="276" w:lineRule="auto"/>
        <w:jc w:val="both"/>
        <w:rPr>
          <w:rFonts w:ascii="Times New Roman" w:eastAsia="Times New Roman" w:hAnsi="Times New Roman" w:cs="Times New Roman"/>
          <w:sz w:val="24"/>
          <w:szCs w:val="24"/>
        </w:rPr>
      </w:pPr>
    </w:p>
    <w:p w:rsidR="0043614D" w:rsidRPr="00A15E21" w:rsidRDefault="0043614D" w:rsidP="00327EB2">
      <w:pPr>
        <w:pStyle w:val="NoSpacing"/>
      </w:pPr>
      <w:r w:rsidRPr="00A15E21">
        <w:t xml:space="preserve">Finished Goods Storage Period </w:t>
      </w:r>
    </w:p>
    <w:p w:rsidR="0043614D" w:rsidRDefault="0043614D" w:rsidP="0043614D"/>
    <w:tbl>
      <w:tblPr>
        <w:tblStyle w:val="TableGrid"/>
        <w:tblW w:w="0" w:type="auto"/>
        <w:tblLook w:val="04A0" w:firstRow="1" w:lastRow="0" w:firstColumn="1" w:lastColumn="0" w:noHBand="0" w:noVBand="1"/>
      </w:tblPr>
      <w:tblGrid>
        <w:gridCol w:w="3192"/>
        <w:gridCol w:w="3192"/>
        <w:gridCol w:w="3192"/>
      </w:tblGrid>
      <w:tr w:rsidR="0043614D" w:rsidTr="002A063A">
        <w:tc>
          <w:tcPr>
            <w:tcW w:w="3192" w:type="dxa"/>
          </w:tcPr>
          <w:p w:rsidR="0043614D" w:rsidRDefault="0043614D" w:rsidP="002A063A">
            <w:pPr>
              <w:jc w:val="center"/>
              <w:rPr>
                <w:rFonts w:ascii="Times New Roman" w:hAnsi="Times New Roman" w:cs="Times New Roman"/>
              </w:rPr>
            </w:pPr>
            <w:r>
              <w:rPr>
                <w:rFonts w:ascii="Times New Roman" w:hAnsi="Times New Roman" w:cs="Times New Roman"/>
                <w:noProof/>
              </w:rPr>
              <w:t>2016</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2015</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2014</w:t>
            </w:r>
          </w:p>
        </w:tc>
      </w:tr>
      <w:tr w:rsidR="0043614D" w:rsidTr="002A063A">
        <w:tc>
          <w:tcPr>
            <w:tcW w:w="3192" w:type="dxa"/>
            <w:vAlign w:val="bottom"/>
          </w:tcPr>
          <w:p w:rsidR="0043614D" w:rsidRDefault="005448DB" w:rsidP="002A063A">
            <w:pPr>
              <w:jc w:val="center"/>
              <w:rPr>
                <w:rFonts w:ascii="Calibri" w:hAnsi="Calibri" w:cs="Calibri"/>
                <w:color w:val="000000"/>
              </w:rPr>
            </w:pPr>
            <w:r>
              <w:rPr>
                <w:rFonts w:ascii="Calibri" w:hAnsi="Calibri" w:cs="Calibri"/>
                <w:color w:val="000000"/>
              </w:rPr>
              <w:t>20.2</w:t>
            </w:r>
          </w:p>
        </w:tc>
        <w:tc>
          <w:tcPr>
            <w:tcW w:w="3192" w:type="dxa"/>
            <w:vAlign w:val="bottom"/>
          </w:tcPr>
          <w:p w:rsidR="0043614D" w:rsidRDefault="005448DB" w:rsidP="002A063A">
            <w:pPr>
              <w:jc w:val="center"/>
              <w:rPr>
                <w:rFonts w:ascii="Calibri" w:hAnsi="Calibri" w:cs="Calibri"/>
                <w:color w:val="000000"/>
              </w:rPr>
            </w:pPr>
            <w:r>
              <w:rPr>
                <w:rFonts w:ascii="Calibri" w:hAnsi="Calibri" w:cs="Calibri"/>
                <w:color w:val="000000"/>
              </w:rPr>
              <w:t>646.87</w:t>
            </w:r>
          </w:p>
        </w:tc>
        <w:tc>
          <w:tcPr>
            <w:tcW w:w="3192" w:type="dxa"/>
            <w:vAlign w:val="bottom"/>
          </w:tcPr>
          <w:p w:rsidR="005448DB" w:rsidRDefault="005448DB" w:rsidP="005448DB">
            <w:pPr>
              <w:jc w:val="center"/>
              <w:rPr>
                <w:rFonts w:ascii="Calibri" w:hAnsi="Calibri" w:cs="Calibri"/>
                <w:color w:val="000000"/>
              </w:rPr>
            </w:pPr>
            <w:r>
              <w:rPr>
                <w:rFonts w:ascii="Calibri" w:hAnsi="Calibri" w:cs="Calibri"/>
                <w:color w:val="000000"/>
              </w:rPr>
              <w:t>239.28</w:t>
            </w:r>
          </w:p>
        </w:tc>
      </w:tr>
    </w:tbl>
    <w:p w:rsidR="0043614D" w:rsidRDefault="0043614D" w:rsidP="0043614D">
      <w:pPr>
        <w:spacing w:after="200" w:line="276" w:lineRule="auto"/>
        <w:jc w:val="both"/>
      </w:pPr>
    </w:p>
    <w:p w:rsidR="0043614D" w:rsidRPr="004D1ECD" w:rsidRDefault="0043614D" w:rsidP="0043614D">
      <w:pPr>
        <w:spacing w:after="200" w:line="276" w:lineRule="auto"/>
        <w:jc w:val="both"/>
        <w:rPr>
          <w:rFonts w:ascii="Times New Roman" w:eastAsia="Times New Roman" w:hAnsi="Times New Roman" w:cs="Times New Roman"/>
          <w:sz w:val="24"/>
          <w:szCs w:val="24"/>
        </w:rPr>
      </w:pPr>
      <w:r w:rsidRPr="00612BB7">
        <w:rPr>
          <w:rFonts w:ascii="Times New Roman" w:eastAsia="Times New Roman" w:hAnsi="Times New Roman" w:cs="Times New Roman"/>
          <w:noProof/>
          <w:sz w:val="24"/>
          <w:szCs w:val="24"/>
        </w:rPr>
        <w:lastRenderedPageBreak/>
        <w:drawing>
          <wp:inline distT="0" distB="0" distL="0" distR="0">
            <wp:extent cx="2609850" cy="1647825"/>
            <wp:effectExtent l="19050" t="0" r="19050" b="0"/>
            <wp:docPr id="6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43614D" w:rsidRDefault="00000CE9" w:rsidP="0043614D">
      <w:p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Usually Shorter finished good storage period is considered as a good but too low period is risky for company. So</w:t>
      </w:r>
      <w:r w:rsidR="0043614D">
        <w:rPr>
          <w:rFonts w:ascii="Times New Roman" w:eastAsia="Times New Roman" w:hAnsi="Times New Roman" w:cs="Times New Roman"/>
          <w:sz w:val="24"/>
          <w:szCs w:val="24"/>
        </w:rPr>
        <w:t xml:space="preserve"> we can conclude the company worked well </w:t>
      </w:r>
      <w:r w:rsidR="005448DB">
        <w:rPr>
          <w:rFonts w:ascii="Times New Roman" w:eastAsia="Times New Roman" w:hAnsi="Times New Roman" w:cs="Times New Roman"/>
          <w:sz w:val="24"/>
          <w:szCs w:val="24"/>
        </w:rPr>
        <w:t>in 2016.</w:t>
      </w:r>
    </w:p>
    <w:p w:rsidR="0043614D" w:rsidRDefault="0043614D" w:rsidP="0043614D">
      <w:pPr>
        <w:autoSpaceDE w:val="0"/>
        <w:autoSpaceDN w:val="0"/>
        <w:adjustRightInd w:val="0"/>
        <w:spacing w:after="0" w:line="276" w:lineRule="auto"/>
        <w:jc w:val="both"/>
        <w:rPr>
          <w:rFonts w:ascii="Times New Roman" w:eastAsia="Times New Roman" w:hAnsi="Times New Roman" w:cs="Times New Roman"/>
          <w:sz w:val="24"/>
          <w:szCs w:val="24"/>
        </w:rPr>
      </w:pPr>
    </w:p>
    <w:p w:rsidR="0043614D" w:rsidRPr="00A15E21" w:rsidRDefault="0043614D" w:rsidP="00327EB2">
      <w:pPr>
        <w:pStyle w:val="NoSpacing"/>
      </w:pPr>
      <w:r w:rsidRPr="00A15E21">
        <w:t>Receivable Turnover</w:t>
      </w:r>
    </w:p>
    <w:p w:rsidR="0043614D" w:rsidRPr="00612BB7" w:rsidRDefault="0043614D" w:rsidP="0043614D"/>
    <w:tbl>
      <w:tblPr>
        <w:tblStyle w:val="TableGrid"/>
        <w:tblW w:w="0" w:type="auto"/>
        <w:tblLook w:val="04A0" w:firstRow="1" w:lastRow="0" w:firstColumn="1" w:lastColumn="0" w:noHBand="0" w:noVBand="1"/>
      </w:tblPr>
      <w:tblGrid>
        <w:gridCol w:w="3192"/>
        <w:gridCol w:w="3192"/>
        <w:gridCol w:w="3192"/>
      </w:tblGrid>
      <w:tr w:rsidR="0043614D" w:rsidTr="002A063A">
        <w:tc>
          <w:tcPr>
            <w:tcW w:w="3192" w:type="dxa"/>
          </w:tcPr>
          <w:p w:rsidR="0043614D" w:rsidRDefault="0043614D" w:rsidP="002A063A">
            <w:pPr>
              <w:jc w:val="center"/>
              <w:rPr>
                <w:rFonts w:ascii="Times New Roman" w:hAnsi="Times New Roman" w:cs="Times New Roman"/>
              </w:rPr>
            </w:pPr>
            <w:r>
              <w:rPr>
                <w:rFonts w:ascii="Times New Roman" w:hAnsi="Times New Roman" w:cs="Times New Roman"/>
                <w:noProof/>
              </w:rPr>
              <w:t>2016</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2015</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2014</w:t>
            </w:r>
          </w:p>
        </w:tc>
      </w:tr>
      <w:tr w:rsidR="0043614D" w:rsidTr="002A063A">
        <w:tc>
          <w:tcPr>
            <w:tcW w:w="3192" w:type="dxa"/>
            <w:vAlign w:val="bottom"/>
          </w:tcPr>
          <w:p w:rsidR="0043614D" w:rsidRDefault="005448DB" w:rsidP="002A063A">
            <w:pPr>
              <w:jc w:val="center"/>
              <w:rPr>
                <w:rFonts w:ascii="Calibri" w:hAnsi="Calibri" w:cs="Calibri"/>
                <w:color w:val="000000"/>
              </w:rPr>
            </w:pPr>
            <w:r>
              <w:rPr>
                <w:rFonts w:ascii="Calibri" w:hAnsi="Calibri" w:cs="Calibri"/>
                <w:color w:val="000000"/>
              </w:rPr>
              <w:t>25.27</w:t>
            </w:r>
          </w:p>
        </w:tc>
        <w:tc>
          <w:tcPr>
            <w:tcW w:w="3192" w:type="dxa"/>
            <w:vAlign w:val="bottom"/>
          </w:tcPr>
          <w:p w:rsidR="0043614D" w:rsidRDefault="005448DB" w:rsidP="002A063A">
            <w:pPr>
              <w:jc w:val="center"/>
              <w:rPr>
                <w:rFonts w:ascii="Calibri" w:hAnsi="Calibri" w:cs="Calibri"/>
                <w:color w:val="000000"/>
              </w:rPr>
            </w:pPr>
            <w:r>
              <w:rPr>
                <w:rFonts w:ascii="Calibri" w:hAnsi="Calibri" w:cs="Calibri"/>
                <w:color w:val="000000"/>
              </w:rPr>
              <w:t>9.23</w:t>
            </w:r>
          </w:p>
        </w:tc>
        <w:tc>
          <w:tcPr>
            <w:tcW w:w="3192" w:type="dxa"/>
          </w:tcPr>
          <w:p w:rsidR="0043614D" w:rsidRDefault="005448DB" w:rsidP="002A063A">
            <w:pPr>
              <w:jc w:val="center"/>
              <w:rPr>
                <w:rFonts w:ascii="Calibri" w:hAnsi="Calibri" w:cs="Calibri"/>
                <w:color w:val="000000"/>
              </w:rPr>
            </w:pPr>
            <w:r>
              <w:rPr>
                <w:rFonts w:ascii="Calibri" w:hAnsi="Calibri" w:cs="Calibri"/>
                <w:color w:val="000000"/>
              </w:rPr>
              <w:t>52.26</w:t>
            </w:r>
          </w:p>
        </w:tc>
      </w:tr>
    </w:tbl>
    <w:p w:rsidR="0043614D" w:rsidRDefault="0043614D" w:rsidP="0043614D">
      <w:pPr>
        <w:rPr>
          <w:b/>
        </w:rPr>
      </w:pPr>
    </w:p>
    <w:p w:rsidR="0043614D" w:rsidRDefault="0043614D" w:rsidP="0043614D">
      <w:pPr>
        <w:rPr>
          <w:b/>
        </w:rPr>
      </w:pPr>
      <w:r w:rsidRPr="006E7FA4">
        <w:rPr>
          <w:b/>
          <w:noProof/>
        </w:rPr>
        <w:drawing>
          <wp:inline distT="0" distB="0" distL="0" distR="0">
            <wp:extent cx="2609850" cy="1647825"/>
            <wp:effectExtent l="19050" t="0" r="19050" b="0"/>
            <wp:docPr id="6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43614D" w:rsidRDefault="00000CE9" w:rsidP="00000CE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Receivable ratio lower means the firm relies on credit sales. If firm has no receivables then firm may face solvency problem. Receivable turnover ratios are</w:t>
      </w:r>
      <w:r w:rsidR="0043614D">
        <w:rPr>
          <w:rFonts w:ascii="Times New Roman" w:eastAsia="Times New Roman" w:hAnsi="Times New Roman" w:cs="Times New Roman"/>
          <w:sz w:val="24"/>
          <w:szCs w:val="24"/>
        </w:rPr>
        <w:t xml:space="preserve"> </w:t>
      </w:r>
      <w:r w:rsidR="005448DB">
        <w:rPr>
          <w:rFonts w:ascii="Times New Roman" w:eastAsia="Times New Roman" w:hAnsi="Times New Roman" w:cs="Times New Roman"/>
          <w:sz w:val="24"/>
          <w:szCs w:val="24"/>
        </w:rPr>
        <w:t>25.27</w:t>
      </w:r>
      <w:r w:rsidR="0043614D">
        <w:rPr>
          <w:rFonts w:ascii="Times New Roman" w:eastAsia="Times New Roman" w:hAnsi="Times New Roman" w:cs="Times New Roman"/>
          <w:sz w:val="24"/>
          <w:szCs w:val="24"/>
        </w:rPr>
        <w:t xml:space="preserve"> times in 2016 and </w:t>
      </w:r>
      <w:r w:rsidR="005448DB">
        <w:rPr>
          <w:rFonts w:ascii="Times New Roman" w:eastAsia="Times New Roman" w:hAnsi="Times New Roman" w:cs="Times New Roman"/>
          <w:sz w:val="24"/>
          <w:szCs w:val="24"/>
        </w:rPr>
        <w:t>9.23</w:t>
      </w:r>
      <w:r w:rsidR="0043614D">
        <w:rPr>
          <w:rFonts w:ascii="Times New Roman" w:eastAsia="Times New Roman" w:hAnsi="Times New Roman" w:cs="Times New Roman"/>
          <w:sz w:val="24"/>
          <w:szCs w:val="24"/>
        </w:rPr>
        <w:t xml:space="preserve"> in 2015 and </w:t>
      </w:r>
      <w:r w:rsidR="005448DB">
        <w:rPr>
          <w:rFonts w:ascii="Times New Roman" w:eastAsia="Times New Roman" w:hAnsi="Times New Roman" w:cs="Times New Roman"/>
          <w:sz w:val="24"/>
          <w:szCs w:val="24"/>
        </w:rPr>
        <w:t>52.26</w:t>
      </w:r>
      <w:r w:rsidR="0043614D">
        <w:rPr>
          <w:rFonts w:ascii="Times New Roman" w:eastAsia="Times New Roman" w:hAnsi="Times New Roman" w:cs="Times New Roman"/>
          <w:sz w:val="24"/>
          <w:szCs w:val="24"/>
        </w:rPr>
        <w:t xml:space="preserve"> in 2014</w:t>
      </w:r>
      <w:r w:rsidR="0043614D" w:rsidRPr="004D1ECD">
        <w:rPr>
          <w:rFonts w:ascii="Times New Roman" w:eastAsia="Times New Roman" w:hAnsi="Times New Roman" w:cs="Times New Roman"/>
          <w:sz w:val="24"/>
          <w:szCs w:val="24"/>
        </w:rPr>
        <w:t xml:space="preserve">. </w:t>
      </w:r>
      <w:r w:rsidR="0043614D">
        <w:rPr>
          <w:rFonts w:ascii="Times New Roman" w:eastAsia="Times New Roman" w:hAnsi="Times New Roman" w:cs="Times New Roman"/>
          <w:sz w:val="24"/>
          <w:szCs w:val="24"/>
        </w:rPr>
        <w:t>So, company becoming dependent on credit sales.</w:t>
      </w:r>
    </w:p>
    <w:p w:rsidR="0043614D" w:rsidRPr="00A15E21" w:rsidRDefault="0043614D" w:rsidP="00327EB2">
      <w:pPr>
        <w:pStyle w:val="NoSpacing"/>
      </w:pPr>
      <w:r w:rsidRPr="00A15E21">
        <w:t>Days Sales Outstanding</w:t>
      </w:r>
    </w:p>
    <w:p w:rsidR="0043614D" w:rsidRPr="00581C17" w:rsidRDefault="0043614D" w:rsidP="0043614D"/>
    <w:tbl>
      <w:tblPr>
        <w:tblStyle w:val="TableGrid"/>
        <w:tblW w:w="0" w:type="auto"/>
        <w:tblLook w:val="04A0" w:firstRow="1" w:lastRow="0" w:firstColumn="1" w:lastColumn="0" w:noHBand="0" w:noVBand="1"/>
      </w:tblPr>
      <w:tblGrid>
        <w:gridCol w:w="3192"/>
        <w:gridCol w:w="3192"/>
        <w:gridCol w:w="3192"/>
      </w:tblGrid>
      <w:tr w:rsidR="0043614D" w:rsidTr="002A063A">
        <w:tc>
          <w:tcPr>
            <w:tcW w:w="3192" w:type="dxa"/>
          </w:tcPr>
          <w:p w:rsidR="0043614D" w:rsidRDefault="0043614D" w:rsidP="002A063A">
            <w:pPr>
              <w:jc w:val="center"/>
              <w:rPr>
                <w:rFonts w:ascii="Times New Roman" w:hAnsi="Times New Roman" w:cs="Times New Roman"/>
              </w:rPr>
            </w:pPr>
            <w:r>
              <w:rPr>
                <w:rFonts w:ascii="Times New Roman" w:hAnsi="Times New Roman" w:cs="Times New Roman"/>
                <w:noProof/>
              </w:rPr>
              <w:t>2016</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2015</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2014</w:t>
            </w:r>
          </w:p>
        </w:tc>
      </w:tr>
      <w:tr w:rsidR="0043614D" w:rsidTr="002A063A">
        <w:tc>
          <w:tcPr>
            <w:tcW w:w="3192" w:type="dxa"/>
            <w:vAlign w:val="bottom"/>
          </w:tcPr>
          <w:p w:rsidR="0043614D" w:rsidRDefault="005448DB" w:rsidP="002A063A">
            <w:pPr>
              <w:jc w:val="center"/>
              <w:rPr>
                <w:rFonts w:ascii="Calibri" w:hAnsi="Calibri" w:cs="Calibri"/>
                <w:color w:val="000000"/>
              </w:rPr>
            </w:pPr>
            <w:r>
              <w:rPr>
                <w:rFonts w:ascii="Calibri" w:hAnsi="Calibri" w:cs="Calibri"/>
                <w:color w:val="000000"/>
              </w:rPr>
              <w:t>14</w:t>
            </w:r>
          </w:p>
        </w:tc>
        <w:tc>
          <w:tcPr>
            <w:tcW w:w="3192" w:type="dxa"/>
            <w:vAlign w:val="bottom"/>
          </w:tcPr>
          <w:p w:rsidR="0043614D" w:rsidRDefault="005448DB" w:rsidP="002A063A">
            <w:pPr>
              <w:jc w:val="center"/>
              <w:rPr>
                <w:rFonts w:ascii="Calibri" w:hAnsi="Calibri" w:cs="Calibri"/>
                <w:color w:val="000000"/>
              </w:rPr>
            </w:pPr>
            <w:r>
              <w:rPr>
                <w:rFonts w:ascii="Calibri" w:hAnsi="Calibri" w:cs="Calibri"/>
                <w:color w:val="000000"/>
              </w:rPr>
              <w:t>39</w:t>
            </w:r>
          </w:p>
        </w:tc>
        <w:tc>
          <w:tcPr>
            <w:tcW w:w="3192" w:type="dxa"/>
          </w:tcPr>
          <w:p w:rsidR="0043614D" w:rsidRDefault="005448DB" w:rsidP="002A063A">
            <w:pPr>
              <w:jc w:val="center"/>
              <w:rPr>
                <w:rFonts w:ascii="Calibri" w:hAnsi="Calibri" w:cs="Calibri"/>
                <w:color w:val="000000"/>
              </w:rPr>
            </w:pPr>
            <w:r>
              <w:rPr>
                <w:rFonts w:ascii="Calibri" w:hAnsi="Calibri" w:cs="Calibri"/>
                <w:color w:val="000000"/>
              </w:rPr>
              <w:t>7</w:t>
            </w:r>
          </w:p>
        </w:tc>
      </w:tr>
    </w:tbl>
    <w:p w:rsidR="0043614D" w:rsidRDefault="0043614D" w:rsidP="0043614D"/>
    <w:p w:rsidR="0043614D" w:rsidRDefault="0043614D" w:rsidP="0043614D">
      <w:pPr>
        <w:rPr>
          <w:b/>
        </w:rPr>
      </w:pPr>
      <w:r w:rsidRPr="00581C17">
        <w:rPr>
          <w:noProof/>
        </w:rPr>
        <w:lastRenderedPageBreak/>
        <w:drawing>
          <wp:inline distT="0" distB="0" distL="0" distR="0">
            <wp:extent cx="2609850" cy="1647825"/>
            <wp:effectExtent l="19050" t="0" r="19050" b="0"/>
            <wp:docPr id="6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43614D" w:rsidRDefault="0043614D" w:rsidP="0043614D">
      <w:pPr>
        <w:spacing w:after="200" w:line="276" w:lineRule="auto"/>
        <w:jc w:val="both"/>
        <w:rPr>
          <w:rFonts w:ascii="Times New Roman" w:eastAsia="Times New Roman" w:hAnsi="Times New Roman" w:cs="Times New Roman"/>
          <w:sz w:val="24"/>
          <w:szCs w:val="24"/>
        </w:rPr>
      </w:pPr>
      <w:r w:rsidRPr="004D1ECD">
        <w:rPr>
          <w:rFonts w:ascii="Times New Roman" w:eastAsia="Times New Roman" w:hAnsi="Times New Roman" w:cs="Times New Roman"/>
          <w:sz w:val="24"/>
          <w:szCs w:val="24"/>
        </w:rPr>
        <w:t>In the company, Days Sales Outstand</w:t>
      </w:r>
      <w:r>
        <w:rPr>
          <w:rFonts w:ascii="Times New Roman" w:eastAsia="Times New Roman" w:hAnsi="Times New Roman" w:cs="Times New Roman"/>
          <w:sz w:val="24"/>
          <w:szCs w:val="24"/>
        </w:rPr>
        <w:t xml:space="preserve">ing (DSO) is </w:t>
      </w:r>
      <w:r w:rsidR="005448DB">
        <w:rPr>
          <w:rFonts w:ascii="Times New Roman" w:eastAsia="Times New Roman" w:hAnsi="Times New Roman" w:cs="Times New Roman"/>
          <w:sz w:val="24"/>
          <w:szCs w:val="24"/>
        </w:rPr>
        <w:t>14</w:t>
      </w:r>
      <w:r>
        <w:rPr>
          <w:rFonts w:ascii="Times New Roman" w:eastAsia="Times New Roman" w:hAnsi="Times New Roman" w:cs="Times New Roman"/>
          <w:sz w:val="24"/>
          <w:szCs w:val="24"/>
        </w:rPr>
        <w:t xml:space="preserve"> days in 2016and </w:t>
      </w:r>
      <w:r w:rsidR="005448DB">
        <w:rPr>
          <w:rFonts w:ascii="Times New Roman" w:eastAsia="Times New Roman" w:hAnsi="Times New Roman" w:cs="Times New Roman"/>
          <w:sz w:val="24"/>
          <w:szCs w:val="24"/>
        </w:rPr>
        <w:t>39</w:t>
      </w:r>
      <w:r>
        <w:rPr>
          <w:rFonts w:ascii="Times New Roman" w:eastAsia="Times New Roman" w:hAnsi="Times New Roman" w:cs="Times New Roman"/>
          <w:sz w:val="24"/>
          <w:szCs w:val="24"/>
        </w:rPr>
        <w:t xml:space="preserve"> days for 2015 and </w:t>
      </w:r>
      <w:r w:rsidR="005448DB">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days in 2014. This company performed </w:t>
      </w:r>
      <w:r w:rsidR="005448DB">
        <w:rPr>
          <w:rFonts w:ascii="Times New Roman" w:eastAsia="Times New Roman" w:hAnsi="Times New Roman" w:cs="Times New Roman"/>
          <w:sz w:val="24"/>
          <w:szCs w:val="24"/>
        </w:rPr>
        <w:t>well</w:t>
      </w:r>
      <w:r>
        <w:rPr>
          <w:rFonts w:ascii="Times New Roman" w:eastAsia="Times New Roman" w:hAnsi="Times New Roman" w:cs="Times New Roman"/>
          <w:sz w:val="24"/>
          <w:szCs w:val="24"/>
        </w:rPr>
        <w:t xml:space="preserve"> in these years.</w:t>
      </w:r>
    </w:p>
    <w:p w:rsidR="0043614D" w:rsidRPr="00A15E21" w:rsidRDefault="0043614D" w:rsidP="00327EB2">
      <w:pPr>
        <w:pStyle w:val="NoSpacing"/>
      </w:pPr>
      <w:r w:rsidRPr="00A15E21">
        <w:t>Cash Turnover Ratio</w:t>
      </w:r>
    </w:p>
    <w:p w:rsidR="0043614D" w:rsidRPr="00CC1F3F" w:rsidRDefault="0043614D" w:rsidP="0043614D"/>
    <w:tbl>
      <w:tblPr>
        <w:tblStyle w:val="TableGrid"/>
        <w:tblW w:w="0" w:type="auto"/>
        <w:tblLook w:val="04A0" w:firstRow="1" w:lastRow="0" w:firstColumn="1" w:lastColumn="0" w:noHBand="0" w:noVBand="1"/>
      </w:tblPr>
      <w:tblGrid>
        <w:gridCol w:w="3192"/>
        <w:gridCol w:w="3192"/>
        <w:gridCol w:w="3192"/>
      </w:tblGrid>
      <w:tr w:rsidR="0043614D" w:rsidTr="002A063A">
        <w:tc>
          <w:tcPr>
            <w:tcW w:w="3192" w:type="dxa"/>
          </w:tcPr>
          <w:p w:rsidR="0043614D" w:rsidRDefault="0043614D" w:rsidP="002A063A">
            <w:pPr>
              <w:jc w:val="center"/>
              <w:rPr>
                <w:rFonts w:ascii="Times New Roman" w:hAnsi="Times New Roman" w:cs="Times New Roman"/>
              </w:rPr>
            </w:pPr>
            <w:r>
              <w:rPr>
                <w:rFonts w:ascii="Times New Roman" w:hAnsi="Times New Roman" w:cs="Times New Roman"/>
                <w:noProof/>
              </w:rPr>
              <w:t>2016</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2015</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2014</w:t>
            </w:r>
          </w:p>
        </w:tc>
      </w:tr>
      <w:tr w:rsidR="0043614D" w:rsidTr="002A063A">
        <w:tc>
          <w:tcPr>
            <w:tcW w:w="3192" w:type="dxa"/>
            <w:vAlign w:val="bottom"/>
          </w:tcPr>
          <w:p w:rsidR="0043614D" w:rsidRDefault="005448DB" w:rsidP="002A063A">
            <w:pPr>
              <w:jc w:val="center"/>
              <w:rPr>
                <w:rFonts w:ascii="Calibri" w:hAnsi="Calibri" w:cs="Calibri"/>
                <w:color w:val="000000"/>
              </w:rPr>
            </w:pPr>
            <w:r>
              <w:rPr>
                <w:rFonts w:ascii="Calibri" w:hAnsi="Calibri" w:cs="Calibri"/>
                <w:color w:val="000000"/>
              </w:rPr>
              <w:t>0.609</w:t>
            </w:r>
          </w:p>
        </w:tc>
        <w:tc>
          <w:tcPr>
            <w:tcW w:w="3192" w:type="dxa"/>
            <w:vAlign w:val="bottom"/>
          </w:tcPr>
          <w:p w:rsidR="0043614D" w:rsidRDefault="00453AD6" w:rsidP="002A063A">
            <w:pPr>
              <w:jc w:val="center"/>
              <w:rPr>
                <w:rFonts w:ascii="Calibri" w:hAnsi="Calibri" w:cs="Calibri"/>
                <w:color w:val="000000"/>
              </w:rPr>
            </w:pPr>
            <w:r>
              <w:rPr>
                <w:rFonts w:ascii="Calibri" w:hAnsi="Calibri" w:cs="Calibri"/>
                <w:color w:val="000000"/>
              </w:rPr>
              <w:t>9.04</w:t>
            </w:r>
          </w:p>
        </w:tc>
        <w:tc>
          <w:tcPr>
            <w:tcW w:w="3192" w:type="dxa"/>
            <w:vAlign w:val="bottom"/>
          </w:tcPr>
          <w:p w:rsidR="0043614D" w:rsidRDefault="00453AD6" w:rsidP="002A063A">
            <w:pPr>
              <w:jc w:val="center"/>
              <w:rPr>
                <w:rFonts w:ascii="Calibri" w:hAnsi="Calibri" w:cs="Calibri"/>
                <w:color w:val="000000"/>
              </w:rPr>
            </w:pPr>
            <w:r>
              <w:rPr>
                <w:rFonts w:ascii="Calibri" w:hAnsi="Calibri" w:cs="Calibri"/>
                <w:color w:val="000000"/>
              </w:rPr>
              <w:t>60.5</w:t>
            </w:r>
          </w:p>
        </w:tc>
      </w:tr>
    </w:tbl>
    <w:p w:rsidR="0043614D" w:rsidRDefault="0043614D" w:rsidP="0043614D">
      <w:pPr>
        <w:rPr>
          <w:b/>
        </w:rPr>
      </w:pPr>
    </w:p>
    <w:p w:rsidR="0043614D" w:rsidRDefault="0043614D" w:rsidP="0043614D">
      <w:pPr>
        <w:rPr>
          <w:b/>
        </w:rPr>
      </w:pPr>
      <w:r w:rsidRPr="00CC1F3F">
        <w:rPr>
          <w:b/>
          <w:noProof/>
        </w:rPr>
        <w:drawing>
          <wp:inline distT="0" distB="0" distL="0" distR="0">
            <wp:extent cx="2609850" cy="1543050"/>
            <wp:effectExtent l="19050" t="0" r="19050" b="0"/>
            <wp:docPr id="6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43614D" w:rsidRDefault="0043614D" w:rsidP="0043614D">
      <w:pPr>
        <w:rPr>
          <w:rFonts w:ascii="Times New Roman" w:hAnsi="Times New Roman" w:cs="Times New Roman"/>
          <w:sz w:val="24"/>
          <w:szCs w:val="24"/>
        </w:rPr>
      </w:pPr>
      <w:r>
        <w:rPr>
          <w:rFonts w:ascii="Times New Roman" w:hAnsi="Times New Roman" w:cs="Times New Roman"/>
          <w:sz w:val="24"/>
          <w:szCs w:val="24"/>
        </w:rPr>
        <w:t>Through These years</w:t>
      </w:r>
      <w:r w:rsidR="00453AD6">
        <w:rPr>
          <w:rFonts w:ascii="Times New Roman" w:hAnsi="Times New Roman" w:cs="Times New Roman"/>
          <w:sz w:val="24"/>
          <w:szCs w:val="24"/>
        </w:rPr>
        <w:t xml:space="preserve"> of 2014 and 2015</w:t>
      </w:r>
      <w:r>
        <w:rPr>
          <w:rFonts w:ascii="Times New Roman" w:hAnsi="Times New Roman" w:cs="Times New Roman"/>
          <w:sz w:val="24"/>
          <w:szCs w:val="24"/>
        </w:rPr>
        <w:t xml:space="preserve"> company used their cash efficiently.</w:t>
      </w:r>
    </w:p>
    <w:p w:rsidR="0043614D" w:rsidRDefault="0043614D" w:rsidP="0043614D">
      <w:pPr>
        <w:pStyle w:val="Heading2"/>
        <w:rPr>
          <w:b/>
          <w:sz w:val="28"/>
          <w:szCs w:val="28"/>
        </w:rPr>
      </w:pPr>
    </w:p>
    <w:p w:rsidR="0043614D" w:rsidRPr="00A15E21" w:rsidRDefault="0043614D" w:rsidP="00327EB2">
      <w:pPr>
        <w:pStyle w:val="NoSpacing"/>
      </w:pPr>
      <w:r w:rsidRPr="00A15E21">
        <w:t>Payable Turnover</w:t>
      </w:r>
    </w:p>
    <w:tbl>
      <w:tblPr>
        <w:tblStyle w:val="TableGrid"/>
        <w:tblW w:w="0" w:type="auto"/>
        <w:tblLook w:val="04A0" w:firstRow="1" w:lastRow="0" w:firstColumn="1" w:lastColumn="0" w:noHBand="0" w:noVBand="1"/>
      </w:tblPr>
      <w:tblGrid>
        <w:gridCol w:w="3192"/>
        <w:gridCol w:w="3192"/>
      </w:tblGrid>
      <w:tr w:rsidR="002A063A" w:rsidTr="002A063A">
        <w:tc>
          <w:tcPr>
            <w:tcW w:w="3192" w:type="dxa"/>
          </w:tcPr>
          <w:p w:rsidR="002A063A" w:rsidRDefault="002A063A" w:rsidP="002A063A">
            <w:pPr>
              <w:jc w:val="center"/>
              <w:rPr>
                <w:rFonts w:ascii="Times New Roman" w:hAnsi="Times New Roman" w:cs="Times New Roman"/>
              </w:rPr>
            </w:pPr>
            <w:r>
              <w:rPr>
                <w:rFonts w:ascii="Times New Roman" w:hAnsi="Times New Roman" w:cs="Times New Roman"/>
                <w:noProof/>
              </w:rPr>
              <w:t>2016</w:t>
            </w:r>
          </w:p>
        </w:tc>
        <w:tc>
          <w:tcPr>
            <w:tcW w:w="3192" w:type="dxa"/>
          </w:tcPr>
          <w:p w:rsidR="002A063A" w:rsidRDefault="002A063A" w:rsidP="002A063A">
            <w:pPr>
              <w:jc w:val="center"/>
              <w:rPr>
                <w:rFonts w:ascii="Times New Roman" w:hAnsi="Times New Roman" w:cs="Times New Roman"/>
              </w:rPr>
            </w:pPr>
            <w:r>
              <w:rPr>
                <w:rFonts w:ascii="Times New Roman" w:hAnsi="Times New Roman" w:cs="Times New Roman"/>
              </w:rPr>
              <w:t>2014</w:t>
            </w:r>
          </w:p>
        </w:tc>
      </w:tr>
      <w:tr w:rsidR="002A063A" w:rsidTr="002A063A">
        <w:tc>
          <w:tcPr>
            <w:tcW w:w="3192" w:type="dxa"/>
            <w:vAlign w:val="bottom"/>
          </w:tcPr>
          <w:p w:rsidR="002A063A" w:rsidRDefault="002A063A" w:rsidP="002A063A">
            <w:pPr>
              <w:jc w:val="center"/>
              <w:rPr>
                <w:rFonts w:ascii="Calibri" w:hAnsi="Calibri" w:cs="Calibri"/>
                <w:color w:val="000000"/>
              </w:rPr>
            </w:pPr>
            <w:r>
              <w:rPr>
                <w:rFonts w:ascii="Calibri" w:hAnsi="Calibri" w:cs="Calibri"/>
                <w:color w:val="000000"/>
              </w:rPr>
              <w:t>23.13</w:t>
            </w:r>
          </w:p>
        </w:tc>
        <w:tc>
          <w:tcPr>
            <w:tcW w:w="3192" w:type="dxa"/>
            <w:vAlign w:val="bottom"/>
          </w:tcPr>
          <w:p w:rsidR="002A063A" w:rsidRDefault="002A063A" w:rsidP="002A063A">
            <w:pPr>
              <w:jc w:val="center"/>
              <w:rPr>
                <w:rFonts w:ascii="Calibri" w:hAnsi="Calibri" w:cs="Calibri"/>
                <w:color w:val="000000"/>
              </w:rPr>
            </w:pPr>
            <w:r>
              <w:rPr>
                <w:rFonts w:ascii="Calibri" w:hAnsi="Calibri" w:cs="Calibri"/>
                <w:color w:val="000000"/>
              </w:rPr>
              <w:t>138.91</w:t>
            </w:r>
          </w:p>
        </w:tc>
      </w:tr>
    </w:tbl>
    <w:p w:rsidR="0043614D" w:rsidRDefault="0043614D" w:rsidP="0043614D"/>
    <w:p w:rsidR="0043614D" w:rsidRDefault="0043614D" w:rsidP="0043614D">
      <w:r w:rsidRPr="00E626EB">
        <w:rPr>
          <w:noProof/>
        </w:rPr>
        <w:lastRenderedPageBreak/>
        <w:drawing>
          <wp:inline distT="0" distB="0" distL="0" distR="0">
            <wp:extent cx="2609850" cy="1543050"/>
            <wp:effectExtent l="19050" t="0" r="19050" b="0"/>
            <wp:docPr id="7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43614D" w:rsidRDefault="00000CE9" w:rsidP="00000CE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ratio shows when the company make payment to its supplier. We get the ratio by cost of sales divided by average accounts payables. </w:t>
      </w:r>
      <w:r w:rsidRPr="004D1ECD">
        <w:rPr>
          <w:rFonts w:ascii="Times New Roman" w:eastAsia="Times New Roman" w:hAnsi="Times New Roman" w:cs="Times New Roman"/>
          <w:sz w:val="24"/>
          <w:szCs w:val="24"/>
        </w:rPr>
        <w:t>Higher this ratio represent the company use its</w:t>
      </w:r>
      <w:r>
        <w:rPr>
          <w:rFonts w:ascii="Times New Roman" w:eastAsia="Times New Roman" w:hAnsi="Times New Roman" w:cs="Times New Roman"/>
          <w:sz w:val="24"/>
          <w:szCs w:val="24"/>
        </w:rPr>
        <w:t xml:space="preserve"> current asset in efficient way. </w:t>
      </w:r>
      <w:r w:rsidR="0043614D" w:rsidRPr="004D1ECD">
        <w:rPr>
          <w:rFonts w:ascii="Times New Roman" w:eastAsia="Times New Roman" w:hAnsi="Times New Roman" w:cs="Times New Roman"/>
          <w:sz w:val="24"/>
          <w:szCs w:val="24"/>
        </w:rPr>
        <w:t>Higher this ratio represent the company use its current asset in efficient way</w:t>
      </w:r>
      <w:r w:rsidR="002A063A">
        <w:rPr>
          <w:rFonts w:ascii="Times New Roman" w:eastAsia="Times New Roman" w:hAnsi="Times New Roman" w:cs="Times New Roman"/>
          <w:sz w:val="24"/>
          <w:szCs w:val="24"/>
        </w:rPr>
        <w:t xml:space="preserve"> Square Pharmaceuticals Ltd</w:t>
      </w:r>
      <w:r w:rsidR="00870082">
        <w:rPr>
          <w:rFonts w:ascii="Times New Roman" w:eastAsia="Times New Roman" w:hAnsi="Times New Roman" w:cs="Times New Roman"/>
          <w:sz w:val="24"/>
          <w:szCs w:val="24"/>
        </w:rPr>
        <w:t xml:space="preserve"> </w:t>
      </w:r>
      <w:r w:rsidR="0043614D" w:rsidRPr="004D1ECD">
        <w:rPr>
          <w:rFonts w:ascii="Times New Roman" w:eastAsia="Times New Roman" w:hAnsi="Times New Roman" w:cs="Times New Roman"/>
          <w:sz w:val="24"/>
          <w:szCs w:val="24"/>
        </w:rPr>
        <w:t>paya</w:t>
      </w:r>
      <w:r w:rsidR="0043614D">
        <w:rPr>
          <w:rFonts w:ascii="Times New Roman" w:eastAsia="Times New Roman" w:hAnsi="Times New Roman" w:cs="Times New Roman"/>
          <w:sz w:val="24"/>
          <w:szCs w:val="24"/>
        </w:rPr>
        <w:t xml:space="preserve">ble turnover ratio for year 2016 is </w:t>
      </w:r>
      <w:r w:rsidR="002A063A">
        <w:rPr>
          <w:rFonts w:ascii="Times New Roman" w:eastAsia="Times New Roman" w:hAnsi="Times New Roman" w:cs="Times New Roman"/>
          <w:sz w:val="24"/>
          <w:szCs w:val="24"/>
        </w:rPr>
        <w:t>23.13</w:t>
      </w:r>
      <w:r w:rsidR="0043614D">
        <w:rPr>
          <w:rFonts w:ascii="Times New Roman" w:eastAsia="Times New Roman" w:hAnsi="Times New Roman" w:cs="Times New Roman"/>
          <w:sz w:val="24"/>
          <w:szCs w:val="24"/>
        </w:rPr>
        <w:t xml:space="preserve">and 2014 is </w:t>
      </w:r>
      <w:r w:rsidR="002A063A">
        <w:rPr>
          <w:rFonts w:ascii="Times New Roman" w:eastAsia="Times New Roman" w:hAnsi="Times New Roman" w:cs="Times New Roman"/>
          <w:sz w:val="24"/>
          <w:szCs w:val="24"/>
        </w:rPr>
        <w:t>138.91</w:t>
      </w:r>
      <w:r w:rsidR="0043614D">
        <w:rPr>
          <w:rFonts w:ascii="Times New Roman" w:eastAsia="Times New Roman" w:hAnsi="Times New Roman" w:cs="Times New Roman"/>
          <w:sz w:val="24"/>
          <w:szCs w:val="24"/>
        </w:rPr>
        <w:t>.</w:t>
      </w:r>
      <w:r w:rsidR="0043614D" w:rsidRPr="004D1ECD">
        <w:rPr>
          <w:rFonts w:ascii="Times New Roman" w:eastAsia="Times New Roman" w:hAnsi="Times New Roman" w:cs="Times New Roman"/>
          <w:sz w:val="24"/>
          <w:szCs w:val="24"/>
        </w:rPr>
        <w:t xml:space="preserve"> So, we have seen this company </w:t>
      </w:r>
      <w:r w:rsidR="002A063A">
        <w:rPr>
          <w:rFonts w:ascii="Times New Roman" w:eastAsia="Times New Roman" w:hAnsi="Times New Roman" w:cs="Times New Roman"/>
          <w:sz w:val="24"/>
          <w:szCs w:val="24"/>
        </w:rPr>
        <w:t>focus to their supplier in 2014 and in 2016 they try to make some profit through payable amount.</w:t>
      </w:r>
    </w:p>
    <w:p w:rsidR="0043614D" w:rsidRDefault="0043614D" w:rsidP="0043614D">
      <w:pPr>
        <w:spacing w:after="200" w:line="276" w:lineRule="auto"/>
        <w:jc w:val="both"/>
        <w:rPr>
          <w:rFonts w:ascii="Times New Roman" w:eastAsia="Times New Roman" w:hAnsi="Times New Roman" w:cs="Times New Roman"/>
          <w:sz w:val="24"/>
          <w:szCs w:val="24"/>
        </w:rPr>
      </w:pPr>
    </w:p>
    <w:p w:rsidR="0043614D" w:rsidRPr="00A15E21" w:rsidRDefault="0043614D" w:rsidP="00327EB2">
      <w:pPr>
        <w:pStyle w:val="NoSpacing"/>
      </w:pPr>
      <w:r w:rsidRPr="00A15E21">
        <w:t>Days Payable Outstanding</w:t>
      </w:r>
    </w:p>
    <w:p w:rsidR="0043614D" w:rsidRPr="008473B1" w:rsidRDefault="0043614D" w:rsidP="0043614D"/>
    <w:tbl>
      <w:tblPr>
        <w:tblStyle w:val="TableGrid"/>
        <w:tblW w:w="0" w:type="auto"/>
        <w:tblLook w:val="04A0" w:firstRow="1" w:lastRow="0" w:firstColumn="1" w:lastColumn="0" w:noHBand="0" w:noVBand="1"/>
      </w:tblPr>
      <w:tblGrid>
        <w:gridCol w:w="3192"/>
        <w:gridCol w:w="3192"/>
      </w:tblGrid>
      <w:tr w:rsidR="002A063A" w:rsidTr="002A063A">
        <w:tc>
          <w:tcPr>
            <w:tcW w:w="3192" w:type="dxa"/>
          </w:tcPr>
          <w:p w:rsidR="002A063A" w:rsidRDefault="002A063A" w:rsidP="002A063A">
            <w:pPr>
              <w:jc w:val="center"/>
              <w:rPr>
                <w:rFonts w:ascii="Times New Roman" w:hAnsi="Times New Roman" w:cs="Times New Roman"/>
              </w:rPr>
            </w:pPr>
            <w:r>
              <w:rPr>
                <w:rFonts w:ascii="Times New Roman" w:hAnsi="Times New Roman" w:cs="Times New Roman"/>
                <w:noProof/>
              </w:rPr>
              <w:t>2016</w:t>
            </w:r>
          </w:p>
        </w:tc>
        <w:tc>
          <w:tcPr>
            <w:tcW w:w="3192" w:type="dxa"/>
          </w:tcPr>
          <w:p w:rsidR="002A063A" w:rsidRDefault="002A063A" w:rsidP="002A063A">
            <w:pPr>
              <w:jc w:val="center"/>
              <w:rPr>
                <w:rFonts w:ascii="Times New Roman" w:hAnsi="Times New Roman" w:cs="Times New Roman"/>
              </w:rPr>
            </w:pPr>
            <w:r>
              <w:rPr>
                <w:rFonts w:ascii="Times New Roman" w:hAnsi="Times New Roman" w:cs="Times New Roman"/>
              </w:rPr>
              <w:t>2014</w:t>
            </w:r>
          </w:p>
        </w:tc>
      </w:tr>
      <w:tr w:rsidR="002A063A" w:rsidTr="002A063A">
        <w:tc>
          <w:tcPr>
            <w:tcW w:w="3192" w:type="dxa"/>
            <w:vAlign w:val="bottom"/>
          </w:tcPr>
          <w:p w:rsidR="002A063A" w:rsidRDefault="002A063A" w:rsidP="002A063A">
            <w:pPr>
              <w:jc w:val="center"/>
              <w:rPr>
                <w:rFonts w:ascii="Calibri" w:hAnsi="Calibri" w:cs="Calibri"/>
                <w:color w:val="000000"/>
              </w:rPr>
            </w:pPr>
            <w:r>
              <w:rPr>
                <w:rFonts w:ascii="Calibri" w:hAnsi="Calibri" w:cs="Calibri"/>
                <w:color w:val="000000"/>
              </w:rPr>
              <w:t>15.77</w:t>
            </w:r>
          </w:p>
        </w:tc>
        <w:tc>
          <w:tcPr>
            <w:tcW w:w="3192" w:type="dxa"/>
            <w:vAlign w:val="bottom"/>
          </w:tcPr>
          <w:p w:rsidR="002A063A" w:rsidRDefault="002A063A" w:rsidP="002A063A">
            <w:pPr>
              <w:jc w:val="center"/>
              <w:rPr>
                <w:rFonts w:ascii="Calibri" w:hAnsi="Calibri" w:cs="Calibri"/>
                <w:color w:val="000000"/>
              </w:rPr>
            </w:pPr>
            <w:r>
              <w:rPr>
                <w:rFonts w:ascii="Calibri" w:hAnsi="Calibri" w:cs="Calibri"/>
                <w:color w:val="000000"/>
              </w:rPr>
              <w:t>2.62</w:t>
            </w:r>
          </w:p>
        </w:tc>
      </w:tr>
    </w:tbl>
    <w:p w:rsidR="0043614D" w:rsidRDefault="0043614D" w:rsidP="0043614D"/>
    <w:p w:rsidR="0043614D" w:rsidRDefault="0043614D" w:rsidP="0043614D">
      <w:r w:rsidRPr="008473B1">
        <w:rPr>
          <w:noProof/>
        </w:rPr>
        <w:drawing>
          <wp:inline distT="0" distB="0" distL="0" distR="0">
            <wp:extent cx="2609850" cy="1543050"/>
            <wp:effectExtent l="19050" t="0" r="19050" b="0"/>
            <wp:docPr id="7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0043614D" w:rsidRDefault="0043614D" w:rsidP="0043614D">
      <w:pPr>
        <w:spacing w:after="200" w:line="276" w:lineRule="auto"/>
        <w:jc w:val="both"/>
        <w:rPr>
          <w:rFonts w:ascii="Times New Roman" w:eastAsia="Times New Roman" w:hAnsi="Times New Roman" w:cs="Times New Roman"/>
          <w:sz w:val="24"/>
          <w:szCs w:val="24"/>
        </w:rPr>
      </w:pPr>
      <w:r w:rsidRPr="004D1ECD">
        <w:rPr>
          <w:rFonts w:ascii="Times New Roman" w:eastAsia="Times New Roman" w:hAnsi="Times New Roman" w:cs="Times New Roman"/>
          <w:sz w:val="24"/>
          <w:szCs w:val="24"/>
        </w:rPr>
        <w:t>This ratio represent a company how delayed their payment to their supplier in a periodic time. This ratio higher means it delays more to pay their supplier and more effic</w:t>
      </w:r>
      <w:r>
        <w:rPr>
          <w:rFonts w:ascii="Times New Roman" w:eastAsia="Times New Roman" w:hAnsi="Times New Roman" w:cs="Times New Roman"/>
          <w:sz w:val="24"/>
          <w:szCs w:val="24"/>
        </w:rPr>
        <w:t xml:space="preserve">ient in their operation. So, the year of 2016 </w:t>
      </w:r>
      <w:r w:rsidR="002A063A">
        <w:rPr>
          <w:rFonts w:ascii="Times New Roman" w:eastAsia="Times New Roman" w:hAnsi="Times New Roman" w:cs="Times New Roman"/>
          <w:color w:val="000000"/>
          <w:sz w:val="24"/>
          <w:szCs w:val="24"/>
        </w:rPr>
        <w:t>Square Pharmaceuticals Ltd</w:t>
      </w:r>
      <w:r w:rsidR="0087008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delayed more to their suppliers to pay.</w:t>
      </w:r>
    </w:p>
    <w:p w:rsidR="0043614D" w:rsidRPr="00A15E21" w:rsidRDefault="0043614D" w:rsidP="00327EB2">
      <w:pPr>
        <w:pStyle w:val="NoSpacing"/>
      </w:pPr>
      <w:r w:rsidRPr="00A15E21">
        <w:t>Current Ratio</w:t>
      </w:r>
    </w:p>
    <w:tbl>
      <w:tblPr>
        <w:tblStyle w:val="TableGrid"/>
        <w:tblW w:w="0" w:type="auto"/>
        <w:tblLook w:val="04A0" w:firstRow="1" w:lastRow="0" w:firstColumn="1" w:lastColumn="0" w:noHBand="0" w:noVBand="1"/>
      </w:tblPr>
      <w:tblGrid>
        <w:gridCol w:w="3192"/>
        <w:gridCol w:w="3192"/>
        <w:gridCol w:w="3192"/>
      </w:tblGrid>
      <w:tr w:rsidR="0043614D" w:rsidTr="002A063A">
        <w:tc>
          <w:tcPr>
            <w:tcW w:w="3192" w:type="dxa"/>
          </w:tcPr>
          <w:p w:rsidR="0043614D" w:rsidRDefault="0043614D" w:rsidP="002A063A">
            <w:pPr>
              <w:jc w:val="center"/>
              <w:rPr>
                <w:rFonts w:ascii="Times New Roman" w:hAnsi="Times New Roman" w:cs="Times New Roman"/>
              </w:rPr>
            </w:pPr>
            <w:r>
              <w:rPr>
                <w:rFonts w:ascii="Times New Roman" w:hAnsi="Times New Roman" w:cs="Times New Roman"/>
                <w:noProof/>
              </w:rPr>
              <w:t>2016</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2015</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2014</w:t>
            </w:r>
          </w:p>
        </w:tc>
      </w:tr>
      <w:tr w:rsidR="0043614D" w:rsidTr="002A063A">
        <w:tc>
          <w:tcPr>
            <w:tcW w:w="3192" w:type="dxa"/>
            <w:vAlign w:val="bottom"/>
          </w:tcPr>
          <w:p w:rsidR="0043614D" w:rsidRDefault="002A063A" w:rsidP="002A063A">
            <w:pPr>
              <w:jc w:val="center"/>
              <w:rPr>
                <w:rFonts w:ascii="Calibri" w:hAnsi="Calibri" w:cs="Calibri"/>
                <w:color w:val="000000"/>
              </w:rPr>
            </w:pPr>
            <w:r>
              <w:rPr>
                <w:rFonts w:ascii="Calibri" w:hAnsi="Calibri" w:cs="Calibri"/>
                <w:color w:val="000000"/>
              </w:rPr>
              <w:t>6.6</w:t>
            </w:r>
          </w:p>
        </w:tc>
        <w:tc>
          <w:tcPr>
            <w:tcW w:w="3192" w:type="dxa"/>
            <w:vAlign w:val="bottom"/>
          </w:tcPr>
          <w:p w:rsidR="0043614D" w:rsidRDefault="002A063A" w:rsidP="002A063A">
            <w:pPr>
              <w:jc w:val="center"/>
              <w:rPr>
                <w:rFonts w:ascii="Calibri" w:hAnsi="Calibri" w:cs="Calibri"/>
                <w:color w:val="000000"/>
              </w:rPr>
            </w:pPr>
            <w:r>
              <w:rPr>
                <w:rFonts w:ascii="Calibri" w:hAnsi="Calibri" w:cs="Calibri"/>
                <w:color w:val="000000"/>
              </w:rPr>
              <w:t>0.81</w:t>
            </w:r>
          </w:p>
        </w:tc>
        <w:tc>
          <w:tcPr>
            <w:tcW w:w="3192" w:type="dxa"/>
            <w:vAlign w:val="bottom"/>
          </w:tcPr>
          <w:p w:rsidR="0043614D" w:rsidRDefault="002A063A" w:rsidP="002A063A">
            <w:pPr>
              <w:jc w:val="center"/>
              <w:rPr>
                <w:rFonts w:ascii="Calibri" w:hAnsi="Calibri" w:cs="Calibri"/>
                <w:color w:val="000000"/>
              </w:rPr>
            </w:pPr>
            <w:r>
              <w:rPr>
                <w:rFonts w:ascii="Calibri" w:hAnsi="Calibri" w:cs="Calibri"/>
                <w:color w:val="000000"/>
              </w:rPr>
              <w:t>0.099</w:t>
            </w:r>
          </w:p>
        </w:tc>
      </w:tr>
    </w:tbl>
    <w:p w:rsidR="0043614D" w:rsidRPr="00DC095D" w:rsidRDefault="0043614D" w:rsidP="0043614D"/>
    <w:p w:rsidR="0043614D" w:rsidRDefault="0043614D" w:rsidP="0043614D">
      <w:r w:rsidRPr="00DC095D">
        <w:rPr>
          <w:noProof/>
        </w:rPr>
        <w:lastRenderedPageBreak/>
        <w:drawing>
          <wp:inline distT="0" distB="0" distL="0" distR="0">
            <wp:extent cx="2990850" cy="1733550"/>
            <wp:effectExtent l="19050" t="0" r="19050" b="0"/>
            <wp:docPr id="7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43614D" w:rsidRDefault="0043614D" w:rsidP="0043614D">
      <w:pPr>
        <w:spacing w:after="200" w:line="276" w:lineRule="auto"/>
        <w:jc w:val="both"/>
        <w:rPr>
          <w:rFonts w:ascii="Times New Roman" w:eastAsia="Times New Roman" w:hAnsi="Times New Roman" w:cs="Times New Roman"/>
          <w:sz w:val="24"/>
          <w:szCs w:val="24"/>
        </w:rPr>
      </w:pPr>
      <w:r w:rsidRPr="004D1ECD">
        <w:rPr>
          <w:rFonts w:ascii="Times New Roman" w:eastAsia="Times New Roman" w:hAnsi="Times New Roman" w:cs="Times New Roman"/>
          <w:sz w:val="24"/>
          <w:szCs w:val="24"/>
        </w:rPr>
        <w:t xml:space="preserve">It’s a measure of liquidity. It indicates how company is able to pay its debt in a period of </w:t>
      </w:r>
      <w:r>
        <w:rPr>
          <w:rFonts w:ascii="Times New Roman" w:eastAsia="Times New Roman" w:hAnsi="Times New Roman" w:cs="Times New Roman"/>
          <w:sz w:val="24"/>
          <w:szCs w:val="24"/>
        </w:rPr>
        <w:t>time with current asset. Current ratios for the company 1:</w:t>
      </w:r>
      <w:r w:rsidR="002A063A" w:rsidRPr="002A063A">
        <w:rPr>
          <w:rFonts w:ascii="Times New Roman" w:hAnsi="Times New Roman" w:cs="Times New Roman"/>
          <w:color w:val="000000"/>
          <w:sz w:val="24"/>
          <w:szCs w:val="24"/>
        </w:rPr>
        <w:t>6.6</w:t>
      </w:r>
      <w:r>
        <w:rPr>
          <w:rFonts w:ascii="Times New Roman" w:eastAsia="Times New Roman" w:hAnsi="Times New Roman" w:cs="Times New Roman"/>
          <w:sz w:val="24"/>
          <w:szCs w:val="24"/>
        </w:rPr>
        <w:t>, 1:</w:t>
      </w:r>
      <w:r w:rsidR="002A063A">
        <w:rPr>
          <w:rFonts w:ascii="Times New Roman" w:eastAsia="Times New Roman" w:hAnsi="Times New Roman" w:cs="Times New Roman"/>
          <w:sz w:val="24"/>
          <w:szCs w:val="24"/>
        </w:rPr>
        <w:t>0.81</w:t>
      </w:r>
      <w:r>
        <w:rPr>
          <w:rFonts w:ascii="Times New Roman" w:eastAsia="Times New Roman" w:hAnsi="Times New Roman" w:cs="Times New Roman"/>
          <w:sz w:val="24"/>
          <w:szCs w:val="24"/>
        </w:rPr>
        <w:t xml:space="preserve"> 1:</w:t>
      </w:r>
      <w:r w:rsidR="002A063A">
        <w:rPr>
          <w:rFonts w:ascii="Times New Roman" w:eastAsia="Times New Roman" w:hAnsi="Times New Roman" w:cs="Times New Roman"/>
          <w:sz w:val="24"/>
          <w:szCs w:val="24"/>
        </w:rPr>
        <w:t>0.099</w:t>
      </w:r>
      <w:r>
        <w:rPr>
          <w:rFonts w:ascii="Times New Roman" w:eastAsia="Times New Roman" w:hAnsi="Times New Roman" w:cs="Times New Roman"/>
          <w:sz w:val="24"/>
          <w:szCs w:val="24"/>
        </w:rPr>
        <w:t xml:space="preserve"> consecutively for the years of 2016, 2015 and 2014.So they have enough liquidity to m</w:t>
      </w:r>
      <w:r w:rsidR="002A063A">
        <w:rPr>
          <w:rFonts w:ascii="Times New Roman" w:eastAsia="Times New Roman" w:hAnsi="Times New Roman" w:cs="Times New Roman"/>
          <w:sz w:val="24"/>
          <w:szCs w:val="24"/>
        </w:rPr>
        <w:t>eet their creditors in the year of 2016.</w:t>
      </w:r>
    </w:p>
    <w:p w:rsidR="0043614D" w:rsidRPr="00A15E21" w:rsidRDefault="0043614D" w:rsidP="00327EB2">
      <w:pPr>
        <w:pStyle w:val="NoSpacing"/>
      </w:pPr>
      <w:r w:rsidRPr="00A15E21">
        <w:t>Quick ratio</w:t>
      </w:r>
    </w:p>
    <w:tbl>
      <w:tblPr>
        <w:tblStyle w:val="TableGrid"/>
        <w:tblW w:w="0" w:type="auto"/>
        <w:tblLook w:val="04A0" w:firstRow="1" w:lastRow="0" w:firstColumn="1" w:lastColumn="0" w:noHBand="0" w:noVBand="1"/>
      </w:tblPr>
      <w:tblGrid>
        <w:gridCol w:w="3192"/>
        <w:gridCol w:w="3192"/>
        <w:gridCol w:w="3192"/>
      </w:tblGrid>
      <w:tr w:rsidR="0043614D" w:rsidTr="002A063A">
        <w:tc>
          <w:tcPr>
            <w:tcW w:w="3192" w:type="dxa"/>
          </w:tcPr>
          <w:p w:rsidR="0043614D" w:rsidRDefault="0043614D" w:rsidP="002A063A">
            <w:pPr>
              <w:jc w:val="center"/>
              <w:rPr>
                <w:rFonts w:ascii="Times New Roman" w:hAnsi="Times New Roman" w:cs="Times New Roman"/>
              </w:rPr>
            </w:pPr>
            <w:r>
              <w:rPr>
                <w:rFonts w:ascii="Times New Roman" w:hAnsi="Times New Roman" w:cs="Times New Roman"/>
                <w:noProof/>
              </w:rPr>
              <w:t>2016</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2015</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2014</w:t>
            </w:r>
          </w:p>
        </w:tc>
      </w:tr>
      <w:tr w:rsidR="0043614D" w:rsidTr="002A063A">
        <w:tc>
          <w:tcPr>
            <w:tcW w:w="3192" w:type="dxa"/>
            <w:vAlign w:val="bottom"/>
          </w:tcPr>
          <w:p w:rsidR="0043614D" w:rsidRDefault="00547533" w:rsidP="002A063A">
            <w:pPr>
              <w:jc w:val="center"/>
              <w:rPr>
                <w:rFonts w:ascii="Calibri" w:hAnsi="Calibri" w:cs="Calibri"/>
                <w:color w:val="000000"/>
              </w:rPr>
            </w:pPr>
            <w:r>
              <w:rPr>
                <w:rFonts w:ascii="Calibri" w:hAnsi="Calibri" w:cs="Calibri"/>
                <w:color w:val="000000"/>
              </w:rPr>
              <w:t>3.78</w:t>
            </w:r>
          </w:p>
        </w:tc>
        <w:tc>
          <w:tcPr>
            <w:tcW w:w="3192" w:type="dxa"/>
            <w:vAlign w:val="bottom"/>
          </w:tcPr>
          <w:p w:rsidR="0043614D" w:rsidRDefault="00547533" w:rsidP="002A063A">
            <w:pPr>
              <w:jc w:val="center"/>
              <w:rPr>
                <w:rFonts w:ascii="Calibri" w:hAnsi="Calibri" w:cs="Calibri"/>
                <w:color w:val="000000"/>
              </w:rPr>
            </w:pPr>
            <w:r>
              <w:rPr>
                <w:rFonts w:ascii="Calibri" w:hAnsi="Calibri" w:cs="Calibri"/>
                <w:color w:val="000000"/>
              </w:rPr>
              <w:t>10.93</w:t>
            </w:r>
          </w:p>
        </w:tc>
        <w:tc>
          <w:tcPr>
            <w:tcW w:w="3192" w:type="dxa"/>
            <w:vAlign w:val="bottom"/>
          </w:tcPr>
          <w:p w:rsidR="0043614D" w:rsidRDefault="00547533" w:rsidP="002A063A">
            <w:pPr>
              <w:jc w:val="center"/>
              <w:rPr>
                <w:rFonts w:ascii="Calibri" w:hAnsi="Calibri" w:cs="Calibri"/>
                <w:color w:val="000000"/>
              </w:rPr>
            </w:pPr>
            <w:r>
              <w:rPr>
                <w:rFonts w:ascii="Calibri" w:hAnsi="Calibri" w:cs="Calibri"/>
                <w:color w:val="000000"/>
              </w:rPr>
              <w:t>0.05</w:t>
            </w:r>
          </w:p>
        </w:tc>
      </w:tr>
    </w:tbl>
    <w:p w:rsidR="0043614D" w:rsidRDefault="0043614D" w:rsidP="0043614D"/>
    <w:p w:rsidR="0043614D" w:rsidRPr="000B179F" w:rsidRDefault="0043614D" w:rsidP="0043614D">
      <w:r w:rsidRPr="000B179F">
        <w:rPr>
          <w:noProof/>
        </w:rPr>
        <w:drawing>
          <wp:inline distT="0" distB="0" distL="0" distR="0">
            <wp:extent cx="2609850" cy="1543050"/>
            <wp:effectExtent l="19050" t="0" r="19050" b="0"/>
            <wp:docPr id="7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43614D" w:rsidRPr="004D1ECD" w:rsidRDefault="00736A11" w:rsidP="0043614D">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Quick ratio</w:t>
      </w:r>
      <w:r w:rsidR="0043614D" w:rsidRPr="004D1ECD">
        <w:rPr>
          <w:rFonts w:ascii="Times New Roman" w:eastAsia="Times New Roman" w:hAnsi="Times New Roman" w:cs="Times New Roman"/>
          <w:sz w:val="24"/>
          <w:szCs w:val="24"/>
        </w:rPr>
        <w:t xml:space="preserve"> measures the ability to use its quick assets (cash and cash equivalents, marketable securities and accounts receivable) to pay its current liabilities. </w:t>
      </w:r>
      <w:r>
        <w:rPr>
          <w:rFonts w:ascii="Times New Roman" w:eastAsia="Times New Roman" w:hAnsi="Times New Roman" w:cs="Times New Roman"/>
          <w:sz w:val="24"/>
          <w:szCs w:val="24"/>
        </w:rPr>
        <w:t xml:space="preserve">This </w:t>
      </w:r>
      <w:r w:rsidR="0043614D" w:rsidRPr="004D1ECD">
        <w:rPr>
          <w:rFonts w:ascii="Times New Roman" w:eastAsia="Times New Roman" w:hAnsi="Times New Roman" w:cs="Times New Roman"/>
          <w:sz w:val="24"/>
          <w:szCs w:val="24"/>
        </w:rPr>
        <w:t xml:space="preserve">ratio higher means company has many cash or has facing problem in collecting accounts receivable. Lower of the ratio indicates they rely on inventory too much. </w:t>
      </w:r>
      <w:r w:rsidR="0043614D">
        <w:rPr>
          <w:rFonts w:ascii="Times New Roman" w:eastAsia="Times New Roman" w:hAnsi="Times New Roman" w:cs="Times New Roman"/>
          <w:sz w:val="24"/>
          <w:szCs w:val="24"/>
        </w:rPr>
        <w:t>S</w:t>
      </w:r>
      <w:r w:rsidR="0043614D" w:rsidRPr="004D1ECD">
        <w:rPr>
          <w:rFonts w:ascii="Times New Roman" w:eastAsia="Times New Roman" w:hAnsi="Times New Roman" w:cs="Times New Roman"/>
          <w:sz w:val="24"/>
          <w:szCs w:val="24"/>
        </w:rPr>
        <w:t xml:space="preserve">o we can conclude </w:t>
      </w:r>
      <w:r w:rsidR="0043614D">
        <w:rPr>
          <w:rFonts w:ascii="Times New Roman" w:eastAsia="Times New Roman" w:hAnsi="Times New Roman" w:cs="Times New Roman"/>
          <w:sz w:val="24"/>
          <w:szCs w:val="24"/>
        </w:rPr>
        <w:t>these years company relies on inventory</w:t>
      </w:r>
      <w:r w:rsidR="00547533">
        <w:rPr>
          <w:rFonts w:ascii="Times New Roman" w:eastAsia="Times New Roman" w:hAnsi="Times New Roman" w:cs="Times New Roman"/>
          <w:sz w:val="24"/>
          <w:szCs w:val="24"/>
        </w:rPr>
        <w:t xml:space="preserve"> but 2015.</w:t>
      </w:r>
    </w:p>
    <w:p w:rsidR="0043614D" w:rsidRPr="00A15E21" w:rsidRDefault="0043614D" w:rsidP="00327EB2">
      <w:pPr>
        <w:pStyle w:val="NoSpacing"/>
      </w:pPr>
      <w:r w:rsidRPr="00A15E21">
        <w:t>Cash Ratio</w:t>
      </w:r>
    </w:p>
    <w:tbl>
      <w:tblPr>
        <w:tblStyle w:val="TableGrid"/>
        <w:tblW w:w="0" w:type="auto"/>
        <w:tblLook w:val="04A0" w:firstRow="1" w:lastRow="0" w:firstColumn="1" w:lastColumn="0" w:noHBand="0" w:noVBand="1"/>
      </w:tblPr>
      <w:tblGrid>
        <w:gridCol w:w="3192"/>
        <w:gridCol w:w="3192"/>
        <w:gridCol w:w="3192"/>
      </w:tblGrid>
      <w:tr w:rsidR="0043614D" w:rsidTr="002A063A">
        <w:tc>
          <w:tcPr>
            <w:tcW w:w="3192" w:type="dxa"/>
          </w:tcPr>
          <w:p w:rsidR="0043614D" w:rsidRDefault="0043614D" w:rsidP="002A063A">
            <w:pPr>
              <w:jc w:val="center"/>
              <w:rPr>
                <w:rFonts w:ascii="Times New Roman" w:hAnsi="Times New Roman" w:cs="Times New Roman"/>
              </w:rPr>
            </w:pPr>
            <w:r>
              <w:rPr>
                <w:rFonts w:ascii="Times New Roman" w:hAnsi="Times New Roman" w:cs="Times New Roman"/>
                <w:noProof/>
              </w:rPr>
              <w:t>2016</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2015</w:t>
            </w:r>
          </w:p>
        </w:tc>
        <w:tc>
          <w:tcPr>
            <w:tcW w:w="3192" w:type="dxa"/>
          </w:tcPr>
          <w:p w:rsidR="0043614D" w:rsidRDefault="0043614D" w:rsidP="002A063A">
            <w:pPr>
              <w:jc w:val="center"/>
              <w:rPr>
                <w:rFonts w:ascii="Times New Roman" w:hAnsi="Times New Roman" w:cs="Times New Roman"/>
              </w:rPr>
            </w:pPr>
            <w:r>
              <w:rPr>
                <w:rFonts w:ascii="Times New Roman" w:hAnsi="Times New Roman" w:cs="Times New Roman"/>
              </w:rPr>
              <w:t>2014</w:t>
            </w:r>
          </w:p>
        </w:tc>
      </w:tr>
      <w:tr w:rsidR="0043614D" w:rsidTr="002A063A">
        <w:tc>
          <w:tcPr>
            <w:tcW w:w="3192" w:type="dxa"/>
            <w:vAlign w:val="bottom"/>
          </w:tcPr>
          <w:p w:rsidR="0043614D" w:rsidRDefault="00547533" w:rsidP="002A063A">
            <w:pPr>
              <w:jc w:val="center"/>
              <w:rPr>
                <w:rFonts w:ascii="Calibri" w:hAnsi="Calibri" w:cs="Calibri"/>
                <w:color w:val="000000"/>
              </w:rPr>
            </w:pPr>
            <w:r>
              <w:rPr>
                <w:rFonts w:ascii="Calibri" w:hAnsi="Calibri" w:cs="Calibri"/>
                <w:color w:val="000000"/>
              </w:rPr>
              <w:t>3.27</w:t>
            </w:r>
          </w:p>
        </w:tc>
        <w:tc>
          <w:tcPr>
            <w:tcW w:w="3192" w:type="dxa"/>
            <w:vAlign w:val="bottom"/>
          </w:tcPr>
          <w:p w:rsidR="0043614D" w:rsidRDefault="00547533" w:rsidP="002A063A">
            <w:pPr>
              <w:jc w:val="center"/>
              <w:rPr>
                <w:rFonts w:ascii="Calibri" w:hAnsi="Calibri" w:cs="Calibri"/>
                <w:color w:val="000000"/>
              </w:rPr>
            </w:pPr>
            <w:r>
              <w:rPr>
                <w:rFonts w:ascii="Calibri" w:hAnsi="Calibri" w:cs="Calibri"/>
                <w:color w:val="000000"/>
              </w:rPr>
              <w:t>0.047</w:t>
            </w:r>
          </w:p>
        </w:tc>
        <w:tc>
          <w:tcPr>
            <w:tcW w:w="3192" w:type="dxa"/>
            <w:vAlign w:val="bottom"/>
          </w:tcPr>
          <w:p w:rsidR="0043614D" w:rsidRDefault="0043614D" w:rsidP="002A063A">
            <w:pPr>
              <w:jc w:val="center"/>
              <w:rPr>
                <w:rFonts w:ascii="Calibri" w:hAnsi="Calibri" w:cs="Calibri"/>
                <w:color w:val="000000"/>
              </w:rPr>
            </w:pPr>
            <w:r>
              <w:rPr>
                <w:rFonts w:ascii="Calibri" w:hAnsi="Calibri" w:cs="Calibri"/>
                <w:color w:val="000000"/>
              </w:rPr>
              <w:t>0.</w:t>
            </w:r>
            <w:r w:rsidR="00547533">
              <w:rPr>
                <w:rFonts w:ascii="Calibri" w:hAnsi="Calibri" w:cs="Calibri"/>
                <w:color w:val="000000"/>
              </w:rPr>
              <w:t>0082</w:t>
            </w:r>
          </w:p>
        </w:tc>
      </w:tr>
    </w:tbl>
    <w:p w:rsidR="0043614D" w:rsidRPr="00BA29FD" w:rsidRDefault="0043614D" w:rsidP="0043614D"/>
    <w:p w:rsidR="0043614D" w:rsidRDefault="0043614D" w:rsidP="0043614D">
      <w:pPr>
        <w:rPr>
          <w:b/>
        </w:rPr>
      </w:pPr>
      <w:r w:rsidRPr="00612C3F">
        <w:rPr>
          <w:b/>
          <w:noProof/>
        </w:rPr>
        <w:lastRenderedPageBreak/>
        <w:drawing>
          <wp:inline distT="0" distB="0" distL="0" distR="0">
            <wp:extent cx="2609850" cy="1543050"/>
            <wp:effectExtent l="19050" t="0" r="19050" b="0"/>
            <wp:docPr id="7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rsidR="00000CE9" w:rsidRPr="00FE50EF" w:rsidRDefault="00000CE9" w:rsidP="00000CE9">
      <w:pPr>
        <w:jc w:val="both"/>
        <w:rPr>
          <w:b/>
        </w:rPr>
      </w:pPr>
      <w:r>
        <w:rPr>
          <w:rFonts w:ascii="Times New Roman" w:eastAsia="Times New Roman" w:hAnsi="Times New Roman" w:cs="Times New Roman"/>
          <w:sz w:val="24"/>
          <w:szCs w:val="24"/>
        </w:rPr>
        <w:t>This ratio measures the liquidity of a company, the ability to pay its supplier short term liabilities with cash. Cash ratio is more liquid and stricter than quick ratio and current ratio.</w:t>
      </w:r>
    </w:p>
    <w:p w:rsidR="0043614D" w:rsidRDefault="00547533" w:rsidP="00547533">
      <w:pPr>
        <w:tabs>
          <w:tab w:val="left" w:pos="6168"/>
        </w:tabs>
        <w:spacing w:after="0" w:line="276" w:lineRule="auto"/>
        <w:jc w:val="both"/>
        <w:rPr>
          <w:rFonts w:ascii="Times New Roman" w:hAnsi="Times New Roman" w:cs="Times New Roman"/>
        </w:rPr>
      </w:pPr>
      <w:r>
        <w:rPr>
          <w:rFonts w:ascii="Times New Roman" w:eastAsia="Times New Roman" w:hAnsi="Times New Roman" w:cs="Times New Roman"/>
          <w:color w:val="000000"/>
          <w:sz w:val="24"/>
          <w:szCs w:val="24"/>
        </w:rPr>
        <w:t>Square Pharmaceuticals Ltd</w:t>
      </w:r>
      <w:r w:rsidR="0087008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cash ratio for years (2014-2015</w:t>
      </w:r>
      <w:r w:rsidR="0043614D">
        <w:rPr>
          <w:rFonts w:ascii="Times New Roman" w:eastAsia="Times New Roman" w:hAnsi="Times New Roman" w:cs="Times New Roman"/>
          <w:sz w:val="24"/>
          <w:szCs w:val="24"/>
        </w:rPr>
        <w:t>) is in small amount</w:t>
      </w:r>
      <w:r>
        <w:rPr>
          <w:rFonts w:ascii="Times New Roman" w:eastAsia="Times New Roman" w:hAnsi="Times New Roman" w:cs="Times New Roman"/>
          <w:sz w:val="24"/>
          <w:szCs w:val="24"/>
        </w:rPr>
        <w:t xml:space="preserve"> but in 2016 cash amount was high.</w:t>
      </w:r>
    </w:p>
    <w:p w:rsidR="0043614D" w:rsidRDefault="0043614D" w:rsidP="00AA4E14">
      <w:pPr>
        <w:jc w:val="center"/>
        <w:rPr>
          <w:rFonts w:ascii="Times New Roman" w:hAnsi="Times New Roman" w:cs="Times New Roman"/>
        </w:rPr>
      </w:pPr>
    </w:p>
    <w:p w:rsidR="00DF279A" w:rsidRDefault="00DF279A" w:rsidP="00DF279A">
      <w:pPr>
        <w:pStyle w:val="Heading1"/>
      </w:pPr>
    </w:p>
    <w:p w:rsidR="00DF279A" w:rsidRDefault="00DF279A" w:rsidP="00DF279A"/>
    <w:p w:rsidR="00DF279A" w:rsidRDefault="00DF279A" w:rsidP="00DF279A">
      <w:pPr>
        <w:pStyle w:val="Heading1"/>
        <w:rPr>
          <w:rFonts w:asciiTheme="minorHAnsi" w:eastAsiaTheme="minorHAnsi" w:hAnsiTheme="minorHAnsi" w:cstheme="minorBidi"/>
          <w:color w:val="auto"/>
          <w:sz w:val="22"/>
          <w:szCs w:val="22"/>
        </w:rPr>
      </w:pPr>
    </w:p>
    <w:p w:rsidR="005F45BE" w:rsidRDefault="005F45BE" w:rsidP="005F45BE"/>
    <w:p w:rsidR="006E7438" w:rsidRPr="007915BB" w:rsidRDefault="006E7438" w:rsidP="007915BB">
      <w:pPr>
        <w:spacing w:after="200" w:line="276" w:lineRule="auto"/>
        <w:rPr>
          <w:rFonts w:asciiTheme="majorHAnsi" w:eastAsiaTheme="majorEastAsia" w:hAnsiTheme="majorHAnsi" w:cstheme="majorBidi"/>
          <w:b/>
          <w:color w:val="4F6228" w:themeColor="accent3" w:themeShade="80"/>
          <w:sz w:val="32"/>
          <w:szCs w:val="32"/>
        </w:rPr>
        <w:sectPr w:rsidR="006E7438" w:rsidRPr="007915BB" w:rsidSect="006E7438">
          <w:pgSz w:w="12240" w:h="15840" w:code="1"/>
          <w:pgMar w:top="1440" w:right="1440" w:bottom="1440" w:left="1440" w:header="720" w:footer="720" w:gutter="0"/>
          <w:pgNumType w:start="1"/>
          <w:cols w:space="720"/>
          <w:docGrid w:linePitch="360"/>
        </w:sectPr>
      </w:pPr>
    </w:p>
    <w:tbl>
      <w:tblPr>
        <w:tblStyle w:val="TableGrid"/>
        <w:tblW w:w="14791" w:type="dxa"/>
        <w:jc w:val="center"/>
        <w:tblInd w:w="-908" w:type="dxa"/>
        <w:tblLook w:val="04A0" w:firstRow="1" w:lastRow="0" w:firstColumn="1" w:lastColumn="0" w:noHBand="0" w:noVBand="1"/>
      </w:tblPr>
      <w:tblGrid>
        <w:gridCol w:w="1978"/>
        <w:gridCol w:w="718"/>
        <w:gridCol w:w="718"/>
        <w:gridCol w:w="718"/>
        <w:gridCol w:w="718"/>
        <w:gridCol w:w="718"/>
        <w:gridCol w:w="718"/>
        <w:gridCol w:w="718"/>
        <w:gridCol w:w="718"/>
        <w:gridCol w:w="718"/>
        <w:gridCol w:w="718"/>
        <w:gridCol w:w="718"/>
        <w:gridCol w:w="718"/>
        <w:gridCol w:w="718"/>
        <w:gridCol w:w="718"/>
        <w:gridCol w:w="718"/>
        <w:gridCol w:w="607"/>
        <w:gridCol w:w="718"/>
        <w:gridCol w:w="718"/>
      </w:tblGrid>
      <w:tr w:rsidR="00B864A1" w:rsidTr="006E7438">
        <w:trPr>
          <w:trHeight w:val="721"/>
          <w:jc w:val="center"/>
        </w:trPr>
        <w:tc>
          <w:tcPr>
            <w:tcW w:w="0" w:type="auto"/>
            <w:gridSpan w:val="19"/>
          </w:tcPr>
          <w:p w:rsidR="00B864A1" w:rsidRPr="002D7B0E" w:rsidRDefault="00A41782" w:rsidP="002D7B0E">
            <w:pPr>
              <w:pStyle w:val="Heading1"/>
              <w:jc w:val="center"/>
              <w:outlineLvl w:val="0"/>
              <w:rPr>
                <w:b/>
                <w:color w:val="4F6228" w:themeColor="accent3" w:themeShade="80"/>
              </w:rPr>
            </w:pPr>
            <w:bookmarkStart w:id="43" w:name="_Toc18627826"/>
            <w:r w:rsidRPr="002D7B0E">
              <w:rPr>
                <w:b/>
                <w:color w:val="4F6228" w:themeColor="accent3" w:themeShade="80"/>
              </w:rPr>
              <w:lastRenderedPageBreak/>
              <w:t>Comparing three types of companies Ratios</w:t>
            </w:r>
            <w:bookmarkEnd w:id="43"/>
          </w:p>
        </w:tc>
      </w:tr>
      <w:tr w:rsidR="00074AD7" w:rsidTr="006E7438">
        <w:trPr>
          <w:trHeight w:val="551"/>
          <w:jc w:val="center"/>
        </w:trPr>
        <w:tc>
          <w:tcPr>
            <w:tcW w:w="0" w:type="auto"/>
          </w:tcPr>
          <w:p w:rsidR="00B864A1" w:rsidRPr="005F45BE" w:rsidRDefault="00B864A1" w:rsidP="005F45BE">
            <w:pPr>
              <w:jc w:val="center"/>
              <w:rPr>
                <w:b/>
              </w:rPr>
            </w:pPr>
          </w:p>
        </w:tc>
        <w:tc>
          <w:tcPr>
            <w:tcW w:w="0" w:type="auto"/>
            <w:gridSpan w:val="6"/>
          </w:tcPr>
          <w:p w:rsidR="00B864A1" w:rsidRPr="002D7B0E" w:rsidRDefault="00B864A1" w:rsidP="005F45BE">
            <w:pPr>
              <w:jc w:val="center"/>
              <w:rPr>
                <w:b/>
                <w:color w:val="943634" w:themeColor="accent2" w:themeShade="BF"/>
              </w:rPr>
            </w:pPr>
            <w:r w:rsidRPr="002D7B0E">
              <w:rPr>
                <w:b/>
                <w:color w:val="943634" w:themeColor="accent2" w:themeShade="BF"/>
              </w:rPr>
              <w:t>Food Companies</w:t>
            </w:r>
          </w:p>
        </w:tc>
        <w:tc>
          <w:tcPr>
            <w:tcW w:w="0" w:type="auto"/>
            <w:gridSpan w:val="6"/>
          </w:tcPr>
          <w:p w:rsidR="00B864A1" w:rsidRPr="002D7B0E" w:rsidRDefault="00B864A1" w:rsidP="005F45BE">
            <w:pPr>
              <w:jc w:val="center"/>
              <w:rPr>
                <w:b/>
                <w:color w:val="943634" w:themeColor="accent2" w:themeShade="BF"/>
              </w:rPr>
            </w:pPr>
            <w:r w:rsidRPr="002D7B0E">
              <w:rPr>
                <w:b/>
                <w:color w:val="943634" w:themeColor="accent2" w:themeShade="BF"/>
              </w:rPr>
              <w:t>Textile Companies</w:t>
            </w:r>
          </w:p>
        </w:tc>
        <w:tc>
          <w:tcPr>
            <w:tcW w:w="0" w:type="auto"/>
            <w:gridSpan w:val="6"/>
          </w:tcPr>
          <w:p w:rsidR="00B864A1" w:rsidRPr="002D7B0E" w:rsidRDefault="00B864A1" w:rsidP="005F45BE">
            <w:pPr>
              <w:jc w:val="center"/>
              <w:rPr>
                <w:b/>
                <w:color w:val="943634" w:themeColor="accent2" w:themeShade="BF"/>
              </w:rPr>
            </w:pPr>
            <w:r w:rsidRPr="002D7B0E">
              <w:rPr>
                <w:b/>
                <w:color w:val="943634" w:themeColor="accent2" w:themeShade="BF"/>
              </w:rPr>
              <w:t>Pharmaceuticals Companies</w:t>
            </w:r>
          </w:p>
        </w:tc>
      </w:tr>
      <w:tr w:rsidR="005C4580" w:rsidTr="006E7438">
        <w:trPr>
          <w:trHeight w:val="592"/>
          <w:jc w:val="center"/>
        </w:trPr>
        <w:tc>
          <w:tcPr>
            <w:tcW w:w="0" w:type="auto"/>
          </w:tcPr>
          <w:p w:rsidR="00B864A1" w:rsidRPr="00B864A1" w:rsidRDefault="00B864A1" w:rsidP="005F45BE">
            <w:pPr>
              <w:rPr>
                <w:color w:val="4F6228" w:themeColor="accent3" w:themeShade="80"/>
              </w:rPr>
            </w:pPr>
          </w:p>
        </w:tc>
        <w:tc>
          <w:tcPr>
            <w:tcW w:w="0" w:type="auto"/>
            <w:gridSpan w:val="3"/>
          </w:tcPr>
          <w:p w:rsidR="00B864A1" w:rsidRPr="00B864A1" w:rsidRDefault="00B864A1" w:rsidP="005F45BE">
            <w:pPr>
              <w:rPr>
                <w:color w:val="4F6228" w:themeColor="accent3" w:themeShade="80"/>
              </w:rPr>
            </w:pPr>
            <w:r w:rsidRPr="00B864A1">
              <w:rPr>
                <w:color w:val="4F6228" w:themeColor="accent3" w:themeShade="80"/>
              </w:rPr>
              <w:t>ACI Food</w:t>
            </w:r>
          </w:p>
        </w:tc>
        <w:tc>
          <w:tcPr>
            <w:tcW w:w="0" w:type="auto"/>
            <w:gridSpan w:val="3"/>
          </w:tcPr>
          <w:p w:rsidR="00B864A1" w:rsidRPr="00B864A1" w:rsidRDefault="00B864A1" w:rsidP="005F45BE">
            <w:pPr>
              <w:rPr>
                <w:color w:val="4F6228" w:themeColor="accent3" w:themeShade="80"/>
              </w:rPr>
            </w:pPr>
            <w:r w:rsidRPr="00B864A1">
              <w:rPr>
                <w:color w:val="4F6228" w:themeColor="accent3" w:themeShade="80"/>
              </w:rPr>
              <w:t>Appex Food</w:t>
            </w:r>
          </w:p>
        </w:tc>
        <w:tc>
          <w:tcPr>
            <w:tcW w:w="0" w:type="auto"/>
            <w:gridSpan w:val="3"/>
          </w:tcPr>
          <w:p w:rsidR="00B864A1" w:rsidRPr="00B864A1" w:rsidRDefault="00B864A1" w:rsidP="005F45BE">
            <w:pPr>
              <w:rPr>
                <w:color w:val="4F6228" w:themeColor="accent3" w:themeShade="80"/>
              </w:rPr>
            </w:pPr>
            <w:r w:rsidRPr="00B864A1">
              <w:rPr>
                <w:color w:val="4F6228" w:themeColor="accent3" w:themeShade="80"/>
              </w:rPr>
              <w:t>Appex Textile</w:t>
            </w:r>
          </w:p>
        </w:tc>
        <w:tc>
          <w:tcPr>
            <w:tcW w:w="0" w:type="auto"/>
            <w:gridSpan w:val="3"/>
          </w:tcPr>
          <w:p w:rsidR="00B864A1" w:rsidRPr="00B864A1" w:rsidRDefault="00B864A1" w:rsidP="005F45BE">
            <w:pPr>
              <w:rPr>
                <w:color w:val="4F6228" w:themeColor="accent3" w:themeShade="80"/>
              </w:rPr>
            </w:pPr>
            <w:r w:rsidRPr="00B864A1">
              <w:rPr>
                <w:color w:val="4F6228" w:themeColor="accent3" w:themeShade="80"/>
              </w:rPr>
              <w:t>Square Textile</w:t>
            </w:r>
          </w:p>
        </w:tc>
        <w:tc>
          <w:tcPr>
            <w:tcW w:w="0" w:type="auto"/>
            <w:gridSpan w:val="3"/>
          </w:tcPr>
          <w:p w:rsidR="00B864A1" w:rsidRPr="00B864A1" w:rsidRDefault="00B864A1" w:rsidP="005F45BE">
            <w:pPr>
              <w:rPr>
                <w:color w:val="4F6228" w:themeColor="accent3" w:themeShade="80"/>
              </w:rPr>
            </w:pPr>
            <w:r w:rsidRPr="00B864A1">
              <w:rPr>
                <w:color w:val="4F6228" w:themeColor="accent3" w:themeShade="80"/>
              </w:rPr>
              <w:t>Beximco Pharma</w:t>
            </w:r>
          </w:p>
        </w:tc>
        <w:tc>
          <w:tcPr>
            <w:tcW w:w="0" w:type="auto"/>
            <w:gridSpan w:val="3"/>
          </w:tcPr>
          <w:p w:rsidR="00B864A1" w:rsidRPr="00B864A1" w:rsidRDefault="00B864A1" w:rsidP="005F45BE">
            <w:pPr>
              <w:rPr>
                <w:color w:val="4F6228" w:themeColor="accent3" w:themeShade="80"/>
              </w:rPr>
            </w:pPr>
            <w:r w:rsidRPr="00B864A1">
              <w:rPr>
                <w:color w:val="4F6228" w:themeColor="accent3" w:themeShade="80"/>
              </w:rPr>
              <w:t>Square Pharma</w:t>
            </w:r>
          </w:p>
        </w:tc>
      </w:tr>
      <w:tr w:rsidR="006E7438" w:rsidTr="006E7438">
        <w:trPr>
          <w:trHeight w:val="571"/>
          <w:jc w:val="center"/>
        </w:trPr>
        <w:tc>
          <w:tcPr>
            <w:tcW w:w="0" w:type="auto"/>
          </w:tcPr>
          <w:p w:rsidR="00B864A1" w:rsidRDefault="00B864A1" w:rsidP="005F45BE">
            <w:r>
              <w:t>Year of 2000</w:t>
            </w:r>
          </w:p>
        </w:tc>
        <w:tc>
          <w:tcPr>
            <w:tcW w:w="0" w:type="auto"/>
          </w:tcPr>
          <w:p w:rsidR="00B864A1" w:rsidRDefault="00B864A1" w:rsidP="005F45BE">
            <w:r>
              <w:t>16</w:t>
            </w:r>
          </w:p>
        </w:tc>
        <w:tc>
          <w:tcPr>
            <w:tcW w:w="0" w:type="auto"/>
          </w:tcPr>
          <w:p w:rsidR="00B864A1" w:rsidRDefault="00B864A1" w:rsidP="005F45BE">
            <w:r>
              <w:t>15</w:t>
            </w:r>
          </w:p>
        </w:tc>
        <w:tc>
          <w:tcPr>
            <w:tcW w:w="0" w:type="auto"/>
          </w:tcPr>
          <w:p w:rsidR="00B864A1" w:rsidRDefault="00B864A1" w:rsidP="005F45BE">
            <w:r>
              <w:t>14</w:t>
            </w:r>
          </w:p>
        </w:tc>
        <w:tc>
          <w:tcPr>
            <w:tcW w:w="0" w:type="auto"/>
          </w:tcPr>
          <w:p w:rsidR="00B864A1" w:rsidRDefault="00B864A1" w:rsidP="005F45BE">
            <w:r>
              <w:t>16</w:t>
            </w:r>
          </w:p>
        </w:tc>
        <w:tc>
          <w:tcPr>
            <w:tcW w:w="0" w:type="auto"/>
          </w:tcPr>
          <w:p w:rsidR="00B864A1" w:rsidRDefault="00B864A1" w:rsidP="005F45BE">
            <w:r>
              <w:t>15</w:t>
            </w:r>
          </w:p>
        </w:tc>
        <w:tc>
          <w:tcPr>
            <w:tcW w:w="0" w:type="auto"/>
          </w:tcPr>
          <w:p w:rsidR="00B864A1" w:rsidRDefault="00B864A1" w:rsidP="005F45BE">
            <w:r>
              <w:t>14</w:t>
            </w:r>
          </w:p>
        </w:tc>
        <w:tc>
          <w:tcPr>
            <w:tcW w:w="0" w:type="auto"/>
          </w:tcPr>
          <w:p w:rsidR="00B864A1" w:rsidRDefault="00B864A1" w:rsidP="005F45BE">
            <w:r>
              <w:t>16</w:t>
            </w:r>
          </w:p>
        </w:tc>
        <w:tc>
          <w:tcPr>
            <w:tcW w:w="0" w:type="auto"/>
          </w:tcPr>
          <w:p w:rsidR="00B864A1" w:rsidRDefault="00B864A1" w:rsidP="005F45BE">
            <w:r>
              <w:t>15</w:t>
            </w:r>
          </w:p>
        </w:tc>
        <w:tc>
          <w:tcPr>
            <w:tcW w:w="0" w:type="auto"/>
          </w:tcPr>
          <w:p w:rsidR="00B864A1" w:rsidRDefault="00B864A1" w:rsidP="005F45BE">
            <w:r>
              <w:t>14</w:t>
            </w:r>
          </w:p>
        </w:tc>
        <w:tc>
          <w:tcPr>
            <w:tcW w:w="0" w:type="auto"/>
          </w:tcPr>
          <w:p w:rsidR="00B864A1" w:rsidRDefault="00B864A1" w:rsidP="005F45BE">
            <w:r>
              <w:t>16</w:t>
            </w:r>
          </w:p>
        </w:tc>
        <w:tc>
          <w:tcPr>
            <w:tcW w:w="0" w:type="auto"/>
          </w:tcPr>
          <w:p w:rsidR="00B864A1" w:rsidRDefault="00B864A1" w:rsidP="005F45BE">
            <w:r>
              <w:t>15</w:t>
            </w:r>
          </w:p>
        </w:tc>
        <w:tc>
          <w:tcPr>
            <w:tcW w:w="0" w:type="auto"/>
          </w:tcPr>
          <w:p w:rsidR="00B864A1" w:rsidRDefault="00B864A1" w:rsidP="005F45BE">
            <w:r>
              <w:t>14</w:t>
            </w:r>
          </w:p>
        </w:tc>
        <w:tc>
          <w:tcPr>
            <w:tcW w:w="0" w:type="auto"/>
          </w:tcPr>
          <w:p w:rsidR="00B864A1" w:rsidRDefault="00B864A1" w:rsidP="005F45BE">
            <w:r>
              <w:t>16</w:t>
            </w:r>
          </w:p>
        </w:tc>
        <w:tc>
          <w:tcPr>
            <w:tcW w:w="0" w:type="auto"/>
          </w:tcPr>
          <w:p w:rsidR="00B864A1" w:rsidRDefault="00B864A1" w:rsidP="005F45BE">
            <w:r>
              <w:t>15</w:t>
            </w:r>
          </w:p>
        </w:tc>
        <w:tc>
          <w:tcPr>
            <w:tcW w:w="0" w:type="auto"/>
          </w:tcPr>
          <w:p w:rsidR="00B864A1" w:rsidRDefault="00B864A1" w:rsidP="005F45BE">
            <w:r>
              <w:t>14</w:t>
            </w:r>
          </w:p>
        </w:tc>
        <w:tc>
          <w:tcPr>
            <w:tcW w:w="0" w:type="auto"/>
          </w:tcPr>
          <w:p w:rsidR="00B864A1" w:rsidRDefault="00B864A1" w:rsidP="005F45BE">
            <w:r>
              <w:t>16</w:t>
            </w:r>
          </w:p>
        </w:tc>
        <w:tc>
          <w:tcPr>
            <w:tcW w:w="0" w:type="auto"/>
          </w:tcPr>
          <w:p w:rsidR="00B864A1" w:rsidRDefault="00B864A1" w:rsidP="005F45BE">
            <w:r>
              <w:t>15</w:t>
            </w:r>
          </w:p>
        </w:tc>
        <w:tc>
          <w:tcPr>
            <w:tcW w:w="0" w:type="auto"/>
          </w:tcPr>
          <w:p w:rsidR="00B864A1" w:rsidRDefault="00B864A1" w:rsidP="005F45BE">
            <w:r>
              <w:t>14</w:t>
            </w:r>
          </w:p>
        </w:tc>
      </w:tr>
      <w:tr w:rsidR="006E7438" w:rsidTr="006E7438">
        <w:trPr>
          <w:trHeight w:val="551"/>
          <w:jc w:val="center"/>
        </w:trPr>
        <w:tc>
          <w:tcPr>
            <w:tcW w:w="0" w:type="auto"/>
          </w:tcPr>
          <w:p w:rsidR="005C4580" w:rsidRDefault="005C4580" w:rsidP="005F45BE">
            <w:r>
              <w:t>CCC</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133.3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194.5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172.7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132.0</w:t>
            </w:r>
          </w:p>
        </w:tc>
        <w:tc>
          <w:tcPr>
            <w:tcW w:w="0" w:type="auto"/>
            <w:vAlign w:val="bottom"/>
          </w:tcPr>
          <w:p w:rsidR="005C4580" w:rsidRDefault="005C4580">
            <w:pPr>
              <w:jc w:val="center"/>
              <w:rPr>
                <w:rFonts w:ascii="Calibri" w:hAnsi="Calibri" w:cs="Calibri"/>
                <w:color w:val="000000"/>
              </w:rPr>
            </w:pP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79.7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-17.2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-11.3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187.6</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69.1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92.4</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168.7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168.7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173.3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70.4</w:t>
            </w:r>
          </w:p>
        </w:tc>
        <w:tc>
          <w:tcPr>
            <w:tcW w:w="0" w:type="auto"/>
            <w:vAlign w:val="bottom"/>
          </w:tcPr>
          <w:p w:rsidR="005C4580" w:rsidRDefault="005C4580">
            <w:pPr>
              <w:jc w:val="center"/>
              <w:rPr>
                <w:rFonts w:ascii="Calibri" w:hAnsi="Calibri" w:cs="Calibri"/>
                <w:color w:val="000000"/>
              </w:rPr>
            </w:pP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21.3</w:t>
            </w:r>
          </w:p>
        </w:tc>
      </w:tr>
      <w:tr w:rsidR="006E7438" w:rsidTr="006E7438">
        <w:trPr>
          <w:trHeight w:val="551"/>
          <w:jc w:val="center"/>
        </w:trPr>
        <w:tc>
          <w:tcPr>
            <w:tcW w:w="0" w:type="auto"/>
          </w:tcPr>
          <w:p w:rsidR="005C4580" w:rsidRDefault="005C4580" w:rsidP="005F45BE">
            <w:r>
              <w:t>WC turnover</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4.9</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7.9</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6.6</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8.0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13.8</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20.7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25.0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20.2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2.8</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3.6</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-2.5</w:t>
            </w:r>
          </w:p>
        </w:tc>
      </w:tr>
      <w:tr w:rsidR="006E7438" w:rsidTr="006E7438">
        <w:trPr>
          <w:trHeight w:val="571"/>
          <w:jc w:val="center"/>
        </w:trPr>
        <w:tc>
          <w:tcPr>
            <w:tcW w:w="0" w:type="auto"/>
          </w:tcPr>
          <w:p w:rsidR="005C4580" w:rsidRDefault="005C4580" w:rsidP="005F45BE">
            <w:r>
              <w:t>CA Turnover</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0.8</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2.6</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1.9</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0.9</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0.8</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0.9</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0.8</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10.3</w:t>
            </w:r>
          </w:p>
        </w:tc>
      </w:tr>
      <w:tr w:rsidR="006E7438" w:rsidTr="006E7438">
        <w:trPr>
          <w:trHeight w:val="551"/>
          <w:jc w:val="center"/>
        </w:trPr>
        <w:tc>
          <w:tcPr>
            <w:tcW w:w="0" w:type="auto"/>
          </w:tcPr>
          <w:p w:rsidR="005C4580" w:rsidRDefault="005C4580" w:rsidP="005F45BE">
            <w:r>
              <w:t>Inv Turnover</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2.4</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2.8</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2.8</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4.4</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16.4</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14.4</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11.7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6.3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5.4</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2.4</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2.4</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5.1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21.5</w:t>
            </w:r>
          </w:p>
        </w:tc>
      </w:tr>
      <w:tr w:rsidR="006E7438" w:rsidTr="006E7438">
        <w:trPr>
          <w:trHeight w:val="571"/>
          <w:jc w:val="center"/>
        </w:trPr>
        <w:tc>
          <w:tcPr>
            <w:tcW w:w="0" w:type="auto"/>
          </w:tcPr>
          <w:p w:rsidR="005C4580" w:rsidRDefault="005C4580" w:rsidP="005F45BE">
            <w:r>
              <w:t>DIH</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113.8</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173.6</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151.2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130.5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130.6</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83.5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22.3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25.3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31.2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102.8</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58.3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67.2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152.1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145.2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149.1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71.7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384.0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16.9</w:t>
            </w:r>
          </w:p>
        </w:tc>
      </w:tr>
      <w:tr w:rsidR="006E7438" w:rsidTr="006E7438">
        <w:trPr>
          <w:trHeight w:val="551"/>
          <w:jc w:val="center"/>
        </w:trPr>
        <w:tc>
          <w:tcPr>
            <w:tcW w:w="0" w:type="auto"/>
          </w:tcPr>
          <w:p w:rsidR="005C4580" w:rsidRDefault="005C4580" w:rsidP="005F45BE">
            <w:r>
              <w:t>RM Inv Turnover</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4.0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3.9</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0.8</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4.1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8.8</w:t>
            </w:r>
          </w:p>
        </w:tc>
        <w:tc>
          <w:tcPr>
            <w:tcW w:w="0" w:type="auto"/>
            <w:vAlign w:val="bottom"/>
          </w:tcPr>
          <w:p w:rsidR="005C4580" w:rsidRDefault="005C4580">
            <w:pPr>
              <w:jc w:val="center"/>
              <w:rPr>
                <w:rFonts w:ascii="Calibri" w:hAnsi="Calibri" w:cs="Calibri"/>
                <w:color w:val="000000"/>
              </w:rPr>
            </w:pP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5.7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6.5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7.1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17.2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5.9</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6.4</w:t>
            </w:r>
          </w:p>
        </w:tc>
      </w:tr>
      <w:tr w:rsidR="006E7438" w:rsidTr="006E7438">
        <w:trPr>
          <w:trHeight w:val="571"/>
          <w:jc w:val="center"/>
        </w:trPr>
        <w:tc>
          <w:tcPr>
            <w:tcW w:w="0" w:type="auto"/>
          </w:tcPr>
          <w:p w:rsidR="005C4580" w:rsidRDefault="005C4580" w:rsidP="005F45BE">
            <w:r>
              <w:t>NO. days holding RM</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173.9</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90.8</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92.7</w:t>
            </w:r>
          </w:p>
        </w:tc>
        <w:tc>
          <w:tcPr>
            <w:tcW w:w="0" w:type="auto"/>
            <w:vAlign w:val="bottom"/>
          </w:tcPr>
          <w:p w:rsidR="005C4580" w:rsidRDefault="005C4580" w:rsidP="00074AD7">
            <w:pPr>
              <w:rPr>
                <w:rFonts w:ascii="Calibri" w:hAnsi="Calibri" w:cs="Calibri"/>
                <w:color w:val="000000"/>
              </w:rPr>
            </w:pPr>
          </w:p>
        </w:tc>
        <w:tc>
          <w:tcPr>
            <w:tcW w:w="0" w:type="auto"/>
            <w:vAlign w:val="bottom"/>
          </w:tcPr>
          <w:p w:rsidR="005C4580" w:rsidRDefault="005C4580" w:rsidP="00074AD7">
            <w:pPr>
              <w:rPr>
                <w:rFonts w:ascii="Calibri" w:hAnsi="Calibri" w:cs="Calibri"/>
                <w:color w:val="000000"/>
              </w:rPr>
            </w:pPr>
          </w:p>
        </w:tc>
        <w:tc>
          <w:tcPr>
            <w:tcW w:w="0" w:type="auto"/>
            <w:vAlign w:val="bottom"/>
          </w:tcPr>
          <w:p w:rsidR="005C4580" w:rsidRDefault="005C4580">
            <w:pPr>
              <w:jc w:val="center"/>
              <w:rPr>
                <w:rFonts w:ascii="Calibri" w:hAnsi="Calibri" w:cs="Calibri"/>
                <w:color w:val="000000"/>
              </w:rPr>
            </w:pP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288.0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297.6</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447.4</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89.8</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41.7</w:t>
            </w:r>
          </w:p>
        </w:tc>
        <w:tc>
          <w:tcPr>
            <w:tcW w:w="0" w:type="auto"/>
            <w:vAlign w:val="bottom"/>
          </w:tcPr>
          <w:p w:rsidR="005C4580" w:rsidRDefault="005C4580">
            <w:pPr>
              <w:jc w:val="center"/>
              <w:rPr>
                <w:rFonts w:ascii="Calibri" w:hAnsi="Calibri" w:cs="Calibri"/>
                <w:color w:val="000000"/>
              </w:rPr>
            </w:pP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64.2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55.8</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51.7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21.2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62.1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56.7</w:t>
            </w:r>
          </w:p>
        </w:tc>
      </w:tr>
      <w:tr w:rsidR="006E7438" w:rsidTr="006E7438">
        <w:trPr>
          <w:trHeight w:val="551"/>
          <w:jc w:val="center"/>
        </w:trPr>
        <w:tc>
          <w:tcPr>
            <w:tcW w:w="0" w:type="auto"/>
          </w:tcPr>
          <w:p w:rsidR="005C4580" w:rsidRDefault="005C4580" w:rsidP="0066477A">
            <w:r>
              <w:t>WIP Inv Turnover</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89.8</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56.3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86.4</w:t>
            </w:r>
          </w:p>
        </w:tc>
        <w:tc>
          <w:tcPr>
            <w:tcW w:w="0" w:type="auto"/>
            <w:vAlign w:val="bottom"/>
          </w:tcPr>
          <w:p w:rsidR="005C4580" w:rsidRDefault="005C4580">
            <w:pPr>
              <w:jc w:val="center"/>
              <w:rPr>
                <w:rFonts w:ascii="Calibri" w:hAnsi="Calibri" w:cs="Calibri"/>
                <w:color w:val="000000"/>
              </w:rPr>
            </w:pPr>
          </w:p>
        </w:tc>
        <w:tc>
          <w:tcPr>
            <w:tcW w:w="0" w:type="auto"/>
            <w:vAlign w:val="bottom"/>
          </w:tcPr>
          <w:p w:rsidR="005C4580" w:rsidRDefault="005C4580">
            <w:pPr>
              <w:jc w:val="center"/>
              <w:rPr>
                <w:rFonts w:ascii="Calibri" w:hAnsi="Calibri" w:cs="Calibri"/>
                <w:color w:val="000000"/>
              </w:rPr>
            </w:pPr>
          </w:p>
        </w:tc>
        <w:tc>
          <w:tcPr>
            <w:tcW w:w="0" w:type="auto"/>
            <w:vAlign w:val="bottom"/>
          </w:tcPr>
          <w:p w:rsidR="005C4580" w:rsidRDefault="005C4580">
            <w:pPr>
              <w:jc w:val="center"/>
              <w:rPr>
                <w:rFonts w:ascii="Calibri" w:hAnsi="Calibri" w:cs="Calibri"/>
                <w:color w:val="000000"/>
              </w:rPr>
            </w:pP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51.2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49.2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31.1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80.4</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193.0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159.6</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75.5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35.9</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35.5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75.4</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2.8</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6.2</w:t>
            </w:r>
          </w:p>
        </w:tc>
      </w:tr>
      <w:tr w:rsidR="006E7438" w:rsidTr="006E7438">
        <w:trPr>
          <w:trHeight w:val="571"/>
          <w:jc w:val="center"/>
        </w:trPr>
        <w:tc>
          <w:tcPr>
            <w:tcW w:w="0" w:type="auto"/>
          </w:tcPr>
          <w:p w:rsidR="005C4580" w:rsidRPr="0066477A" w:rsidRDefault="005C4580" w:rsidP="00747569">
            <w:pPr>
              <w:rPr>
                <w:i/>
              </w:rPr>
            </w:pPr>
            <w:r>
              <w:t>FG InvTurnover</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4.9</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66.3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85.9</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918.4</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48.0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172.0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236.9</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12.8</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10.9</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9.6</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18.1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0.6</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1.5</w:t>
            </w:r>
          </w:p>
        </w:tc>
      </w:tr>
      <w:tr w:rsidR="006E7438" w:rsidTr="006E7438">
        <w:trPr>
          <w:trHeight w:val="551"/>
          <w:jc w:val="center"/>
        </w:trPr>
        <w:tc>
          <w:tcPr>
            <w:tcW w:w="0" w:type="auto"/>
          </w:tcPr>
          <w:p w:rsidR="005C4580" w:rsidRDefault="005C4580" w:rsidP="005F45BE">
            <w:r>
              <w:t>FG Storage period</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75.1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114.2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99.7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315.5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379.4</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358.3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5.5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4.2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0.4</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7.6</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28.4</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33.5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37.9</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20.2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646.9</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239.3</w:t>
            </w:r>
          </w:p>
        </w:tc>
      </w:tr>
      <w:tr w:rsidR="006E7438" w:rsidTr="006E7438">
        <w:trPr>
          <w:trHeight w:val="571"/>
          <w:jc w:val="center"/>
        </w:trPr>
        <w:tc>
          <w:tcPr>
            <w:tcW w:w="0" w:type="auto"/>
          </w:tcPr>
          <w:p w:rsidR="005C4580" w:rsidRDefault="005C4580" w:rsidP="005F45BE">
            <w:r>
              <w:t>Receivable Turnover</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10.0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7.5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9.1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52.6</w:t>
            </w:r>
          </w:p>
        </w:tc>
        <w:tc>
          <w:tcPr>
            <w:tcW w:w="0" w:type="auto"/>
            <w:vAlign w:val="bottom"/>
          </w:tcPr>
          <w:p w:rsidR="005C4580" w:rsidRDefault="005C4580">
            <w:pPr>
              <w:jc w:val="center"/>
              <w:rPr>
                <w:rFonts w:ascii="Calibri" w:hAnsi="Calibri" w:cs="Calibri"/>
                <w:color w:val="000000"/>
              </w:rPr>
            </w:pP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128.5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7.8</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5.0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7.5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4.0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7.7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5.4</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7.2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7.7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8.0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25.3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9.2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52.3</w:t>
            </w:r>
          </w:p>
        </w:tc>
      </w:tr>
      <w:tr w:rsidR="006E7438" w:rsidTr="006E7438">
        <w:trPr>
          <w:trHeight w:val="551"/>
          <w:jc w:val="center"/>
        </w:trPr>
        <w:tc>
          <w:tcPr>
            <w:tcW w:w="0" w:type="auto"/>
          </w:tcPr>
          <w:p w:rsidR="005C4580" w:rsidRDefault="005C4580" w:rsidP="005F45BE">
            <w:r>
              <w:lastRenderedPageBreak/>
              <w:t>DSO</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36.5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48.9</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40.0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6.9</w:t>
            </w:r>
          </w:p>
        </w:tc>
        <w:tc>
          <w:tcPr>
            <w:tcW w:w="0" w:type="auto"/>
            <w:vAlign w:val="bottom"/>
          </w:tcPr>
          <w:p w:rsidR="005C4580" w:rsidRDefault="005C4580">
            <w:pPr>
              <w:jc w:val="center"/>
              <w:rPr>
                <w:rFonts w:ascii="Calibri" w:hAnsi="Calibri" w:cs="Calibri"/>
                <w:color w:val="000000"/>
              </w:rPr>
            </w:pP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2.8</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46.6</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72.9</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49.0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90.8</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47.4</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68.0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51.0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47.3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45.5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14.4</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39.5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7.0</w:t>
            </w:r>
          </w:p>
        </w:tc>
      </w:tr>
      <w:tr w:rsidR="006E7438" w:rsidTr="006E7438">
        <w:trPr>
          <w:trHeight w:val="571"/>
          <w:jc w:val="center"/>
        </w:trPr>
        <w:tc>
          <w:tcPr>
            <w:tcW w:w="0" w:type="auto"/>
          </w:tcPr>
          <w:p w:rsidR="005C4580" w:rsidRDefault="005C4580" w:rsidP="005F45BE">
            <w:r>
              <w:t>Cash Turnover</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12.4</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9.0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7.5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19.5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62.7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0.6</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13.6</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14.2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12.1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0.6</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9.0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60.5</w:t>
            </w:r>
          </w:p>
        </w:tc>
      </w:tr>
      <w:tr w:rsidR="006E7438" w:rsidTr="006E7438">
        <w:trPr>
          <w:trHeight w:val="571"/>
          <w:jc w:val="center"/>
        </w:trPr>
        <w:tc>
          <w:tcPr>
            <w:tcW w:w="0" w:type="auto"/>
          </w:tcPr>
          <w:p w:rsidR="005C4580" w:rsidRDefault="005C4580" w:rsidP="005F45BE">
            <w:r>
              <w:t>Payable Turnover</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21.5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13.1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19.7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66.3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41.0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55.3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4.2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3.6</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4.0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59.5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10.0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8.5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10.6</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15.3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17.1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23.1</w:t>
            </w:r>
          </w:p>
        </w:tc>
        <w:tc>
          <w:tcPr>
            <w:tcW w:w="0" w:type="auto"/>
            <w:vAlign w:val="bottom"/>
          </w:tcPr>
          <w:p w:rsidR="005C4580" w:rsidRDefault="005C4580">
            <w:pPr>
              <w:jc w:val="center"/>
              <w:rPr>
                <w:rFonts w:ascii="Calibri" w:hAnsi="Calibri" w:cs="Calibri"/>
                <w:color w:val="000000"/>
              </w:rPr>
            </w:pP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138.9</w:t>
            </w:r>
          </w:p>
        </w:tc>
      </w:tr>
      <w:tr w:rsidR="006E7438" w:rsidTr="006E7438">
        <w:trPr>
          <w:trHeight w:val="571"/>
          <w:jc w:val="center"/>
        </w:trPr>
        <w:tc>
          <w:tcPr>
            <w:tcW w:w="0" w:type="auto"/>
          </w:tcPr>
          <w:p w:rsidR="005C4580" w:rsidRDefault="005C4580" w:rsidP="005F45BE">
            <w:r>
              <w:t>DPO</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17.0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27.9</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18.5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5.5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8.9</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6.6</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86.0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100.4</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91.5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6.1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36.6</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42.9</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34.4</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23.8</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21.4</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15.8</w:t>
            </w:r>
          </w:p>
        </w:tc>
        <w:tc>
          <w:tcPr>
            <w:tcW w:w="0" w:type="auto"/>
            <w:vAlign w:val="bottom"/>
          </w:tcPr>
          <w:p w:rsidR="005C4580" w:rsidRDefault="005C4580">
            <w:pPr>
              <w:jc w:val="center"/>
              <w:rPr>
                <w:rFonts w:ascii="Calibri" w:hAnsi="Calibri" w:cs="Calibri"/>
                <w:color w:val="000000"/>
              </w:rPr>
            </w:pP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2.6</w:t>
            </w:r>
          </w:p>
        </w:tc>
      </w:tr>
      <w:tr w:rsidR="006E7438" w:rsidTr="006E7438">
        <w:trPr>
          <w:trHeight w:val="551"/>
          <w:jc w:val="center"/>
        </w:trPr>
        <w:tc>
          <w:tcPr>
            <w:tcW w:w="0" w:type="auto"/>
          </w:tcPr>
          <w:p w:rsidR="005C4580" w:rsidRDefault="005C4580" w:rsidP="005F45BE">
            <w:r>
              <w:t>Current Ratio</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1.6</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2.9</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1.8</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6.6</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0.8</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0.1</w:t>
            </w:r>
          </w:p>
        </w:tc>
      </w:tr>
      <w:tr w:rsidR="006E7438" w:rsidTr="006E7438">
        <w:trPr>
          <w:trHeight w:val="589"/>
          <w:jc w:val="center"/>
        </w:trPr>
        <w:tc>
          <w:tcPr>
            <w:tcW w:w="0" w:type="auto"/>
          </w:tcPr>
          <w:p w:rsidR="005C4580" w:rsidRDefault="005C4580" w:rsidP="005F45BE">
            <w:r>
              <w:t>Quick Ratio</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0.4</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0.4</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0.8</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0.9</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0.8</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1.6</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1.5</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0.8</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3.8</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10.9</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0.1</w:t>
            </w:r>
          </w:p>
        </w:tc>
      </w:tr>
      <w:tr w:rsidR="006E7438" w:rsidTr="006E7438">
        <w:trPr>
          <w:trHeight w:val="589"/>
          <w:jc w:val="center"/>
        </w:trPr>
        <w:tc>
          <w:tcPr>
            <w:tcW w:w="0" w:type="auto"/>
          </w:tcPr>
          <w:p w:rsidR="005C4580" w:rsidRDefault="005C4580" w:rsidP="005F45BE">
            <w:r>
              <w:t>Cash Ratio</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0.4</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0.2</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0.4</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0.7</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0.4</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0.1</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3.3</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0.0</w:t>
            </w:r>
          </w:p>
        </w:tc>
        <w:tc>
          <w:tcPr>
            <w:tcW w:w="0" w:type="auto"/>
            <w:vAlign w:val="bottom"/>
          </w:tcPr>
          <w:p w:rsidR="005C4580" w:rsidRDefault="005C4580">
            <w:pPr>
              <w:jc w:val="right"/>
              <w:rPr>
                <w:rFonts w:ascii="Calibri" w:hAnsi="Calibri" w:cs="Calibri"/>
                <w:color w:val="000000"/>
              </w:rPr>
            </w:pPr>
            <w:r>
              <w:rPr>
                <w:rFonts w:ascii="Calibri" w:hAnsi="Calibri" w:cs="Calibri"/>
                <w:color w:val="000000"/>
              </w:rPr>
              <w:t>0.0</w:t>
            </w:r>
          </w:p>
        </w:tc>
      </w:tr>
    </w:tbl>
    <w:p w:rsidR="006E7438" w:rsidRDefault="006E7438" w:rsidP="005F45BE">
      <w:pPr>
        <w:sectPr w:rsidR="006E7438" w:rsidSect="000470E6">
          <w:pgSz w:w="15840" w:h="12240" w:orient="landscape" w:code="1"/>
          <w:pgMar w:top="1440" w:right="1440" w:bottom="1440" w:left="1440" w:header="720" w:footer="720" w:gutter="0"/>
          <w:cols w:space="720"/>
          <w:docGrid w:linePitch="360"/>
        </w:sectPr>
      </w:pPr>
    </w:p>
    <w:p w:rsidR="005F45BE" w:rsidRDefault="005F45BE" w:rsidP="005F45BE"/>
    <w:p w:rsidR="005F45BE" w:rsidRDefault="005F45BE" w:rsidP="005F45BE"/>
    <w:p w:rsidR="005F45BE" w:rsidRDefault="005F45BE" w:rsidP="005F45BE"/>
    <w:p w:rsidR="005F45BE" w:rsidRDefault="005F45BE" w:rsidP="005F45BE"/>
    <w:p w:rsidR="005F45BE" w:rsidRDefault="005F45BE" w:rsidP="005F45BE"/>
    <w:p w:rsidR="005F45BE" w:rsidRDefault="002A6ACF" w:rsidP="00003043">
      <w:pPr>
        <w:pStyle w:val="Heading2"/>
      </w:pPr>
      <w:bookmarkStart w:id="44" w:name="_Toc18627827"/>
      <w:r>
        <w:t xml:space="preserve">Findings and </w:t>
      </w:r>
      <w:r w:rsidR="00003043">
        <w:t>Comments after analyzing the companies</w:t>
      </w:r>
      <w:bookmarkEnd w:id="44"/>
    </w:p>
    <w:p w:rsidR="00003043" w:rsidRDefault="00003043" w:rsidP="00584A0D">
      <w:pPr>
        <w:pStyle w:val="ListParagraph"/>
        <w:numPr>
          <w:ilvl w:val="0"/>
          <w:numId w:val="4"/>
        </w:numPr>
        <w:jc w:val="both"/>
      </w:pPr>
      <w:r>
        <w:t>Cash conversion cycle period is lowest for textile companies throughout these years. So, textile sector worked efficiently with their working capital.</w:t>
      </w:r>
    </w:p>
    <w:p w:rsidR="00003043" w:rsidRDefault="00003043" w:rsidP="00584A0D">
      <w:pPr>
        <w:pStyle w:val="ListParagraph"/>
        <w:numPr>
          <w:ilvl w:val="0"/>
          <w:numId w:val="4"/>
        </w:numPr>
        <w:jc w:val="both"/>
      </w:pPr>
      <w:r>
        <w:t>Higher working capital turnover ratio indicates company doing great in their operations so, Textile Company done well in this sector.</w:t>
      </w:r>
    </w:p>
    <w:p w:rsidR="00003043" w:rsidRDefault="00003043" w:rsidP="00584A0D">
      <w:pPr>
        <w:pStyle w:val="ListParagraph"/>
        <w:numPr>
          <w:ilvl w:val="0"/>
          <w:numId w:val="4"/>
        </w:numPr>
        <w:jc w:val="both"/>
      </w:pPr>
      <w:r>
        <w:t>Food and Textile sector have done well in Current asset turnover ratios in these years.</w:t>
      </w:r>
    </w:p>
    <w:p w:rsidR="00003043" w:rsidRDefault="00003043" w:rsidP="00584A0D">
      <w:pPr>
        <w:pStyle w:val="ListParagraph"/>
        <w:numPr>
          <w:ilvl w:val="0"/>
          <w:numId w:val="4"/>
        </w:numPr>
        <w:jc w:val="both"/>
      </w:pPr>
      <w:r>
        <w:t xml:space="preserve">In the Inventory turnover ratio textile company also clearly ahead for their </w:t>
      </w:r>
      <w:r w:rsidR="00C71CEF">
        <w:t>highest ratios.</w:t>
      </w:r>
    </w:p>
    <w:p w:rsidR="00C71CEF" w:rsidRDefault="00C71CEF" w:rsidP="00584A0D">
      <w:pPr>
        <w:pStyle w:val="ListParagraph"/>
        <w:numPr>
          <w:ilvl w:val="0"/>
          <w:numId w:val="4"/>
        </w:numPr>
        <w:jc w:val="both"/>
      </w:pPr>
      <w:r>
        <w:t>In Daily inventory sales textile company also sold their inventory earlier.</w:t>
      </w:r>
    </w:p>
    <w:p w:rsidR="00C71CEF" w:rsidRDefault="00C71CEF" w:rsidP="00584A0D">
      <w:pPr>
        <w:pStyle w:val="ListParagraph"/>
        <w:numPr>
          <w:ilvl w:val="0"/>
          <w:numId w:val="4"/>
        </w:numPr>
        <w:jc w:val="both"/>
      </w:pPr>
      <w:r>
        <w:t>In Raw materials inventory turnover each sector done great.</w:t>
      </w:r>
    </w:p>
    <w:p w:rsidR="00C71CEF" w:rsidRDefault="00C71CEF" w:rsidP="00584A0D">
      <w:pPr>
        <w:pStyle w:val="ListParagraph"/>
        <w:numPr>
          <w:ilvl w:val="0"/>
          <w:numId w:val="4"/>
        </w:numPr>
        <w:jc w:val="both"/>
      </w:pPr>
      <w:r>
        <w:t>Lower days of holding raw materials is good for companies usually, here pharmaceuticals sector done well.</w:t>
      </w:r>
    </w:p>
    <w:p w:rsidR="00C71CEF" w:rsidRDefault="00C71CEF" w:rsidP="00584A0D">
      <w:pPr>
        <w:pStyle w:val="ListParagraph"/>
        <w:numPr>
          <w:ilvl w:val="0"/>
          <w:numId w:val="4"/>
        </w:numPr>
        <w:jc w:val="both"/>
      </w:pPr>
      <w:r>
        <w:t>Small amounts of work in process inventory turnover make company more efficient, here pharmaceuticals company done great.</w:t>
      </w:r>
    </w:p>
    <w:p w:rsidR="00C71CEF" w:rsidRDefault="00C71CEF" w:rsidP="00584A0D">
      <w:pPr>
        <w:pStyle w:val="ListParagraph"/>
        <w:numPr>
          <w:ilvl w:val="0"/>
          <w:numId w:val="4"/>
        </w:numPr>
        <w:jc w:val="both"/>
      </w:pPr>
      <w:r>
        <w:t xml:space="preserve">Lower finished goods turnover is good for companies, these years Food and Pharmaceuticals worked efficiently for </w:t>
      </w:r>
      <w:r w:rsidR="002C0D20">
        <w:t>selling finished goods inventory.</w:t>
      </w:r>
    </w:p>
    <w:p w:rsidR="002C0D20" w:rsidRDefault="00747569" w:rsidP="00584A0D">
      <w:pPr>
        <w:pStyle w:val="ListParagraph"/>
        <w:numPr>
          <w:ilvl w:val="0"/>
          <w:numId w:val="4"/>
        </w:numPr>
        <w:jc w:val="both"/>
      </w:pPr>
      <w:r>
        <w:t>In every sector finished good storage period maintained properly, it depends on companies strategy.</w:t>
      </w:r>
    </w:p>
    <w:p w:rsidR="00747569" w:rsidRDefault="00747569" w:rsidP="00584A0D">
      <w:pPr>
        <w:pStyle w:val="ListParagraph"/>
        <w:numPr>
          <w:ilvl w:val="0"/>
          <w:numId w:val="4"/>
        </w:numPr>
        <w:jc w:val="both"/>
      </w:pPr>
      <w:r>
        <w:t>For lower Receivable turnover Textile and pharmaceuticals depended on credit sales.</w:t>
      </w:r>
    </w:p>
    <w:p w:rsidR="00747569" w:rsidRDefault="00A24999" w:rsidP="00584A0D">
      <w:pPr>
        <w:pStyle w:val="ListParagraph"/>
        <w:numPr>
          <w:ilvl w:val="0"/>
          <w:numId w:val="4"/>
        </w:numPr>
        <w:jc w:val="both"/>
      </w:pPr>
      <w:r>
        <w:t>Lower Days sales outstanding considered good for company, every sector performed moderately.</w:t>
      </w:r>
    </w:p>
    <w:p w:rsidR="00A24999" w:rsidRDefault="00A24999" w:rsidP="00584A0D">
      <w:pPr>
        <w:pStyle w:val="ListParagraph"/>
        <w:numPr>
          <w:ilvl w:val="0"/>
          <w:numId w:val="4"/>
        </w:numPr>
        <w:jc w:val="both"/>
      </w:pPr>
      <w:r>
        <w:t>Food companies had enough cash to meet their suppliers.</w:t>
      </w:r>
    </w:p>
    <w:p w:rsidR="00A24999" w:rsidRDefault="00A24999" w:rsidP="00584A0D">
      <w:pPr>
        <w:pStyle w:val="ListParagraph"/>
        <w:numPr>
          <w:ilvl w:val="0"/>
          <w:numId w:val="4"/>
        </w:numPr>
        <w:jc w:val="both"/>
      </w:pPr>
      <w:r>
        <w:t xml:space="preserve">Payable turnover ratio </w:t>
      </w:r>
      <w:r w:rsidR="0040667F">
        <w:t>lowe</w:t>
      </w:r>
      <w:r>
        <w:t xml:space="preserve">r </w:t>
      </w:r>
      <w:r w:rsidR="0040667F">
        <w:t>means companies delayed to their creditors, each sector didn’t want to delay their creditors. But, Appex textile delayed through two years to meet their credits.</w:t>
      </w:r>
    </w:p>
    <w:p w:rsidR="0040667F" w:rsidRDefault="0040667F" w:rsidP="00584A0D">
      <w:pPr>
        <w:pStyle w:val="ListParagraph"/>
        <w:numPr>
          <w:ilvl w:val="0"/>
          <w:numId w:val="4"/>
        </w:numPr>
        <w:jc w:val="both"/>
      </w:pPr>
      <w:r>
        <w:t>Food and Textile sector was prepare for their creditor to meet the liabilities.</w:t>
      </w:r>
    </w:p>
    <w:p w:rsidR="0040667F" w:rsidRDefault="0040667F" w:rsidP="00584A0D">
      <w:pPr>
        <w:pStyle w:val="ListParagraph"/>
        <w:numPr>
          <w:ilvl w:val="0"/>
          <w:numId w:val="4"/>
        </w:numPr>
        <w:jc w:val="both"/>
      </w:pPr>
      <w:r>
        <w:t>Only the textile sector was strong in quick ratio.</w:t>
      </w:r>
    </w:p>
    <w:p w:rsidR="0040667F" w:rsidRPr="00003043" w:rsidRDefault="0040667F" w:rsidP="00584A0D">
      <w:pPr>
        <w:pStyle w:val="ListParagraph"/>
        <w:numPr>
          <w:ilvl w:val="0"/>
          <w:numId w:val="4"/>
        </w:numPr>
        <w:jc w:val="both"/>
      </w:pPr>
      <w:r>
        <w:t>None of these companies had cash regularly for meeting suppliers or grabbing any opportunities.</w:t>
      </w:r>
    </w:p>
    <w:p w:rsidR="005F45BE" w:rsidRDefault="005F45BE" w:rsidP="005F45BE"/>
    <w:p w:rsidR="005F45BE" w:rsidRDefault="005F45BE" w:rsidP="005F45BE"/>
    <w:p w:rsidR="005F45BE" w:rsidRDefault="005F45BE" w:rsidP="005F45BE"/>
    <w:p w:rsidR="005F45BE" w:rsidRDefault="005F45BE" w:rsidP="005F45BE"/>
    <w:p w:rsidR="005F45BE" w:rsidRPr="005F45BE" w:rsidRDefault="005F45BE" w:rsidP="005F45BE"/>
    <w:p w:rsidR="00DF279A" w:rsidRDefault="00DF279A" w:rsidP="00DF279A">
      <w:pPr>
        <w:pStyle w:val="Heading1"/>
      </w:pPr>
      <w:bookmarkStart w:id="45" w:name="_Toc18627828"/>
      <w:r>
        <w:lastRenderedPageBreak/>
        <w:t>Conclusion</w:t>
      </w:r>
      <w:bookmarkEnd w:id="45"/>
    </w:p>
    <w:p w:rsidR="00DF279A" w:rsidRPr="004D1ECD" w:rsidRDefault="00B27EC3" w:rsidP="00DF279A">
      <w:pPr>
        <w:keepNext/>
        <w:keepLines/>
        <w:spacing w:before="480" w:after="0" w:line="276" w:lineRule="auto"/>
        <w:jc w:val="both"/>
        <w:outlineLvl w:val="0"/>
        <w:rPr>
          <w:rFonts w:ascii="Times New Roman" w:hAnsi="Times New Roman" w:cs="Times New Roman"/>
          <w:sz w:val="24"/>
          <w:szCs w:val="24"/>
        </w:rPr>
      </w:pPr>
      <w:r>
        <w:rPr>
          <w:rFonts w:ascii="Times New Roman" w:hAnsi="Times New Roman" w:cs="Times New Roman"/>
          <w:sz w:val="24"/>
          <w:szCs w:val="24"/>
        </w:rPr>
        <w:t>If we want to measure cash flow health of a company then we need to take a deep look of its working capital management.</w:t>
      </w:r>
      <w:bookmarkStart w:id="46" w:name="_Toc13531272"/>
      <w:bookmarkStart w:id="47" w:name="_Toc15731294"/>
      <w:bookmarkStart w:id="48" w:name="_Toc15731486"/>
      <w:bookmarkStart w:id="49" w:name="_Toc15941328"/>
      <w:bookmarkStart w:id="50" w:name="_Toc17270430"/>
      <w:bookmarkStart w:id="51" w:name="_Toc18627830"/>
      <w:r w:rsidR="001411F7">
        <w:rPr>
          <w:rFonts w:ascii="Times New Roman" w:hAnsi="Times New Roman" w:cs="Times New Roman"/>
          <w:sz w:val="24"/>
          <w:szCs w:val="24"/>
        </w:rPr>
        <w:t xml:space="preserve"> </w:t>
      </w:r>
      <w:r w:rsidR="00DF279A" w:rsidRPr="004D1ECD">
        <w:rPr>
          <w:rFonts w:ascii="Times New Roman" w:hAnsi="Times New Roman" w:cs="Times New Roman"/>
          <w:sz w:val="24"/>
          <w:szCs w:val="24"/>
        </w:rPr>
        <w:t xml:space="preserve">Working capital management of </w:t>
      </w:r>
      <w:r w:rsidR="00DF279A">
        <w:rPr>
          <w:rFonts w:ascii="Times New Roman" w:eastAsia="Times New Roman" w:hAnsi="Times New Roman" w:cs="Times New Roman"/>
          <w:sz w:val="24"/>
          <w:szCs w:val="24"/>
        </w:rPr>
        <w:t xml:space="preserve">six </w:t>
      </w:r>
      <w:r w:rsidR="00870082">
        <w:rPr>
          <w:rFonts w:ascii="Times New Roman" w:eastAsia="Times New Roman" w:hAnsi="Times New Roman" w:cs="Times New Roman"/>
          <w:sz w:val="24"/>
          <w:szCs w:val="24"/>
        </w:rPr>
        <w:t xml:space="preserve">companies </w:t>
      </w:r>
      <w:r>
        <w:rPr>
          <w:rFonts w:ascii="Times New Roman" w:hAnsi="Times New Roman" w:cs="Times New Roman"/>
          <w:sz w:val="24"/>
          <w:szCs w:val="24"/>
        </w:rPr>
        <w:t>is</w:t>
      </w:r>
      <w:r w:rsidR="00DF279A" w:rsidRPr="004D1ECD">
        <w:rPr>
          <w:rFonts w:ascii="Times New Roman" w:hAnsi="Times New Roman" w:cs="Times New Roman"/>
          <w:sz w:val="24"/>
          <w:szCs w:val="24"/>
        </w:rPr>
        <w:t xml:space="preserve"> moderately effective. </w:t>
      </w:r>
      <w:r>
        <w:rPr>
          <w:rFonts w:ascii="Times New Roman" w:hAnsi="Times New Roman" w:cs="Times New Roman"/>
          <w:sz w:val="24"/>
          <w:szCs w:val="24"/>
        </w:rPr>
        <w:t xml:space="preserve">They have faced some problem to manage their inventory and debtors. In liquidity companies cannot do very well. They cannot hold the ratio of liquidity over years. So, they were facing trouble to meet their suppliers.   </w:t>
      </w:r>
      <w:bookmarkEnd w:id="46"/>
      <w:bookmarkEnd w:id="47"/>
      <w:bookmarkEnd w:id="48"/>
      <w:bookmarkEnd w:id="49"/>
      <w:bookmarkEnd w:id="50"/>
      <w:bookmarkEnd w:id="51"/>
      <w:r w:rsidR="001411F7">
        <w:rPr>
          <w:rFonts w:ascii="Times New Roman" w:hAnsi="Times New Roman" w:cs="Times New Roman"/>
          <w:sz w:val="24"/>
          <w:szCs w:val="24"/>
        </w:rPr>
        <w:t>So, repayment of current liabilities became difficult for companies.</w:t>
      </w:r>
    </w:p>
    <w:p w:rsidR="00DF279A" w:rsidRPr="004D1ECD" w:rsidRDefault="00DF279A" w:rsidP="001411F7">
      <w:pPr>
        <w:keepNext/>
        <w:keepLines/>
        <w:spacing w:before="480" w:after="0" w:line="276" w:lineRule="auto"/>
        <w:jc w:val="both"/>
        <w:outlineLvl w:val="0"/>
        <w:rPr>
          <w:rFonts w:ascii="Times New Roman" w:eastAsia="Calibri" w:hAnsi="Times New Roman" w:cs="Times New Roman"/>
          <w:color w:val="000000"/>
          <w:sz w:val="24"/>
          <w:szCs w:val="24"/>
        </w:rPr>
      </w:pPr>
      <w:bookmarkStart w:id="52" w:name="_Toc13531273"/>
      <w:bookmarkStart w:id="53" w:name="_Toc15731295"/>
      <w:bookmarkStart w:id="54" w:name="_Toc15731487"/>
      <w:bookmarkStart w:id="55" w:name="_Toc15941329"/>
      <w:bookmarkStart w:id="56" w:name="_Toc17270431"/>
      <w:bookmarkStart w:id="57" w:name="_Toc18627831"/>
      <w:r w:rsidRPr="004D1ECD">
        <w:rPr>
          <w:rFonts w:ascii="Times New Roman" w:hAnsi="Times New Roman" w:cs="Times New Roman"/>
          <w:sz w:val="24"/>
          <w:szCs w:val="24"/>
        </w:rPr>
        <w:t>Working Capital Management</w:t>
      </w:r>
      <w:r w:rsidR="001411F7">
        <w:rPr>
          <w:rFonts w:ascii="Times New Roman" w:hAnsi="Times New Roman" w:cs="Times New Roman"/>
          <w:sz w:val="24"/>
          <w:szCs w:val="24"/>
        </w:rPr>
        <w:t xml:space="preserve"> plays a important role for these companies</w:t>
      </w:r>
      <w:r w:rsidRPr="004D1ECD">
        <w:rPr>
          <w:rFonts w:ascii="Times New Roman" w:hAnsi="Times New Roman" w:cs="Times New Roman"/>
          <w:sz w:val="24"/>
          <w:szCs w:val="24"/>
        </w:rPr>
        <w:t xml:space="preserve">. </w:t>
      </w:r>
      <w:r w:rsidR="001411F7">
        <w:rPr>
          <w:rFonts w:ascii="Times New Roman" w:hAnsi="Times New Roman" w:cs="Times New Roman"/>
          <w:sz w:val="24"/>
          <w:szCs w:val="24"/>
        </w:rPr>
        <w:t xml:space="preserve">Now market competition is increasing day by day. So companies can face that challenges through proper control of working capital like </w:t>
      </w:r>
      <w:r w:rsidRPr="004D1ECD">
        <w:rPr>
          <w:rFonts w:ascii="Times New Roman" w:hAnsi="Times New Roman" w:cs="Times New Roman"/>
          <w:sz w:val="24"/>
          <w:szCs w:val="24"/>
        </w:rPr>
        <w:t xml:space="preserve">reduce the Days Sales Outstanding (DSO) &amp; Days Inventory Outstanding (DIO) and increase the Days Payable Outstanding (DPO) that will affect positively in the cash conversion cycle, </w:t>
      </w:r>
      <w:r w:rsidR="001411F7">
        <w:rPr>
          <w:rFonts w:ascii="Times New Roman" w:hAnsi="Times New Roman" w:cs="Times New Roman"/>
          <w:sz w:val="24"/>
          <w:szCs w:val="24"/>
        </w:rPr>
        <w:t>after that</w:t>
      </w:r>
      <w:r w:rsidRPr="004D1ECD">
        <w:rPr>
          <w:rFonts w:ascii="Times New Roman" w:hAnsi="Times New Roman" w:cs="Times New Roman"/>
          <w:sz w:val="24"/>
          <w:szCs w:val="24"/>
        </w:rPr>
        <w:t xml:space="preserve"> </w:t>
      </w:r>
      <w:bookmarkEnd w:id="52"/>
      <w:bookmarkEnd w:id="53"/>
      <w:bookmarkEnd w:id="54"/>
      <w:bookmarkEnd w:id="55"/>
      <w:bookmarkEnd w:id="56"/>
      <w:bookmarkEnd w:id="57"/>
      <w:r w:rsidR="001411F7">
        <w:rPr>
          <w:rFonts w:ascii="Times New Roman" w:hAnsi="Times New Roman" w:cs="Times New Roman"/>
          <w:sz w:val="24"/>
          <w:szCs w:val="24"/>
        </w:rPr>
        <w:t xml:space="preserve">credit management perform of companies </w:t>
      </w:r>
      <w:r w:rsidR="00394555">
        <w:rPr>
          <w:rFonts w:ascii="Times New Roman" w:hAnsi="Times New Roman" w:cs="Times New Roman"/>
          <w:sz w:val="24"/>
          <w:szCs w:val="24"/>
        </w:rPr>
        <w:t>better and it brings overall development of the company.</w:t>
      </w:r>
    </w:p>
    <w:p w:rsidR="00DF279A" w:rsidRPr="00DF279A" w:rsidRDefault="00DF279A" w:rsidP="00DF279A"/>
    <w:p w:rsidR="00DF279A" w:rsidRPr="00DF279A" w:rsidRDefault="00DF279A" w:rsidP="00DF279A"/>
    <w:p w:rsidR="00AA4E14" w:rsidRDefault="00394555" w:rsidP="00394555">
      <w:pPr>
        <w:tabs>
          <w:tab w:val="left" w:pos="7275"/>
        </w:tabs>
        <w:rPr>
          <w:rFonts w:ascii="Times New Roman" w:hAnsi="Times New Roman" w:cs="Times New Roman"/>
        </w:rPr>
      </w:pPr>
      <w:r>
        <w:rPr>
          <w:rFonts w:ascii="Times New Roman" w:hAnsi="Times New Roman" w:cs="Times New Roman"/>
        </w:rPr>
        <w:tab/>
      </w:r>
    </w:p>
    <w:p w:rsidR="00AA4E14" w:rsidRDefault="00AA4E14" w:rsidP="00AA4E14">
      <w:pPr>
        <w:jc w:val="center"/>
        <w:rPr>
          <w:rFonts w:ascii="Times New Roman" w:hAnsi="Times New Roman" w:cs="Times New Roman"/>
        </w:rPr>
      </w:pPr>
    </w:p>
    <w:p w:rsidR="009D5348" w:rsidRDefault="009D5348" w:rsidP="00AA4E14">
      <w:pPr>
        <w:jc w:val="center"/>
        <w:rPr>
          <w:rFonts w:ascii="Times New Roman" w:hAnsi="Times New Roman" w:cs="Times New Roman"/>
        </w:rPr>
      </w:pPr>
    </w:p>
    <w:p w:rsidR="009D5348" w:rsidRDefault="009D5348" w:rsidP="00AA4E14">
      <w:pPr>
        <w:jc w:val="center"/>
        <w:rPr>
          <w:rFonts w:ascii="Times New Roman" w:hAnsi="Times New Roman" w:cs="Times New Roman"/>
        </w:rPr>
      </w:pPr>
    </w:p>
    <w:p w:rsidR="009D5348" w:rsidRDefault="009D5348" w:rsidP="00AA4E14">
      <w:pPr>
        <w:jc w:val="center"/>
        <w:rPr>
          <w:rFonts w:ascii="Times New Roman" w:hAnsi="Times New Roman" w:cs="Times New Roman"/>
        </w:rPr>
      </w:pPr>
    </w:p>
    <w:p w:rsidR="009D5348" w:rsidRDefault="009D5348" w:rsidP="00AA4E14">
      <w:pPr>
        <w:jc w:val="center"/>
        <w:rPr>
          <w:rFonts w:ascii="Times New Roman" w:hAnsi="Times New Roman" w:cs="Times New Roman"/>
        </w:rPr>
      </w:pPr>
    </w:p>
    <w:p w:rsidR="003D0E5E" w:rsidRDefault="003D0E5E" w:rsidP="00AA4E14">
      <w:pPr>
        <w:jc w:val="center"/>
        <w:rPr>
          <w:rFonts w:ascii="Times New Roman" w:hAnsi="Times New Roman" w:cs="Times New Roman"/>
        </w:rPr>
      </w:pPr>
    </w:p>
    <w:p w:rsidR="003D0E5E" w:rsidRDefault="003D0E5E" w:rsidP="00AA4E14">
      <w:pPr>
        <w:jc w:val="center"/>
        <w:rPr>
          <w:rFonts w:ascii="Times New Roman" w:hAnsi="Times New Roman" w:cs="Times New Roman"/>
        </w:rPr>
      </w:pPr>
    </w:p>
    <w:p w:rsidR="003D0E5E" w:rsidRDefault="003D0E5E" w:rsidP="00AA4E14">
      <w:pPr>
        <w:jc w:val="center"/>
        <w:rPr>
          <w:rFonts w:ascii="Times New Roman" w:hAnsi="Times New Roman" w:cs="Times New Roman"/>
        </w:rPr>
      </w:pPr>
    </w:p>
    <w:p w:rsidR="003D0E5E" w:rsidRDefault="003D0E5E" w:rsidP="00AA4E14">
      <w:pPr>
        <w:jc w:val="center"/>
        <w:rPr>
          <w:rFonts w:ascii="Times New Roman" w:hAnsi="Times New Roman" w:cs="Times New Roman"/>
        </w:rPr>
      </w:pPr>
    </w:p>
    <w:p w:rsidR="003D0E5E" w:rsidRDefault="003D0E5E" w:rsidP="00AA4E14">
      <w:pPr>
        <w:jc w:val="center"/>
        <w:rPr>
          <w:rFonts w:ascii="Times New Roman" w:hAnsi="Times New Roman" w:cs="Times New Roman"/>
        </w:rPr>
      </w:pPr>
    </w:p>
    <w:p w:rsidR="003D0E5E" w:rsidRDefault="003D0E5E" w:rsidP="00AA4E14">
      <w:pPr>
        <w:jc w:val="center"/>
        <w:rPr>
          <w:rFonts w:ascii="Times New Roman" w:hAnsi="Times New Roman" w:cs="Times New Roman"/>
        </w:rPr>
      </w:pPr>
    </w:p>
    <w:p w:rsidR="003D0E5E" w:rsidRDefault="003D0E5E" w:rsidP="00AA4E14">
      <w:pPr>
        <w:jc w:val="center"/>
        <w:rPr>
          <w:rFonts w:ascii="Times New Roman" w:hAnsi="Times New Roman" w:cs="Times New Roman"/>
        </w:rPr>
      </w:pPr>
    </w:p>
    <w:p w:rsidR="003D0E5E" w:rsidRDefault="003D0E5E" w:rsidP="00AA4E14">
      <w:pPr>
        <w:jc w:val="center"/>
        <w:rPr>
          <w:rFonts w:ascii="Times New Roman" w:hAnsi="Times New Roman" w:cs="Times New Roman"/>
        </w:rPr>
      </w:pPr>
    </w:p>
    <w:p w:rsidR="009D5348" w:rsidRDefault="009D5348" w:rsidP="00AA4E14">
      <w:pPr>
        <w:jc w:val="center"/>
        <w:rPr>
          <w:rFonts w:ascii="Times New Roman" w:hAnsi="Times New Roman" w:cs="Times New Roman"/>
        </w:rPr>
      </w:pPr>
    </w:p>
    <w:sdt>
      <w:sdtPr>
        <w:rPr>
          <w:rFonts w:asciiTheme="minorHAnsi" w:eastAsiaTheme="minorHAnsi" w:hAnsiTheme="minorHAnsi" w:cstheme="minorBidi"/>
          <w:color w:val="auto"/>
          <w:sz w:val="22"/>
          <w:szCs w:val="22"/>
        </w:rPr>
        <w:id w:val="200337"/>
        <w:docPartObj>
          <w:docPartGallery w:val="Bibliographies"/>
          <w:docPartUnique/>
        </w:docPartObj>
      </w:sdtPr>
      <w:sdtEndPr/>
      <w:sdtContent>
        <w:bookmarkStart w:id="58" w:name="_Toc18627832" w:displacedByCustomXml="prev"/>
        <w:p w:rsidR="00A00C3F" w:rsidRDefault="00A00C3F">
          <w:pPr>
            <w:pStyle w:val="Heading1"/>
          </w:pPr>
          <w:r>
            <w:t>Bibliography</w:t>
          </w:r>
          <w:bookmarkEnd w:id="58"/>
        </w:p>
        <w:sdt>
          <w:sdtPr>
            <w:id w:val="111145805"/>
            <w:bibliography/>
          </w:sdtPr>
          <w:sdtEndPr/>
          <w:sdtContent>
            <w:p w:rsidR="00A00C3F" w:rsidRDefault="00C31EB1" w:rsidP="00A00C3F">
              <w:pPr>
                <w:pStyle w:val="Bibliography"/>
                <w:rPr>
                  <w:noProof/>
                </w:rPr>
              </w:pPr>
              <w:r>
                <w:fldChar w:fldCharType="begin"/>
              </w:r>
              <w:r w:rsidR="00A00C3F">
                <w:instrText xml:space="preserve"> BIBLIOGRAPHY </w:instrText>
              </w:r>
              <w:r>
                <w:fldChar w:fldCharType="separate"/>
              </w:r>
              <w:r w:rsidR="00A00C3F">
                <w:rPr>
                  <w:noProof/>
                </w:rPr>
                <w:t>(2014-2016). Retrieved from Appex textile Limited: https://www.apexknitting.com/FinancialReports.php</w:t>
              </w:r>
            </w:p>
            <w:p w:rsidR="00A00C3F" w:rsidRDefault="00A00C3F" w:rsidP="00A00C3F">
              <w:pPr>
                <w:pStyle w:val="Bibliography"/>
                <w:rPr>
                  <w:noProof/>
                </w:rPr>
              </w:pPr>
              <w:r>
                <w:rPr>
                  <w:noProof/>
                </w:rPr>
                <w:t>(2014-2016). Retrieved from Appex Food Limited: https://www.apexfoods.com/investors-info/financial-reports</w:t>
              </w:r>
            </w:p>
            <w:p w:rsidR="00A00C3F" w:rsidRDefault="00A00C3F" w:rsidP="00A00C3F">
              <w:pPr>
                <w:pStyle w:val="Bibliography"/>
                <w:rPr>
                  <w:noProof/>
                </w:rPr>
              </w:pPr>
              <w:r>
                <w:rPr>
                  <w:noProof/>
                </w:rPr>
                <w:t>(2014-2016). Retrieved from ACI Food Limited: https://www.aci-bd.com/financials/</w:t>
              </w:r>
            </w:p>
            <w:p w:rsidR="00A00C3F" w:rsidRDefault="00A00C3F" w:rsidP="00A00C3F">
              <w:pPr>
                <w:pStyle w:val="Bibliography"/>
                <w:rPr>
                  <w:noProof/>
                </w:rPr>
              </w:pPr>
              <w:r>
                <w:rPr>
                  <w:noProof/>
                </w:rPr>
                <w:t>(2014-2016). Retrieved from Beximco Pharmaceuticals Limited: https://www.beximcopharma.com/investor/financial-reports.html</w:t>
              </w:r>
            </w:p>
            <w:p w:rsidR="00A00C3F" w:rsidRDefault="00A00C3F" w:rsidP="00A00C3F">
              <w:pPr>
                <w:pStyle w:val="Bibliography"/>
                <w:rPr>
                  <w:noProof/>
                </w:rPr>
              </w:pPr>
              <w:r>
                <w:rPr>
                  <w:noProof/>
                </w:rPr>
                <w:t>(2014-2016). Retrieved from Square Pharmaceuticals Limited: http://www.squarepharma.com.bd/annual-reports.php</w:t>
              </w:r>
            </w:p>
            <w:p w:rsidR="00A00C3F" w:rsidRDefault="00A00C3F" w:rsidP="00A00C3F">
              <w:pPr>
                <w:pStyle w:val="Bibliography"/>
                <w:rPr>
                  <w:noProof/>
                </w:rPr>
              </w:pPr>
              <w:r>
                <w:rPr>
                  <w:noProof/>
                </w:rPr>
                <w:t>(2014-25016). Retrieved from Square Textile Limited: https://textile.squaregroup.com/tex_financialStat.html</w:t>
              </w:r>
            </w:p>
            <w:p w:rsidR="00A00C3F" w:rsidRDefault="00C31EB1" w:rsidP="00A00C3F">
              <w:r>
                <w:fldChar w:fldCharType="end"/>
              </w:r>
            </w:p>
          </w:sdtContent>
        </w:sdt>
      </w:sdtContent>
    </w:sdt>
    <w:p w:rsidR="00A00C3F" w:rsidRPr="00400383" w:rsidRDefault="00A00C3F" w:rsidP="009D5348">
      <w:pPr>
        <w:rPr>
          <w:color w:val="4F81BD" w:themeColor="accent1"/>
        </w:rPr>
      </w:pPr>
    </w:p>
    <w:sectPr w:rsidR="00A00C3F" w:rsidRPr="00400383" w:rsidSect="000470E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947" w:rsidRDefault="004E3947" w:rsidP="00B26F80">
      <w:pPr>
        <w:spacing w:after="0" w:line="240" w:lineRule="auto"/>
      </w:pPr>
      <w:r>
        <w:separator/>
      </w:r>
    </w:p>
  </w:endnote>
  <w:endnote w:type="continuationSeparator" w:id="0">
    <w:p w:rsidR="004E3947" w:rsidRDefault="004E3947" w:rsidP="00B26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614"/>
      <w:docPartObj>
        <w:docPartGallery w:val="Page Numbers (Bottom of Page)"/>
        <w:docPartUnique/>
      </w:docPartObj>
    </w:sdtPr>
    <w:sdtEndPr/>
    <w:sdtContent>
      <w:p w:rsidR="00301958" w:rsidRDefault="004E3947">
        <w:pPr>
          <w:pStyle w:val="Footer"/>
          <w:jc w:val="center"/>
        </w:pPr>
        <w:r>
          <w:fldChar w:fldCharType="begin"/>
        </w:r>
        <w:r>
          <w:instrText xml:space="preserve"> PAGE   \* MERGEFORMAT </w:instrText>
        </w:r>
        <w:r>
          <w:fldChar w:fldCharType="separate"/>
        </w:r>
        <w:r w:rsidR="00B30891">
          <w:rPr>
            <w:noProof/>
          </w:rPr>
          <w:t>67</w:t>
        </w:r>
        <w:r>
          <w:rPr>
            <w:noProof/>
          </w:rPr>
          <w:fldChar w:fldCharType="end"/>
        </w:r>
      </w:p>
    </w:sdtContent>
  </w:sdt>
  <w:p w:rsidR="00301958" w:rsidRDefault="003019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947" w:rsidRDefault="004E3947" w:rsidP="00B26F80">
      <w:pPr>
        <w:spacing w:after="0" w:line="240" w:lineRule="auto"/>
      </w:pPr>
      <w:r>
        <w:separator/>
      </w:r>
    </w:p>
  </w:footnote>
  <w:footnote w:type="continuationSeparator" w:id="0">
    <w:p w:rsidR="004E3947" w:rsidRDefault="004E3947" w:rsidP="00B26F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821A3"/>
    <w:multiLevelType w:val="hybridMultilevel"/>
    <w:tmpl w:val="53A65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730D03"/>
    <w:multiLevelType w:val="hybridMultilevel"/>
    <w:tmpl w:val="BEDA6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03A1FF4"/>
    <w:multiLevelType w:val="hybridMultilevel"/>
    <w:tmpl w:val="A12EF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D44EA1"/>
    <w:multiLevelType w:val="hybridMultilevel"/>
    <w:tmpl w:val="73AE3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79F"/>
    <w:rsid w:val="00000CE9"/>
    <w:rsid w:val="00002DEC"/>
    <w:rsid w:val="00003043"/>
    <w:rsid w:val="00003844"/>
    <w:rsid w:val="00005695"/>
    <w:rsid w:val="00010D06"/>
    <w:rsid w:val="00021771"/>
    <w:rsid w:val="00034B65"/>
    <w:rsid w:val="00034BF9"/>
    <w:rsid w:val="00045E5E"/>
    <w:rsid w:val="000470E6"/>
    <w:rsid w:val="00052D2D"/>
    <w:rsid w:val="000531A2"/>
    <w:rsid w:val="00060B07"/>
    <w:rsid w:val="00074AD7"/>
    <w:rsid w:val="0009451F"/>
    <w:rsid w:val="000A6E7D"/>
    <w:rsid w:val="000B179F"/>
    <w:rsid w:val="000C4D7B"/>
    <w:rsid w:val="000E2CDD"/>
    <w:rsid w:val="000F6C21"/>
    <w:rsid w:val="00104AB3"/>
    <w:rsid w:val="00111233"/>
    <w:rsid w:val="001112A0"/>
    <w:rsid w:val="00111A3D"/>
    <w:rsid w:val="00111C9D"/>
    <w:rsid w:val="001411F7"/>
    <w:rsid w:val="00142596"/>
    <w:rsid w:val="00171D97"/>
    <w:rsid w:val="001940FD"/>
    <w:rsid w:val="00194C56"/>
    <w:rsid w:val="001A0D6A"/>
    <w:rsid w:val="001D506E"/>
    <w:rsid w:val="001E12CA"/>
    <w:rsid w:val="001E159A"/>
    <w:rsid w:val="002016C3"/>
    <w:rsid w:val="00206565"/>
    <w:rsid w:val="00222642"/>
    <w:rsid w:val="0023303F"/>
    <w:rsid w:val="0024576D"/>
    <w:rsid w:val="00252E30"/>
    <w:rsid w:val="00253866"/>
    <w:rsid w:val="00254274"/>
    <w:rsid w:val="00257356"/>
    <w:rsid w:val="002A063A"/>
    <w:rsid w:val="002A6ACF"/>
    <w:rsid w:val="002B597A"/>
    <w:rsid w:val="002B7894"/>
    <w:rsid w:val="002C0D20"/>
    <w:rsid w:val="002D6B28"/>
    <w:rsid w:val="002D7B0E"/>
    <w:rsid w:val="002E454D"/>
    <w:rsid w:val="002E5341"/>
    <w:rsid w:val="002F0BB0"/>
    <w:rsid w:val="002F725F"/>
    <w:rsid w:val="00301958"/>
    <w:rsid w:val="00316020"/>
    <w:rsid w:val="00321EF2"/>
    <w:rsid w:val="003247EB"/>
    <w:rsid w:val="00327EB2"/>
    <w:rsid w:val="00331EA6"/>
    <w:rsid w:val="0033717B"/>
    <w:rsid w:val="003503E2"/>
    <w:rsid w:val="0036606A"/>
    <w:rsid w:val="003711B0"/>
    <w:rsid w:val="003758F2"/>
    <w:rsid w:val="00392754"/>
    <w:rsid w:val="00394555"/>
    <w:rsid w:val="00397DD8"/>
    <w:rsid w:val="003A7E99"/>
    <w:rsid w:val="003B4FD0"/>
    <w:rsid w:val="003D0E5E"/>
    <w:rsid w:val="003D0FED"/>
    <w:rsid w:val="003E6C3A"/>
    <w:rsid w:val="003F1D4F"/>
    <w:rsid w:val="00400383"/>
    <w:rsid w:val="0040667F"/>
    <w:rsid w:val="00413572"/>
    <w:rsid w:val="00414790"/>
    <w:rsid w:val="00415117"/>
    <w:rsid w:val="0042496C"/>
    <w:rsid w:val="00424D0D"/>
    <w:rsid w:val="00426A21"/>
    <w:rsid w:val="0043614D"/>
    <w:rsid w:val="004517A3"/>
    <w:rsid w:val="004538E0"/>
    <w:rsid w:val="00453AD6"/>
    <w:rsid w:val="004668A8"/>
    <w:rsid w:val="00480BDF"/>
    <w:rsid w:val="00484B3A"/>
    <w:rsid w:val="0048745B"/>
    <w:rsid w:val="00495E1E"/>
    <w:rsid w:val="004B4B53"/>
    <w:rsid w:val="004C7026"/>
    <w:rsid w:val="004C7499"/>
    <w:rsid w:val="004D4AB8"/>
    <w:rsid w:val="004E3947"/>
    <w:rsid w:val="004F24C3"/>
    <w:rsid w:val="004F290D"/>
    <w:rsid w:val="004F56AD"/>
    <w:rsid w:val="0051679F"/>
    <w:rsid w:val="00530A8A"/>
    <w:rsid w:val="005448DB"/>
    <w:rsid w:val="00547533"/>
    <w:rsid w:val="00572AC0"/>
    <w:rsid w:val="00573A77"/>
    <w:rsid w:val="00577752"/>
    <w:rsid w:val="00581C17"/>
    <w:rsid w:val="00584A0D"/>
    <w:rsid w:val="005862F1"/>
    <w:rsid w:val="00591382"/>
    <w:rsid w:val="005A2715"/>
    <w:rsid w:val="005A352C"/>
    <w:rsid w:val="005B2824"/>
    <w:rsid w:val="005B284A"/>
    <w:rsid w:val="005B7EC9"/>
    <w:rsid w:val="005C025C"/>
    <w:rsid w:val="005C0768"/>
    <w:rsid w:val="005C0D19"/>
    <w:rsid w:val="005C3A53"/>
    <w:rsid w:val="005C4580"/>
    <w:rsid w:val="005E1A85"/>
    <w:rsid w:val="005E3DE9"/>
    <w:rsid w:val="005F0B33"/>
    <w:rsid w:val="005F45BE"/>
    <w:rsid w:val="006036C3"/>
    <w:rsid w:val="00605AEA"/>
    <w:rsid w:val="00612BB7"/>
    <w:rsid w:val="00612C3F"/>
    <w:rsid w:val="00617302"/>
    <w:rsid w:val="006341A2"/>
    <w:rsid w:val="0064714F"/>
    <w:rsid w:val="0066477A"/>
    <w:rsid w:val="006705BF"/>
    <w:rsid w:val="0067766B"/>
    <w:rsid w:val="0068623A"/>
    <w:rsid w:val="006922DA"/>
    <w:rsid w:val="00693392"/>
    <w:rsid w:val="006B4BD0"/>
    <w:rsid w:val="006C397A"/>
    <w:rsid w:val="006C4682"/>
    <w:rsid w:val="006E7438"/>
    <w:rsid w:val="006E7FA4"/>
    <w:rsid w:val="00702F7E"/>
    <w:rsid w:val="007134D5"/>
    <w:rsid w:val="00736A11"/>
    <w:rsid w:val="00741DAB"/>
    <w:rsid w:val="007464DC"/>
    <w:rsid w:val="00747569"/>
    <w:rsid w:val="00754AB4"/>
    <w:rsid w:val="007762A2"/>
    <w:rsid w:val="00782AB7"/>
    <w:rsid w:val="00784184"/>
    <w:rsid w:val="007864CA"/>
    <w:rsid w:val="0079106E"/>
    <w:rsid w:val="007915BB"/>
    <w:rsid w:val="007A1DBF"/>
    <w:rsid w:val="007B14BE"/>
    <w:rsid w:val="007B7EDC"/>
    <w:rsid w:val="007C3D49"/>
    <w:rsid w:val="007D7D14"/>
    <w:rsid w:val="007F37A2"/>
    <w:rsid w:val="007F3D91"/>
    <w:rsid w:val="00800338"/>
    <w:rsid w:val="00804026"/>
    <w:rsid w:val="00805DD5"/>
    <w:rsid w:val="0080603F"/>
    <w:rsid w:val="00806246"/>
    <w:rsid w:val="00807CE4"/>
    <w:rsid w:val="0082053D"/>
    <w:rsid w:val="00825250"/>
    <w:rsid w:val="0084270B"/>
    <w:rsid w:val="008473B1"/>
    <w:rsid w:val="00857529"/>
    <w:rsid w:val="00870082"/>
    <w:rsid w:val="0087507D"/>
    <w:rsid w:val="0088074F"/>
    <w:rsid w:val="008850DA"/>
    <w:rsid w:val="008877FD"/>
    <w:rsid w:val="00893F1C"/>
    <w:rsid w:val="0089708B"/>
    <w:rsid w:val="008B1A9D"/>
    <w:rsid w:val="008B6053"/>
    <w:rsid w:val="008B7EED"/>
    <w:rsid w:val="008D3E89"/>
    <w:rsid w:val="008E10B1"/>
    <w:rsid w:val="008E1156"/>
    <w:rsid w:val="008F3038"/>
    <w:rsid w:val="008F66A0"/>
    <w:rsid w:val="00910ACF"/>
    <w:rsid w:val="00920FC1"/>
    <w:rsid w:val="00927847"/>
    <w:rsid w:val="00933128"/>
    <w:rsid w:val="0094117D"/>
    <w:rsid w:val="00952C2D"/>
    <w:rsid w:val="00960615"/>
    <w:rsid w:val="00961407"/>
    <w:rsid w:val="00977B0A"/>
    <w:rsid w:val="00985E2C"/>
    <w:rsid w:val="009A1432"/>
    <w:rsid w:val="009A2B85"/>
    <w:rsid w:val="009B0B5F"/>
    <w:rsid w:val="009B637E"/>
    <w:rsid w:val="009D5348"/>
    <w:rsid w:val="009F0EF9"/>
    <w:rsid w:val="00A00C3F"/>
    <w:rsid w:val="00A06D7A"/>
    <w:rsid w:val="00A15E21"/>
    <w:rsid w:val="00A24999"/>
    <w:rsid w:val="00A37E89"/>
    <w:rsid w:val="00A41782"/>
    <w:rsid w:val="00A43221"/>
    <w:rsid w:val="00A75C86"/>
    <w:rsid w:val="00AA07C9"/>
    <w:rsid w:val="00AA0B9B"/>
    <w:rsid w:val="00AA4E14"/>
    <w:rsid w:val="00AB3507"/>
    <w:rsid w:val="00AD2713"/>
    <w:rsid w:val="00AD5E19"/>
    <w:rsid w:val="00AE5F7D"/>
    <w:rsid w:val="00AE6EB2"/>
    <w:rsid w:val="00B14516"/>
    <w:rsid w:val="00B2533F"/>
    <w:rsid w:val="00B26F80"/>
    <w:rsid w:val="00B27EC3"/>
    <w:rsid w:val="00B30891"/>
    <w:rsid w:val="00B37540"/>
    <w:rsid w:val="00B475DC"/>
    <w:rsid w:val="00B53569"/>
    <w:rsid w:val="00B667FF"/>
    <w:rsid w:val="00B70124"/>
    <w:rsid w:val="00B801ED"/>
    <w:rsid w:val="00B823E5"/>
    <w:rsid w:val="00B864A1"/>
    <w:rsid w:val="00BA29FD"/>
    <w:rsid w:val="00BA2BDB"/>
    <w:rsid w:val="00BC5555"/>
    <w:rsid w:val="00BD0E2E"/>
    <w:rsid w:val="00BF07BE"/>
    <w:rsid w:val="00BF0FF5"/>
    <w:rsid w:val="00BF5CE9"/>
    <w:rsid w:val="00C00A73"/>
    <w:rsid w:val="00C02899"/>
    <w:rsid w:val="00C03275"/>
    <w:rsid w:val="00C15CC7"/>
    <w:rsid w:val="00C31EB1"/>
    <w:rsid w:val="00C32E27"/>
    <w:rsid w:val="00C41425"/>
    <w:rsid w:val="00C71CEF"/>
    <w:rsid w:val="00C74378"/>
    <w:rsid w:val="00C85851"/>
    <w:rsid w:val="00C9433F"/>
    <w:rsid w:val="00C950F4"/>
    <w:rsid w:val="00CA6117"/>
    <w:rsid w:val="00CC1F3F"/>
    <w:rsid w:val="00CC55AF"/>
    <w:rsid w:val="00CE70EB"/>
    <w:rsid w:val="00CE7DC2"/>
    <w:rsid w:val="00D0590E"/>
    <w:rsid w:val="00D0708E"/>
    <w:rsid w:val="00D13368"/>
    <w:rsid w:val="00D214CB"/>
    <w:rsid w:val="00D26E8D"/>
    <w:rsid w:val="00D4281F"/>
    <w:rsid w:val="00D43D64"/>
    <w:rsid w:val="00D44FE5"/>
    <w:rsid w:val="00D534AD"/>
    <w:rsid w:val="00D54EA1"/>
    <w:rsid w:val="00D666EE"/>
    <w:rsid w:val="00D74B0E"/>
    <w:rsid w:val="00D76FC7"/>
    <w:rsid w:val="00D9209D"/>
    <w:rsid w:val="00DB0BC9"/>
    <w:rsid w:val="00DB4798"/>
    <w:rsid w:val="00DC095D"/>
    <w:rsid w:val="00DD527C"/>
    <w:rsid w:val="00DD6F84"/>
    <w:rsid w:val="00DF279A"/>
    <w:rsid w:val="00E00648"/>
    <w:rsid w:val="00E00E23"/>
    <w:rsid w:val="00E023BE"/>
    <w:rsid w:val="00E212EF"/>
    <w:rsid w:val="00E2404F"/>
    <w:rsid w:val="00E25541"/>
    <w:rsid w:val="00E51C6B"/>
    <w:rsid w:val="00E609CA"/>
    <w:rsid w:val="00E626EB"/>
    <w:rsid w:val="00E80F16"/>
    <w:rsid w:val="00E91FDE"/>
    <w:rsid w:val="00E93301"/>
    <w:rsid w:val="00E9388F"/>
    <w:rsid w:val="00EA3150"/>
    <w:rsid w:val="00EB0730"/>
    <w:rsid w:val="00EB19CB"/>
    <w:rsid w:val="00ED1EF8"/>
    <w:rsid w:val="00EE0784"/>
    <w:rsid w:val="00EE1B02"/>
    <w:rsid w:val="00EE2C74"/>
    <w:rsid w:val="00EE3C30"/>
    <w:rsid w:val="00F21C54"/>
    <w:rsid w:val="00F316DF"/>
    <w:rsid w:val="00F379F2"/>
    <w:rsid w:val="00F61E25"/>
    <w:rsid w:val="00F711E8"/>
    <w:rsid w:val="00F80755"/>
    <w:rsid w:val="00F96521"/>
    <w:rsid w:val="00FA42DB"/>
    <w:rsid w:val="00FA579B"/>
    <w:rsid w:val="00FB0047"/>
    <w:rsid w:val="00FC0BFE"/>
    <w:rsid w:val="00FD3B0A"/>
    <w:rsid w:val="00FF50D8"/>
    <w:rsid w:val="00FF75A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79F"/>
    <w:pPr>
      <w:spacing w:after="160" w:line="259" w:lineRule="auto"/>
    </w:pPr>
  </w:style>
  <w:style w:type="paragraph" w:styleId="Heading1">
    <w:name w:val="heading 1"/>
    <w:basedOn w:val="Normal"/>
    <w:next w:val="Normal"/>
    <w:link w:val="Heading1Char"/>
    <w:uiPriority w:val="9"/>
    <w:qFormat/>
    <w:rsid w:val="0051679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1679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823E5"/>
    <w:pPr>
      <w:keepNext/>
      <w:keepLines/>
      <w:spacing w:before="200" w:after="0"/>
      <w:outlineLvl w:val="2"/>
    </w:pPr>
    <w:rPr>
      <w:rFonts w:asciiTheme="majorHAnsi" w:eastAsiaTheme="majorEastAsia" w:hAnsiTheme="majorHAnsi" w:cstheme="majorBidi"/>
      <w:b/>
      <w:bCs/>
      <w:color w:val="403152" w:themeColor="accent4" w:themeShade="8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679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1679F"/>
    <w:rPr>
      <w:rFonts w:asciiTheme="majorHAnsi" w:eastAsiaTheme="majorEastAsia" w:hAnsiTheme="majorHAnsi" w:cstheme="majorBidi"/>
      <w:color w:val="365F91" w:themeColor="accent1" w:themeShade="BF"/>
      <w:sz w:val="26"/>
      <w:szCs w:val="26"/>
    </w:rPr>
  </w:style>
  <w:style w:type="paragraph" w:styleId="BalloonText">
    <w:name w:val="Balloon Text"/>
    <w:basedOn w:val="Normal"/>
    <w:link w:val="BalloonTextChar"/>
    <w:uiPriority w:val="99"/>
    <w:semiHidden/>
    <w:unhideWhenUsed/>
    <w:rsid w:val="00516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79F"/>
    <w:rPr>
      <w:rFonts w:ascii="Tahoma" w:hAnsi="Tahoma" w:cs="Tahoma"/>
      <w:sz w:val="16"/>
      <w:szCs w:val="16"/>
    </w:rPr>
  </w:style>
  <w:style w:type="table" w:styleId="TableGrid">
    <w:name w:val="Table Grid"/>
    <w:basedOn w:val="TableNormal"/>
    <w:uiPriority w:val="59"/>
    <w:rsid w:val="000E2CD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26F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F80"/>
  </w:style>
  <w:style w:type="paragraph" w:styleId="Footer">
    <w:name w:val="footer"/>
    <w:basedOn w:val="Normal"/>
    <w:link w:val="FooterChar"/>
    <w:uiPriority w:val="99"/>
    <w:unhideWhenUsed/>
    <w:rsid w:val="00B26F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F80"/>
  </w:style>
  <w:style w:type="paragraph" w:styleId="NormalWeb">
    <w:name w:val="Normal (Web)"/>
    <w:basedOn w:val="Normal"/>
    <w:uiPriority w:val="99"/>
    <w:semiHidden/>
    <w:unhideWhenUsed/>
    <w:rsid w:val="00B375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823E5"/>
    <w:rPr>
      <w:rFonts w:asciiTheme="majorHAnsi" w:eastAsiaTheme="majorEastAsia" w:hAnsiTheme="majorHAnsi" w:cstheme="majorBidi"/>
      <w:b/>
      <w:bCs/>
      <w:color w:val="403152" w:themeColor="accent4" w:themeShade="80"/>
      <w:sz w:val="32"/>
    </w:rPr>
  </w:style>
  <w:style w:type="paragraph" w:styleId="NoSpacing">
    <w:name w:val="No Spacing"/>
    <w:link w:val="NoSpacingChar"/>
    <w:uiPriority w:val="1"/>
    <w:qFormat/>
    <w:rsid w:val="00CE70EB"/>
    <w:pPr>
      <w:spacing w:after="0" w:line="240" w:lineRule="auto"/>
    </w:pPr>
    <w:rPr>
      <w:b/>
      <w:color w:val="4F81BD" w:themeColor="accent1"/>
      <w:sz w:val="28"/>
    </w:rPr>
  </w:style>
  <w:style w:type="paragraph" w:styleId="TOCHeading">
    <w:name w:val="TOC Heading"/>
    <w:basedOn w:val="Heading1"/>
    <w:next w:val="Normal"/>
    <w:uiPriority w:val="39"/>
    <w:semiHidden/>
    <w:unhideWhenUsed/>
    <w:qFormat/>
    <w:rsid w:val="001E12CA"/>
    <w:pPr>
      <w:spacing w:before="480" w:line="276" w:lineRule="auto"/>
      <w:outlineLvl w:val="9"/>
    </w:pPr>
    <w:rPr>
      <w:b/>
      <w:bCs/>
      <w:sz w:val="28"/>
      <w:szCs w:val="28"/>
    </w:rPr>
  </w:style>
  <w:style w:type="paragraph" w:styleId="TOC1">
    <w:name w:val="toc 1"/>
    <w:basedOn w:val="Normal"/>
    <w:next w:val="Normal"/>
    <w:autoRedefine/>
    <w:uiPriority w:val="39"/>
    <w:unhideWhenUsed/>
    <w:rsid w:val="001E12CA"/>
    <w:pPr>
      <w:spacing w:after="100"/>
    </w:pPr>
  </w:style>
  <w:style w:type="paragraph" w:styleId="TOC2">
    <w:name w:val="toc 2"/>
    <w:basedOn w:val="Normal"/>
    <w:next w:val="Normal"/>
    <w:autoRedefine/>
    <w:uiPriority w:val="39"/>
    <w:unhideWhenUsed/>
    <w:rsid w:val="001E12CA"/>
    <w:pPr>
      <w:spacing w:after="100"/>
      <w:ind w:left="220"/>
    </w:pPr>
  </w:style>
  <w:style w:type="character" w:styleId="Hyperlink">
    <w:name w:val="Hyperlink"/>
    <w:basedOn w:val="DefaultParagraphFont"/>
    <w:uiPriority w:val="99"/>
    <w:unhideWhenUsed/>
    <w:rsid w:val="001E12CA"/>
    <w:rPr>
      <w:color w:val="0000FF" w:themeColor="hyperlink"/>
      <w:u w:val="single"/>
    </w:rPr>
  </w:style>
  <w:style w:type="character" w:customStyle="1" w:styleId="NoSpacingChar">
    <w:name w:val="No Spacing Char"/>
    <w:basedOn w:val="DefaultParagraphFont"/>
    <w:link w:val="NoSpacing"/>
    <w:uiPriority w:val="1"/>
    <w:rsid w:val="009B0B5F"/>
    <w:rPr>
      <w:b/>
      <w:color w:val="4F81BD" w:themeColor="accent1"/>
      <w:sz w:val="28"/>
    </w:rPr>
  </w:style>
  <w:style w:type="paragraph" w:styleId="ListParagraph">
    <w:name w:val="List Paragraph"/>
    <w:basedOn w:val="Normal"/>
    <w:uiPriority w:val="34"/>
    <w:qFormat/>
    <w:rsid w:val="00003043"/>
    <w:pPr>
      <w:ind w:left="720"/>
      <w:contextualSpacing/>
    </w:pPr>
  </w:style>
  <w:style w:type="paragraph" w:styleId="TOC3">
    <w:name w:val="toc 3"/>
    <w:basedOn w:val="Normal"/>
    <w:next w:val="Normal"/>
    <w:autoRedefine/>
    <w:uiPriority w:val="39"/>
    <w:unhideWhenUsed/>
    <w:rsid w:val="00B823E5"/>
    <w:pPr>
      <w:spacing w:after="100"/>
      <w:ind w:left="440"/>
    </w:pPr>
  </w:style>
  <w:style w:type="paragraph" w:customStyle="1" w:styleId="Default">
    <w:name w:val="Default"/>
    <w:rsid w:val="00010D06"/>
    <w:pPr>
      <w:autoSpaceDE w:val="0"/>
      <w:autoSpaceDN w:val="0"/>
      <w:adjustRightInd w:val="0"/>
      <w:spacing w:after="0" w:line="240" w:lineRule="auto"/>
    </w:pPr>
    <w:rPr>
      <w:rFonts w:ascii="Times New Roman" w:hAnsi="Times New Roman" w:cs="Times New Roman"/>
      <w:color w:val="000000"/>
      <w:sz w:val="24"/>
      <w:szCs w:val="24"/>
    </w:rPr>
  </w:style>
  <w:style w:type="paragraph" w:styleId="Bibliography">
    <w:name w:val="Bibliography"/>
    <w:basedOn w:val="Normal"/>
    <w:next w:val="Normal"/>
    <w:uiPriority w:val="37"/>
    <w:unhideWhenUsed/>
    <w:rsid w:val="00A00C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79F"/>
    <w:pPr>
      <w:spacing w:after="160" w:line="259" w:lineRule="auto"/>
    </w:pPr>
  </w:style>
  <w:style w:type="paragraph" w:styleId="Heading1">
    <w:name w:val="heading 1"/>
    <w:basedOn w:val="Normal"/>
    <w:next w:val="Normal"/>
    <w:link w:val="Heading1Char"/>
    <w:uiPriority w:val="9"/>
    <w:qFormat/>
    <w:rsid w:val="0051679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1679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823E5"/>
    <w:pPr>
      <w:keepNext/>
      <w:keepLines/>
      <w:spacing w:before="200" w:after="0"/>
      <w:outlineLvl w:val="2"/>
    </w:pPr>
    <w:rPr>
      <w:rFonts w:asciiTheme="majorHAnsi" w:eastAsiaTheme="majorEastAsia" w:hAnsiTheme="majorHAnsi" w:cstheme="majorBidi"/>
      <w:b/>
      <w:bCs/>
      <w:color w:val="403152" w:themeColor="accent4" w:themeShade="8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679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1679F"/>
    <w:rPr>
      <w:rFonts w:asciiTheme="majorHAnsi" w:eastAsiaTheme="majorEastAsia" w:hAnsiTheme="majorHAnsi" w:cstheme="majorBidi"/>
      <w:color w:val="365F91" w:themeColor="accent1" w:themeShade="BF"/>
      <w:sz w:val="26"/>
      <w:szCs w:val="26"/>
    </w:rPr>
  </w:style>
  <w:style w:type="paragraph" w:styleId="BalloonText">
    <w:name w:val="Balloon Text"/>
    <w:basedOn w:val="Normal"/>
    <w:link w:val="BalloonTextChar"/>
    <w:uiPriority w:val="99"/>
    <w:semiHidden/>
    <w:unhideWhenUsed/>
    <w:rsid w:val="00516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79F"/>
    <w:rPr>
      <w:rFonts w:ascii="Tahoma" w:hAnsi="Tahoma" w:cs="Tahoma"/>
      <w:sz w:val="16"/>
      <w:szCs w:val="16"/>
    </w:rPr>
  </w:style>
  <w:style w:type="table" w:styleId="TableGrid">
    <w:name w:val="Table Grid"/>
    <w:basedOn w:val="TableNormal"/>
    <w:uiPriority w:val="59"/>
    <w:rsid w:val="000E2CD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26F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F80"/>
  </w:style>
  <w:style w:type="paragraph" w:styleId="Footer">
    <w:name w:val="footer"/>
    <w:basedOn w:val="Normal"/>
    <w:link w:val="FooterChar"/>
    <w:uiPriority w:val="99"/>
    <w:unhideWhenUsed/>
    <w:rsid w:val="00B26F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F80"/>
  </w:style>
  <w:style w:type="paragraph" w:styleId="NormalWeb">
    <w:name w:val="Normal (Web)"/>
    <w:basedOn w:val="Normal"/>
    <w:uiPriority w:val="99"/>
    <w:semiHidden/>
    <w:unhideWhenUsed/>
    <w:rsid w:val="00B375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823E5"/>
    <w:rPr>
      <w:rFonts w:asciiTheme="majorHAnsi" w:eastAsiaTheme="majorEastAsia" w:hAnsiTheme="majorHAnsi" w:cstheme="majorBidi"/>
      <w:b/>
      <w:bCs/>
      <w:color w:val="403152" w:themeColor="accent4" w:themeShade="80"/>
      <w:sz w:val="32"/>
    </w:rPr>
  </w:style>
  <w:style w:type="paragraph" w:styleId="NoSpacing">
    <w:name w:val="No Spacing"/>
    <w:link w:val="NoSpacingChar"/>
    <w:uiPriority w:val="1"/>
    <w:qFormat/>
    <w:rsid w:val="00CE70EB"/>
    <w:pPr>
      <w:spacing w:after="0" w:line="240" w:lineRule="auto"/>
    </w:pPr>
    <w:rPr>
      <w:b/>
      <w:color w:val="4F81BD" w:themeColor="accent1"/>
      <w:sz w:val="28"/>
    </w:rPr>
  </w:style>
  <w:style w:type="paragraph" w:styleId="TOCHeading">
    <w:name w:val="TOC Heading"/>
    <w:basedOn w:val="Heading1"/>
    <w:next w:val="Normal"/>
    <w:uiPriority w:val="39"/>
    <w:semiHidden/>
    <w:unhideWhenUsed/>
    <w:qFormat/>
    <w:rsid w:val="001E12CA"/>
    <w:pPr>
      <w:spacing w:before="480" w:line="276" w:lineRule="auto"/>
      <w:outlineLvl w:val="9"/>
    </w:pPr>
    <w:rPr>
      <w:b/>
      <w:bCs/>
      <w:sz w:val="28"/>
      <w:szCs w:val="28"/>
    </w:rPr>
  </w:style>
  <w:style w:type="paragraph" w:styleId="TOC1">
    <w:name w:val="toc 1"/>
    <w:basedOn w:val="Normal"/>
    <w:next w:val="Normal"/>
    <w:autoRedefine/>
    <w:uiPriority w:val="39"/>
    <w:unhideWhenUsed/>
    <w:rsid w:val="001E12CA"/>
    <w:pPr>
      <w:spacing w:after="100"/>
    </w:pPr>
  </w:style>
  <w:style w:type="paragraph" w:styleId="TOC2">
    <w:name w:val="toc 2"/>
    <w:basedOn w:val="Normal"/>
    <w:next w:val="Normal"/>
    <w:autoRedefine/>
    <w:uiPriority w:val="39"/>
    <w:unhideWhenUsed/>
    <w:rsid w:val="001E12CA"/>
    <w:pPr>
      <w:spacing w:after="100"/>
      <w:ind w:left="220"/>
    </w:pPr>
  </w:style>
  <w:style w:type="character" w:styleId="Hyperlink">
    <w:name w:val="Hyperlink"/>
    <w:basedOn w:val="DefaultParagraphFont"/>
    <w:uiPriority w:val="99"/>
    <w:unhideWhenUsed/>
    <w:rsid w:val="001E12CA"/>
    <w:rPr>
      <w:color w:val="0000FF" w:themeColor="hyperlink"/>
      <w:u w:val="single"/>
    </w:rPr>
  </w:style>
  <w:style w:type="character" w:customStyle="1" w:styleId="NoSpacingChar">
    <w:name w:val="No Spacing Char"/>
    <w:basedOn w:val="DefaultParagraphFont"/>
    <w:link w:val="NoSpacing"/>
    <w:uiPriority w:val="1"/>
    <w:rsid w:val="009B0B5F"/>
    <w:rPr>
      <w:b/>
      <w:color w:val="4F81BD" w:themeColor="accent1"/>
      <w:sz w:val="28"/>
    </w:rPr>
  </w:style>
  <w:style w:type="paragraph" w:styleId="ListParagraph">
    <w:name w:val="List Paragraph"/>
    <w:basedOn w:val="Normal"/>
    <w:uiPriority w:val="34"/>
    <w:qFormat/>
    <w:rsid w:val="00003043"/>
    <w:pPr>
      <w:ind w:left="720"/>
      <w:contextualSpacing/>
    </w:pPr>
  </w:style>
  <w:style w:type="paragraph" w:styleId="TOC3">
    <w:name w:val="toc 3"/>
    <w:basedOn w:val="Normal"/>
    <w:next w:val="Normal"/>
    <w:autoRedefine/>
    <w:uiPriority w:val="39"/>
    <w:unhideWhenUsed/>
    <w:rsid w:val="00B823E5"/>
    <w:pPr>
      <w:spacing w:after="100"/>
      <w:ind w:left="440"/>
    </w:pPr>
  </w:style>
  <w:style w:type="paragraph" w:customStyle="1" w:styleId="Default">
    <w:name w:val="Default"/>
    <w:rsid w:val="00010D06"/>
    <w:pPr>
      <w:autoSpaceDE w:val="0"/>
      <w:autoSpaceDN w:val="0"/>
      <w:adjustRightInd w:val="0"/>
      <w:spacing w:after="0" w:line="240" w:lineRule="auto"/>
    </w:pPr>
    <w:rPr>
      <w:rFonts w:ascii="Times New Roman" w:hAnsi="Times New Roman" w:cs="Times New Roman"/>
      <w:color w:val="000000"/>
      <w:sz w:val="24"/>
      <w:szCs w:val="24"/>
    </w:rPr>
  </w:style>
  <w:style w:type="paragraph" w:styleId="Bibliography">
    <w:name w:val="Bibliography"/>
    <w:basedOn w:val="Normal"/>
    <w:next w:val="Normal"/>
    <w:uiPriority w:val="37"/>
    <w:unhideWhenUsed/>
    <w:rsid w:val="00A00C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73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7.xml"/><Relationship Id="rId21" Type="http://schemas.openxmlformats.org/officeDocument/2006/relationships/chart" Target="charts/chart12.xml"/><Relationship Id="rId42" Type="http://schemas.openxmlformats.org/officeDocument/2006/relationships/chart" Target="charts/chart33.xml"/><Relationship Id="rId47" Type="http://schemas.openxmlformats.org/officeDocument/2006/relationships/chart" Target="charts/chart38.xml"/><Relationship Id="rId63" Type="http://schemas.openxmlformats.org/officeDocument/2006/relationships/chart" Target="charts/chart54.xml"/><Relationship Id="rId68" Type="http://schemas.openxmlformats.org/officeDocument/2006/relationships/chart" Target="charts/chart59.xml"/><Relationship Id="rId84" Type="http://schemas.openxmlformats.org/officeDocument/2006/relationships/chart" Target="charts/chart75.xml"/><Relationship Id="rId89" Type="http://schemas.openxmlformats.org/officeDocument/2006/relationships/chart" Target="charts/chart80.xm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chart" Target="charts/chart20.xml"/><Relationship Id="rId107" Type="http://schemas.openxmlformats.org/officeDocument/2006/relationships/chart" Target="charts/chart98.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chart" Target="charts/chart28.xml"/><Relationship Id="rId40" Type="http://schemas.openxmlformats.org/officeDocument/2006/relationships/chart" Target="charts/chart31.xml"/><Relationship Id="rId45" Type="http://schemas.openxmlformats.org/officeDocument/2006/relationships/chart" Target="charts/chart36.xml"/><Relationship Id="rId53" Type="http://schemas.openxmlformats.org/officeDocument/2006/relationships/chart" Target="charts/chart44.xml"/><Relationship Id="rId58" Type="http://schemas.openxmlformats.org/officeDocument/2006/relationships/chart" Target="charts/chart49.xml"/><Relationship Id="rId66" Type="http://schemas.openxmlformats.org/officeDocument/2006/relationships/chart" Target="charts/chart57.xml"/><Relationship Id="rId74" Type="http://schemas.openxmlformats.org/officeDocument/2006/relationships/chart" Target="charts/chart65.xml"/><Relationship Id="rId79" Type="http://schemas.openxmlformats.org/officeDocument/2006/relationships/chart" Target="charts/chart70.xml"/><Relationship Id="rId87" Type="http://schemas.openxmlformats.org/officeDocument/2006/relationships/chart" Target="charts/chart78.xml"/><Relationship Id="rId102" Type="http://schemas.openxmlformats.org/officeDocument/2006/relationships/chart" Target="charts/chart93.xml"/><Relationship Id="rId110"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chart" Target="charts/chart52.xml"/><Relationship Id="rId82" Type="http://schemas.openxmlformats.org/officeDocument/2006/relationships/chart" Target="charts/chart73.xml"/><Relationship Id="rId90" Type="http://schemas.openxmlformats.org/officeDocument/2006/relationships/chart" Target="charts/chart81.xml"/><Relationship Id="rId95" Type="http://schemas.openxmlformats.org/officeDocument/2006/relationships/chart" Target="charts/chart86.xml"/><Relationship Id="rId19" Type="http://schemas.openxmlformats.org/officeDocument/2006/relationships/chart" Target="charts/chart10.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43" Type="http://schemas.openxmlformats.org/officeDocument/2006/relationships/chart" Target="charts/chart34.xml"/><Relationship Id="rId48" Type="http://schemas.openxmlformats.org/officeDocument/2006/relationships/chart" Target="charts/chart39.xml"/><Relationship Id="rId56" Type="http://schemas.openxmlformats.org/officeDocument/2006/relationships/chart" Target="charts/chart47.xml"/><Relationship Id="rId64" Type="http://schemas.openxmlformats.org/officeDocument/2006/relationships/chart" Target="charts/chart55.xml"/><Relationship Id="rId69" Type="http://schemas.openxmlformats.org/officeDocument/2006/relationships/chart" Target="charts/chart60.xml"/><Relationship Id="rId77" Type="http://schemas.openxmlformats.org/officeDocument/2006/relationships/chart" Target="charts/chart68.xml"/><Relationship Id="rId100" Type="http://schemas.openxmlformats.org/officeDocument/2006/relationships/chart" Target="charts/chart91.xml"/><Relationship Id="rId105" Type="http://schemas.openxmlformats.org/officeDocument/2006/relationships/chart" Target="charts/chart96.xml"/><Relationship Id="rId8" Type="http://schemas.openxmlformats.org/officeDocument/2006/relationships/endnotes" Target="endnotes.xml"/><Relationship Id="rId51" Type="http://schemas.openxmlformats.org/officeDocument/2006/relationships/chart" Target="charts/chart42.xml"/><Relationship Id="rId72" Type="http://schemas.openxmlformats.org/officeDocument/2006/relationships/chart" Target="charts/chart63.xml"/><Relationship Id="rId80" Type="http://schemas.openxmlformats.org/officeDocument/2006/relationships/chart" Target="charts/chart71.xml"/><Relationship Id="rId85" Type="http://schemas.openxmlformats.org/officeDocument/2006/relationships/chart" Target="charts/chart76.xml"/><Relationship Id="rId93" Type="http://schemas.openxmlformats.org/officeDocument/2006/relationships/chart" Target="charts/chart84.xml"/><Relationship Id="rId98" Type="http://schemas.openxmlformats.org/officeDocument/2006/relationships/chart" Target="charts/chart89.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9.xml"/><Relationship Id="rId46" Type="http://schemas.openxmlformats.org/officeDocument/2006/relationships/chart" Target="charts/chart37.xml"/><Relationship Id="rId59" Type="http://schemas.openxmlformats.org/officeDocument/2006/relationships/chart" Target="charts/chart50.xml"/><Relationship Id="rId67" Type="http://schemas.openxmlformats.org/officeDocument/2006/relationships/chart" Target="charts/chart58.xml"/><Relationship Id="rId103" Type="http://schemas.openxmlformats.org/officeDocument/2006/relationships/chart" Target="charts/chart94.xml"/><Relationship Id="rId108" Type="http://schemas.openxmlformats.org/officeDocument/2006/relationships/chart" Target="charts/chart99.xml"/><Relationship Id="rId20" Type="http://schemas.openxmlformats.org/officeDocument/2006/relationships/chart" Target="charts/chart11.xml"/><Relationship Id="rId41" Type="http://schemas.openxmlformats.org/officeDocument/2006/relationships/chart" Target="charts/chart32.xml"/><Relationship Id="rId54" Type="http://schemas.openxmlformats.org/officeDocument/2006/relationships/chart" Target="charts/chart45.xml"/><Relationship Id="rId62" Type="http://schemas.openxmlformats.org/officeDocument/2006/relationships/chart" Target="charts/chart53.xml"/><Relationship Id="rId70" Type="http://schemas.openxmlformats.org/officeDocument/2006/relationships/chart" Target="charts/chart61.xml"/><Relationship Id="rId75" Type="http://schemas.openxmlformats.org/officeDocument/2006/relationships/chart" Target="charts/chart66.xml"/><Relationship Id="rId83" Type="http://schemas.openxmlformats.org/officeDocument/2006/relationships/chart" Target="charts/chart74.xml"/><Relationship Id="rId88" Type="http://schemas.openxmlformats.org/officeDocument/2006/relationships/chart" Target="charts/chart79.xml"/><Relationship Id="rId91" Type="http://schemas.openxmlformats.org/officeDocument/2006/relationships/chart" Target="charts/chart82.xml"/><Relationship Id="rId96" Type="http://schemas.openxmlformats.org/officeDocument/2006/relationships/chart" Target="charts/chart87.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49" Type="http://schemas.openxmlformats.org/officeDocument/2006/relationships/chart" Target="charts/chart40.xml"/><Relationship Id="rId57" Type="http://schemas.openxmlformats.org/officeDocument/2006/relationships/chart" Target="charts/chart48.xml"/><Relationship Id="rId106" Type="http://schemas.openxmlformats.org/officeDocument/2006/relationships/chart" Target="charts/chart97.xml"/><Relationship Id="rId10" Type="http://schemas.openxmlformats.org/officeDocument/2006/relationships/chart" Target="charts/chart1.xml"/><Relationship Id="rId31" Type="http://schemas.openxmlformats.org/officeDocument/2006/relationships/chart" Target="charts/chart22.xml"/><Relationship Id="rId44" Type="http://schemas.openxmlformats.org/officeDocument/2006/relationships/chart" Target="charts/chart35.xml"/><Relationship Id="rId52" Type="http://schemas.openxmlformats.org/officeDocument/2006/relationships/chart" Target="charts/chart43.xml"/><Relationship Id="rId60" Type="http://schemas.openxmlformats.org/officeDocument/2006/relationships/chart" Target="charts/chart51.xml"/><Relationship Id="rId65" Type="http://schemas.openxmlformats.org/officeDocument/2006/relationships/chart" Target="charts/chart56.xml"/><Relationship Id="rId73" Type="http://schemas.openxmlformats.org/officeDocument/2006/relationships/chart" Target="charts/chart64.xml"/><Relationship Id="rId78" Type="http://schemas.openxmlformats.org/officeDocument/2006/relationships/chart" Target="charts/chart69.xml"/><Relationship Id="rId81" Type="http://schemas.openxmlformats.org/officeDocument/2006/relationships/chart" Target="charts/chart72.xml"/><Relationship Id="rId86" Type="http://schemas.openxmlformats.org/officeDocument/2006/relationships/chart" Target="charts/chart77.xml"/><Relationship Id="rId94" Type="http://schemas.openxmlformats.org/officeDocument/2006/relationships/chart" Target="charts/chart85.xml"/><Relationship Id="rId99" Type="http://schemas.openxmlformats.org/officeDocument/2006/relationships/chart" Target="charts/chart90.xml"/><Relationship Id="rId101" Type="http://schemas.openxmlformats.org/officeDocument/2006/relationships/chart" Target="charts/chart92.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chart" Target="charts/chart9.xml"/><Relationship Id="rId39" Type="http://schemas.openxmlformats.org/officeDocument/2006/relationships/chart" Target="charts/chart30.xml"/><Relationship Id="rId109" Type="http://schemas.openxmlformats.org/officeDocument/2006/relationships/fontTable" Target="fontTable.xml"/><Relationship Id="rId34" Type="http://schemas.openxmlformats.org/officeDocument/2006/relationships/chart" Target="charts/chart25.xml"/><Relationship Id="rId50" Type="http://schemas.openxmlformats.org/officeDocument/2006/relationships/chart" Target="charts/chart41.xml"/><Relationship Id="rId55" Type="http://schemas.openxmlformats.org/officeDocument/2006/relationships/chart" Target="charts/chart46.xml"/><Relationship Id="rId76" Type="http://schemas.openxmlformats.org/officeDocument/2006/relationships/chart" Target="charts/chart67.xml"/><Relationship Id="rId97" Type="http://schemas.openxmlformats.org/officeDocument/2006/relationships/chart" Target="charts/chart88.xml"/><Relationship Id="rId104" Type="http://schemas.openxmlformats.org/officeDocument/2006/relationships/chart" Target="charts/chart95.xml"/><Relationship Id="rId7" Type="http://schemas.openxmlformats.org/officeDocument/2006/relationships/footnotes" Target="footnotes.xml"/><Relationship Id="rId71" Type="http://schemas.openxmlformats.org/officeDocument/2006/relationships/chart" Target="charts/chart62.xml"/><Relationship Id="rId92" Type="http://schemas.openxmlformats.org/officeDocument/2006/relationships/chart" Target="charts/chart8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32.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34.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Worksheet35.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36.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37.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38.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Excel_Worksheet39.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Microsoft_Excel_Worksheet40.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Excel_Worksheet41.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Microsoft_Excel_Worksheet42.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Microsoft_Excel_Worksheet43.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Microsoft_Excel_Worksheet44.xlsx"/></Relationships>
</file>

<file path=word/charts/_rels/chart45.xml.rels><?xml version="1.0" encoding="UTF-8" standalone="yes"?>
<Relationships xmlns="http://schemas.openxmlformats.org/package/2006/relationships"><Relationship Id="rId1" Type="http://schemas.openxmlformats.org/officeDocument/2006/relationships/package" Target="../embeddings/Microsoft_Excel_Worksheet45.xlsx"/></Relationships>
</file>

<file path=word/charts/_rels/chart46.xml.rels><?xml version="1.0" encoding="UTF-8" standalone="yes"?>
<Relationships xmlns="http://schemas.openxmlformats.org/package/2006/relationships"><Relationship Id="rId1" Type="http://schemas.openxmlformats.org/officeDocument/2006/relationships/package" Target="../embeddings/Microsoft_Excel_Worksheet46.xlsx"/></Relationships>
</file>

<file path=word/charts/_rels/chart47.xml.rels><?xml version="1.0" encoding="UTF-8" standalone="yes"?>
<Relationships xmlns="http://schemas.openxmlformats.org/package/2006/relationships"><Relationship Id="rId1" Type="http://schemas.openxmlformats.org/officeDocument/2006/relationships/package" Target="../embeddings/Microsoft_Excel_Worksheet47.xlsx"/></Relationships>
</file>

<file path=word/charts/_rels/chart48.xml.rels><?xml version="1.0" encoding="UTF-8" standalone="yes"?>
<Relationships xmlns="http://schemas.openxmlformats.org/package/2006/relationships"><Relationship Id="rId1" Type="http://schemas.openxmlformats.org/officeDocument/2006/relationships/package" Target="../embeddings/Microsoft_Excel_Worksheet48.xlsx"/></Relationships>
</file>

<file path=word/charts/_rels/chart49.xml.rels><?xml version="1.0" encoding="UTF-8" standalone="yes"?>
<Relationships xmlns="http://schemas.openxmlformats.org/package/2006/relationships"><Relationship Id="rId1" Type="http://schemas.openxmlformats.org/officeDocument/2006/relationships/package" Target="../embeddings/Microsoft_Excel_Worksheet49.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50.xml.rels><?xml version="1.0" encoding="UTF-8" standalone="yes"?>
<Relationships xmlns="http://schemas.openxmlformats.org/package/2006/relationships"><Relationship Id="rId1" Type="http://schemas.openxmlformats.org/officeDocument/2006/relationships/package" Target="../embeddings/Microsoft_Excel_Worksheet50.xlsx"/></Relationships>
</file>

<file path=word/charts/_rels/chart51.xml.rels><?xml version="1.0" encoding="UTF-8" standalone="yes"?>
<Relationships xmlns="http://schemas.openxmlformats.org/package/2006/relationships"><Relationship Id="rId1" Type="http://schemas.openxmlformats.org/officeDocument/2006/relationships/package" Target="../embeddings/Microsoft_Excel_Worksheet51.xlsx"/></Relationships>
</file>

<file path=word/charts/_rels/chart52.xml.rels><?xml version="1.0" encoding="UTF-8" standalone="yes"?>
<Relationships xmlns="http://schemas.openxmlformats.org/package/2006/relationships"><Relationship Id="rId1" Type="http://schemas.openxmlformats.org/officeDocument/2006/relationships/package" Target="../embeddings/Microsoft_Excel_Worksheet52.xlsx"/></Relationships>
</file>

<file path=word/charts/_rels/chart53.xml.rels><?xml version="1.0" encoding="UTF-8" standalone="yes"?>
<Relationships xmlns="http://schemas.openxmlformats.org/package/2006/relationships"><Relationship Id="rId1" Type="http://schemas.openxmlformats.org/officeDocument/2006/relationships/package" Target="../embeddings/Microsoft_Excel_Worksheet53.xlsx"/></Relationships>
</file>

<file path=word/charts/_rels/chart54.xml.rels><?xml version="1.0" encoding="UTF-8" standalone="yes"?>
<Relationships xmlns="http://schemas.openxmlformats.org/package/2006/relationships"><Relationship Id="rId1" Type="http://schemas.openxmlformats.org/officeDocument/2006/relationships/package" Target="../embeddings/Microsoft_Excel_Worksheet54.xlsx"/></Relationships>
</file>

<file path=word/charts/_rels/chart55.xml.rels><?xml version="1.0" encoding="UTF-8" standalone="yes"?>
<Relationships xmlns="http://schemas.openxmlformats.org/package/2006/relationships"><Relationship Id="rId1" Type="http://schemas.openxmlformats.org/officeDocument/2006/relationships/package" Target="../embeddings/Microsoft_Excel_Worksheet55.xlsx"/></Relationships>
</file>

<file path=word/charts/_rels/chart56.xml.rels><?xml version="1.0" encoding="UTF-8" standalone="yes"?>
<Relationships xmlns="http://schemas.openxmlformats.org/package/2006/relationships"><Relationship Id="rId1" Type="http://schemas.openxmlformats.org/officeDocument/2006/relationships/package" Target="../embeddings/Microsoft_Excel_Worksheet56.xlsx"/></Relationships>
</file>

<file path=word/charts/_rels/chart57.xml.rels><?xml version="1.0" encoding="UTF-8" standalone="yes"?>
<Relationships xmlns="http://schemas.openxmlformats.org/package/2006/relationships"><Relationship Id="rId1" Type="http://schemas.openxmlformats.org/officeDocument/2006/relationships/package" Target="../embeddings/Microsoft_Excel_Worksheet57.xlsx"/></Relationships>
</file>

<file path=word/charts/_rels/chart58.xml.rels><?xml version="1.0" encoding="UTF-8" standalone="yes"?>
<Relationships xmlns="http://schemas.openxmlformats.org/package/2006/relationships"><Relationship Id="rId1" Type="http://schemas.openxmlformats.org/officeDocument/2006/relationships/package" Target="../embeddings/Microsoft_Excel_Worksheet58.xlsx"/></Relationships>
</file>

<file path=word/charts/_rels/chart59.xml.rels><?xml version="1.0" encoding="UTF-8" standalone="yes"?>
<Relationships xmlns="http://schemas.openxmlformats.org/package/2006/relationships"><Relationship Id="rId1" Type="http://schemas.openxmlformats.org/officeDocument/2006/relationships/package" Target="../embeddings/Microsoft_Excel_Worksheet59.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60.xml.rels><?xml version="1.0" encoding="UTF-8" standalone="yes"?>
<Relationships xmlns="http://schemas.openxmlformats.org/package/2006/relationships"><Relationship Id="rId1" Type="http://schemas.openxmlformats.org/officeDocument/2006/relationships/package" Target="../embeddings/Microsoft_Excel_Worksheet60.xlsx"/></Relationships>
</file>

<file path=word/charts/_rels/chart61.xml.rels><?xml version="1.0" encoding="UTF-8" standalone="yes"?>
<Relationships xmlns="http://schemas.openxmlformats.org/package/2006/relationships"><Relationship Id="rId1" Type="http://schemas.openxmlformats.org/officeDocument/2006/relationships/package" Target="../embeddings/Microsoft_Excel_Worksheet61.xlsx"/></Relationships>
</file>

<file path=word/charts/_rels/chart62.xml.rels><?xml version="1.0" encoding="UTF-8" standalone="yes"?>
<Relationships xmlns="http://schemas.openxmlformats.org/package/2006/relationships"><Relationship Id="rId1" Type="http://schemas.openxmlformats.org/officeDocument/2006/relationships/package" Target="../embeddings/Microsoft_Excel_Worksheet62.xlsx"/></Relationships>
</file>

<file path=word/charts/_rels/chart63.xml.rels><?xml version="1.0" encoding="UTF-8" standalone="yes"?>
<Relationships xmlns="http://schemas.openxmlformats.org/package/2006/relationships"><Relationship Id="rId1" Type="http://schemas.openxmlformats.org/officeDocument/2006/relationships/package" Target="../embeddings/Microsoft_Excel_Worksheet63.xlsx"/></Relationships>
</file>

<file path=word/charts/_rels/chart64.xml.rels><?xml version="1.0" encoding="UTF-8" standalone="yes"?>
<Relationships xmlns="http://schemas.openxmlformats.org/package/2006/relationships"><Relationship Id="rId1" Type="http://schemas.openxmlformats.org/officeDocument/2006/relationships/package" Target="../embeddings/Microsoft_Excel_Worksheet64.xlsx"/></Relationships>
</file>

<file path=word/charts/_rels/chart65.xml.rels><?xml version="1.0" encoding="UTF-8" standalone="yes"?>
<Relationships xmlns="http://schemas.openxmlformats.org/package/2006/relationships"><Relationship Id="rId1" Type="http://schemas.openxmlformats.org/officeDocument/2006/relationships/package" Target="../embeddings/Microsoft_Excel_Worksheet65.xlsx"/></Relationships>
</file>

<file path=word/charts/_rels/chart66.xml.rels><?xml version="1.0" encoding="UTF-8" standalone="yes"?>
<Relationships xmlns="http://schemas.openxmlformats.org/package/2006/relationships"><Relationship Id="rId1" Type="http://schemas.openxmlformats.org/officeDocument/2006/relationships/package" Target="../embeddings/Microsoft_Excel_Worksheet66.xlsx"/></Relationships>
</file>

<file path=word/charts/_rels/chart67.xml.rels><?xml version="1.0" encoding="UTF-8" standalone="yes"?>
<Relationships xmlns="http://schemas.openxmlformats.org/package/2006/relationships"><Relationship Id="rId1" Type="http://schemas.openxmlformats.org/officeDocument/2006/relationships/package" Target="../embeddings/Microsoft_Excel_Worksheet67.xlsx"/></Relationships>
</file>

<file path=word/charts/_rels/chart68.xml.rels><?xml version="1.0" encoding="UTF-8" standalone="yes"?>
<Relationships xmlns="http://schemas.openxmlformats.org/package/2006/relationships"><Relationship Id="rId1" Type="http://schemas.openxmlformats.org/officeDocument/2006/relationships/package" Target="../embeddings/Microsoft_Excel_Worksheet68.xlsx"/></Relationships>
</file>

<file path=word/charts/_rels/chart69.xml.rels><?xml version="1.0" encoding="UTF-8" standalone="yes"?>
<Relationships xmlns="http://schemas.openxmlformats.org/package/2006/relationships"><Relationship Id="rId1" Type="http://schemas.openxmlformats.org/officeDocument/2006/relationships/package" Target="../embeddings/Microsoft_Excel_Worksheet69.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70.xml.rels><?xml version="1.0" encoding="UTF-8" standalone="yes"?>
<Relationships xmlns="http://schemas.openxmlformats.org/package/2006/relationships"><Relationship Id="rId1" Type="http://schemas.openxmlformats.org/officeDocument/2006/relationships/package" Target="../embeddings/Microsoft_Excel_Worksheet70.xlsx"/></Relationships>
</file>

<file path=word/charts/_rels/chart71.xml.rels><?xml version="1.0" encoding="UTF-8" standalone="yes"?>
<Relationships xmlns="http://schemas.openxmlformats.org/package/2006/relationships"><Relationship Id="rId1" Type="http://schemas.openxmlformats.org/officeDocument/2006/relationships/package" Target="../embeddings/Microsoft_Excel_Worksheet71.xlsx"/></Relationships>
</file>

<file path=word/charts/_rels/chart72.xml.rels><?xml version="1.0" encoding="UTF-8" standalone="yes"?>
<Relationships xmlns="http://schemas.openxmlformats.org/package/2006/relationships"><Relationship Id="rId1" Type="http://schemas.openxmlformats.org/officeDocument/2006/relationships/package" Target="../embeddings/Microsoft_Excel_Worksheet72.xlsx"/></Relationships>
</file>

<file path=word/charts/_rels/chart73.xml.rels><?xml version="1.0" encoding="UTF-8" standalone="yes"?>
<Relationships xmlns="http://schemas.openxmlformats.org/package/2006/relationships"><Relationship Id="rId1" Type="http://schemas.openxmlformats.org/officeDocument/2006/relationships/package" Target="../embeddings/Microsoft_Excel_Worksheet73.xlsx"/></Relationships>
</file>

<file path=word/charts/_rels/chart74.xml.rels><?xml version="1.0" encoding="UTF-8" standalone="yes"?>
<Relationships xmlns="http://schemas.openxmlformats.org/package/2006/relationships"><Relationship Id="rId1" Type="http://schemas.openxmlformats.org/officeDocument/2006/relationships/package" Target="../embeddings/Microsoft_Excel_Worksheet74.xlsx"/></Relationships>
</file>

<file path=word/charts/_rels/chart75.xml.rels><?xml version="1.0" encoding="UTF-8" standalone="yes"?>
<Relationships xmlns="http://schemas.openxmlformats.org/package/2006/relationships"><Relationship Id="rId1" Type="http://schemas.openxmlformats.org/officeDocument/2006/relationships/package" Target="../embeddings/Microsoft_Excel_Worksheet75.xlsx"/></Relationships>
</file>

<file path=word/charts/_rels/chart76.xml.rels><?xml version="1.0" encoding="UTF-8" standalone="yes"?>
<Relationships xmlns="http://schemas.openxmlformats.org/package/2006/relationships"><Relationship Id="rId1" Type="http://schemas.openxmlformats.org/officeDocument/2006/relationships/package" Target="../embeddings/Microsoft_Excel_Worksheet76.xlsx"/></Relationships>
</file>

<file path=word/charts/_rels/chart77.xml.rels><?xml version="1.0" encoding="UTF-8" standalone="yes"?>
<Relationships xmlns="http://schemas.openxmlformats.org/package/2006/relationships"><Relationship Id="rId1" Type="http://schemas.openxmlformats.org/officeDocument/2006/relationships/package" Target="../embeddings/Microsoft_Excel_Worksheet77.xlsx"/></Relationships>
</file>

<file path=word/charts/_rels/chart78.xml.rels><?xml version="1.0" encoding="UTF-8" standalone="yes"?>
<Relationships xmlns="http://schemas.openxmlformats.org/package/2006/relationships"><Relationship Id="rId1" Type="http://schemas.openxmlformats.org/officeDocument/2006/relationships/package" Target="../embeddings/Microsoft_Excel_Worksheet78.xlsx"/></Relationships>
</file>

<file path=word/charts/_rels/chart79.xml.rels><?xml version="1.0" encoding="UTF-8" standalone="yes"?>
<Relationships xmlns="http://schemas.openxmlformats.org/package/2006/relationships"><Relationship Id="rId1" Type="http://schemas.openxmlformats.org/officeDocument/2006/relationships/package" Target="../embeddings/Microsoft_Excel_Worksheet79.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80.xml.rels><?xml version="1.0" encoding="UTF-8" standalone="yes"?>
<Relationships xmlns="http://schemas.openxmlformats.org/package/2006/relationships"><Relationship Id="rId1" Type="http://schemas.openxmlformats.org/officeDocument/2006/relationships/package" Target="../embeddings/Microsoft_Excel_Worksheet80.xlsx"/></Relationships>
</file>

<file path=word/charts/_rels/chart81.xml.rels><?xml version="1.0" encoding="UTF-8" standalone="yes"?>
<Relationships xmlns="http://schemas.openxmlformats.org/package/2006/relationships"><Relationship Id="rId1" Type="http://schemas.openxmlformats.org/officeDocument/2006/relationships/package" Target="../embeddings/Microsoft_Excel_Worksheet81.xlsx"/></Relationships>
</file>

<file path=word/charts/_rels/chart82.xml.rels><?xml version="1.0" encoding="UTF-8" standalone="yes"?>
<Relationships xmlns="http://schemas.openxmlformats.org/package/2006/relationships"><Relationship Id="rId1" Type="http://schemas.openxmlformats.org/officeDocument/2006/relationships/package" Target="../embeddings/Microsoft_Excel_Worksheet82.xlsx"/></Relationships>
</file>

<file path=word/charts/_rels/chart83.xml.rels><?xml version="1.0" encoding="UTF-8" standalone="yes"?>
<Relationships xmlns="http://schemas.openxmlformats.org/package/2006/relationships"><Relationship Id="rId1" Type="http://schemas.openxmlformats.org/officeDocument/2006/relationships/package" Target="../embeddings/Microsoft_Excel_Worksheet83.xlsx"/></Relationships>
</file>

<file path=word/charts/_rels/chart84.xml.rels><?xml version="1.0" encoding="UTF-8" standalone="yes"?>
<Relationships xmlns="http://schemas.openxmlformats.org/package/2006/relationships"><Relationship Id="rId1" Type="http://schemas.openxmlformats.org/officeDocument/2006/relationships/package" Target="../embeddings/Microsoft_Excel_Worksheet84.xlsx"/></Relationships>
</file>

<file path=word/charts/_rels/chart85.xml.rels><?xml version="1.0" encoding="UTF-8" standalone="yes"?>
<Relationships xmlns="http://schemas.openxmlformats.org/package/2006/relationships"><Relationship Id="rId1" Type="http://schemas.openxmlformats.org/officeDocument/2006/relationships/package" Target="../embeddings/Microsoft_Excel_Worksheet85.xlsx"/></Relationships>
</file>

<file path=word/charts/_rels/chart86.xml.rels><?xml version="1.0" encoding="UTF-8" standalone="yes"?>
<Relationships xmlns="http://schemas.openxmlformats.org/package/2006/relationships"><Relationship Id="rId1" Type="http://schemas.openxmlformats.org/officeDocument/2006/relationships/package" Target="../embeddings/Microsoft_Excel_Worksheet86.xlsx"/></Relationships>
</file>

<file path=word/charts/_rels/chart87.xml.rels><?xml version="1.0" encoding="UTF-8" standalone="yes"?>
<Relationships xmlns="http://schemas.openxmlformats.org/package/2006/relationships"><Relationship Id="rId1" Type="http://schemas.openxmlformats.org/officeDocument/2006/relationships/package" Target="../embeddings/Microsoft_Excel_Worksheet87.xlsx"/></Relationships>
</file>

<file path=word/charts/_rels/chart88.xml.rels><?xml version="1.0" encoding="UTF-8" standalone="yes"?>
<Relationships xmlns="http://schemas.openxmlformats.org/package/2006/relationships"><Relationship Id="rId1" Type="http://schemas.openxmlformats.org/officeDocument/2006/relationships/package" Target="../embeddings/Microsoft_Excel_Worksheet88.xlsx"/></Relationships>
</file>

<file path=word/charts/_rels/chart89.xml.rels><?xml version="1.0" encoding="UTF-8" standalone="yes"?>
<Relationships xmlns="http://schemas.openxmlformats.org/package/2006/relationships"><Relationship Id="rId1" Type="http://schemas.openxmlformats.org/officeDocument/2006/relationships/package" Target="../embeddings/Microsoft_Excel_Worksheet89.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90.xml.rels><?xml version="1.0" encoding="UTF-8" standalone="yes"?>
<Relationships xmlns="http://schemas.openxmlformats.org/package/2006/relationships"><Relationship Id="rId1" Type="http://schemas.openxmlformats.org/officeDocument/2006/relationships/package" Target="../embeddings/Microsoft_Excel_Worksheet90.xlsx"/></Relationships>
</file>

<file path=word/charts/_rels/chart91.xml.rels><?xml version="1.0" encoding="UTF-8" standalone="yes"?>
<Relationships xmlns="http://schemas.openxmlformats.org/package/2006/relationships"><Relationship Id="rId1" Type="http://schemas.openxmlformats.org/officeDocument/2006/relationships/package" Target="../embeddings/Microsoft_Excel_Worksheet91.xlsx"/></Relationships>
</file>

<file path=word/charts/_rels/chart92.xml.rels><?xml version="1.0" encoding="UTF-8" standalone="yes"?>
<Relationships xmlns="http://schemas.openxmlformats.org/package/2006/relationships"><Relationship Id="rId1" Type="http://schemas.openxmlformats.org/officeDocument/2006/relationships/package" Target="../embeddings/Microsoft_Excel_Worksheet92.xlsx"/></Relationships>
</file>

<file path=word/charts/_rels/chart93.xml.rels><?xml version="1.0" encoding="UTF-8" standalone="yes"?>
<Relationships xmlns="http://schemas.openxmlformats.org/package/2006/relationships"><Relationship Id="rId1" Type="http://schemas.openxmlformats.org/officeDocument/2006/relationships/package" Target="../embeddings/Microsoft_Excel_Worksheet93.xlsx"/></Relationships>
</file>

<file path=word/charts/_rels/chart94.xml.rels><?xml version="1.0" encoding="UTF-8" standalone="yes"?>
<Relationships xmlns="http://schemas.openxmlformats.org/package/2006/relationships"><Relationship Id="rId1" Type="http://schemas.openxmlformats.org/officeDocument/2006/relationships/package" Target="../embeddings/Microsoft_Excel_Worksheet94.xlsx"/></Relationships>
</file>

<file path=word/charts/_rels/chart95.xml.rels><?xml version="1.0" encoding="UTF-8" standalone="yes"?>
<Relationships xmlns="http://schemas.openxmlformats.org/package/2006/relationships"><Relationship Id="rId1" Type="http://schemas.openxmlformats.org/officeDocument/2006/relationships/package" Target="../embeddings/Microsoft_Excel_Worksheet95.xlsx"/></Relationships>
</file>

<file path=word/charts/_rels/chart96.xml.rels><?xml version="1.0" encoding="UTF-8" standalone="yes"?>
<Relationships xmlns="http://schemas.openxmlformats.org/package/2006/relationships"><Relationship Id="rId1" Type="http://schemas.openxmlformats.org/officeDocument/2006/relationships/package" Target="../embeddings/Microsoft_Excel_Worksheet96.xlsx"/></Relationships>
</file>

<file path=word/charts/_rels/chart97.xml.rels><?xml version="1.0" encoding="UTF-8" standalone="yes"?>
<Relationships xmlns="http://schemas.openxmlformats.org/package/2006/relationships"><Relationship Id="rId1" Type="http://schemas.openxmlformats.org/officeDocument/2006/relationships/package" Target="../embeddings/Microsoft_Excel_Worksheet97.xlsx"/></Relationships>
</file>

<file path=word/charts/_rels/chart98.xml.rels><?xml version="1.0" encoding="UTF-8" standalone="yes"?>
<Relationships xmlns="http://schemas.openxmlformats.org/package/2006/relationships"><Relationship Id="rId1" Type="http://schemas.openxmlformats.org/officeDocument/2006/relationships/package" Target="../embeddings/Microsoft_Excel_Worksheet98.xlsx"/></Relationships>
</file>

<file path=word/charts/_rels/chart99.xml.rels><?xml version="1.0" encoding="UTF-8" standalone="yes"?>
<Relationships xmlns="http://schemas.openxmlformats.org/package/2006/relationships"><Relationship Id="rId1" Type="http://schemas.openxmlformats.org/officeDocument/2006/relationships/package" Target="../embeddings/Microsoft_Excel_Worksheet9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Working capital Turunover</a:t>
            </a:r>
          </a:p>
        </c:rich>
      </c:tx>
      <c:layout>
        <c:manualLayout>
          <c:xMode val="edge"/>
          <c:yMode val="edge"/>
          <c:x val="0.22690756121238273"/>
          <c:y val="5.2982052919060794E-2"/>
        </c:manualLayout>
      </c:layout>
      <c:overlay val="0"/>
    </c:title>
    <c:autoTitleDeleted val="0"/>
    <c:plotArea>
      <c:layout/>
      <c:barChart>
        <c:barDir val="col"/>
        <c:grouping val="stacked"/>
        <c:varyColors val="0"/>
        <c:ser>
          <c:idx val="0"/>
          <c:order val="0"/>
          <c:tx>
            <c:strRef>
              <c:f>Sheet1!$B$1</c:f>
              <c:strCache>
                <c:ptCount val="1"/>
                <c:pt idx="0">
                  <c:v>Frequency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3</c:v>
                </c:pt>
                <c:pt idx="1">
                  <c:v>3.658004</c:v>
                </c:pt>
                <c:pt idx="2">
                  <c:v>3.581744</c:v>
                </c:pt>
              </c:numCache>
            </c:numRef>
          </c:val>
        </c:ser>
        <c:dLbls>
          <c:showLegendKey val="0"/>
          <c:showVal val="0"/>
          <c:showCatName val="0"/>
          <c:showSerName val="0"/>
          <c:showPercent val="0"/>
          <c:showBubbleSize val="0"/>
        </c:dLbls>
        <c:gapWidth val="150"/>
        <c:overlap val="100"/>
        <c:axId val="91124096"/>
        <c:axId val="91125632"/>
      </c:barChart>
      <c:catAx>
        <c:axId val="91124096"/>
        <c:scaling>
          <c:orientation val="minMax"/>
        </c:scaling>
        <c:delete val="0"/>
        <c:axPos val="b"/>
        <c:numFmt formatCode="General" sourceLinked="1"/>
        <c:majorTickMark val="out"/>
        <c:minorTickMark val="none"/>
        <c:tickLblPos val="nextTo"/>
        <c:crossAx val="91125632"/>
        <c:crosses val="autoZero"/>
        <c:auto val="1"/>
        <c:lblAlgn val="ctr"/>
        <c:lblOffset val="100"/>
        <c:noMultiLvlLbl val="0"/>
      </c:catAx>
      <c:valAx>
        <c:axId val="91125632"/>
        <c:scaling>
          <c:orientation val="minMax"/>
        </c:scaling>
        <c:delete val="0"/>
        <c:axPos val="l"/>
        <c:majorGridlines/>
        <c:numFmt formatCode="General" sourceLinked="1"/>
        <c:majorTickMark val="out"/>
        <c:minorTickMark val="none"/>
        <c:tickLblPos val="nextTo"/>
        <c:crossAx val="91124096"/>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Receivable Turnover</a:t>
            </a:r>
          </a:p>
        </c:rich>
      </c:tx>
      <c:layout>
        <c:manualLayout>
          <c:xMode val="edge"/>
          <c:yMode val="edge"/>
          <c:x val="0.33497557330881467"/>
          <c:y val="4.6242774566473945E-2"/>
        </c:manualLayout>
      </c:layout>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4.0199999999999996</c:v>
                </c:pt>
                <c:pt idx="1">
                  <c:v>7.7</c:v>
                </c:pt>
                <c:pt idx="2">
                  <c:v>5.3599999999999985</c:v>
                </c:pt>
              </c:numCache>
            </c:numRef>
          </c:val>
        </c:ser>
        <c:dLbls>
          <c:showLegendKey val="0"/>
          <c:showVal val="0"/>
          <c:showCatName val="0"/>
          <c:showSerName val="0"/>
          <c:showPercent val="0"/>
          <c:showBubbleSize val="0"/>
        </c:dLbls>
        <c:gapWidth val="150"/>
        <c:overlap val="100"/>
        <c:axId val="93850624"/>
        <c:axId val="93868800"/>
      </c:barChart>
      <c:catAx>
        <c:axId val="93850624"/>
        <c:scaling>
          <c:orientation val="minMax"/>
        </c:scaling>
        <c:delete val="0"/>
        <c:axPos val="b"/>
        <c:numFmt formatCode="General" sourceLinked="1"/>
        <c:majorTickMark val="out"/>
        <c:minorTickMark val="none"/>
        <c:tickLblPos val="nextTo"/>
        <c:crossAx val="93868800"/>
        <c:crosses val="autoZero"/>
        <c:auto val="1"/>
        <c:lblAlgn val="ctr"/>
        <c:lblOffset val="100"/>
        <c:noMultiLvlLbl val="0"/>
      </c:catAx>
      <c:valAx>
        <c:axId val="93868800"/>
        <c:scaling>
          <c:orientation val="minMax"/>
        </c:scaling>
        <c:delete val="0"/>
        <c:axPos val="l"/>
        <c:majorGridlines/>
        <c:numFmt formatCode="General" sourceLinked="1"/>
        <c:majorTickMark val="out"/>
        <c:minorTickMark val="none"/>
        <c:tickLblPos val="nextTo"/>
        <c:crossAx val="93850624"/>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DSO</a:t>
            </a: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90.83</c:v>
                </c:pt>
                <c:pt idx="1">
                  <c:v>47.37</c:v>
                </c:pt>
                <c:pt idx="2">
                  <c:v>68.040000000000006</c:v>
                </c:pt>
              </c:numCache>
            </c:numRef>
          </c:val>
        </c:ser>
        <c:dLbls>
          <c:showLegendKey val="0"/>
          <c:showVal val="0"/>
          <c:showCatName val="0"/>
          <c:showSerName val="0"/>
          <c:showPercent val="0"/>
          <c:showBubbleSize val="0"/>
        </c:dLbls>
        <c:gapWidth val="150"/>
        <c:overlap val="100"/>
        <c:axId val="94008064"/>
        <c:axId val="94009600"/>
      </c:barChart>
      <c:catAx>
        <c:axId val="94008064"/>
        <c:scaling>
          <c:orientation val="minMax"/>
        </c:scaling>
        <c:delete val="0"/>
        <c:axPos val="b"/>
        <c:numFmt formatCode="General" sourceLinked="1"/>
        <c:majorTickMark val="out"/>
        <c:minorTickMark val="none"/>
        <c:tickLblPos val="nextTo"/>
        <c:crossAx val="94009600"/>
        <c:crosses val="autoZero"/>
        <c:auto val="1"/>
        <c:lblAlgn val="ctr"/>
        <c:lblOffset val="100"/>
        <c:noMultiLvlLbl val="0"/>
      </c:catAx>
      <c:valAx>
        <c:axId val="94009600"/>
        <c:scaling>
          <c:orientation val="minMax"/>
        </c:scaling>
        <c:delete val="0"/>
        <c:axPos val="l"/>
        <c:majorGridlines/>
        <c:numFmt formatCode="General" sourceLinked="1"/>
        <c:majorTickMark val="out"/>
        <c:minorTickMark val="none"/>
        <c:tickLblPos val="nextTo"/>
        <c:crossAx val="94008064"/>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Cash</a:t>
            </a:r>
            <a:r>
              <a:rPr lang="en-US" baseline="0">
                <a:solidFill>
                  <a:schemeClr val="accent1"/>
                </a:solidFill>
              </a:rPr>
              <a:t> Turnover</a:t>
            </a:r>
            <a:endParaRPr lang="en-US">
              <a:solidFill>
                <a:schemeClr val="accent1"/>
              </a:solidFill>
            </a:endParaRPr>
          </a:p>
        </c:rich>
      </c:tx>
      <c:overlay val="0"/>
    </c:title>
    <c:autoTitleDeleted val="0"/>
    <c:plotArea>
      <c:layout/>
      <c:barChart>
        <c:barDir val="col"/>
        <c:grouping val="stacked"/>
        <c:varyColors val="0"/>
        <c:ser>
          <c:idx val="0"/>
          <c:order val="0"/>
          <c:tx>
            <c:strRef>
              <c:f>Sheet1!$B$1</c:f>
              <c:strCache>
                <c:ptCount val="1"/>
                <c:pt idx="0">
                  <c:v>Cash Turnover</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0.28000000000000008</c:v>
                </c:pt>
                <c:pt idx="1">
                  <c:v>0.26</c:v>
                </c:pt>
                <c:pt idx="2">
                  <c:v>0.47000000000000008</c:v>
                </c:pt>
              </c:numCache>
            </c:numRef>
          </c:val>
        </c:ser>
        <c:dLbls>
          <c:showLegendKey val="0"/>
          <c:showVal val="0"/>
          <c:showCatName val="0"/>
          <c:showSerName val="0"/>
          <c:showPercent val="0"/>
          <c:showBubbleSize val="0"/>
        </c:dLbls>
        <c:gapWidth val="150"/>
        <c:overlap val="100"/>
        <c:axId val="93997312"/>
        <c:axId val="93999104"/>
      </c:barChart>
      <c:catAx>
        <c:axId val="93997312"/>
        <c:scaling>
          <c:orientation val="minMax"/>
        </c:scaling>
        <c:delete val="0"/>
        <c:axPos val="b"/>
        <c:numFmt formatCode="General" sourceLinked="1"/>
        <c:majorTickMark val="out"/>
        <c:minorTickMark val="none"/>
        <c:tickLblPos val="nextTo"/>
        <c:crossAx val="93999104"/>
        <c:crosses val="autoZero"/>
        <c:auto val="1"/>
        <c:lblAlgn val="ctr"/>
        <c:lblOffset val="100"/>
        <c:noMultiLvlLbl val="0"/>
      </c:catAx>
      <c:valAx>
        <c:axId val="93999104"/>
        <c:scaling>
          <c:orientation val="minMax"/>
        </c:scaling>
        <c:delete val="0"/>
        <c:axPos val="l"/>
        <c:majorGridlines/>
        <c:numFmt formatCode="General" sourceLinked="1"/>
        <c:majorTickMark val="out"/>
        <c:minorTickMark val="none"/>
        <c:tickLblPos val="nextTo"/>
        <c:crossAx val="93997312"/>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Payable Turnover</a:t>
            </a: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59.53</c:v>
                </c:pt>
                <c:pt idx="1">
                  <c:v>9.9600000000000026</c:v>
                </c:pt>
                <c:pt idx="2">
                  <c:v>8.51</c:v>
                </c:pt>
              </c:numCache>
            </c:numRef>
          </c:val>
        </c:ser>
        <c:dLbls>
          <c:showLegendKey val="0"/>
          <c:showVal val="0"/>
          <c:showCatName val="0"/>
          <c:showSerName val="0"/>
          <c:showPercent val="0"/>
          <c:showBubbleSize val="0"/>
        </c:dLbls>
        <c:gapWidth val="150"/>
        <c:overlap val="100"/>
        <c:axId val="95150080"/>
        <c:axId val="95151616"/>
      </c:barChart>
      <c:catAx>
        <c:axId val="95150080"/>
        <c:scaling>
          <c:orientation val="minMax"/>
        </c:scaling>
        <c:delete val="0"/>
        <c:axPos val="b"/>
        <c:numFmt formatCode="General" sourceLinked="1"/>
        <c:majorTickMark val="out"/>
        <c:minorTickMark val="none"/>
        <c:tickLblPos val="nextTo"/>
        <c:crossAx val="95151616"/>
        <c:crosses val="autoZero"/>
        <c:auto val="1"/>
        <c:lblAlgn val="ctr"/>
        <c:lblOffset val="100"/>
        <c:noMultiLvlLbl val="0"/>
      </c:catAx>
      <c:valAx>
        <c:axId val="95151616"/>
        <c:scaling>
          <c:orientation val="minMax"/>
        </c:scaling>
        <c:delete val="0"/>
        <c:axPos val="l"/>
        <c:majorGridlines/>
        <c:numFmt formatCode="General" sourceLinked="1"/>
        <c:majorTickMark val="out"/>
        <c:minorTickMark val="none"/>
        <c:tickLblPos val="nextTo"/>
        <c:crossAx val="95150080"/>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solidFill>
                  <a:schemeClr val="accent1"/>
                </a:solidFill>
              </a:rPr>
              <a:t>DPO</a:t>
            </a: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6.13</c:v>
                </c:pt>
                <c:pt idx="1">
                  <c:v>36.61</c:v>
                </c:pt>
                <c:pt idx="2">
                  <c:v>42.86</c:v>
                </c:pt>
              </c:numCache>
            </c:numRef>
          </c:val>
        </c:ser>
        <c:dLbls>
          <c:showLegendKey val="0"/>
          <c:showVal val="0"/>
          <c:showCatName val="0"/>
          <c:showSerName val="0"/>
          <c:showPercent val="0"/>
          <c:showBubbleSize val="0"/>
        </c:dLbls>
        <c:gapWidth val="150"/>
        <c:overlap val="100"/>
        <c:axId val="95356416"/>
        <c:axId val="95357952"/>
      </c:barChart>
      <c:catAx>
        <c:axId val="95356416"/>
        <c:scaling>
          <c:orientation val="minMax"/>
        </c:scaling>
        <c:delete val="0"/>
        <c:axPos val="b"/>
        <c:numFmt formatCode="General" sourceLinked="1"/>
        <c:majorTickMark val="out"/>
        <c:minorTickMark val="none"/>
        <c:tickLblPos val="nextTo"/>
        <c:crossAx val="95357952"/>
        <c:crosses val="autoZero"/>
        <c:auto val="1"/>
        <c:lblAlgn val="ctr"/>
        <c:lblOffset val="100"/>
        <c:noMultiLvlLbl val="0"/>
      </c:catAx>
      <c:valAx>
        <c:axId val="95357952"/>
        <c:scaling>
          <c:orientation val="minMax"/>
        </c:scaling>
        <c:delete val="0"/>
        <c:axPos val="l"/>
        <c:majorGridlines/>
        <c:numFmt formatCode="General" sourceLinked="1"/>
        <c:majorTickMark val="out"/>
        <c:minorTickMark val="none"/>
        <c:tickLblPos val="nextTo"/>
        <c:crossAx val="95356416"/>
        <c:crosses val="autoZero"/>
        <c:crossBetween val="between"/>
      </c:val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Current Ratio</a:t>
            </a:r>
          </a:p>
        </c:rich>
      </c:tx>
      <c:overlay val="0"/>
    </c:title>
    <c:autoTitleDeleted val="0"/>
    <c:plotArea>
      <c:layout/>
      <c:barChart>
        <c:barDir val="col"/>
        <c:grouping val="stacked"/>
        <c:varyColors val="0"/>
        <c:ser>
          <c:idx val="0"/>
          <c:order val="0"/>
          <c:tx>
            <c:strRef>
              <c:f>Sheet1!$B$1</c:f>
              <c:strCache>
                <c:ptCount val="1"/>
                <c:pt idx="0">
                  <c:v>Current Ratio</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2.04</c:v>
                </c:pt>
                <c:pt idx="1">
                  <c:v>2.96</c:v>
                </c:pt>
                <c:pt idx="2">
                  <c:v>2.73</c:v>
                </c:pt>
              </c:numCache>
            </c:numRef>
          </c:val>
        </c:ser>
        <c:dLbls>
          <c:showLegendKey val="0"/>
          <c:showVal val="0"/>
          <c:showCatName val="0"/>
          <c:showSerName val="0"/>
          <c:showPercent val="0"/>
          <c:showBubbleSize val="0"/>
        </c:dLbls>
        <c:gapWidth val="150"/>
        <c:overlap val="100"/>
        <c:axId val="95382528"/>
        <c:axId val="95392512"/>
      </c:barChart>
      <c:catAx>
        <c:axId val="95382528"/>
        <c:scaling>
          <c:orientation val="minMax"/>
        </c:scaling>
        <c:delete val="0"/>
        <c:axPos val="b"/>
        <c:numFmt formatCode="General" sourceLinked="1"/>
        <c:majorTickMark val="out"/>
        <c:minorTickMark val="none"/>
        <c:tickLblPos val="nextTo"/>
        <c:crossAx val="95392512"/>
        <c:crosses val="autoZero"/>
        <c:auto val="1"/>
        <c:lblAlgn val="ctr"/>
        <c:lblOffset val="100"/>
        <c:noMultiLvlLbl val="0"/>
      </c:catAx>
      <c:valAx>
        <c:axId val="95392512"/>
        <c:scaling>
          <c:orientation val="minMax"/>
        </c:scaling>
        <c:delete val="0"/>
        <c:axPos val="l"/>
        <c:majorGridlines/>
        <c:numFmt formatCode="General" sourceLinked="1"/>
        <c:majorTickMark val="out"/>
        <c:minorTickMark val="none"/>
        <c:tickLblPos val="nextTo"/>
        <c:crossAx val="95382528"/>
        <c:crosses val="autoZero"/>
        <c:crossBetween val="between"/>
      </c:valAx>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Quick Ratio</a:t>
            </a:r>
          </a:p>
        </c:rich>
      </c:tx>
      <c:overlay val="0"/>
    </c:title>
    <c:autoTitleDeleted val="0"/>
    <c:plotArea>
      <c:layout/>
      <c:barChart>
        <c:barDir val="col"/>
        <c:grouping val="stacked"/>
        <c:varyColors val="0"/>
        <c:ser>
          <c:idx val="0"/>
          <c:order val="0"/>
          <c:tx>
            <c:strRef>
              <c:f>Sheet1!$B$1</c:f>
              <c:strCache>
                <c:ptCount val="1"/>
                <c:pt idx="0">
                  <c:v>Quick Ratio</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1.07</c:v>
                </c:pt>
                <c:pt idx="1">
                  <c:v>1.58</c:v>
                </c:pt>
                <c:pt idx="2">
                  <c:v>1.51</c:v>
                </c:pt>
              </c:numCache>
            </c:numRef>
          </c:val>
        </c:ser>
        <c:dLbls>
          <c:showLegendKey val="0"/>
          <c:showVal val="0"/>
          <c:showCatName val="0"/>
          <c:showSerName val="0"/>
          <c:showPercent val="0"/>
          <c:showBubbleSize val="0"/>
        </c:dLbls>
        <c:gapWidth val="150"/>
        <c:overlap val="100"/>
        <c:axId val="95712000"/>
        <c:axId val="95713536"/>
      </c:barChart>
      <c:catAx>
        <c:axId val="95712000"/>
        <c:scaling>
          <c:orientation val="minMax"/>
        </c:scaling>
        <c:delete val="0"/>
        <c:axPos val="b"/>
        <c:numFmt formatCode="General" sourceLinked="1"/>
        <c:majorTickMark val="out"/>
        <c:minorTickMark val="none"/>
        <c:tickLblPos val="nextTo"/>
        <c:crossAx val="95713536"/>
        <c:crosses val="autoZero"/>
        <c:auto val="1"/>
        <c:lblAlgn val="ctr"/>
        <c:lblOffset val="100"/>
        <c:noMultiLvlLbl val="0"/>
      </c:catAx>
      <c:valAx>
        <c:axId val="95713536"/>
        <c:scaling>
          <c:orientation val="minMax"/>
        </c:scaling>
        <c:delete val="0"/>
        <c:axPos val="l"/>
        <c:majorGridlines/>
        <c:numFmt formatCode="General" sourceLinked="1"/>
        <c:majorTickMark val="out"/>
        <c:minorTickMark val="none"/>
        <c:tickLblPos val="nextTo"/>
        <c:crossAx val="95712000"/>
        <c:crosses val="autoZero"/>
        <c:crossBetween val="between"/>
      </c:valAx>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Cash Ratio</a:t>
            </a:r>
          </a:p>
        </c:rich>
      </c:tx>
      <c:overlay val="0"/>
    </c:title>
    <c:autoTitleDeleted val="0"/>
    <c:plotArea>
      <c:layout/>
      <c:barChart>
        <c:barDir val="col"/>
        <c:grouping val="stacked"/>
        <c:varyColors val="0"/>
        <c:ser>
          <c:idx val="0"/>
          <c:order val="0"/>
          <c:tx>
            <c:strRef>
              <c:f>Sheet1!$B$1</c:f>
              <c:strCache>
                <c:ptCount val="1"/>
                <c:pt idx="0">
                  <c:v>Cash Ratio</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0.33000000000000163</c:v>
                </c:pt>
                <c:pt idx="1">
                  <c:v>0.72000000000000064</c:v>
                </c:pt>
                <c:pt idx="2">
                  <c:v>0.35700000000000032</c:v>
                </c:pt>
              </c:numCache>
            </c:numRef>
          </c:val>
        </c:ser>
        <c:dLbls>
          <c:showLegendKey val="0"/>
          <c:showVal val="0"/>
          <c:showCatName val="0"/>
          <c:showSerName val="0"/>
          <c:showPercent val="0"/>
          <c:showBubbleSize val="0"/>
        </c:dLbls>
        <c:gapWidth val="150"/>
        <c:overlap val="100"/>
        <c:axId val="95737728"/>
        <c:axId val="95739264"/>
      </c:barChart>
      <c:catAx>
        <c:axId val="95737728"/>
        <c:scaling>
          <c:orientation val="minMax"/>
        </c:scaling>
        <c:delete val="0"/>
        <c:axPos val="b"/>
        <c:numFmt formatCode="General" sourceLinked="1"/>
        <c:majorTickMark val="out"/>
        <c:minorTickMark val="none"/>
        <c:tickLblPos val="nextTo"/>
        <c:crossAx val="95739264"/>
        <c:crosses val="autoZero"/>
        <c:auto val="1"/>
        <c:lblAlgn val="ctr"/>
        <c:lblOffset val="100"/>
        <c:noMultiLvlLbl val="0"/>
      </c:catAx>
      <c:valAx>
        <c:axId val="95739264"/>
        <c:scaling>
          <c:orientation val="minMax"/>
        </c:scaling>
        <c:delete val="0"/>
        <c:axPos val="l"/>
        <c:majorGridlines/>
        <c:numFmt formatCode="General" sourceLinked="1"/>
        <c:majorTickMark val="out"/>
        <c:minorTickMark val="none"/>
        <c:tickLblPos val="nextTo"/>
        <c:crossAx val="95737728"/>
        <c:crosses val="autoZero"/>
        <c:crossBetween val="between"/>
      </c:valAx>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Working Capital</a:t>
            </a:r>
            <a:r>
              <a:rPr lang="en-US" baseline="0">
                <a:solidFill>
                  <a:schemeClr val="accent1"/>
                </a:solidFill>
              </a:rPr>
              <a:t> Turnover</a:t>
            </a:r>
            <a:endParaRPr lang="en-US">
              <a:solidFill>
                <a:schemeClr val="accent1"/>
              </a:solidFill>
            </a:endParaRP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21</c:v>
                </c:pt>
                <c:pt idx="1">
                  <c:v>24.979999999999986</c:v>
                </c:pt>
                <c:pt idx="2">
                  <c:v>20.239999999999988</c:v>
                </c:pt>
              </c:numCache>
            </c:numRef>
          </c:val>
        </c:ser>
        <c:dLbls>
          <c:showLegendKey val="0"/>
          <c:showVal val="0"/>
          <c:showCatName val="0"/>
          <c:showSerName val="0"/>
          <c:showPercent val="0"/>
          <c:showBubbleSize val="0"/>
        </c:dLbls>
        <c:gapWidth val="150"/>
        <c:overlap val="100"/>
        <c:axId val="95493504"/>
        <c:axId val="95499392"/>
      </c:barChart>
      <c:catAx>
        <c:axId val="95493504"/>
        <c:scaling>
          <c:orientation val="minMax"/>
        </c:scaling>
        <c:delete val="0"/>
        <c:axPos val="b"/>
        <c:numFmt formatCode="General" sourceLinked="1"/>
        <c:majorTickMark val="out"/>
        <c:minorTickMark val="none"/>
        <c:tickLblPos val="nextTo"/>
        <c:crossAx val="95499392"/>
        <c:crosses val="autoZero"/>
        <c:auto val="1"/>
        <c:lblAlgn val="ctr"/>
        <c:lblOffset val="100"/>
        <c:noMultiLvlLbl val="0"/>
      </c:catAx>
      <c:valAx>
        <c:axId val="95499392"/>
        <c:scaling>
          <c:orientation val="minMax"/>
        </c:scaling>
        <c:delete val="0"/>
        <c:axPos val="l"/>
        <c:majorGridlines/>
        <c:numFmt formatCode="General" sourceLinked="1"/>
        <c:majorTickMark val="out"/>
        <c:minorTickMark val="none"/>
        <c:tickLblPos val="nextTo"/>
        <c:crossAx val="95493504"/>
        <c:crosses val="autoZero"/>
        <c:crossBetween val="between"/>
      </c:valAx>
    </c:plotArea>
    <c:legend>
      <c:legendPos val="r"/>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Current</a:t>
            </a:r>
            <a:r>
              <a:rPr lang="en-US" baseline="0">
                <a:solidFill>
                  <a:schemeClr val="accent1"/>
                </a:solidFill>
              </a:rPr>
              <a:t> Asset Turnover</a:t>
            </a:r>
            <a:endParaRPr lang="en-US">
              <a:solidFill>
                <a:schemeClr val="accent1"/>
              </a:solidFill>
            </a:endParaRP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2.65</c:v>
                </c:pt>
                <c:pt idx="1">
                  <c:v>2.56</c:v>
                </c:pt>
                <c:pt idx="2">
                  <c:v>2.72</c:v>
                </c:pt>
              </c:numCache>
            </c:numRef>
          </c:val>
        </c:ser>
        <c:dLbls>
          <c:showLegendKey val="0"/>
          <c:showVal val="0"/>
          <c:showCatName val="0"/>
          <c:showSerName val="0"/>
          <c:showPercent val="0"/>
          <c:showBubbleSize val="0"/>
        </c:dLbls>
        <c:gapWidth val="150"/>
        <c:overlap val="100"/>
        <c:axId val="95569024"/>
        <c:axId val="95570560"/>
      </c:barChart>
      <c:catAx>
        <c:axId val="95569024"/>
        <c:scaling>
          <c:orientation val="minMax"/>
        </c:scaling>
        <c:delete val="0"/>
        <c:axPos val="b"/>
        <c:numFmt formatCode="General" sourceLinked="1"/>
        <c:majorTickMark val="out"/>
        <c:minorTickMark val="none"/>
        <c:tickLblPos val="nextTo"/>
        <c:crossAx val="95570560"/>
        <c:crosses val="autoZero"/>
        <c:auto val="1"/>
        <c:lblAlgn val="ctr"/>
        <c:lblOffset val="100"/>
        <c:noMultiLvlLbl val="0"/>
      </c:catAx>
      <c:valAx>
        <c:axId val="95570560"/>
        <c:scaling>
          <c:orientation val="minMax"/>
        </c:scaling>
        <c:delete val="0"/>
        <c:axPos val="l"/>
        <c:majorGridlines/>
        <c:numFmt formatCode="General" sourceLinked="1"/>
        <c:majorTickMark val="out"/>
        <c:minorTickMark val="none"/>
        <c:tickLblPos val="nextTo"/>
        <c:crossAx val="9556902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Current Asset</a:t>
            </a:r>
            <a:r>
              <a:rPr lang="en-US" baseline="0">
                <a:solidFill>
                  <a:schemeClr val="accent1"/>
                </a:solidFill>
              </a:rPr>
              <a:t> Turnover</a:t>
            </a:r>
            <a:endParaRPr lang="en-US">
              <a:solidFill>
                <a:schemeClr val="accent1"/>
              </a:solidFill>
            </a:endParaRP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1.3</c:v>
                </c:pt>
                <c:pt idx="1">
                  <c:v>2.08</c:v>
                </c:pt>
                <c:pt idx="2">
                  <c:v>1.9200000000000021</c:v>
                </c:pt>
              </c:numCache>
            </c:numRef>
          </c:val>
        </c:ser>
        <c:dLbls>
          <c:showLegendKey val="0"/>
          <c:showVal val="0"/>
          <c:showCatName val="0"/>
          <c:showSerName val="0"/>
          <c:showPercent val="0"/>
          <c:showBubbleSize val="0"/>
        </c:dLbls>
        <c:gapWidth val="150"/>
        <c:overlap val="100"/>
        <c:axId val="91142016"/>
        <c:axId val="91143552"/>
      </c:barChart>
      <c:catAx>
        <c:axId val="91142016"/>
        <c:scaling>
          <c:orientation val="minMax"/>
        </c:scaling>
        <c:delete val="0"/>
        <c:axPos val="b"/>
        <c:numFmt formatCode="General" sourceLinked="1"/>
        <c:majorTickMark val="out"/>
        <c:minorTickMark val="none"/>
        <c:tickLblPos val="nextTo"/>
        <c:crossAx val="91143552"/>
        <c:crosses val="autoZero"/>
        <c:auto val="1"/>
        <c:lblAlgn val="ctr"/>
        <c:lblOffset val="100"/>
        <c:noMultiLvlLbl val="0"/>
      </c:catAx>
      <c:valAx>
        <c:axId val="91143552"/>
        <c:scaling>
          <c:orientation val="minMax"/>
        </c:scaling>
        <c:delete val="0"/>
        <c:axPos val="l"/>
        <c:majorGridlines/>
        <c:numFmt formatCode="General" sourceLinked="1"/>
        <c:majorTickMark val="out"/>
        <c:minorTickMark val="none"/>
        <c:tickLblPos val="nextTo"/>
        <c:crossAx val="91142016"/>
        <c:crosses val="autoZero"/>
        <c:crossBetween val="between"/>
      </c:valAx>
    </c:plotArea>
    <c:legend>
      <c:legendPos val="r"/>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Inventory</a:t>
            </a:r>
            <a:r>
              <a:rPr lang="en-US" baseline="0">
                <a:solidFill>
                  <a:schemeClr val="accent1"/>
                </a:solidFill>
              </a:rPr>
              <a:t> Turnover</a:t>
            </a:r>
            <a:endParaRPr lang="en-US">
              <a:solidFill>
                <a:schemeClr val="accent1"/>
              </a:solidFill>
            </a:endParaRP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16.36</c:v>
                </c:pt>
                <c:pt idx="1">
                  <c:v>14.41</c:v>
                </c:pt>
                <c:pt idx="2">
                  <c:v>11.68</c:v>
                </c:pt>
              </c:numCache>
            </c:numRef>
          </c:val>
        </c:ser>
        <c:dLbls>
          <c:showLegendKey val="0"/>
          <c:showVal val="0"/>
          <c:showCatName val="0"/>
          <c:showSerName val="0"/>
          <c:showPercent val="0"/>
          <c:showBubbleSize val="0"/>
        </c:dLbls>
        <c:gapWidth val="150"/>
        <c:overlap val="100"/>
        <c:axId val="95558272"/>
        <c:axId val="95560064"/>
      </c:barChart>
      <c:catAx>
        <c:axId val="95558272"/>
        <c:scaling>
          <c:orientation val="minMax"/>
        </c:scaling>
        <c:delete val="0"/>
        <c:axPos val="b"/>
        <c:numFmt formatCode="General" sourceLinked="1"/>
        <c:majorTickMark val="out"/>
        <c:minorTickMark val="none"/>
        <c:tickLblPos val="nextTo"/>
        <c:crossAx val="95560064"/>
        <c:crosses val="autoZero"/>
        <c:auto val="1"/>
        <c:lblAlgn val="ctr"/>
        <c:lblOffset val="100"/>
        <c:noMultiLvlLbl val="0"/>
      </c:catAx>
      <c:valAx>
        <c:axId val="95560064"/>
        <c:scaling>
          <c:orientation val="minMax"/>
        </c:scaling>
        <c:delete val="0"/>
        <c:axPos val="l"/>
        <c:majorGridlines/>
        <c:numFmt formatCode="General" sourceLinked="1"/>
        <c:majorTickMark val="out"/>
        <c:minorTickMark val="none"/>
        <c:tickLblPos val="nextTo"/>
        <c:crossAx val="95558272"/>
        <c:crosses val="autoZero"/>
        <c:crossBetween val="between"/>
      </c:valAx>
    </c:plotArea>
    <c:legend>
      <c:legendPos val="r"/>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DIH</a:t>
            </a: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22.29</c:v>
                </c:pt>
                <c:pt idx="1">
                  <c:v>25.330000000000005</c:v>
                </c:pt>
                <c:pt idx="2">
                  <c:v>31.330000000000005</c:v>
                </c:pt>
              </c:numCache>
            </c:numRef>
          </c:val>
        </c:ser>
        <c:dLbls>
          <c:showLegendKey val="0"/>
          <c:showVal val="0"/>
          <c:showCatName val="0"/>
          <c:showSerName val="0"/>
          <c:showPercent val="0"/>
          <c:showBubbleSize val="0"/>
        </c:dLbls>
        <c:gapWidth val="150"/>
        <c:overlap val="100"/>
        <c:axId val="95707520"/>
        <c:axId val="95709056"/>
      </c:barChart>
      <c:catAx>
        <c:axId val="95707520"/>
        <c:scaling>
          <c:orientation val="minMax"/>
        </c:scaling>
        <c:delete val="0"/>
        <c:axPos val="b"/>
        <c:numFmt formatCode="General" sourceLinked="1"/>
        <c:majorTickMark val="out"/>
        <c:minorTickMark val="none"/>
        <c:tickLblPos val="nextTo"/>
        <c:crossAx val="95709056"/>
        <c:crosses val="autoZero"/>
        <c:auto val="1"/>
        <c:lblAlgn val="ctr"/>
        <c:lblOffset val="100"/>
        <c:noMultiLvlLbl val="0"/>
      </c:catAx>
      <c:valAx>
        <c:axId val="95709056"/>
        <c:scaling>
          <c:orientation val="minMax"/>
        </c:scaling>
        <c:delete val="0"/>
        <c:axPos val="l"/>
        <c:majorGridlines/>
        <c:numFmt formatCode="General" sourceLinked="1"/>
        <c:majorTickMark val="out"/>
        <c:minorTickMark val="none"/>
        <c:tickLblPos val="nextTo"/>
        <c:crossAx val="95707520"/>
        <c:crosses val="autoZero"/>
        <c:crossBetween val="between"/>
      </c:valAx>
    </c:plotArea>
    <c:legend>
      <c:legendPos val="r"/>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Raw Materials Inventory</a:t>
            </a:r>
            <a:r>
              <a:rPr lang="en-US" baseline="0">
                <a:solidFill>
                  <a:schemeClr val="accent1"/>
                </a:solidFill>
              </a:rPr>
              <a:t> Turnover</a:t>
            </a:r>
            <a:endParaRPr lang="en-US">
              <a:solidFill>
                <a:schemeClr val="accent1"/>
              </a:solidFill>
            </a:endParaRP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1.26</c:v>
                </c:pt>
                <c:pt idx="1">
                  <c:v>1.22</c:v>
                </c:pt>
                <c:pt idx="2">
                  <c:v>0.81</c:v>
                </c:pt>
              </c:numCache>
            </c:numRef>
          </c:val>
        </c:ser>
        <c:dLbls>
          <c:showLegendKey val="0"/>
          <c:showVal val="0"/>
          <c:showCatName val="0"/>
          <c:showSerName val="0"/>
          <c:showPercent val="0"/>
          <c:showBubbleSize val="0"/>
        </c:dLbls>
        <c:gapWidth val="150"/>
        <c:overlap val="100"/>
        <c:axId val="96065408"/>
        <c:axId val="96066944"/>
      </c:barChart>
      <c:catAx>
        <c:axId val="96065408"/>
        <c:scaling>
          <c:orientation val="minMax"/>
        </c:scaling>
        <c:delete val="0"/>
        <c:axPos val="b"/>
        <c:numFmt formatCode="General" sourceLinked="1"/>
        <c:majorTickMark val="out"/>
        <c:minorTickMark val="none"/>
        <c:tickLblPos val="nextTo"/>
        <c:crossAx val="96066944"/>
        <c:crosses val="autoZero"/>
        <c:auto val="1"/>
        <c:lblAlgn val="ctr"/>
        <c:lblOffset val="100"/>
        <c:noMultiLvlLbl val="0"/>
      </c:catAx>
      <c:valAx>
        <c:axId val="96066944"/>
        <c:scaling>
          <c:orientation val="minMax"/>
        </c:scaling>
        <c:delete val="0"/>
        <c:axPos val="l"/>
        <c:majorGridlines/>
        <c:numFmt formatCode="General" sourceLinked="1"/>
        <c:majorTickMark val="out"/>
        <c:minorTickMark val="none"/>
        <c:tickLblPos val="nextTo"/>
        <c:crossAx val="96065408"/>
        <c:crosses val="autoZero"/>
        <c:crossBetween val="between"/>
      </c:valAx>
    </c:plotArea>
    <c:legend>
      <c:legendPos val="r"/>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Number of days</a:t>
            </a:r>
            <a:r>
              <a:rPr lang="en-US" baseline="0">
                <a:solidFill>
                  <a:schemeClr val="accent1"/>
                </a:solidFill>
              </a:rPr>
              <a:t> holding Raw Mterials</a:t>
            </a:r>
            <a:endParaRPr lang="en-US">
              <a:solidFill>
                <a:schemeClr val="accent1"/>
              </a:solidFill>
            </a:endParaRP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287</c:v>
                </c:pt>
                <c:pt idx="1">
                  <c:v>297</c:v>
                </c:pt>
                <c:pt idx="2">
                  <c:v>447</c:v>
                </c:pt>
              </c:numCache>
            </c:numRef>
          </c:val>
        </c:ser>
        <c:dLbls>
          <c:showLegendKey val="0"/>
          <c:showVal val="0"/>
          <c:showCatName val="0"/>
          <c:showSerName val="0"/>
          <c:showPercent val="0"/>
          <c:showBubbleSize val="0"/>
        </c:dLbls>
        <c:gapWidth val="150"/>
        <c:overlap val="100"/>
        <c:axId val="95620480"/>
        <c:axId val="95646848"/>
      </c:barChart>
      <c:catAx>
        <c:axId val="95620480"/>
        <c:scaling>
          <c:orientation val="minMax"/>
        </c:scaling>
        <c:delete val="0"/>
        <c:axPos val="b"/>
        <c:numFmt formatCode="General" sourceLinked="1"/>
        <c:majorTickMark val="out"/>
        <c:minorTickMark val="none"/>
        <c:tickLblPos val="nextTo"/>
        <c:crossAx val="95646848"/>
        <c:crosses val="autoZero"/>
        <c:auto val="1"/>
        <c:lblAlgn val="ctr"/>
        <c:lblOffset val="100"/>
        <c:noMultiLvlLbl val="0"/>
      </c:catAx>
      <c:valAx>
        <c:axId val="95646848"/>
        <c:scaling>
          <c:orientation val="minMax"/>
        </c:scaling>
        <c:delete val="0"/>
        <c:axPos val="l"/>
        <c:majorGridlines/>
        <c:numFmt formatCode="General" sourceLinked="1"/>
        <c:majorTickMark val="out"/>
        <c:minorTickMark val="none"/>
        <c:tickLblPos val="nextTo"/>
        <c:crossAx val="95620480"/>
        <c:crosses val="autoZero"/>
        <c:crossBetween val="between"/>
      </c:valAx>
    </c:plotArea>
    <c:legend>
      <c:legendPos val="r"/>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WIP Inventory Turnover</a:t>
            </a: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51.17</c:v>
                </c:pt>
                <c:pt idx="1">
                  <c:v>49.220000000000013</c:v>
                </c:pt>
                <c:pt idx="2">
                  <c:v>31.130000000000031</c:v>
                </c:pt>
              </c:numCache>
            </c:numRef>
          </c:val>
        </c:ser>
        <c:dLbls>
          <c:showLegendKey val="0"/>
          <c:showVal val="0"/>
          <c:showCatName val="0"/>
          <c:showSerName val="0"/>
          <c:showPercent val="0"/>
          <c:showBubbleSize val="0"/>
        </c:dLbls>
        <c:gapWidth val="150"/>
        <c:overlap val="100"/>
        <c:axId val="93926528"/>
        <c:axId val="93928064"/>
      </c:barChart>
      <c:catAx>
        <c:axId val="93926528"/>
        <c:scaling>
          <c:orientation val="minMax"/>
        </c:scaling>
        <c:delete val="0"/>
        <c:axPos val="b"/>
        <c:numFmt formatCode="General" sourceLinked="1"/>
        <c:majorTickMark val="out"/>
        <c:minorTickMark val="none"/>
        <c:tickLblPos val="nextTo"/>
        <c:crossAx val="93928064"/>
        <c:crosses val="autoZero"/>
        <c:auto val="1"/>
        <c:lblAlgn val="ctr"/>
        <c:lblOffset val="100"/>
        <c:noMultiLvlLbl val="0"/>
      </c:catAx>
      <c:valAx>
        <c:axId val="93928064"/>
        <c:scaling>
          <c:orientation val="minMax"/>
        </c:scaling>
        <c:delete val="0"/>
        <c:axPos val="l"/>
        <c:majorGridlines/>
        <c:numFmt formatCode="General" sourceLinked="1"/>
        <c:majorTickMark val="out"/>
        <c:minorTickMark val="none"/>
        <c:tickLblPos val="nextTo"/>
        <c:crossAx val="93926528"/>
        <c:crosses val="autoZero"/>
        <c:crossBetween val="between"/>
      </c:valAx>
    </c:plotArea>
    <c:legend>
      <c:legendPos val="r"/>
      <c:overlay val="0"/>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FG Inventory Turnover</a:t>
            </a: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66.31</c:v>
                </c:pt>
                <c:pt idx="1">
                  <c:v>85.910000000000025</c:v>
                </c:pt>
                <c:pt idx="2">
                  <c:v>918.37</c:v>
                </c:pt>
              </c:numCache>
            </c:numRef>
          </c:val>
        </c:ser>
        <c:dLbls>
          <c:showLegendKey val="0"/>
          <c:showVal val="0"/>
          <c:showCatName val="0"/>
          <c:showSerName val="0"/>
          <c:showPercent val="0"/>
          <c:showBubbleSize val="0"/>
        </c:dLbls>
        <c:gapWidth val="150"/>
        <c:overlap val="100"/>
        <c:axId val="93977216"/>
        <c:axId val="95601024"/>
      </c:barChart>
      <c:catAx>
        <c:axId val="93977216"/>
        <c:scaling>
          <c:orientation val="minMax"/>
        </c:scaling>
        <c:delete val="0"/>
        <c:axPos val="b"/>
        <c:numFmt formatCode="General" sourceLinked="1"/>
        <c:majorTickMark val="out"/>
        <c:minorTickMark val="none"/>
        <c:tickLblPos val="nextTo"/>
        <c:crossAx val="95601024"/>
        <c:crosses val="autoZero"/>
        <c:auto val="1"/>
        <c:lblAlgn val="ctr"/>
        <c:lblOffset val="100"/>
        <c:noMultiLvlLbl val="0"/>
      </c:catAx>
      <c:valAx>
        <c:axId val="95601024"/>
        <c:scaling>
          <c:orientation val="minMax"/>
        </c:scaling>
        <c:delete val="0"/>
        <c:axPos val="l"/>
        <c:majorGridlines/>
        <c:numFmt formatCode="General" sourceLinked="1"/>
        <c:majorTickMark val="out"/>
        <c:minorTickMark val="none"/>
        <c:tickLblPos val="nextTo"/>
        <c:crossAx val="93977216"/>
        <c:crosses val="autoZero"/>
        <c:crossBetween val="between"/>
      </c:valAx>
    </c:plotArea>
    <c:legend>
      <c:legendPos val="r"/>
      <c:overlay val="0"/>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FG</a:t>
            </a:r>
            <a:r>
              <a:rPr lang="en-US" baseline="0">
                <a:solidFill>
                  <a:schemeClr val="accent1"/>
                </a:solidFill>
              </a:rPr>
              <a:t> Storage Period</a:t>
            </a:r>
            <a:endParaRPr lang="en-US">
              <a:solidFill>
                <a:schemeClr val="accent1"/>
              </a:solidFill>
            </a:endParaRP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5.5</c:v>
                </c:pt>
                <c:pt idx="1">
                  <c:v>4.24</c:v>
                </c:pt>
                <c:pt idx="2">
                  <c:v>0.39000000000000146</c:v>
                </c:pt>
              </c:numCache>
            </c:numRef>
          </c:val>
        </c:ser>
        <c:dLbls>
          <c:showLegendKey val="0"/>
          <c:showVal val="0"/>
          <c:showCatName val="0"/>
          <c:showSerName val="0"/>
          <c:showPercent val="0"/>
          <c:showBubbleSize val="0"/>
        </c:dLbls>
        <c:gapWidth val="150"/>
        <c:overlap val="100"/>
        <c:axId val="93917568"/>
        <c:axId val="93919104"/>
      </c:barChart>
      <c:catAx>
        <c:axId val="93917568"/>
        <c:scaling>
          <c:orientation val="minMax"/>
        </c:scaling>
        <c:delete val="0"/>
        <c:axPos val="b"/>
        <c:numFmt formatCode="General" sourceLinked="1"/>
        <c:majorTickMark val="out"/>
        <c:minorTickMark val="none"/>
        <c:tickLblPos val="nextTo"/>
        <c:crossAx val="93919104"/>
        <c:crosses val="autoZero"/>
        <c:auto val="1"/>
        <c:lblAlgn val="ctr"/>
        <c:lblOffset val="100"/>
        <c:noMultiLvlLbl val="0"/>
      </c:catAx>
      <c:valAx>
        <c:axId val="93919104"/>
        <c:scaling>
          <c:orientation val="minMax"/>
        </c:scaling>
        <c:delete val="0"/>
        <c:axPos val="l"/>
        <c:majorGridlines/>
        <c:numFmt formatCode="General" sourceLinked="1"/>
        <c:majorTickMark val="out"/>
        <c:minorTickMark val="none"/>
        <c:tickLblPos val="nextTo"/>
        <c:crossAx val="93917568"/>
        <c:crosses val="autoZero"/>
        <c:crossBetween val="between"/>
      </c:valAx>
    </c:plotArea>
    <c:legend>
      <c:legendPos val="r"/>
      <c:overlay val="0"/>
    </c:legend>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Receivable Turnover</a:t>
            </a: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2014</c:v>
                </c:pt>
                <c:pt idx="2">
                  <c:v>2014</c:v>
                </c:pt>
              </c:numCache>
            </c:numRef>
          </c:cat>
          <c:val>
            <c:numRef>
              <c:f>Sheet1!$B$2:$B$4</c:f>
              <c:numCache>
                <c:formatCode>General</c:formatCode>
                <c:ptCount val="3"/>
                <c:pt idx="0">
                  <c:v>7.83</c:v>
                </c:pt>
                <c:pt idx="1">
                  <c:v>5</c:v>
                </c:pt>
                <c:pt idx="2">
                  <c:v>7.45</c:v>
                </c:pt>
              </c:numCache>
            </c:numRef>
          </c:val>
        </c:ser>
        <c:dLbls>
          <c:showLegendKey val="0"/>
          <c:showVal val="0"/>
          <c:showCatName val="0"/>
          <c:showSerName val="0"/>
          <c:showPercent val="0"/>
          <c:showBubbleSize val="0"/>
        </c:dLbls>
        <c:gapWidth val="150"/>
        <c:overlap val="100"/>
        <c:axId val="96323456"/>
        <c:axId val="96324992"/>
      </c:barChart>
      <c:catAx>
        <c:axId val="96323456"/>
        <c:scaling>
          <c:orientation val="minMax"/>
        </c:scaling>
        <c:delete val="0"/>
        <c:axPos val="b"/>
        <c:numFmt formatCode="General" sourceLinked="1"/>
        <c:majorTickMark val="out"/>
        <c:minorTickMark val="none"/>
        <c:tickLblPos val="nextTo"/>
        <c:crossAx val="96324992"/>
        <c:crosses val="autoZero"/>
        <c:auto val="1"/>
        <c:lblAlgn val="ctr"/>
        <c:lblOffset val="100"/>
        <c:noMultiLvlLbl val="0"/>
      </c:catAx>
      <c:valAx>
        <c:axId val="96324992"/>
        <c:scaling>
          <c:orientation val="minMax"/>
        </c:scaling>
        <c:delete val="0"/>
        <c:axPos val="l"/>
        <c:majorGridlines/>
        <c:numFmt formatCode="General" sourceLinked="1"/>
        <c:majorTickMark val="out"/>
        <c:minorTickMark val="none"/>
        <c:tickLblPos val="nextTo"/>
        <c:crossAx val="96323456"/>
        <c:crosses val="autoZero"/>
        <c:crossBetween val="between"/>
      </c:valAx>
    </c:plotArea>
    <c:legend>
      <c:legendPos val="r"/>
      <c:overlay val="0"/>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DSO</a:t>
            </a: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46.57</c:v>
                </c:pt>
                <c:pt idx="1">
                  <c:v>72.86</c:v>
                </c:pt>
                <c:pt idx="2">
                  <c:v>48.96</c:v>
                </c:pt>
              </c:numCache>
            </c:numRef>
          </c:val>
        </c:ser>
        <c:dLbls>
          <c:showLegendKey val="0"/>
          <c:showVal val="0"/>
          <c:showCatName val="0"/>
          <c:showSerName val="0"/>
          <c:showPercent val="0"/>
          <c:showBubbleSize val="0"/>
        </c:dLbls>
        <c:gapWidth val="150"/>
        <c:overlap val="100"/>
        <c:axId val="95886720"/>
        <c:axId val="95900800"/>
      </c:barChart>
      <c:catAx>
        <c:axId val="95886720"/>
        <c:scaling>
          <c:orientation val="minMax"/>
        </c:scaling>
        <c:delete val="0"/>
        <c:axPos val="b"/>
        <c:numFmt formatCode="General" sourceLinked="1"/>
        <c:majorTickMark val="out"/>
        <c:minorTickMark val="none"/>
        <c:tickLblPos val="nextTo"/>
        <c:crossAx val="95900800"/>
        <c:crosses val="autoZero"/>
        <c:auto val="1"/>
        <c:lblAlgn val="ctr"/>
        <c:lblOffset val="100"/>
        <c:noMultiLvlLbl val="0"/>
      </c:catAx>
      <c:valAx>
        <c:axId val="95900800"/>
        <c:scaling>
          <c:orientation val="minMax"/>
        </c:scaling>
        <c:delete val="0"/>
        <c:axPos val="l"/>
        <c:majorGridlines/>
        <c:numFmt formatCode="General" sourceLinked="1"/>
        <c:majorTickMark val="out"/>
        <c:minorTickMark val="none"/>
        <c:tickLblPos val="nextTo"/>
        <c:crossAx val="95886720"/>
        <c:crosses val="autoZero"/>
        <c:crossBetween val="between"/>
      </c:valAx>
    </c:plotArea>
    <c:legend>
      <c:legendPos val="r"/>
      <c:overlay val="0"/>
    </c:legend>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Cash Turnover</a:t>
            </a:r>
          </a:p>
        </c:rich>
      </c:tx>
      <c:overlay val="0"/>
    </c:title>
    <c:autoTitleDeleted val="0"/>
    <c:plotArea>
      <c:layout/>
      <c:barChart>
        <c:barDir val="col"/>
        <c:grouping val="stacked"/>
        <c:varyColors val="0"/>
        <c:ser>
          <c:idx val="0"/>
          <c:order val="0"/>
          <c:tx>
            <c:strRef>
              <c:f>Sheet1!$B$1</c:f>
              <c:strCache>
                <c:ptCount val="1"/>
                <c:pt idx="0">
                  <c:v>Cash trunover</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0.58000000000000007</c:v>
                </c:pt>
                <c:pt idx="1">
                  <c:v>1.0580000000000001</c:v>
                </c:pt>
                <c:pt idx="2">
                  <c:v>0.72000000000000064</c:v>
                </c:pt>
              </c:numCache>
            </c:numRef>
          </c:val>
        </c:ser>
        <c:dLbls>
          <c:showLegendKey val="0"/>
          <c:showVal val="0"/>
          <c:showCatName val="0"/>
          <c:showSerName val="0"/>
          <c:showPercent val="0"/>
          <c:showBubbleSize val="0"/>
        </c:dLbls>
        <c:gapWidth val="150"/>
        <c:overlap val="100"/>
        <c:axId val="95913088"/>
        <c:axId val="95914624"/>
      </c:barChart>
      <c:catAx>
        <c:axId val="95913088"/>
        <c:scaling>
          <c:orientation val="minMax"/>
        </c:scaling>
        <c:delete val="0"/>
        <c:axPos val="b"/>
        <c:numFmt formatCode="General" sourceLinked="1"/>
        <c:majorTickMark val="out"/>
        <c:minorTickMark val="none"/>
        <c:tickLblPos val="nextTo"/>
        <c:crossAx val="95914624"/>
        <c:crosses val="autoZero"/>
        <c:auto val="1"/>
        <c:lblAlgn val="ctr"/>
        <c:lblOffset val="100"/>
        <c:noMultiLvlLbl val="0"/>
      </c:catAx>
      <c:valAx>
        <c:axId val="95914624"/>
        <c:scaling>
          <c:orientation val="minMax"/>
        </c:scaling>
        <c:delete val="0"/>
        <c:axPos val="l"/>
        <c:majorGridlines/>
        <c:numFmt formatCode="General" sourceLinked="1"/>
        <c:majorTickMark val="out"/>
        <c:minorTickMark val="none"/>
        <c:tickLblPos val="nextTo"/>
        <c:crossAx val="9591308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Inventory</a:t>
            </a:r>
            <a:r>
              <a:rPr lang="en-US" baseline="0">
                <a:solidFill>
                  <a:schemeClr val="accent1"/>
                </a:solidFill>
              </a:rPr>
              <a:t> Turnover</a:t>
            </a:r>
            <a:endParaRPr lang="en-US">
              <a:solidFill>
                <a:schemeClr val="accent1"/>
              </a:solidFill>
            </a:endParaRP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3.55</c:v>
                </c:pt>
                <c:pt idx="1">
                  <c:v>6.26</c:v>
                </c:pt>
                <c:pt idx="2">
                  <c:v>5.4300000000000024</c:v>
                </c:pt>
              </c:numCache>
            </c:numRef>
          </c:val>
        </c:ser>
        <c:dLbls>
          <c:showLegendKey val="0"/>
          <c:showVal val="0"/>
          <c:showCatName val="0"/>
          <c:showSerName val="0"/>
          <c:showPercent val="0"/>
          <c:showBubbleSize val="0"/>
        </c:dLbls>
        <c:gapWidth val="150"/>
        <c:overlap val="100"/>
        <c:axId val="91155840"/>
        <c:axId val="93267072"/>
      </c:barChart>
      <c:catAx>
        <c:axId val="91155840"/>
        <c:scaling>
          <c:orientation val="minMax"/>
        </c:scaling>
        <c:delete val="0"/>
        <c:axPos val="b"/>
        <c:numFmt formatCode="General" sourceLinked="1"/>
        <c:majorTickMark val="out"/>
        <c:minorTickMark val="none"/>
        <c:tickLblPos val="nextTo"/>
        <c:crossAx val="93267072"/>
        <c:crosses val="autoZero"/>
        <c:auto val="1"/>
        <c:lblAlgn val="ctr"/>
        <c:lblOffset val="100"/>
        <c:noMultiLvlLbl val="0"/>
      </c:catAx>
      <c:valAx>
        <c:axId val="93267072"/>
        <c:scaling>
          <c:orientation val="minMax"/>
        </c:scaling>
        <c:delete val="0"/>
        <c:axPos val="l"/>
        <c:majorGridlines/>
        <c:numFmt formatCode="General" sourceLinked="1"/>
        <c:majorTickMark val="out"/>
        <c:minorTickMark val="none"/>
        <c:tickLblPos val="nextTo"/>
        <c:crossAx val="91155840"/>
        <c:crosses val="autoZero"/>
        <c:crossBetween val="between"/>
      </c:valAx>
    </c:plotArea>
    <c:legend>
      <c:legendPos val="r"/>
      <c:overlay val="0"/>
    </c:legend>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Payable</a:t>
            </a:r>
            <a:r>
              <a:rPr lang="en-US" baseline="0"/>
              <a:t> Turnover</a:t>
            </a:r>
            <a:endParaRPr lang="en-US"/>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4.24</c:v>
                </c:pt>
                <c:pt idx="1">
                  <c:v>3.63</c:v>
                </c:pt>
                <c:pt idx="2">
                  <c:v>3.98</c:v>
                </c:pt>
              </c:numCache>
            </c:numRef>
          </c:val>
        </c:ser>
        <c:dLbls>
          <c:showLegendKey val="0"/>
          <c:showVal val="0"/>
          <c:showCatName val="0"/>
          <c:showSerName val="0"/>
          <c:showPercent val="0"/>
          <c:showBubbleSize val="0"/>
        </c:dLbls>
        <c:gapWidth val="150"/>
        <c:overlap val="100"/>
        <c:axId val="96426624"/>
        <c:axId val="96432512"/>
      </c:barChart>
      <c:catAx>
        <c:axId val="96426624"/>
        <c:scaling>
          <c:orientation val="minMax"/>
        </c:scaling>
        <c:delete val="0"/>
        <c:axPos val="b"/>
        <c:numFmt formatCode="General" sourceLinked="1"/>
        <c:majorTickMark val="out"/>
        <c:minorTickMark val="none"/>
        <c:tickLblPos val="nextTo"/>
        <c:crossAx val="96432512"/>
        <c:crosses val="autoZero"/>
        <c:auto val="1"/>
        <c:lblAlgn val="ctr"/>
        <c:lblOffset val="100"/>
        <c:noMultiLvlLbl val="0"/>
      </c:catAx>
      <c:valAx>
        <c:axId val="96432512"/>
        <c:scaling>
          <c:orientation val="minMax"/>
        </c:scaling>
        <c:delete val="0"/>
        <c:axPos val="l"/>
        <c:majorGridlines/>
        <c:numFmt formatCode="General" sourceLinked="1"/>
        <c:majorTickMark val="out"/>
        <c:minorTickMark val="none"/>
        <c:tickLblPos val="nextTo"/>
        <c:crossAx val="96426624"/>
        <c:crosses val="autoZero"/>
        <c:crossBetween val="between"/>
      </c:valAx>
    </c:plotArea>
    <c:legend>
      <c:legendPos val="r"/>
      <c:overlay val="0"/>
    </c:legend>
    <c:plotVisOnly val="1"/>
    <c:dispBlanksAs val="gap"/>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DPO</a:t>
            </a: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86</c:v>
                </c:pt>
                <c:pt idx="1">
                  <c:v>100</c:v>
                </c:pt>
                <c:pt idx="2">
                  <c:v>91</c:v>
                </c:pt>
              </c:numCache>
            </c:numRef>
          </c:val>
        </c:ser>
        <c:dLbls>
          <c:showLegendKey val="0"/>
          <c:showVal val="0"/>
          <c:showCatName val="0"/>
          <c:showSerName val="0"/>
          <c:showPercent val="0"/>
          <c:showBubbleSize val="0"/>
        </c:dLbls>
        <c:gapWidth val="150"/>
        <c:overlap val="100"/>
        <c:axId val="96465280"/>
        <c:axId val="96466816"/>
      </c:barChart>
      <c:catAx>
        <c:axId val="96465280"/>
        <c:scaling>
          <c:orientation val="minMax"/>
        </c:scaling>
        <c:delete val="0"/>
        <c:axPos val="b"/>
        <c:numFmt formatCode="General" sourceLinked="1"/>
        <c:majorTickMark val="out"/>
        <c:minorTickMark val="none"/>
        <c:tickLblPos val="nextTo"/>
        <c:crossAx val="96466816"/>
        <c:crosses val="autoZero"/>
        <c:auto val="1"/>
        <c:lblAlgn val="ctr"/>
        <c:lblOffset val="100"/>
        <c:noMultiLvlLbl val="0"/>
      </c:catAx>
      <c:valAx>
        <c:axId val="96466816"/>
        <c:scaling>
          <c:orientation val="minMax"/>
        </c:scaling>
        <c:delete val="0"/>
        <c:axPos val="l"/>
        <c:majorGridlines/>
        <c:numFmt formatCode="General" sourceLinked="1"/>
        <c:majorTickMark val="out"/>
        <c:minorTickMark val="none"/>
        <c:tickLblPos val="nextTo"/>
        <c:crossAx val="96465280"/>
        <c:crosses val="autoZero"/>
        <c:crossBetween val="between"/>
      </c:valAx>
    </c:plotArea>
    <c:legend>
      <c:legendPos val="r"/>
      <c:overlay val="0"/>
    </c:legend>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Current Ratio</a:t>
            </a:r>
          </a:p>
        </c:rich>
      </c:tx>
      <c:overlay val="0"/>
    </c:title>
    <c:autoTitleDeleted val="0"/>
    <c:plotArea>
      <c:layout/>
      <c:barChart>
        <c:barDir val="col"/>
        <c:grouping val="stacked"/>
        <c:varyColors val="0"/>
        <c:ser>
          <c:idx val="0"/>
          <c:order val="0"/>
          <c:tx>
            <c:strRef>
              <c:f>Sheet1!$B$1</c:f>
              <c:strCache>
                <c:ptCount val="1"/>
                <c:pt idx="0">
                  <c:v>Current Ratio</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1.1599999999999944</c:v>
                </c:pt>
                <c:pt idx="1">
                  <c:v>1.1200000000000001</c:v>
                </c:pt>
                <c:pt idx="2">
                  <c:v>1.1700000000000021</c:v>
                </c:pt>
              </c:numCache>
            </c:numRef>
          </c:val>
        </c:ser>
        <c:dLbls>
          <c:showLegendKey val="0"/>
          <c:showVal val="0"/>
          <c:showCatName val="0"/>
          <c:showSerName val="0"/>
          <c:showPercent val="0"/>
          <c:showBubbleSize val="0"/>
        </c:dLbls>
        <c:gapWidth val="150"/>
        <c:overlap val="100"/>
        <c:axId val="95991680"/>
        <c:axId val="95993216"/>
      </c:barChart>
      <c:catAx>
        <c:axId val="95991680"/>
        <c:scaling>
          <c:orientation val="minMax"/>
        </c:scaling>
        <c:delete val="0"/>
        <c:axPos val="b"/>
        <c:numFmt formatCode="General" sourceLinked="1"/>
        <c:majorTickMark val="out"/>
        <c:minorTickMark val="none"/>
        <c:tickLblPos val="nextTo"/>
        <c:crossAx val="95993216"/>
        <c:crosses val="autoZero"/>
        <c:auto val="1"/>
        <c:lblAlgn val="ctr"/>
        <c:lblOffset val="100"/>
        <c:noMultiLvlLbl val="0"/>
      </c:catAx>
      <c:valAx>
        <c:axId val="95993216"/>
        <c:scaling>
          <c:orientation val="minMax"/>
        </c:scaling>
        <c:delete val="0"/>
        <c:axPos val="l"/>
        <c:majorGridlines/>
        <c:numFmt formatCode="General" sourceLinked="1"/>
        <c:majorTickMark val="out"/>
        <c:minorTickMark val="none"/>
        <c:tickLblPos val="nextTo"/>
        <c:crossAx val="95991680"/>
        <c:crosses val="autoZero"/>
        <c:crossBetween val="between"/>
      </c:valAx>
    </c:plotArea>
    <c:legend>
      <c:legendPos val="r"/>
      <c:overlay val="0"/>
    </c:legend>
    <c:plotVisOnly val="1"/>
    <c:dispBlanksAs val="gap"/>
    <c:showDLblsOverMax val="0"/>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Quick Ratio</a:t>
            </a:r>
          </a:p>
        </c:rich>
      </c:tx>
      <c:overlay val="0"/>
    </c:title>
    <c:autoTitleDeleted val="0"/>
    <c:plotArea>
      <c:layout/>
      <c:barChart>
        <c:barDir val="col"/>
        <c:grouping val="stacked"/>
        <c:varyColors val="0"/>
        <c:ser>
          <c:idx val="0"/>
          <c:order val="0"/>
          <c:tx>
            <c:strRef>
              <c:f>Sheet1!$B$1</c:f>
              <c:strCache>
                <c:ptCount val="1"/>
                <c:pt idx="0">
                  <c:v>Quick Ratio</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0.81</c:v>
                </c:pt>
                <c:pt idx="1">
                  <c:v>0.87000000000000255</c:v>
                </c:pt>
                <c:pt idx="2">
                  <c:v>0.83000000000000063</c:v>
                </c:pt>
              </c:numCache>
            </c:numRef>
          </c:val>
        </c:ser>
        <c:dLbls>
          <c:showLegendKey val="0"/>
          <c:showVal val="0"/>
          <c:showCatName val="0"/>
          <c:showSerName val="0"/>
          <c:showPercent val="0"/>
          <c:showBubbleSize val="0"/>
        </c:dLbls>
        <c:gapWidth val="150"/>
        <c:overlap val="100"/>
        <c:axId val="96009600"/>
        <c:axId val="96089216"/>
      </c:barChart>
      <c:catAx>
        <c:axId val="96009600"/>
        <c:scaling>
          <c:orientation val="minMax"/>
        </c:scaling>
        <c:delete val="0"/>
        <c:axPos val="b"/>
        <c:numFmt formatCode="General" sourceLinked="1"/>
        <c:majorTickMark val="out"/>
        <c:minorTickMark val="none"/>
        <c:tickLblPos val="nextTo"/>
        <c:crossAx val="96089216"/>
        <c:crosses val="autoZero"/>
        <c:auto val="1"/>
        <c:lblAlgn val="ctr"/>
        <c:lblOffset val="100"/>
        <c:noMultiLvlLbl val="0"/>
      </c:catAx>
      <c:valAx>
        <c:axId val="96089216"/>
        <c:scaling>
          <c:orientation val="minMax"/>
        </c:scaling>
        <c:delete val="0"/>
        <c:axPos val="l"/>
        <c:majorGridlines/>
        <c:numFmt formatCode="General" sourceLinked="1"/>
        <c:majorTickMark val="out"/>
        <c:minorTickMark val="none"/>
        <c:tickLblPos val="nextTo"/>
        <c:crossAx val="96009600"/>
        <c:crosses val="autoZero"/>
        <c:crossBetween val="between"/>
      </c:valAx>
    </c:plotArea>
    <c:legend>
      <c:legendPos val="r"/>
      <c:overlay val="0"/>
    </c:legend>
    <c:plotVisOnly val="1"/>
    <c:dispBlanksAs val="gap"/>
    <c:showDLblsOverMax val="0"/>
  </c:chart>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Cash</a:t>
            </a:r>
            <a:r>
              <a:rPr lang="en-US" baseline="0">
                <a:solidFill>
                  <a:schemeClr val="accent1"/>
                </a:solidFill>
              </a:rPr>
              <a:t> Ratio</a:t>
            </a:r>
          </a:p>
        </c:rich>
      </c:tx>
      <c:overlay val="0"/>
    </c:title>
    <c:autoTitleDeleted val="0"/>
    <c:plotArea>
      <c:layout/>
      <c:barChart>
        <c:barDir val="col"/>
        <c:grouping val="stacked"/>
        <c:varyColors val="0"/>
        <c:ser>
          <c:idx val="0"/>
          <c:order val="0"/>
          <c:tx>
            <c:strRef>
              <c:f>Sheet1!$B$1</c:f>
              <c:strCache>
                <c:ptCount val="1"/>
                <c:pt idx="0">
                  <c:v>Cash Ratio</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0.38000000000000145</c:v>
                </c:pt>
                <c:pt idx="1">
                  <c:v>0.21000000000000021</c:v>
                </c:pt>
                <c:pt idx="2">
                  <c:v>0.36000000000000032</c:v>
                </c:pt>
              </c:numCache>
            </c:numRef>
          </c:val>
        </c:ser>
        <c:dLbls>
          <c:showLegendKey val="0"/>
          <c:showVal val="0"/>
          <c:showCatName val="0"/>
          <c:showSerName val="0"/>
          <c:showPercent val="0"/>
          <c:showBubbleSize val="0"/>
        </c:dLbls>
        <c:gapWidth val="150"/>
        <c:overlap val="100"/>
        <c:axId val="95921280"/>
        <c:axId val="95922816"/>
      </c:barChart>
      <c:catAx>
        <c:axId val="95921280"/>
        <c:scaling>
          <c:orientation val="minMax"/>
        </c:scaling>
        <c:delete val="0"/>
        <c:axPos val="b"/>
        <c:numFmt formatCode="General" sourceLinked="1"/>
        <c:majorTickMark val="out"/>
        <c:minorTickMark val="none"/>
        <c:tickLblPos val="nextTo"/>
        <c:crossAx val="95922816"/>
        <c:crosses val="autoZero"/>
        <c:auto val="1"/>
        <c:lblAlgn val="ctr"/>
        <c:lblOffset val="100"/>
        <c:noMultiLvlLbl val="0"/>
      </c:catAx>
      <c:valAx>
        <c:axId val="95922816"/>
        <c:scaling>
          <c:orientation val="minMax"/>
        </c:scaling>
        <c:delete val="0"/>
        <c:axPos val="l"/>
        <c:majorGridlines/>
        <c:numFmt formatCode="General" sourceLinked="1"/>
        <c:majorTickMark val="out"/>
        <c:minorTickMark val="none"/>
        <c:tickLblPos val="nextTo"/>
        <c:crossAx val="95921280"/>
        <c:crosses val="autoZero"/>
        <c:crossBetween val="between"/>
      </c:valAx>
    </c:plotArea>
    <c:legend>
      <c:legendPos val="r"/>
      <c:overlay val="0"/>
    </c:legend>
    <c:plotVisOnly val="1"/>
    <c:dispBlanksAs val="gap"/>
    <c:showDLblsOverMax val="0"/>
  </c:chart>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Working Capital Turnover </a:t>
            </a: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5</c:v>
                </c:pt>
                <c:pt idx="1">
                  <c:v>3.3</c:v>
                </c:pt>
                <c:pt idx="2">
                  <c:v>7.85</c:v>
                </c:pt>
              </c:numCache>
            </c:numRef>
          </c:val>
        </c:ser>
        <c:dLbls>
          <c:showLegendKey val="0"/>
          <c:showVal val="0"/>
          <c:showCatName val="0"/>
          <c:showSerName val="0"/>
          <c:showPercent val="0"/>
          <c:showBubbleSize val="0"/>
        </c:dLbls>
        <c:gapWidth val="150"/>
        <c:overlap val="100"/>
        <c:axId val="96635520"/>
        <c:axId val="96637312"/>
      </c:barChart>
      <c:catAx>
        <c:axId val="96635520"/>
        <c:scaling>
          <c:orientation val="minMax"/>
        </c:scaling>
        <c:delete val="0"/>
        <c:axPos val="b"/>
        <c:numFmt formatCode="General" sourceLinked="1"/>
        <c:majorTickMark val="out"/>
        <c:minorTickMark val="none"/>
        <c:tickLblPos val="nextTo"/>
        <c:crossAx val="96637312"/>
        <c:crosses val="autoZero"/>
        <c:auto val="1"/>
        <c:lblAlgn val="ctr"/>
        <c:lblOffset val="100"/>
        <c:noMultiLvlLbl val="0"/>
      </c:catAx>
      <c:valAx>
        <c:axId val="96637312"/>
        <c:scaling>
          <c:orientation val="minMax"/>
        </c:scaling>
        <c:delete val="0"/>
        <c:axPos val="l"/>
        <c:majorGridlines/>
        <c:numFmt formatCode="General" sourceLinked="1"/>
        <c:majorTickMark val="out"/>
        <c:minorTickMark val="none"/>
        <c:tickLblPos val="nextTo"/>
        <c:crossAx val="96635520"/>
        <c:crosses val="autoZero"/>
        <c:crossBetween val="between"/>
      </c:valAx>
    </c:plotArea>
    <c:legend>
      <c:legendPos val="r"/>
      <c:overlay val="0"/>
    </c:legend>
    <c:plotVisOnly val="1"/>
    <c:dispBlanksAs val="gap"/>
    <c:showDLblsOverMax val="0"/>
  </c:chart>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Current Assset Turnover</a:t>
            </a: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1.006</c:v>
                </c:pt>
                <c:pt idx="1">
                  <c:v>0.75700000000000289</c:v>
                </c:pt>
                <c:pt idx="2">
                  <c:v>0.72000000000000064</c:v>
                </c:pt>
              </c:numCache>
            </c:numRef>
          </c:val>
        </c:ser>
        <c:dLbls>
          <c:showLegendKey val="0"/>
          <c:showVal val="0"/>
          <c:showCatName val="0"/>
          <c:showSerName val="0"/>
          <c:showPercent val="0"/>
          <c:showBubbleSize val="0"/>
        </c:dLbls>
        <c:gapWidth val="150"/>
        <c:overlap val="100"/>
        <c:axId val="96653696"/>
        <c:axId val="96655232"/>
      </c:barChart>
      <c:catAx>
        <c:axId val="96653696"/>
        <c:scaling>
          <c:orientation val="minMax"/>
        </c:scaling>
        <c:delete val="0"/>
        <c:axPos val="b"/>
        <c:numFmt formatCode="General" sourceLinked="1"/>
        <c:majorTickMark val="out"/>
        <c:minorTickMark val="none"/>
        <c:tickLblPos val="nextTo"/>
        <c:crossAx val="96655232"/>
        <c:crosses val="autoZero"/>
        <c:auto val="1"/>
        <c:lblAlgn val="ctr"/>
        <c:lblOffset val="100"/>
        <c:noMultiLvlLbl val="0"/>
      </c:catAx>
      <c:valAx>
        <c:axId val="96655232"/>
        <c:scaling>
          <c:orientation val="minMax"/>
        </c:scaling>
        <c:delete val="0"/>
        <c:axPos val="l"/>
        <c:majorGridlines/>
        <c:numFmt formatCode="General" sourceLinked="1"/>
        <c:majorTickMark val="out"/>
        <c:minorTickMark val="none"/>
        <c:tickLblPos val="nextTo"/>
        <c:crossAx val="96653696"/>
        <c:crosses val="autoZero"/>
        <c:crossBetween val="between"/>
      </c:valAx>
    </c:plotArea>
    <c:legend>
      <c:legendPos val="r"/>
      <c:overlay val="0"/>
    </c:legend>
    <c:plotVisOnly val="1"/>
    <c:dispBlanksAs val="gap"/>
    <c:showDLblsOverMax val="0"/>
  </c:chart>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Inventory Turnover Ratio</a:t>
            </a: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3.2</c:v>
                </c:pt>
                <c:pt idx="1">
                  <c:v>2.1</c:v>
                </c:pt>
                <c:pt idx="2">
                  <c:v>2.4099999999999997</c:v>
                </c:pt>
              </c:numCache>
            </c:numRef>
          </c:val>
        </c:ser>
        <c:dLbls>
          <c:showLegendKey val="0"/>
          <c:showVal val="0"/>
          <c:showCatName val="0"/>
          <c:showSerName val="0"/>
          <c:showPercent val="0"/>
          <c:showBubbleSize val="0"/>
        </c:dLbls>
        <c:gapWidth val="150"/>
        <c:overlap val="100"/>
        <c:axId val="96352128"/>
        <c:axId val="96353664"/>
      </c:barChart>
      <c:catAx>
        <c:axId val="96352128"/>
        <c:scaling>
          <c:orientation val="minMax"/>
        </c:scaling>
        <c:delete val="0"/>
        <c:axPos val="b"/>
        <c:numFmt formatCode="General" sourceLinked="1"/>
        <c:majorTickMark val="out"/>
        <c:minorTickMark val="none"/>
        <c:tickLblPos val="nextTo"/>
        <c:crossAx val="96353664"/>
        <c:crosses val="autoZero"/>
        <c:auto val="1"/>
        <c:lblAlgn val="ctr"/>
        <c:lblOffset val="100"/>
        <c:noMultiLvlLbl val="0"/>
      </c:catAx>
      <c:valAx>
        <c:axId val="96353664"/>
        <c:scaling>
          <c:orientation val="minMax"/>
        </c:scaling>
        <c:delete val="0"/>
        <c:axPos val="l"/>
        <c:majorGridlines/>
        <c:numFmt formatCode="General" sourceLinked="1"/>
        <c:majorTickMark val="out"/>
        <c:minorTickMark val="none"/>
        <c:tickLblPos val="nextTo"/>
        <c:crossAx val="96352128"/>
        <c:crosses val="autoZero"/>
        <c:crossBetween val="between"/>
      </c:valAx>
    </c:plotArea>
    <c:legend>
      <c:legendPos val="r"/>
      <c:overlay val="0"/>
    </c:legend>
    <c:plotVisOnly val="1"/>
    <c:dispBlanksAs val="gap"/>
    <c:showDLblsOverMax val="0"/>
  </c:chart>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DIH</a:t>
            </a: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113.77</c:v>
                </c:pt>
                <c:pt idx="1">
                  <c:v>173.56</c:v>
                </c:pt>
                <c:pt idx="2">
                  <c:v>151.19999999999999</c:v>
                </c:pt>
              </c:numCache>
            </c:numRef>
          </c:val>
        </c:ser>
        <c:dLbls>
          <c:showLegendKey val="0"/>
          <c:showVal val="0"/>
          <c:showCatName val="0"/>
          <c:showSerName val="0"/>
          <c:showPercent val="0"/>
          <c:showBubbleSize val="0"/>
        </c:dLbls>
        <c:gapWidth val="150"/>
        <c:overlap val="100"/>
        <c:axId val="96402816"/>
        <c:axId val="96474240"/>
      </c:barChart>
      <c:catAx>
        <c:axId val="96402816"/>
        <c:scaling>
          <c:orientation val="minMax"/>
        </c:scaling>
        <c:delete val="0"/>
        <c:axPos val="b"/>
        <c:numFmt formatCode="General" sourceLinked="1"/>
        <c:majorTickMark val="out"/>
        <c:minorTickMark val="none"/>
        <c:tickLblPos val="nextTo"/>
        <c:crossAx val="96474240"/>
        <c:crosses val="autoZero"/>
        <c:auto val="1"/>
        <c:lblAlgn val="ctr"/>
        <c:lblOffset val="100"/>
        <c:noMultiLvlLbl val="0"/>
      </c:catAx>
      <c:valAx>
        <c:axId val="96474240"/>
        <c:scaling>
          <c:orientation val="minMax"/>
        </c:scaling>
        <c:delete val="0"/>
        <c:axPos val="l"/>
        <c:majorGridlines/>
        <c:numFmt formatCode="General" sourceLinked="1"/>
        <c:majorTickMark val="out"/>
        <c:minorTickMark val="none"/>
        <c:tickLblPos val="nextTo"/>
        <c:crossAx val="96402816"/>
        <c:crosses val="autoZero"/>
        <c:crossBetween val="between"/>
      </c:valAx>
    </c:plotArea>
    <c:legend>
      <c:legendPos val="r"/>
      <c:overlay val="0"/>
    </c:legend>
    <c:plotVisOnly val="1"/>
    <c:dispBlanksAs val="gap"/>
    <c:showDLblsOverMax val="0"/>
  </c:chart>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Raw</a:t>
            </a:r>
            <a:r>
              <a:rPr lang="en-US" baseline="0"/>
              <a:t> Mterials Inventory Turnover</a:t>
            </a: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2.09</c:v>
                </c:pt>
                <c:pt idx="1">
                  <c:v>4.0199999999999996</c:v>
                </c:pt>
                <c:pt idx="2">
                  <c:v>3.9299999999999997</c:v>
                </c:pt>
              </c:numCache>
            </c:numRef>
          </c:val>
        </c:ser>
        <c:dLbls>
          <c:showLegendKey val="0"/>
          <c:showVal val="0"/>
          <c:showCatName val="0"/>
          <c:showSerName val="0"/>
          <c:showPercent val="0"/>
          <c:showBubbleSize val="0"/>
        </c:dLbls>
        <c:gapWidth val="150"/>
        <c:overlap val="100"/>
        <c:axId val="96507008"/>
        <c:axId val="96508544"/>
      </c:barChart>
      <c:catAx>
        <c:axId val="96507008"/>
        <c:scaling>
          <c:orientation val="minMax"/>
        </c:scaling>
        <c:delete val="0"/>
        <c:axPos val="b"/>
        <c:numFmt formatCode="General" sourceLinked="1"/>
        <c:majorTickMark val="out"/>
        <c:minorTickMark val="none"/>
        <c:tickLblPos val="nextTo"/>
        <c:crossAx val="96508544"/>
        <c:crosses val="autoZero"/>
        <c:auto val="1"/>
        <c:lblAlgn val="ctr"/>
        <c:lblOffset val="100"/>
        <c:noMultiLvlLbl val="0"/>
      </c:catAx>
      <c:valAx>
        <c:axId val="96508544"/>
        <c:scaling>
          <c:orientation val="minMax"/>
        </c:scaling>
        <c:delete val="0"/>
        <c:axPos val="l"/>
        <c:majorGridlines/>
        <c:numFmt formatCode="General" sourceLinked="1"/>
        <c:majorTickMark val="out"/>
        <c:minorTickMark val="none"/>
        <c:tickLblPos val="nextTo"/>
        <c:crossAx val="9650700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DIH</a:t>
            </a: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102.85</c:v>
                </c:pt>
                <c:pt idx="1">
                  <c:v>58.290000000000013</c:v>
                </c:pt>
                <c:pt idx="2">
                  <c:v>67.239999999999995</c:v>
                </c:pt>
              </c:numCache>
            </c:numRef>
          </c:val>
        </c:ser>
        <c:dLbls>
          <c:showLegendKey val="0"/>
          <c:showVal val="0"/>
          <c:showCatName val="0"/>
          <c:showSerName val="0"/>
          <c:showPercent val="0"/>
          <c:showBubbleSize val="0"/>
        </c:dLbls>
        <c:gapWidth val="150"/>
        <c:overlap val="100"/>
        <c:axId val="93312128"/>
        <c:axId val="93313664"/>
      </c:barChart>
      <c:catAx>
        <c:axId val="93312128"/>
        <c:scaling>
          <c:orientation val="minMax"/>
        </c:scaling>
        <c:delete val="0"/>
        <c:axPos val="b"/>
        <c:numFmt formatCode="General" sourceLinked="1"/>
        <c:majorTickMark val="out"/>
        <c:minorTickMark val="none"/>
        <c:tickLblPos val="nextTo"/>
        <c:crossAx val="93313664"/>
        <c:crosses val="autoZero"/>
        <c:auto val="1"/>
        <c:lblAlgn val="ctr"/>
        <c:lblOffset val="100"/>
        <c:noMultiLvlLbl val="0"/>
      </c:catAx>
      <c:valAx>
        <c:axId val="93313664"/>
        <c:scaling>
          <c:orientation val="minMax"/>
        </c:scaling>
        <c:delete val="0"/>
        <c:axPos val="l"/>
        <c:majorGridlines/>
        <c:numFmt formatCode="General" sourceLinked="1"/>
        <c:majorTickMark val="out"/>
        <c:minorTickMark val="none"/>
        <c:tickLblPos val="nextTo"/>
        <c:crossAx val="93312128"/>
        <c:crosses val="autoZero"/>
        <c:crossBetween val="between"/>
      </c:valAx>
    </c:plotArea>
    <c:legend>
      <c:legendPos val="r"/>
      <c:overlay val="0"/>
    </c:legend>
    <c:plotVisOnly val="1"/>
    <c:dispBlanksAs val="gap"/>
    <c:showDLblsOverMax val="0"/>
  </c:chart>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Number of days</a:t>
            </a:r>
            <a:r>
              <a:rPr lang="en-US" baseline="0">
                <a:solidFill>
                  <a:schemeClr val="accent1"/>
                </a:solidFill>
              </a:rPr>
              <a:t> holdings raw materials</a:t>
            </a:r>
            <a:endParaRPr lang="en-US">
              <a:solidFill>
                <a:schemeClr val="accent1"/>
              </a:solidFill>
            </a:endParaRP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173</c:v>
                </c:pt>
                <c:pt idx="1">
                  <c:v>90</c:v>
                </c:pt>
                <c:pt idx="2">
                  <c:v>92</c:v>
                </c:pt>
              </c:numCache>
            </c:numRef>
          </c:val>
        </c:ser>
        <c:dLbls>
          <c:showLegendKey val="0"/>
          <c:showVal val="0"/>
          <c:showCatName val="0"/>
          <c:showSerName val="0"/>
          <c:showPercent val="0"/>
          <c:showBubbleSize val="0"/>
        </c:dLbls>
        <c:gapWidth val="150"/>
        <c:overlap val="100"/>
        <c:axId val="96574080"/>
        <c:axId val="96579968"/>
      </c:barChart>
      <c:catAx>
        <c:axId val="96574080"/>
        <c:scaling>
          <c:orientation val="minMax"/>
        </c:scaling>
        <c:delete val="0"/>
        <c:axPos val="b"/>
        <c:numFmt formatCode="General" sourceLinked="1"/>
        <c:majorTickMark val="out"/>
        <c:minorTickMark val="none"/>
        <c:tickLblPos val="nextTo"/>
        <c:crossAx val="96579968"/>
        <c:crosses val="autoZero"/>
        <c:auto val="1"/>
        <c:lblAlgn val="ctr"/>
        <c:lblOffset val="100"/>
        <c:noMultiLvlLbl val="0"/>
      </c:catAx>
      <c:valAx>
        <c:axId val="96579968"/>
        <c:scaling>
          <c:orientation val="minMax"/>
        </c:scaling>
        <c:delete val="0"/>
        <c:axPos val="l"/>
        <c:majorGridlines/>
        <c:numFmt formatCode="General" sourceLinked="1"/>
        <c:majorTickMark val="out"/>
        <c:minorTickMark val="none"/>
        <c:tickLblPos val="nextTo"/>
        <c:crossAx val="96574080"/>
        <c:crosses val="autoZero"/>
        <c:crossBetween val="between"/>
      </c:valAx>
    </c:plotArea>
    <c:legend>
      <c:legendPos val="r"/>
      <c:overlay val="0"/>
    </c:legend>
    <c:plotVisOnly val="1"/>
    <c:dispBlanksAs val="gap"/>
    <c:showDLblsOverMax val="0"/>
  </c:chart>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WIP</a:t>
            </a:r>
            <a:r>
              <a:rPr lang="en-US" baseline="0">
                <a:solidFill>
                  <a:schemeClr val="accent1"/>
                </a:solidFill>
              </a:rPr>
              <a:t> Turnover </a:t>
            </a:r>
            <a:endParaRPr lang="en-US">
              <a:solidFill>
                <a:schemeClr val="accent1"/>
              </a:solidFill>
            </a:endParaRP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89.78</c:v>
                </c:pt>
                <c:pt idx="1">
                  <c:v>56.339999999999996</c:v>
                </c:pt>
                <c:pt idx="2">
                  <c:v>86.440000000000026</c:v>
                </c:pt>
              </c:numCache>
            </c:numRef>
          </c:val>
        </c:ser>
        <c:dLbls>
          <c:showLegendKey val="0"/>
          <c:showVal val="0"/>
          <c:showCatName val="0"/>
          <c:showSerName val="0"/>
          <c:showPercent val="0"/>
          <c:showBubbleSize val="0"/>
        </c:dLbls>
        <c:gapWidth val="150"/>
        <c:overlap val="100"/>
        <c:axId val="96596352"/>
        <c:axId val="96597888"/>
      </c:barChart>
      <c:catAx>
        <c:axId val="96596352"/>
        <c:scaling>
          <c:orientation val="minMax"/>
        </c:scaling>
        <c:delete val="0"/>
        <c:axPos val="b"/>
        <c:numFmt formatCode="General" sourceLinked="1"/>
        <c:majorTickMark val="out"/>
        <c:minorTickMark val="none"/>
        <c:tickLblPos val="nextTo"/>
        <c:crossAx val="96597888"/>
        <c:crosses val="autoZero"/>
        <c:auto val="1"/>
        <c:lblAlgn val="ctr"/>
        <c:lblOffset val="100"/>
        <c:noMultiLvlLbl val="0"/>
      </c:catAx>
      <c:valAx>
        <c:axId val="96597888"/>
        <c:scaling>
          <c:orientation val="minMax"/>
        </c:scaling>
        <c:delete val="0"/>
        <c:axPos val="l"/>
        <c:majorGridlines/>
        <c:numFmt formatCode="General" sourceLinked="1"/>
        <c:majorTickMark val="out"/>
        <c:minorTickMark val="none"/>
        <c:tickLblPos val="nextTo"/>
        <c:crossAx val="96596352"/>
        <c:crosses val="autoZero"/>
        <c:crossBetween val="between"/>
      </c:valAx>
    </c:plotArea>
    <c:legend>
      <c:legendPos val="r"/>
      <c:overlay val="0"/>
    </c:legend>
    <c:plotVisOnly val="1"/>
    <c:dispBlanksAs val="gap"/>
    <c:showDLblsOverMax val="0"/>
  </c:chart>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FG Inventory Turnover</a:t>
            </a: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4.8599999999999985</c:v>
                </c:pt>
                <c:pt idx="1">
                  <c:v>3.19</c:v>
                </c:pt>
                <c:pt idx="2">
                  <c:v>3.66</c:v>
                </c:pt>
              </c:numCache>
            </c:numRef>
          </c:val>
        </c:ser>
        <c:dLbls>
          <c:showLegendKey val="0"/>
          <c:showVal val="0"/>
          <c:showCatName val="0"/>
          <c:showSerName val="0"/>
          <c:showPercent val="0"/>
          <c:showBubbleSize val="0"/>
        </c:dLbls>
        <c:gapWidth val="150"/>
        <c:overlap val="100"/>
        <c:axId val="96360320"/>
        <c:axId val="96361856"/>
      </c:barChart>
      <c:catAx>
        <c:axId val="96360320"/>
        <c:scaling>
          <c:orientation val="minMax"/>
        </c:scaling>
        <c:delete val="0"/>
        <c:axPos val="b"/>
        <c:numFmt formatCode="General" sourceLinked="1"/>
        <c:majorTickMark val="out"/>
        <c:minorTickMark val="none"/>
        <c:tickLblPos val="nextTo"/>
        <c:crossAx val="96361856"/>
        <c:crosses val="autoZero"/>
        <c:auto val="1"/>
        <c:lblAlgn val="ctr"/>
        <c:lblOffset val="100"/>
        <c:noMultiLvlLbl val="0"/>
      </c:catAx>
      <c:valAx>
        <c:axId val="96361856"/>
        <c:scaling>
          <c:orientation val="minMax"/>
        </c:scaling>
        <c:delete val="0"/>
        <c:axPos val="l"/>
        <c:majorGridlines/>
        <c:numFmt formatCode="General" sourceLinked="1"/>
        <c:majorTickMark val="out"/>
        <c:minorTickMark val="none"/>
        <c:tickLblPos val="nextTo"/>
        <c:crossAx val="96360320"/>
        <c:crosses val="autoZero"/>
        <c:crossBetween val="between"/>
      </c:valAx>
    </c:plotArea>
    <c:legend>
      <c:legendPos val="r"/>
      <c:overlay val="0"/>
    </c:legend>
    <c:plotVisOnly val="1"/>
    <c:dispBlanksAs val="gap"/>
    <c:showDLblsOverMax val="0"/>
  </c:chart>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FG Storage Period</a:t>
            </a: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75.09</c:v>
                </c:pt>
                <c:pt idx="1">
                  <c:v>114.23</c:v>
                </c:pt>
                <c:pt idx="2">
                  <c:v>99.669999999999987</c:v>
                </c:pt>
              </c:numCache>
            </c:numRef>
          </c:val>
        </c:ser>
        <c:dLbls>
          <c:showLegendKey val="0"/>
          <c:showVal val="0"/>
          <c:showCatName val="0"/>
          <c:showSerName val="0"/>
          <c:showPercent val="0"/>
          <c:showBubbleSize val="0"/>
        </c:dLbls>
        <c:gapWidth val="150"/>
        <c:overlap val="100"/>
        <c:axId val="96570752"/>
        <c:axId val="96756864"/>
      </c:barChart>
      <c:catAx>
        <c:axId val="96570752"/>
        <c:scaling>
          <c:orientation val="minMax"/>
        </c:scaling>
        <c:delete val="0"/>
        <c:axPos val="b"/>
        <c:numFmt formatCode="General" sourceLinked="1"/>
        <c:majorTickMark val="out"/>
        <c:minorTickMark val="none"/>
        <c:tickLblPos val="nextTo"/>
        <c:crossAx val="96756864"/>
        <c:crosses val="autoZero"/>
        <c:auto val="1"/>
        <c:lblAlgn val="ctr"/>
        <c:lblOffset val="100"/>
        <c:noMultiLvlLbl val="0"/>
      </c:catAx>
      <c:valAx>
        <c:axId val="96756864"/>
        <c:scaling>
          <c:orientation val="minMax"/>
        </c:scaling>
        <c:delete val="0"/>
        <c:axPos val="l"/>
        <c:majorGridlines/>
        <c:numFmt formatCode="General" sourceLinked="1"/>
        <c:majorTickMark val="out"/>
        <c:minorTickMark val="none"/>
        <c:tickLblPos val="nextTo"/>
        <c:crossAx val="96570752"/>
        <c:crosses val="autoZero"/>
        <c:crossBetween val="between"/>
      </c:valAx>
    </c:plotArea>
    <c:legend>
      <c:legendPos val="r"/>
      <c:overlay val="0"/>
    </c:legend>
    <c:plotVisOnly val="1"/>
    <c:dispBlanksAs val="gap"/>
    <c:showDLblsOverMax val="0"/>
  </c:chart>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Receivable Turnover</a:t>
            </a: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10</c:v>
                </c:pt>
                <c:pt idx="1">
                  <c:v>7.4700000000000024</c:v>
                </c:pt>
                <c:pt idx="2">
                  <c:v>9.120000000000001</c:v>
                </c:pt>
              </c:numCache>
            </c:numRef>
          </c:val>
        </c:ser>
        <c:dLbls>
          <c:showLegendKey val="0"/>
          <c:showVal val="0"/>
          <c:showCatName val="0"/>
          <c:showSerName val="0"/>
          <c:showPercent val="0"/>
          <c:showBubbleSize val="0"/>
        </c:dLbls>
        <c:gapWidth val="150"/>
        <c:overlap val="100"/>
        <c:axId val="96724096"/>
        <c:axId val="96725632"/>
      </c:barChart>
      <c:catAx>
        <c:axId val="96724096"/>
        <c:scaling>
          <c:orientation val="minMax"/>
        </c:scaling>
        <c:delete val="0"/>
        <c:axPos val="b"/>
        <c:numFmt formatCode="General" sourceLinked="1"/>
        <c:majorTickMark val="out"/>
        <c:minorTickMark val="none"/>
        <c:tickLblPos val="nextTo"/>
        <c:crossAx val="96725632"/>
        <c:crosses val="autoZero"/>
        <c:auto val="1"/>
        <c:lblAlgn val="ctr"/>
        <c:lblOffset val="100"/>
        <c:noMultiLvlLbl val="0"/>
      </c:catAx>
      <c:valAx>
        <c:axId val="96725632"/>
        <c:scaling>
          <c:orientation val="minMax"/>
        </c:scaling>
        <c:delete val="0"/>
        <c:axPos val="l"/>
        <c:majorGridlines/>
        <c:numFmt formatCode="General" sourceLinked="1"/>
        <c:majorTickMark val="out"/>
        <c:minorTickMark val="none"/>
        <c:tickLblPos val="nextTo"/>
        <c:crossAx val="96724096"/>
        <c:crosses val="autoZero"/>
        <c:crossBetween val="between"/>
      </c:valAx>
    </c:plotArea>
    <c:legend>
      <c:legendPos val="r"/>
      <c:overlay val="0"/>
    </c:legend>
    <c:plotVisOnly val="1"/>
    <c:dispBlanksAs val="gap"/>
    <c:showDLblsOverMax val="0"/>
  </c:chart>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DSO</a:t>
            </a: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36.480000000000004</c:v>
                </c:pt>
                <c:pt idx="1">
                  <c:v>48.86</c:v>
                </c:pt>
                <c:pt idx="2">
                  <c:v>40.15</c:v>
                </c:pt>
              </c:numCache>
            </c:numRef>
          </c:val>
        </c:ser>
        <c:dLbls>
          <c:showLegendKey val="0"/>
          <c:showVal val="0"/>
          <c:showCatName val="0"/>
          <c:showSerName val="0"/>
          <c:showPercent val="0"/>
          <c:showBubbleSize val="0"/>
        </c:dLbls>
        <c:gapWidth val="150"/>
        <c:overlap val="100"/>
        <c:axId val="96864896"/>
        <c:axId val="96903552"/>
      </c:barChart>
      <c:catAx>
        <c:axId val="96864896"/>
        <c:scaling>
          <c:orientation val="minMax"/>
        </c:scaling>
        <c:delete val="0"/>
        <c:axPos val="b"/>
        <c:numFmt formatCode="General" sourceLinked="1"/>
        <c:majorTickMark val="out"/>
        <c:minorTickMark val="none"/>
        <c:tickLblPos val="nextTo"/>
        <c:crossAx val="96903552"/>
        <c:crosses val="autoZero"/>
        <c:auto val="1"/>
        <c:lblAlgn val="ctr"/>
        <c:lblOffset val="100"/>
        <c:noMultiLvlLbl val="0"/>
      </c:catAx>
      <c:valAx>
        <c:axId val="96903552"/>
        <c:scaling>
          <c:orientation val="minMax"/>
        </c:scaling>
        <c:delete val="0"/>
        <c:axPos val="l"/>
        <c:majorGridlines/>
        <c:numFmt formatCode="General" sourceLinked="1"/>
        <c:majorTickMark val="out"/>
        <c:minorTickMark val="none"/>
        <c:tickLblPos val="nextTo"/>
        <c:crossAx val="96864896"/>
        <c:crosses val="autoZero"/>
        <c:crossBetween val="between"/>
      </c:valAx>
    </c:plotArea>
    <c:legend>
      <c:legendPos val="r"/>
      <c:overlay val="0"/>
    </c:legend>
    <c:plotVisOnly val="1"/>
    <c:dispBlanksAs val="gap"/>
    <c:showDLblsOverMax val="0"/>
  </c:chart>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Cash Turnover</a:t>
            </a:r>
          </a:p>
        </c:rich>
      </c:tx>
      <c:overlay val="0"/>
    </c:title>
    <c:autoTitleDeleted val="0"/>
    <c:plotArea>
      <c:layout/>
      <c:barChart>
        <c:barDir val="col"/>
        <c:grouping val="stacked"/>
        <c:varyColors val="0"/>
        <c:ser>
          <c:idx val="0"/>
          <c:order val="0"/>
          <c:tx>
            <c:strRef>
              <c:f>Sheet1!$B$1</c:f>
              <c:strCache>
                <c:ptCount val="1"/>
                <c:pt idx="0">
                  <c:v>Cash Turnover</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12.38</c:v>
                </c:pt>
                <c:pt idx="1">
                  <c:v>9.01</c:v>
                </c:pt>
                <c:pt idx="2">
                  <c:v>7.49</c:v>
                </c:pt>
              </c:numCache>
            </c:numRef>
          </c:val>
        </c:ser>
        <c:dLbls>
          <c:showLegendKey val="0"/>
          <c:showVal val="0"/>
          <c:showCatName val="0"/>
          <c:showSerName val="0"/>
          <c:showPercent val="0"/>
          <c:showBubbleSize val="0"/>
        </c:dLbls>
        <c:gapWidth val="150"/>
        <c:overlap val="100"/>
        <c:axId val="97583488"/>
        <c:axId val="97585024"/>
      </c:barChart>
      <c:catAx>
        <c:axId val="97583488"/>
        <c:scaling>
          <c:orientation val="minMax"/>
        </c:scaling>
        <c:delete val="0"/>
        <c:axPos val="b"/>
        <c:numFmt formatCode="General" sourceLinked="1"/>
        <c:majorTickMark val="out"/>
        <c:minorTickMark val="none"/>
        <c:tickLblPos val="nextTo"/>
        <c:crossAx val="97585024"/>
        <c:crosses val="autoZero"/>
        <c:auto val="1"/>
        <c:lblAlgn val="ctr"/>
        <c:lblOffset val="100"/>
        <c:noMultiLvlLbl val="0"/>
      </c:catAx>
      <c:valAx>
        <c:axId val="97585024"/>
        <c:scaling>
          <c:orientation val="minMax"/>
        </c:scaling>
        <c:delete val="0"/>
        <c:axPos val="l"/>
        <c:majorGridlines/>
        <c:numFmt formatCode="General" sourceLinked="1"/>
        <c:majorTickMark val="out"/>
        <c:minorTickMark val="none"/>
        <c:tickLblPos val="nextTo"/>
        <c:crossAx val="97583488"/>
        <c:crosses val="autoZero"/>
        <c:crossBetween val="between"/>
      </c:valAx>
    </c:plotArea>
    <c:legend>
      <c:legendPos val="r"/>
      <c:overlay val="0"/>
    </c:legend>
    <c:plotVisOnly val="1"/>
    <c:dispBlanksAs val="gap"/>
    <c:showDLblsOverMax val="0"/>
  </c:chart>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Payable</a:t>
            </a:r>
            <a:r>
              <a:rPr lang="en-US" baseline="0">
                <a:solidFill>
                  <a:schemeClr val="accent1"/>
                </a:solidFill>
              </a:rPr>
              <a:t> Turnover</a:t>
            </a:r>
            <a:endParaRPr lang="en-US">
              <a:solidFill>
                <a:schemeClr val="accent1"/>
              </a:solidFill>
            </a:endParaRP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21.52</c:v>
                </c:pt>
                <c:pt idx="1">
                  <c:v>13.07</c:v>
                </c:pt>
                <c:pt idx="2">
                  <c:v>19.72</c:v>
                </c:pt>
              </c:numCache>
            </c:numRef>
          </c:val>
        </c:ser>
        <c:dLbls>
          <c:showLegendKey val="0"/>
          <c:showVal val="0"/>
          <c:showCatName val="0"/>
          <c:showSerName val="0"/>
          <c:showPercent val="0"/>
          <c:showBubbleSize val="0"/>
        </c:dLbls>
        <c:gapWidth val="150"/>
        <c:overlap val="100"/>
        <c:axId val="97621888"/>
        <c:axId val="97623424"/>
      </c:barChart>
      <c:catAx>
        <c:axId val="97621888"/>
        <c:scaling>
          <c:orientation val="minMax"/>
        </c:scaling>
        <c:delete val="0"/>
        <c:axPos val="b"/>
        <c:numFmt formatCode="General" sourceLinked="1"/>
        <c:majorTickMark val="out"/>
        <c:minorTickMark val="none"/>
        <c:tickLblPos val="nextTo"/>
        <c:crossAx val="97623424"/>
        <c:crosses val="autoZero"/>
        <c:auto val="1"/>
        <c:lblAlgn val="ctr"/>
        <c:lblOffset val="100"/>
        <c:noMultiLvlLbl val="0"/>
      </c:catAx>
      <c:valAx>
        <c:axId val="97623424"/>
        <c:scaling>
          <c:orientation val="minMax"/>
        </c:scaling>
        <c:delete val="0"/>
        <c:axPos val="l"/>
        <c:majorGridlines/>
        <c:numFmt formatCode="General" sourceLinked="1"/>
        <c:majorTickMark val="out"/>
        <c:minorTickMark val="none"/>
        <c:tickLblPos val="nextTo"/>
        <c:crossAx val="97621888"/>
        <c:crosses val="autoZero"/>
        <c:crossBetween val="between"/>
      </c:valAx>
    </c:plotArea>
    <c:legend>
      <c:legendPos val="r"/>
      <c:overlay val="0"/>
    </c:legend>
    <c:plotVisOnly val="1"/>
    <c:dispBlanksAs val="gap"/>
    <c:showDLblsOverMax val="0"/>
  </c:chart>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DPO</a:t>
            </a: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16.95</c:v>
                </c:pt>
                <c:pt idx="1">
                  <c:v>27.91</c:v>
                </c:pt>
                <c:pt idx="2">
                  <c:v>18.5</c:v>
                </c:pt>
              </c:numCache>
            </c:numRef>
          </c:val>
        </c:ser>
        <c:dLbls>
          <c:showLegendKey val="0"/>
          <c:showVal val="0"/>
          <c:showCatName val="0"/>
          <c:showSerName val="0"/>
          <c:showPercent val="0"/>
          <c:showBubbleSize val="0"/>
        </c:dLbls>
        <c:gapWidth val="150"/>
        <c:overlap val="100"/>
        <c:axId val="97631616"/>
        <c:axId val="98264192"/>
      </c:barChart>
      <c:catAx>
        <c:axId val="97631616"/>
        <c:scaling>
          <c:orientation val="minMax"/>
        </c:scaling>
        <c:delete val="0"/>
        <c:axPos val="b"/>
        <c:numFmt formatCode="General" sourceLinked="1"/>
        <c:majorTickMark val="out"/>
        <c:minorTickMark val="none"/>
        <c:tickLblPos val="nextTo"/>
        <c:crossAx val="98264192"/>
        <c:crosses val="autoZero"/>
        <c:auto val="1"/>
        <c:lblAlgn val="ctr"/>
        <c:lblOffset val="100"/>
        <c:noMultiLvlLbl val="0"/>
      </c:catAx>
      <c:valAx>
        <c:axId val="98264192"/>
        <c:scaling>
          <c:orientation val="minMax"/>
        </c:scaling>
        <c:delete val="0"/>
        <c:axPos val="l"/>
        <c:majorGridlines/>
        <c:numFmt formatCode="General" sourceLinked="1"/>
        <c:majorTickMark val="out"/>
        <c:minorTickMark val="none"/>
        <c:tickLblPos val="nextTo"/>
        <c:crossAx val="97631616"/>
        <c:crosses val="autoZero"/>
        <c:crossBetween val="between"/>
      </c:valAx>
    </c:plotArea>
    <c:legend>
      <c:legendPos val="r"/>
      <c:overlay val="0"/>
    </c:legend>
    <c:plotVisOnly val="1"/>
    <c:dispBlanksAs val="gap"/>
    <c:showDLblsOverMax val="0"/>
  </c:chart>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Current Ratio</a:t>
            </a:r>
          </a:p>
        </c:rich>
      </c:tx>
      <c:overlay val="0"/>
    </c:title>
    <c:autoTitleDeleted val="0"/>
    <c:plotArea>
      <c:layout/>
      <c:barChart>
        <c:barDir val="col"/>
        <c:grouping val="stacked"/>
        <c:varyColors val="0"/>
        <c:ser>
          <c:idx val="0"/>
          <c:order val="0"/>
          <c:tx>
            <c:strRef>
              <c:f>Sheet1!$B$1</c:f>
              <c:strCache>
                <c:ptCount val="1"/>
                <c:pt idx="0">
                  <c:v>Current Ratio</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1.56</c:v>
                </c:pt>
                <c:pt idx="1">
                  <c:v>1.6700000000000021</c:v>
                </c:pt>
                <c:pt idx="2">
                  <c:v>1.180000000000005</c:v>
                </c:pt>
              </c:numCache>
            </c:numRef>
          </c:val>
        </c:ser>
        <c:dLbls>
          <c:showLegendKey val="0"/>
          <c:showVal val="0"/>
          <c:showCatName val="0"/>
          <c:showSerName val="0"/>
          <c:showPercent val="0"/>
          <c:showBubbleSize val="0"/>
        </c:dLbls>
        <c:gapWidth val="150"/>
        <c:overlap val="100"/>
        <c:axId val="98301056"/>
        <c:axId val="98302592"/>
      </c:barChart>
      <c:catAx>
        <c:axId val="98301056"/>
        <c:scaling>
          <c:orientation val="minMax"/>
        </c:scaling>
        <c:delete val="0"/>
        <c:axPos val="b"/>
        <c:numFmt formatCode="General" sourceLinked="1"/>
        <c:majorTickMark val="out"/>
        <c:minorTickMark val="none"/>
        <c:tickLblPos val="nextTo"/>
        <c:crossAx val="98302592"/>
        <c:crosses val="autoZero"/>
        <c:auto val="1"/>
        <c:lblAlgn val="ctr"/>
        <c:lblOffset val="100"/>
        <c:noMultiLvlLbl val="0"/>
      </c:catAx>
      <c:valAx>
        <c:axId val="98302592"/>
        <c:scaling>
          <c:orientation val="minMax"/>
        </c:scaling>
        <c:delete val="0"/>
        <c:axPos val="l"/>
        <c:majorGridlines/>
        <c:numFmt formatCode="General" sourceLinked="1"/>
        <c:majorTickMark val="out"/>
        <c:minorTickMark val="none"/>
        <c:tickLblPos val="nextTo"/>
        <c:crossAx val="98301056"/>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Raw</a:t>
            </a:r>
            <a:r>
              <a:rPr lang="en-US" baseline="0">
                <a:solidFill>
                  <a:schemeClr val="accent1"/>
                </a:solidFill>
              </a:rPr>
              <a:t> Materials Inventory Turnover</a:t>
            </a:r>
            <a:endParaRPr lang="en-US">
              <a:solidFill>
                <a:schemeClr val="accent1"/>
              </a:solidFill>
            </a:endParaRP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Sheet1!$A$2:$A$3</c:f>
              <c:numCache>
                <c:formatCode>General</c:formatCode>
                <c:ptCount val="2"/>
                <c:pt idx="0">
                  <c:v>2016</c:v>
                </c:pt>
                <c:pt idx="1">
                  <c:v>2015</c:v>
                </c:pt>
              </c:numCache>
            </c:numRef>
          </c:cat>
          <c:val>
            <c:numRef>
              <c:f>Sheet1!$B$2:$B$3</c:f>
              <c:numCache>
                <c:formatCode>General</c:formatCode>
                <c:ptCount val="2"/>
                <c:pt idx="0">
                  <c:v>4.0599999999999996</c:v>
                </c:pt>
                <c:pt idx="1">
                  <c:v>8.75</c:v>
                </c:pt>
              </c:numCache>
            </c:numRef>
          </c:val>
        </c:ser>
        <c:dLbls>
          <c:showLegendKey val="0"/>
          <c:showVal val="0"/>
          <c:showCatName val="0"/>
          <c:showSerName val="0"/>
          <c:showPercent val="0"/>
          <c:showBubbleSize val="0"/>
        </c:dLbls>
        <c:gapWidth val="150"/>
        <c:overlap val="100"/>
        <c:axId val="93784704"/>
        <c:axId val="93794688"/>
      </c:barChart>
      <c:catAx>
        <c:axId val="93784704"/>
        <c:scaling>
          <c:orientation val="minMax"/>
        </c:scaling>
        <c:delete val="0"/>
        <c:axPos val="b"/>
        <c:numFmt formatCode="General" sourceLinked="1"/>
        <c:majorTickMark val="out"/>
        <c:minorTickMark val="none"/>
        <c:tickLblPos val="nextTo"/>
        <c:crossAx val="93794688"/>
        <c:crosses val="autoZero"/>
        <c:auto val="1"/>
        <c:lblAlgn val="ctr"/>
        <c:lblOffset val="100"/>
        <c:noMultiLvlLbl val="0"/>
      </c:catAx>
      <c:valAx>
        <c:axId val="93794688"/>
        <c:scaling>
          <c:orientation val="minMax"/>
        </c:scaling>
        <c:delete val="0"/>
        <c:axPos val="l"/>
        <c:majorGridlines/>
        <c:numFmt formatCode="General" sourceLinked="1"/>
        <c:majorTickMark val="out"/>
        <c:minorTickMark val="none"/>
        <c:tickLblPos val="nextTo"/>
        <c:crossAx val="93784704"/>
        <c:crosses val="autoZero"/>
        <c:crossBetween val="between"/>
      </c:valAx>
    </c:plotArea>
    <c:legend>
      <c:legendPos val="r"/>
      <c:overlay val="0"/>
    </c:legend>
    <c:plotVisOnly val="1"/>
    <c:dispBlanksAs val="gap"/>
    <c:showDLblsOverMax val="0"/>
  </c:chart>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Quick Ratio</a:t>
            </a:r>
          </a:p>
        </c:rich>
      </c:tx>
      <c:overlay val="0"/>
    </c:title>
    <c:autoTitleDeleted val="0"/>
    <c:plotArea>
      <c:layout/>
      <c:barChart>
        <c:barDir val="col"/>
        <c:grouping val="stacked"/>
        <c:varyColors val="0"/>
        <c:ser>
          <c:idx val="0"/>
          <c:order val="0"/>
          <c:tx>
            <c:strRef>
              <c:f>Sheet1!$B$1</c:f>
              <c:strCache>
                <c:ptCount val="1"/>
                <c:pt idx="0">
                  <c:v>Quick Ratio</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0.35600000000000032</c:v>
                </c:pt>
                <c:pt idx="1">
                  <c:v>0.43800000000000128</c:v>
                </c:pt>
                <c:pt idx="2">
                  <c:v>0.21700000000000041</c:v>
                </c:pt>
              </c:numCache>
            </c:numRef>
          </c:val>
        </c:ser>
        <c:dLbls>
          <c:showLegendKey val="0"/>
          <c:showVal val="0"/>
          <c:showCatName val="0"/>
          <c:showSerName val="0"/>
          <c:showPercent val="0"/>
          <c:showBubbleSize val="0"/>
        </c:dLbls>
        <c:gapWidth val="150"/>
        <c:overlap val="100"/>
        <c:axId val="96868992"/>
        <c:axId val="97657216"/>
      </c:barChart>
      <c:catAx>
        <c:axId val="96868992"/>
        <c:scaling>
          <c:orientation val="minMax"/>
        </c:scaling>
        <c:delete val="0"/>
        <c:axPos val="b"/>
        <c:numFmt formatCode="General" sourceLinked="1"/>
        <c:majorTickMark val="out"/>
        <c:minorTickMark val="none"/>
        <c:tickLblPos val="nextTo"/>
        <c:crossAx val="97657216"/>
        <c:crosses val="autoZero"/>
        <c:auto val="1"/>
        <c:lblAlgn val="ctr"/>
        <c:lblOffset val="100"/>
        <c:noMultiLvlLbl val="0"/>
      </c:catAx>
      <c:valAx>
        <c:axId val="97657216"/>
        <c:scaling>
          <c:orientation val="minMax"/>
        </c:scaling>
        <c:delete val="0"/>
        <c:axPos val="l"/>
        <c:majorGridlines/>
        <c:numFmt formatCode="General" sourceLinked="1"/>
        <c:majorTickMark val="out"/>
        <c:minorTickMark val="none"/>
        <c:tickLblPos val="nextTo"/>
        <c:crossAx val="96868992"/>
        <c:crosses val="autoZero"/>
        <c:crossBetween val="between"/>
      </c:valAx>
    </c:plotArea>
    <c:legend>
      <c:legendPos val="r"/>
      <c:overlay val="0"/>
    </c:legend>
    <c:plotVisOnly val="1"/>
    <c:dispBlanksAs val="gap"/>
    <c:showDLblsOverMax val="0"/>
  </c:chart>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Cash Ratio</a:t>
            </a:r>
          </a:p>
        </c:rich>
      </c:tx>
      <c:overlay val="0"/>
    </c:title>
    <c:autoTitleDeleted val="0"/>
    <c:plotArea>
      <c:layout/>
      <c:barChart>
        <c:barDir val="col"/>
        <c:grouping val="stacked"/>
        <c:varyColors val="0"/>
        <c:ser>
          <c:idx val="0"/>
          <c:order val="0"/>
          <c:tx>
            <c:strRef>
              <c:f>Sheet1!$B$1</c:f>
              <c:strCache>
                <c:ptCount val="1"/>
                <c:pt idx="0">
                  <c:v>Cash Ratio</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7.6999999999999999E-2</c:v>
                </c:pt>
                <c:pt idx="1">
                  <c:v>8.0000000000000043E-2</c:v>
                </c:pt>
                <c:pt idx="2">
                  <c:v>5.5000000000000014E-2</c:v>
                </c:pt>
              </c:numCache>
            </c:numRef>
          </c:val>
        </c:ser>
        <c:dLbls>
          <c:showLegendKey val="0"/>
          <c:showVal val="0"/>
          <c:showCatName val="0"/>
          <c:showSerName val="0"/>
          <c:showPercent val="0"/>
          <c:showBubbleSize val="0"/>
        </c:dLbls>
        <c:gapWidth val="150"/>
        <c:overlap val="100"/>
        <c:axId val="98128256"/>
        <c:axId val="98129792"/>
      </c:barChart>
      <c:catAx>
        <c:axId val="98128256"/>
        <c:scaling>
          <c:orientation val="minMax"/>
        </c:scaling>
        <c:delete val="0"/>
        <c:axPos val="b"/>
        <c:numFmt formatCode="General" sourceLinked="1"/>
        <c:majorTickMark val="out"/>
        <c:minorTickMark val="none"/>
        <c:tickLblPos val="nextTo"/>
        <c:crossAx val="98129792"/>
        <c:crosses val="autoZero"/>
        <c:auto val="1"/>
        <c:lblAlgn val="ctr"/>
        <c:lblOffset val="100"/>
        <c:noMultiLvlLbl val="0"/>
      </c:catAx>
      <c:valAx>
        <c:axId val="98129792"/>
        <c:scaling>
          <c:orientation val="minMax"/>
        </c:scaling>
        <c:delete val="0"/>
        <c:axPos val="l"/>
        <c:majorGridlines/>
        <c:numFmt formatCode="General" sourceLinked="1"/>
        <c:majorTickMark val="out"/>
        <c:minorTickMark val="none"/>
        <c:tickLblPos val="nextTo"/>
        <c:crossAx val="98128256"/>
        <c:crosses val="autoZero"/>
        <c:crossBetween val="between"/>
      </c:valAx>
    </c:plotArea>
    <c:legend>
      <c:legendPos val="r"/>
      <c:overlay val="0"/>
    </c:legend>
    <c:plotVisOnly val="1"/>
    <c:dispBlanksAs val="gap"/>
    <c:showDLblsOverMax val="0"/>
  </c:chart>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Working</a:t>
            </a:r>
            <a:r>
              <a:rPr lang="en-US" baseline="0"/>
              <a:t> Capital Turnover</a:t>
            </a:r>
            <a:endParaRPr lang="en-US"/>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7</c:v>
                </c:pt>
                <c:pt idx="1">
                  <c:v>7.98</c:v>
                </c:pt>
                <c:pt idx="2">
                  <c:v>13.76</c:v>
                </c:pt>
              </c:numCache>
            </c:numRef>
          </c:val>
        </c:ser>
        <c:dLbls>
          <c:showLegendKey val="0"/>
          <c:showVal val="0"/>
          <c:showCatName val="0"/>
          <c:showSerName val="0"/>
          <c:showPercent val="0"/>
          <c:showBubbleSize val="0"/>
        </c:dLbls>
        <c:gapWidth val="150"/>
        <c:overlap val="100"/>
        <c:axId val="98117504"/>
        <c:axId val="98119040"/>
      </c:barChart>
      <c:catAx>
        <c:axId val="98117504"/>
        <c:scaling>
          <c:orientation val="minMax"/>
        </c:scaling>
        <c:delete val="0"/>
        <c:axPos val="b"/>
        <c:numFmt formatCode="General" sourceLinked="1"/>
        <c:majorTickMark val="out"/>
        <c:minorTickMark val="none"/>
        <c:tickLblPos val="nextTo"/>
        <c:crossAx val="98119040"/>
        <c:crosses val="autoZero"/>
        <c:auto val="1"/>
        <c:lblAlgn val="ctr"/>
        <c:lblOffset val="100"/>
        <c:noMultiLvlLbl val="0"/>
      </c:catAx>
      <c:valAx>
        <c:axId val="98119040"/>
        <c:scaling>
          <c:orientation val="minMax"/>
        </c:scaling>
        <c:delete val="0"/>
        <c:axPos val="l"/>
        <c:majorGridlines/>
        <c:numFmt formatCode="General" sourceLinked="1"/>
        <c:majorTickMark val="out"/>
        <c:minorTickMark val="none"/>
        <c:tickLblPos val="nextTo"/>
        <c:crossAx val="98117504"/>
        <c:crosses val="autoZero"/>
        <c:crossBetween val="between"/>
      </c:valAx>
    </c:plotArea>
    <c:legend>
      <c:legendPos val="r"/>
      <c:overlay val="0"/>
    </c:legend>
    <c:plotVisOnly val="1"/>
    <c:dispBlanksAs val="gap"/>
    <c:showDLblsOverMax val="0"/>
  </c:chart>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Current Asset Turnover</a:t>
            </a: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1.54</c:v>
                </c:pt>
                <c:pt idx="1">
                  <c:v>1.74</c:v>
                </c:pt>
                <c:pt idx="2">
                  <c:v>2.68</c:v>
                </c:pt>
              </c:numCache>
            </c:numRef>
          </c:val>
        </c:ser>
        <c:dLbls>
          <c:showLegendKey val="0"/>
          <c:showVal val="0"/>
          <c:showCatName val="0"/>
          <c:showSerName val="0"/>
          <c:showPercent val="0"/>
          <c:showBubbleSize val="0"/>
        </c:dLbls>
        <c:gapWidth val="150"/>
        <c:overlap val="100"/>
        <c:axId val="98139520"/>
        <c:axId val="98219136"/>
      </c:barChart>
      <c:catAx>
        <c:axId val="98139520"/>
        <c:scaling>
          <c:orientation val="minMax"/>
        </c:scaling>
        <c:delete val="0"/>
        <c:axPos val="b"/>
        <c:numFmt formatCode="General" sourceLinked="1"/>
        <c:majorTickMark val="out"/>
        <c:minorTickMark val="none"/>
        <c:tickLblPos val="nextTo"/>
        <c:crossAx val="98219136"/>
        <c:crosses val="autoZero"/>
        <c:auto val="1"/>
        <c:lblAlgn val="ctr"/>
        <c:lblOffset val="100"/>
        <c:noMultiLvlLbl val="0"/>
      </c:catAx>
      <c:valAx>
        <c:axId val="98219136"/>
        <c:scaling>
          <c:orientation val="minMax"/>
        </c:scaling>
        <c:delete val="0"/>
        <c:axPos val="l"/>
        <c:majorGridlines/>
        <c:numFmt formatCode="General" sourceLinked="1"/>
        <c:majorTickMark val="out"/>
        <c:minorTickMark val="none"/>
        <c:tickLblPos val="nextTo"/>
        <c:crossAx val="98139520"/>
        <c:crosses val="autoZero"/>
        <c:crossBetween val="between"/>
      </c:valAx>
    </c:plotArea>
    <c:legend>
      <c:legendPos val="r"/>
      <c:overlay val="0"/>
    </c:legend>
    <c:plotVisOnly val="1"/>
    <c:dispBlanksAs val="gap"/>
    <c:showDLblsOverMax val="0"/>
  </c:chart>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Inventory Turnover</a:t>
            </a: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2.7959999999999998</c:v>
                </c:pt>
                <c:pt idx="1">
                  <c:v>2.794</c:v>
                </c:pt>
                <c:pt idx="2">
                  <c:v>4.37</c:v>
                </c:pt>
              </c:numCache>
            </c:numRef>
          </c:val>
        </c:ser>
        <c:dLbls>
          <c:showLegendKey val="0"/>
          <c:showVal val="0"/>
          <c:showCatName val="0"/>
          <c:showSerName val="0"/>
          <c:showPercent val="0"/>
          <c:showBubbleSize val="0"/>
        </c:dLbls>
        <c:gapWidth val="150"/>
        <c:overlap val="100"/>
        <c:axId val="98231424"/>
        <c:axId val="98232960"/>
      </c:barChart>
      <c:catAx>
        <c:axId val="98231424"/>
        <c:scaling>
          <c:orientation val="minMax"/>
        </c:scaling>
        <c:delete val="0"/>
        <c:axPos val="b"/>
        <c:numFmt formatCode="General" sourceLinked="1"/>
        <c:majorTickMark val="out"/>
        <c:minorTickMark val="none"/>
        <c:tickLblPos val="nextTo"/>
        <c:crossAx val="98232960"/>
        <c:crosses val="autoZero"/>
        <c:auto val="1"/>
        <c:lblAlgn val="ctr"/>
        <c:lblOffset val="100"/>
        <c:noMultiLvlLbl val="0"/>
      </c:catAx>
      <c:valAx>
        <c:axId val="98232960"/>
        <c:scaling>
          <c:orientation val="minMax"/>
        </c:scaling>
        <c:delete val="0"/>
        <c:axPos val="l"/>
        <c:majorGridlines/>
        <c:numFmt formatCode="General" sourceLinked="1"/>
        <c:majorTickMark val="out"/>
        <c:minorTickMark val="none"/>
        <c:tickLblPos val="nextTo"/>
        <c:crossAx val="98231424"/>
        <c:crosses val="autoZero"/>
        <c:crossBetween val="between"/>
      </c:valAx>
    </c:plotArea>
    <c:legend>
      <c:legendPos val="r"/>
      <c:overlay val="0"/>
    </c:legend>
    <c:plotVisOnly val="1"/>
    <c:dispBlanksAs val="gap"/>
    <c:showDLblsOverMax val="0"/>
  </c:chart>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DIH</a:t>
            </a: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130</c:v>
                </c:pt>
                <c:pt idx="1">
                  <c:v>130</c:v>
                </c:pt>
                <c:pt idx="2">
                  <c:v>83</c:v>
                </c:pt>
              </c:numCache>
            </c:numRef>
          </c:val>
        </c:ser>
        <c:dLbls>
          <c:showLegendKey val="0"/>
          <c:showVal val="0"/>
          <c:showCatName val="0"/>
          <c:showSerName val="0"/>
          <c:showPercent val="0"/>
          <c:showBubbleSize val="0"/>
        </c:dLbls>
        <c:gapWidth val="150"/>
        <c:overlap val="100"/>
        <c:axId val="98343552"/>
        <c:axId val="98349440"/>
      </c:barChart>
      <c:catAx>
        <c:axId val="98343552"/>
        <c:scaling>
          <c:orientation val="minMax"/>
        </c:scaling>
        <c:delete val="0"/>
        <c:axPos val="b"/>
        <c:numFmt formatCode="General" sourceLinked="1"/>
        <c:majorTickMark val="out"/>
        <c:minorTickMark val="none"/>
        <c:tickLblPos val="nextTo"/>
        <c:crossAx val="98349440"/>
        <c:crosses val="autoZero"/>
        <c:auto val="1"/>
        <c:lblAlgn val="ctr"/>
        <c:lblOffset val="100"/>
        <c:noMultiLvlLbl val="0"/>
      </c:catAx>
      <c:valAx>
        <c:axId val="98349440"/>
        <c:scaling>
          <c:orientation val="minMax"/>
        </c:scaling>
        <c:delete val="0"/>
        <c:axPos val="l"/>
        <c:majorGridlines/>
        <c:numFmt formatCode="General" sourceLinked="1"/>
        <c:majorTickMark val="out"/>
        <c:minorTickMark val="none"/>
        <c:tickLblPos val="nextTo"/>
        <c:crossAx val="98343552"/>
        <c:crosses val="autoZero"/>
        <c:crossBetween val="between"/>
      </c:valAx>
    </c:plotArea>
    <c:legend>
      <c:legendPos val="r"/>
      <c:overlay val="0"/>
    </c:legend>
    <c:plotVisOnly val="1"/>
    <c:dispBlanksAs val="gap"/>
    <c:showDLblsOverMax val="0"/>
  </c:chart>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FG Inventory Turnover</a:t>
            </a: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1.1499999999999944</c:v>
                </c:pt>
                <c:pt idx="1">
                  <c:v>0.96000000000000063</c:v>
                </c:pt>
                <c:pt idx="2">
                  <c:v>1.018</c:v>
                </c:pt>
              </c:numCache>
            </c:numRef>
          </c:val>
        </c:ser>
        <c:dLbls>
          <c:showLegendKey val="0"/>
          <c:showVal val="0"/>
          <c:showCatName val="0"/>
          <c:showSerName val="0"/>
          <c:showPercent val="0"/>
          <c:showBubbleSize val="0"/>
        </c:dLbls>
        <c:gapWidth val="150"/>
        <c:overlap val="100"/>
        <c:axId val="98595200"/>
        <c:axId val="98596736"/>
      </c:barChart>
      <c:catAx>
        <c:axId val="98595200"/>
        <c:scaling>
          <c:orientation val="minMax"/>
        </c:scaling>
        <c:delete val="0"/>
        <c:axPos val="b"/>
        <c:numFmt formatCode="General" sourceLinked="1"/>
        <c:majorTickMark val="out"/>
        <c:minorTickMark val="none"/>
        <c:tickLblPos val="nextTo"/>
        <c:crossAx val="98596736"/>
        <c:crosses val="autoZero"/>
        <c:auto val="1"/>
        <c:lblAlgn val="ctr"/>
        <c:lblOffset val="100"/>
        <c:noMultiLvlLbl val="0"/>
      </c:catAx>
      <c:valAx>
        <c:axId val="98596736"/>
        <c:scaling>
          <c:orientation val="minMax"/>
        </c:scaling>
        <c:delete val="0"/>
        <c:axPos val="l"/>
        <c:majorGridlines/>
        <c:numFmt formatCode="General" sourceLinked="1"/>
        <c:majorTickMark val="out"/>
        <c:minorTickMark val="none"/>
        <c:tickLblPos val="nextTo"/>
        <c:crossAx val="98595200"/>
        <c:crosses val="autoZero"/>
        <c:crossBetween val="between"/>
      </c:valAx>
    </c:plotArea>
    <c:legend>
      <c:legendPos val="r"/>
      <c:overlay val="0"/>
    </c:legend>
    <c:plotVisOnly val="1"/>
    <c:dispBlanksAs val="gap"/>
    <c:showDLblsOverMax val="0"/>
  </c:chart>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FG Storage Period</a:t>
            </a: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315</c:v>
                </c:pt>
                <c:pt idx="1">
                  <c:v>379</c:v>
                </c:pt>
                <c:pt idx="2">
                  <c:v>358</c:v>
                </c:pt>
              </c:numCache>
            </c:numRef>
          </c:val>
        </c:ser>
        <c:dLbls>
          <c:showLegendKey val="0"/>
          <c:showVal val="0"/>
          <c:showCatName val="0"/>
          <c:showSerName val="0"/>
          <c:showPercent val="0"/>
          <c:showBubbleSize val="0"/>
        </c:dLbls>
        <c:gapWidth val="150"/>
        <c:overlap val="100"/>
        <c:axId val="98613120"/>
        <c:axId val="98614656"/>
      </c:barChart>
      <c:catAx>
        <c:axId val="98613120"/>
        <c:scaling>
          <c:orientation val="minMax"/>
        </c:scaling>
        <c:delete val="0"/>
        <c:axPos val="b"/>
        <c:numFmt formatCode="General" sourceLinked="1"/>
        <c:majorTickMark val="out"/>
        <c:minorTickMark val="none"/>
        <c:tickLblPos val="nextTo"/>
        <c:crossAx val="98614656"/>
        <c:crosses val="autoZero"/>
        <c:auto val="1"/>
        <c:lblAlgn val="ctr"/>
        <c:lblOffset val="100"/>
        <c:noMultiLvlLbl val="0"/>
      </c:catAx>
      <c:valAx>
        <c:axId val="98614656"/>
        <c:scaling>
          <c:orientation val="minMax"/>
        </c:scaling>
        <c:delete val="0"/>
        <c:axPos val="l"/>
        <c:majorGridlines/>
        <c:numFmt formatCode="General" sourceLinked="1"/>
        <c:majorTickMark val="out"/>
        <c:minorTickMark val="none"/>
        <c:tickLblPos val="nextTo"/>
        <c:crossAx val="98613120"/>
        <c:crosses val="autoZero"/>
        <c:crossBetween val="between"/>
      </c:valAx>
    </c:plotArea>
    <c:legend>
      <c:legendPos val="r"/>
      <c:overlay val="0"/>
    </c:legend>
    <c:plotVisOnly val="1"/>
    <c:dispBlanksAs val="gap"/>
    <c:showDLblsOverMax val="0"/>
  </c:chart>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Receivable Turnover</a:t>
            </a: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Sheet1!$A$2:$A$3</c:f>
              <c:numCache>
                <c:formatCode>General</c:formatCode>
                <c:ptCount val="2"/>
                <c:pt idx="0">
                  <c:v>2016</c:v>
                </c:pt>
                <c:pt idx="1">
                  <c:v>2014</c:v>
                </c:pt>
              </c:numCache>
            </c:numRef>
          </c:cat>
          <c:val>
            <c:numRef>
              <c:f>Sheet1!$B$2:$B$3</c:f>
              <c:numCache>
                <c:formatCode>General</c:formatCode>
                <c:ptCount val="2"/>
                <c:pt idx="0">
                  <c:v>52.61</c:v>
                </c:pt>
                <c:pt idx="1">
                  <c:v>128.54</c:v>
                </c:pt>
              </c:numCache>
            </c:numRef>
          </c:val>
        </c:ser>
        <c:dLbls>
          <c:showLegendKey val="0"/>
          <c:showVal val="0"/>
          <c:showCatName val="0"/>
          <c:showSerName val="0"/>
          <c:showPercent val="0"/>
          <c:showBubbleSize val="0"/>
        </c:dLbls>
        <c:gapWidth val="150"/>
        <c:overlap val="100"/>
        <c:axId val="98631040"/>
        <c:axId val="98370688"/>
      </c:barChart>
      <c:catAx>
        <c:axId val="98631040"/>
        <c:scaling>
          <c:orientation val="minMax"/>
        </c:scaling>
        <c:delete val="0"/>
        <c:axPos val="b"/>
        <c:numFmt formatCode="General" sourceLinked="1"/>
        <c:majorTickMark val="out"/>
        <c:minorTickMark val="none"/>
        <c:tickLblPos val="nextTo"/>
        <c:crossAx val="98370688"/>
        <c:crosses val="autoZero"/>
        <c:auto val="1"/>
        <c:lblAlgn val="ctr"/>
        <c:lblOffset val="100"/>
        <c:noMultiLvlLbl val="0"/>
      </c:catAx>
      <c:valAx>
        <c:axId val="98370688"/>
        <c:scaling>
          <c:orientation val="minMax"/>
        </c:scaling>
        <c:delete val="0"/>
        <c:axPos val="l"/>
        <c:majorGridlines/>
        <c:numFmt formatCode="General" sourceLinked="1"/>
        <c:majorTickMark val="out"/>
        <c:minorTickMark val="none"/>
        <c:tickLblPos val="nextTo"/>
        <c:crossAx val="98631040"/>
        <c:crosses val="autoZero"/>
        <c:crossBetween val="between"/>
      </c:valAx>
    </c:plotArea>
    <c:legend>
      <c:legendPos val="r"/>
      <c:overlay val="0"/>
    </c:legend>
    <c:plotVisOnly val="1"/>
    <c:dispBlanksAs val="gap"/>
    <c:showDLblsOverMax val="0"/>
  </c:chart>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DSO</a:t>
            </a: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Sheet1!$A$2:$A$3</c:f>
              <c:numCache>
                <c:formatCode>General</c:formatCode>
                <c:ptCount val="2"/>
                <c:pt idx="0">
                  <c:v>2016</c:v>
                </c:pt>
                <c:pt idx="1">
                  <c:v>2014</c:v>
                </c:pt>
              </c:numCache>
            </c:numRef>
          </c:cat>
          <c:val>
            <c:numRef>
              <c:f>Sheet1!$B$2:$B$3</c:f>
              <c:numCache>
                <c:formatCode>General</c:formatCode>
                <c:ptCount val="2"/>
                <c:pt idx="0">
                  <c:v>6.9300000000000024</c:v>
                </c:pt>
                <c:pt idx="1">
                  <c:v>2.8299999999999987</c:v>
                </c:pt>
              </c:numCache>
            </c:numRef>
          </c:val>
        </c:ser>
        <c:dLbls>
          <c:showLegendKey val="0"/>
          <c:showVal val="0"/>
          <c:showCatName val="0"/>
          <c:showSerName val="0"/>
          <c:showPercent val="0"/>
          <c:showBubbleSize val="0"/>
        </c:dLbls>
        <c:gapWidth val="150"/>
        <c:overlap val="100"/>
        <c:axId val="98448512"/>
        <c:axId val="98450048"/>
      </c:barChart>
      <c:catAx>
        <c:axId val="98448512"/>
        <c:scaling>
          <c:orientation val="minMax"/>
        </c:scaling>
        <c:delete val="0"/>
        <c:axPos val="b"/>
        <c:numFmt formatCode="General" sourceLinked="1"/>
        <c:majorTickMark val="out"/>
        <c:minorTickMark val="none"/>
        <c:tickLblPos val="nextTo"/>
        <c:crossAx val="98450048"/>
        <c:crosses val="autoZero"/>
        <c:auto val="1"/>
        <c:lblAlgn val="ctr"/>
        <c:lblOffset val="100"/>
        <c:noMultiLvlLbl val="0"/>
      </c:catAx>
      <c:valAx>
        <c:axId val="98450048"/>
        <c:scaling>
          <c:orientation val="minMax"/>
        </c:scaling>
        <c:delete val="0"/>
        <c:axPos val="l"/>
        <c:majorGridlines/>
        <c:numFmt formatCode="General" sourceLinked="1"/>
        <c:majorTickMark val="out"/>
        <c:minorTickMark val="none"/>
        <c:tickLblPos val="nextTo"/>
        <c:crossAx val="98448512"/>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Number of days</a:t>
            </a:r>
            <a:r>
              <a:rPr lang="en-US" baseline="0">
                <a:solidFill>
                  <a:schemeClr val="accent1"/>
                </a:solidFill>
              </a:rPr>
              <a:t> holding Raw Materials</a:t>
            </a:r>
            <a:endParaRPr lang="en-US">
              <a:solidFill>
                <a:schemeClr val="accent1"/>
              </a:solidFill>
            </a:endParaRP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Sheet1!$A$2:$A$3</c:f>
              <c:numCache>
                <c:formatCode>General</c:formatCode>
                <c:ptCount val="2"/>
                <c:pt idx="0">
                  <c:v>2016</c:v>
                </c:pt>
                <c:pt idx="1">
                  <c:v>2015</c:v>
                </c:pt>
              </c:numCache>
            </c:numRef>
          </c:cat>
          <c:val>
            <c:numRef>
              <c:f>Sheet1!$B$2:$B$3</c:f>
              <c:numCache>
                <c:formatCode>General</c:formatCode>
                <c:ptCount val="2"/>
                <c:pt idx="0">
                  <c:v>89.81</c:v>
                </c:pt>
                <c:pt idx="1">
                  <c:v>41.71</c:v>
                </c:pt>
              </c:numCache>
            </c:numRef>
          </c:val>
        </c:ser>
        <c:dLbls>
          <c:showLegendKey val="0"/>
          <c:showVal val="0"/>
          <c:showCatName val="0"/>
          <c:showSerName val="0"/>
          <c:showPercent val="0"/>
          <c:showBubbleSize val="0"/>
        </c:dLbls>
        <c:gapWidth val="150"/>
        <c:overlap val="100"/>
        <c:axId val="22045056"/>
        <c:axId val="22046592"/>
      </c:barChart>
      <c:catAx>
        <c:axId val="22045056"/>
        <c:scaling>
          <c:orientation val="minMax"/>
        </c:scaling>
        <c:delete val="0"/>
        <c:axPos val="b"/>
        <c:numFmt formatCode="General" sourceLinked="1"/>
        <c:majorTickMark val="out"/>
        <c:minorTickMark val="none"/>
        <c:tickLblPos val="nextTo"/>
        <c:crossAx val="22046592"/>
        <c:crosses val="autoZero"/>
        <c:auto val="1"/>
        <c:lblAlgn val="ctr"/>
        <c:lblOffset val="100"/>
        <c:noMultiLvlLbl val="0"/>
      </c:catAx>
      <c:valAx>
        <c:axId val="22046592"/>
        <c:scaling>
          <c:orientation val="minMax"/>
        </c:scaling>
        <c:delete val="0"/>
        <c:axPos val="l"/>
        <c:majorGridlines/>
        <c:numFmt formatCode="General" sourceLinked="1"/>
        <c:majorTickMark val="out"/>
        <c:minorTickMark val="none"/>
        <c:tickLblPos val="nextTo"/>
        <c:crossAx val="22045056"/>
        <c:crosses val="autoZero"/>
        <c:crossBetween val="between"/>
      </c:valAx>
    </c:plotArea>
    <c:legend>
      <c:legendPos val="r"/>
      <c:overlay val="0"/>
    </c:legend>
    <c:plotVisOnly val="1"/>
    <c:dispBlanksAs val="gap"/>
    <c:showDLblsOverMax val="0"/>
  </c:chart>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Cash</a:t>
            </a:r>
            <a:r>
              <a:rPr lang="en-US" baseline="0">
                <a:solidFill>
                  <a:schemeClr val="accent1"/>
                </a:solidFill>
              </a:rPr>
              <a:t> Turnover</a:t>
            </a:r>
            <a:endParaRPr lang="en-US">
              <a:solidFill>
                <a:schemeClr val="accent1"/>
              </a:solidFill>
            </a:endParaRPr>
          </a:p>
        </c:rich>
      </c:tx>
      <c:overlay val="0"/>
    </c:title>
    <c:autoTitleDeleted val="0"/>
    <c:plotArea>
      <c:layout/>
      <c:barChart>
        <c:barDir val="col"/>
        <c:grouping val="stacked"/>
        <c:varyColors val="0"/>
        <c:ser>
          <c:idx val="0"/>
          <c:order val="0"/>
          <c:tx>
            <c:strRef>
              <c:f>Sheet1!$B$1</c:f>
              <c:strCache>
                <c:ptCount val="1"/>
                <c:pt idx="0">
                  <c:v>Cash Turnover</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19.52</c:v>
                </c:pt>
                <c:pt idx="1">
                  <c:v>62.690000000000012</c:v>
                </c:pt>
                <c:pt idx="2">
                  <c:v>1.1000000000000001</c:v>
                </c:pt>
              </c:numCache>
            </c:numRef>
          </c:val>
        </c:ser>
        <c:dLbls>
          <c:showLegendKey val="0"/>
          <c:showVal val="0"/>
          <c:showCatName val="0"/>
          <c:showSerName val="0"/>
          <c:showPercent val="0"/>
          <c:showBubbleSize val="0"/>
        </c:dLbls>
        <c:gapWidth val="150"/>
        <c:overlap val="100"/>
        <c:axId val="98437760"/>
        <c:axId val="98439552"/>
      </c:barChart>
      <c:catAx>
        <c:axId val="98437760"/>
        <c:scaling>
          <c:orientation val="minMax"/>
        </c:scaling>
        <c:delete val="0"/>
        <c:axPos val="b"/>
        <c:numFmt formatCode="General" sourceLinked="1"/>
        <c:majorTickMark val="out"/>
        <c:minorTickMark val="none"/>
        <c:tickLblPos val="nextTo"/>
        <c:crossAx val="98439552"/>
        <c:crosses val="autoZero"/>
        <c:auto val="1"/>
        <c:lblAlgn val="ctr"/>
        <c:lblOffset val="100"/>
        <c:noMultiLvlLbl val="0"/>
      </c:catAx>
      <c:valAx>
        <c:axId val="98439552"/>
        <c:scaling>
          <c:orientation val="minMax"/>
        </c:scaling>
        <c:delete val="0"/>
        <c:axPos val="l"/>
        <c:majorGridlines/>
        <c:numFmt formatCode="General" sourceLinked="1"/>
        <c:majorTickMark val="out"/>
        <c:minorTickMark val="none"/>
        <c:tickLblPos val="nextTo"/>
        <c:crossAx val="98437760"/>
        <c:crosses val="autoZero"/>
        <c:crossBetween val="between"/>
      </c:valAx>
    </c:plotArea>
    <c:legend>
      <c:legendPos val="r"/>
      <c:overlay val="0"/>
    </c:legend>
    <c:plotVisOnly val="1"/>
    <c:dispBlanksAs val="gap"/>
    <c:showDLblsOverMax val="0"/>
  </c:chart>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Payable Turnover</a:t>
            </a: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66.34</c:v>
                </c:pt>
                <c:pt idx="1">
                  <c:v>40.949999999999996</c:v>
                </c:pt>
                <c:pt idx="2">
                  <c:v>55.260000000000012</c:v>
                </c:pt>
              </c:numCache>
            </c:numRef>
          </c:val>
        </c:ser>
        <c:dLbls>
          <c:showLegendKey val="0"/>
          <c:showVal val="0"/>
          <c:showCatName val="0"/>
          <c:showSerName val="0"/>
          <c:showPercent val="0"/>
          <c:showBubbleSize val="0"/>
        </c:dLbls>
        <c:gapWidth val="150"/>
        <c:overlap val="100"/>
        <c:axId val="98505088"/>
        <c:axId val="98506624"/>
      </c:barChart>
      <c:catAx>
        <c:axId val="98505088"/>
        <c:scaling>
          <c:orientation val="minMax"/>
        </c:scaling>
        <c:delete val="0"/>
        <c:axPos val="b"/>
        <c:numFmt formatCode="General" sourceLinked="1"/>
        <c:majorTickMark val="out"/>
        <c:minorTickMark val="none"/>
        <c:tickLblPos val="nextTo"/>
        <c:crossAx val="98506624"/>
        <c:crosses val="autoZero"/>
        <c:auto val="1"/>
        <c:lblAlgn val="ctr"/>
        <c:lblOffset val="100"/>
        <c:noMultiLvlLbl val="0"/>
      </c:catAx>
      <c:valAx>
        <c:axId val="98506624"/>
        <c:scaling>
          <c:orientation val="minMax"/>
        </c:scaling>
        <c:delete val="0"/>
        <c:axPos val="l"/>
        <c:majorGridlines/>
        <c:numFmt formatCode="General" sourceLinked="1"/>
        <c:majorTickMark val="out"/>
        <c:minorTickMark val="none"/>
        <c:tickLblPos val="nextTo"/>
        <c:crossAx val="98505088"/>
        <c:crosses val="autoZero"/>
        <c:crossBetween val="between"/>
      </c:valAx>
    </c:plotArea>
    <c:legend>
      <c:legendPos val="r"/>
      <c:overlay val="0"/>
    </c:legend>
    <c:plotVisOnly val="1"/>
    <c:dispBlanksAs val="gap"/>
    <c:showDLblsOverMax val="0"/>
  </c:chart>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DPO</a:t>
            </a: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5.5</c:v>
                </c:pt>
                <c:pt idx="1">
                  <c:v>8.91</c:v>
                </c:pt>
                <c:pt idx="2">
                  <c:v>6.6</c:v>
                </c:pt>
              </c:numCache>
            </c:numRef>
          </c:val>
        </c:ser>
        <c:dLbls>
          <c:showLegendKey val="0"/>
          <c:showVal val="0"/>
          <c:showCatName val="0"/>
          <c:showSerName val="0"/>
          <c:showPercent val="0"/>
          <c:showBubbleSize val="0"/>
        </c:dLbls>
        <c:gapWidth val="150"/>
        <c:overlap val="100"/>
        <c:axId val="98559872"/>
        <c:axId val="98561408"/>
      </c:barChart>
      <c:catAx>
        <c:axId val="98559872"/>
        <c:scaling>
          <c:orientation val="minMax"/>
        </c:scaling>
        <c:delete val="0"/>
        <c:axPos val="b"/>
        <c:numFmt formatCode="General" sourceLinked="1"/>
        <c:majorTickMark val="out"/>
        <c:minorTickMark val="none"/>
        <c:tickLblPos val="nextTo"/>
        <c:crossAx val="98561408"/>
        <c:crosses val="autoZero"/>
        <c:auto val="1"/>
        <c:lblAlgn val="ctr"/>
        <c:lblOffset val="100"/>
        <c:noMultiLvlLbl val="0"/>
      </c:catAx>
      <c:valAx>
        <c:axId val="98561408"/>
        <c:scaling>
          <c:orientation val="minMax"/>
        </c:scaling>
        <c:delete val="0"/>
        <c:axPos val="l"/>
        <c:majorGridlines/>
        <c:numFmt formatCode="General" sourceLinked="1"/>
        <c:majorTickMark val="out"/>
        <c:minorTickMark val="none"/>
        <c:tickLblPos val="nextTo"/>
        <c:crossAx val="98559872"/>
        <c:crosses val="autoZero"/>
        <c:crossBetween val="between"/>
      </c:valAx>
    </c:plotArea>
    <c:legend>
      <c:legendPos val="r"/>
      <c:overlay val="0"/>
    </c:legend>
    <c:plotVisOnly val="1"/>
    <c:dispBlanksAs val="gap"/>
    <c:showDLblsOverMax val="0"/>
  </c:chart>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Current Ratio</a:t>
            </a:r>
          </a:p>
        </c:rich>
      </c:tx>
      <c:overlay val="0"/>
    </c:title>
    <c:autoTitleDeleted val="0"/>
    <c:plotArea>
      <c:layout/>
      <c:barChart>
        <c:barDir val="col"/>
        <c:grouping val="stacked"/>
        <c:varyColors val="0"/>
        <c:ser>
          <c:idx val="0"/>
          <c:order val="0"/>
          <c:tx>
            <c:strRef>
              <c:f>Sheet1!$B$1</c:f>
              <c:strCache>
                <c:ptCount val="1"/>
                <c:pt idx="0">
                  <c:v>Current Ratio</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1.34</c:v>
                </c:pt>
                <c:pt idx="1">
                  <c:v>1.31</c:v>
                </c:pt>
                <c:pt idx="2">
                  <c:v>1.26</c:v>
                </c:pt>
              </c:numCache>
            </c:numRef>
          </c:val>
        </c:ser>
        <c:dLbls>
          <c:showLegendKey val="0"/>
          <c:showVal val="0"/>
          <c:showCatName val="0"/>
          <c:showSerName val="0"/>
          <c:showPercent val="0"/>
          <c:showBubbleSize val="0"/>
        </c:dLbls>
        <c:gapWidth val="150"/>
        <c:overlap val="100"/>
        <c:axId val="98647424"/>
        <c:axId val="98653312"/>
      </c:barChart>
      <c:catAx>
        <c:axId val="98647424"/>
        <c:scaling>
          <c:orientation val="minMax"/>
        </c:scaling>
        <c:delete val="0"/>
        <c:axPos val="b"/>
        <c:numFmt formatCode="General" sourceLinked="1"/>
        <c:majorTickMark val="out"/>
        <c:minorTickMark val="none"/>
        <c:tickLblPos val="nextTo"/>
        <c:crossAx val="98653312"/>
        <c:crosses val="autoZero"/>
        <c:auto val="1"/>
        <c:lblAlgn val="ctr"/>
        <c:lblOffset val="100"/>
        <c:noMultiLvlLbl val="0"/>
      </c:catAx>
      <c:valAx>
        <c:axId val="98653312"/>
        <c:scaling>
          <c:orientation val="minMax"/>
        </c:scaling>
        <c:delete val="0"/>
        <c:axPos val="l"/>
        <c:majorGridlines/>
        <c:numFmt formatCode="General" sourceLinked="1"/>
        <c:majorTickMark val="out"/>
        <c:minorTickMark val="none"/>
        <c:tickLblPos val="nextTo"/>
        <c:crossAx val="98647424"/>
        <c:crosses val="autoZero"/>
        <c:crossBetween val="between"/>
      </c:valAx>
    </c:plotArea>
    <c:legend>
      <c:legendPos val="r"/>
      <c:overlay val="0"/>
    </c:legend>
    <c:plotVisOnly val="1"/>
    <c:dispBlanksAs val="gap"/>
    <c:showDLblsOverMax val="0"/>
  </c:chart>
  <c:externalData r:id="rId1">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Quick Ratio</a:t>
            </a:r>
          </a:p>
        </c:rich>
      </c:tx>
      <c:overlay val="0"/>
    </c:title>
    <c:autoTitleDeleted val="0"/>
    <c:plotArea>
      <c:layout/>
      <c:barChart>
        <c:barDir val="col"/>
        <c:grouping val="stacked"/>
        <c:varyColors val="0"/>
        <c:ser>
          <c:idx val="0"/>
          <c:order val="0"/>
          <c:tx>
            <c:strRef>
              <c:f>Sheet1!$B$1</c:f>
              <c:strCache>
                <c:ptCount val="1"/>
                <c:pt idx="0">
                  <c:v>Quick ratio</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5.6000000000000001E-2</c:v>
                </c:pt>
                <c:pt idx="1">
                  <c:v>4.3999999999999997E-2</c:v>
                </c:pt>
                <c:pt idx="2">
                  <c:v>0.26</c:v>
                </c:pt>
              </c:numCache>
            </c:numRef>
          </c:val>
        </c:ser>
        <c:dLbls>
          <c:showLegendKey val="0"/>
          <c:showVal val="0"/>
          <c:showCatName val="0"/>
          <c:showSerName val="0"/>
          <c:showPercent val="0"/>
          <c:showBubbleSize val="0"/>
        </c:dLbls>
        <c:gapWidth val="150"/>
        <c:overlap val="100"/>
        <c:axId val="98985088"/>
        <c:axId val="98986624"/>
      </c:barChart>
      <c:catAx>
        <c:axId val="98985088"/>
        <c:scaling>
          <c:orientation val="minMax"/>
        </c:scaling>
        <c:delete val="0"/>
        <c:axPos val="b"/>
        <c:numFmt formatCode="General" sourceLinked="1"/>
        <c:majorTickMark val="out"/>
        <c:minorTickMark val="none"/>
        <c:tickLblPos val="nextTo"/>
        <c:crossAx val="98986624"/>
        <c:crosses val="autoZero"/>
        <c:auto val="1"/>
        <c:lblAlgn val="ctr"/>
        <c:lblOffset val="100"/>
        <c:noMultiLvlLbl val="0"/>
      </c:catAx>
      <c:valAx>
        <c:axId val="98986624"/>
        <c:scaling>
          <c:orientation val="minMax"/>
        </c:scaling>
        <c:delete val="0"/>
        <c:axPos val="l"/>
        <c:majorGridlines/>
        <c:numFmt formatCode="General" sourceLinked="1"/>
        <c:majorTickMark val="out"/>
        <c:minorTickMark val="none"/>
        <c:tickLblPos val="nextTo"/>
        <c:crossAx val="98985088"/>
        <c:crosses val="autoZero"/>
        <c:crossBetween val="between"/>
      </c:valAx>
    </c:plotArea>
    <c:legend>
      <c:legendPos val="r"/>
      <c:overlay val="0"/>
    </c:legend>
    <c:plotVisOnly val="1"/>
    <c:dispBlanksAs val="gap"/>
    <c:showDLblsOverMax val="0"/>
  </c:chart>
  <c:externalData r:id="rId1">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Cash Ratio</a:t>
            </a:r>
          </a:p>
        </c:rich>
      </c:tx>
      <c:overlay val="0"/>
    </c:title>
    <c:autoTitleDeleted val="0"/>
    <c:plotArea>
      <c:layout/>
      <c:barChart>
        <c:barDir val="col"/>
        <c:grouping val="stacked"/>
        <c:varyColors val="0"/>
        <c:ser>
          <c:idx val="0"/>
          <c:order val="0"/>
          <c:tx>
            <c:strRef>
              <c:f>Sheet1!$B$1</c:f>
              <c:strCache>
                <c:ptCount val="1"/>
                <c:pt idx="0">
                  <c:v>Cash ratio</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1.2300000000000005E-2</c:v>
                </c:pt>
                <c:pt idx="1">
                  <c:v>3.9000000000000128E-3</c:v>
                </c:pt>
                <c:pt idx="2">
                  <c:v>0.23250000000000001</c:v>
                </c:pt>
              </c:numCache>
            </c:numRef>
          </c:val>
        </c:ser>
        <c:dLbls>
          <c:showLegendKey val="0"/>
          <c:showVal val="0"/>
          <c:showCatName val="0"/>
          <c:showSerName val="0"/>
          <c:showPercent val="0"/>
          <c:showBubbleSize val="0"/>
        </c:dLbls>
        <c:gapWidth val="150"/>
        <c:overlap val="100"/>
        <c:axId val="99011200"/>
        <c:axId val="99017088"/>
      </c:barChart>
      <c:catAx>
        <c:axId val="99011200"/>
        <c:scaling>
          <c:orientation val="minMax"/>
        </c:scaling>
        <c:delete val="0"/>
        <c:axPos val="b"/>
        <c:numFmt formatCode="General" sourceLinked="1"/>
        <c:majorTickMark val="out"/>
        <c:minorTickMark val="none"/>
        <c:tickLblPos val="nextTo"/>
        <c:crossAx val="99017088"/>
        <c:crosses val="autoZero"/>
        <c:auto val="1"/>
        <c:lblAlgn val="ctr"/>
        <c:lblOffset val="100"/>
        <c:noMultiLvlLbl val="0"/>
      </c:catAx>
      <c:valAx>
        <c:axId val="99017088"/>
        <c:scaling>
          <c:orientation val="minMax"/>
        </c:scaling>
        <c:delete val="0"/>
        <c:axPos val="l"/>
        <c:majorGridlines/>
        <c:numFmt formatCode="General" sourceLinked="1"/>
        <c:majorTickMark val="out"/>
        <c:minorTickMark val="none"/>
        <c:tickLblPos val="nextTo"/>
        <c:crossAx val="99011200"/>
        <c:crosses val="autoZero"/>
        <c:crossBetween val="between"/>
      </c:valAx>
    </c:plotArea>
    <c:legend>
      <c:legendPos val="r"/>
      <c:overlay val="0"/>
    </c:legend>
    <c:plotVisOnly val="1"/>
    <c:dispBlanksAs val="gap"/>
    <c:showDLblsOverMax val="0"/>
  </c:chart>
  <c:externalData r:id="rId1">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Working Capital Turnover</a:t>
            </a: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3</c:v>
                </c:pt>
                <c:pt idx="1">
                  <c:v>2.3299999999999987</c:v>
                </c:pt>
                <c:pt idx="2">
                  <c:v>3.06</c:v>
                </c:pt>
              </c:numCache>
            </c:numRef>
          </c:val>
        </c:ser>
        <c:dLbls>
          <c:showLegendKey val="0"/>
          <c:showVal val="0"/>
          <c:showCatName val="0"/>
          <c:showSerName val="0"/>
          <c:showPercent val="0"/>
          <c:showBubbleSize val="0"/>
        </c:dLbls>
        <c:gapWidth val="150"/>
        <c:overlap val="100"/>
        <c:axId val="98496896"/>
        <c:axId val="98498432"/>
      </c:barChart>
      <c:catAx>
        <c:axId val="98496896"/>
        <c:scaling>
          <c:orientation val="minMax"/>
        </c:scaling>
        <c:delete val="0"/>
        <c:axPos val="b"/>
        <c:numFmt formatCode="General" sourceLinked="1"/>
        <c:majorTickMark val="out"/>
        <c:minorTickMark val="none"/>
        <c:tickLblPos val="nextTo"/>
        <c:crossAx val="98498432"/>
        <c:crosses val="autoZero"/>
        <c:auto val="1"/>
        <c:lblAlgn val="ctr"/>
        <c:lblOffset val="100"/>
        <c:noMultiLvlLbl val="0"/>
      </c:catAx>
      <c:valAx>
        <c:axId val="98498432"/>
        <c:scaling>
          <c:orientation val="minMax"/>
        </c:scaling>
        <c:delete val="0"/>
        <c:axPos val="l"/>
        <c:majorGridlines/>
        <c:numFmt formatCode="General" sourceLinked="1"/>
        <c:majorTickMark val="out"/>
        <c:minorTickMark val="none"/>
        <c:tickLblPos val="nextTo"/>
        <c:crossAx val="98496896"/>
        <c:crosses val="autoZero"/>
        <c:crossBetween val="between"/>
      </c:valAx>
    </c:plotArea>
    <c:legend>
      <c:legendPos val="r"/>
      <c:overlay val="0"/>
    </c:legend>
    <c:plotVisOnly val="1"/>
    <c:dispBlanksAs val="gap"/>
    <c:showDLblsOverMax val="0"/>
  </c:chart>
  <c:externalData r:id="rId1">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Current Asset Turnover</a:t>
            </a: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0.91</c:v>
                </c:pt>
                <c:pt idx="1">
                  <c:v>0.81599999999999995</c:v>
                </c:pt>
                <c:pt idx="2">
                  <c:v>0.72900000000000065</c:v>
                </c:pt>
              </c:numCache>
            </c:numRef>
          </c:val>
        </c:ser>
        <c:dLbls>
          <c:showLegendKey val="0"/>
          <c:showVal val="0"/>
          <c:showCatName val="0"/>
          <c:showSerName val="0"/>
          <c:showPercent val="0"/>
          <c:showBubbleSize val="0"/>
        </c:dLbls>
        <c:gapWidth val="150"/>
        <c:overlap val="100"/>
        <c:axId val="98842496"/>
        <c:axId val="98844032"/>
      </c:barChart>
      <c:catAx>
        <c:axId val="98842496"/>
        <c:scaling>
          <c:orientation val="minMax"/>
        </c:scaling>
        <c:delete val="0"/>
        <c:axPos val="b"/>
        <c:numFmt formatCode="General" sourceLinked="1"/>
        <c:majorTickMark val="out"/>
        <c:minorTickMark val="none"/>
        <c:tickLblPos val="nextTo"/>
        <c:crossAx val="98844032"/>
        <c:crosses val="autoZero"/>
        <c:auto val="1"/>
        <c:lblAlgn val="ctr"/>
        <c:lblOffset val="100"/>
        <c:noMultiLvlLbl val="0"/>
      </c:catAx>
      <c:valAx>
        <c:axId val="98844032"/>
        <c:scaling>
          <c:orientation val="minMax"/>
        </c:scaling>
        <c:delete val="0"/>
        <c:axPos val="l"/>
        <c:majorGridlines/>
        <c:numFmt formatCode="General" sourceLinked="1"/>
        <c:majorTickMark val="out"/>
        <c:minorTickMark val="none"/>
        <c:tickLblPos val="nextTo"/>
        <c:crossAx val="98842496"/>
        <c:crosses val="autoZero"/>
        <c:crossBetween val="between"/>
      </c:valAx>
    </c:plotArea>
    <c:legend>
      <c:legendPos val="r"/>
      <c:overlay val="0"/>
    </c:legend>
    <c:plotVisOnly val="1"/>
    <c:dispBlanksAs val="gap"/>
    <c:showDLblsOverMax val="0"/>
  </c:chart>
  <c:externalData r:id="rId1">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Inventory Turnover</a:t>
            </a: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2.4</c:v>
                </c:pt>
                <c:pt idx="1">
                  <c:v>2.5</c:v>
                </c:pt>
                <c:pt idx="2">
                  <c:v>2.4499999999999997</c:v>
                </c:pt>
              </c:numCache>
            </c:numRef>
          </c:val>
        </c:ser>
        <c:dLbls>
          <c:showLegendKey val="0"/>
          <c:showVal val="0"/>
          <c:showCatName val="0"/>
          <c:showSerName val="0"/>
          <c:showPercent val="0"/>
          <c:showBubbleSize val="0"/>
        </c:dLbls>
        <c:gapWidth val="150"/>
        <c:overlap val="100"/>
        <c:axId val="98864512"/>
        <c:axId val="98804864"/>
      </c:barChart>
      <c:catAx>
        <c:axId val="98864512"/>
        <c:scaling>
          <c:orientation val="minMax"/>
        </c:scaling>
        <c:delete val="0"/>
        <c:axPos val="b"/>
        <c:numFmt formatCode="General" sourceLinked="1"/>
        <c:majorTickMark val="out"/>
        <c:minorTickMark val="none"/>
        <c:tickLblPos val="nextTo"/>
        <c:crossAx val="98804864"/>
        <c:crosses val="autoZero"/>
        <c:auto val="1"/>
        <c:lblAlgn val="ctr"/>
        <c:lblOffset val="100"/>
        <c:noMultiLvlLbl val="0"/>
      </c:catAx>
      <c:valAx>
        <c:axId val="98804864"/>
        <c:scaling>
          <c:orientation val="minMax"/>
        </c:scaling>
        <c:delete val="0"/>
        <c:axPos val="l"/>
        <c:majorGridlines/>
        <c:numFmt formatCode="General" sourceLinked="1"/>
        <c:majorTickMark val="out"/>
        <c:minorTickMark val="none"/>
        <c:tickLblPos val="nextTo"/>
        <c:crossAx val="98864512"/>
        <c:crosses val="autoZero"/>
        <c:crossBetween val="between"/>
      </c:valAx>
    </c:plotArea>
    <c:legend>
      <c:legendPos val="r"/>
      <c:overlay val="0"/>
    </c:legend>
    <c:plotVisOnly val="1"/>
    <c:dispBlanksAs val="gap"/>
    <c:showDLblsOverMax val="0"/>
  </c:chart>
  <c:externalData r:id="rId1">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DIH</a:t>
            </a: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152</c:v>
                </c:pt>
                <c:pt idx="1">
                  <c:v>145</c:v>
                </c:pt>
                <c:pt idx="2">
                  <c:v>149</c:v>
                </c:pt>
              </c:numCache>
            </c:numRef>
          </c:val>
        </c:ser>
        <c:dLbls>
          <c:showLegendKey val="0"/>
          <c:showVal val="0"/>
          <c:showCatName val="0"/>
          <c:showSerName val="0"/>
          <c:showPercent val="0"/>
          <c:showBubbleSize val="0"/>
        </c:dLbls>
        <c:gapWidth val="150"/>
        <c:overlap val="100"/>
        <c:axId val="98903168"/>
        <c:axId val="98904704"/>
      </c:barChart>
      <c:catAx>
        <c:axId val="98903168"/>
        <c:scaling>
          <c:orientation val="minMax"/>
        </c:scaling>
        <c:delete val="0"/>
        <c:axPos val="b"/>
        <c:numFmt formatCode="General" sourceLinked="1"/>
        <c:majorTickMark val="out"/>
        <c:minorTickMark val="none"/>
        <c:tickLblPos val="nextTo"/>
        <c:crossAx val="98904704"/>
        <c:crosses val="autoZero"/>
        <c:auto val="1"/>
        <c:lblAlgn val="ctr"/>
        <c:lblOffset val="100"/>
        <c:noMultiLvlLbl val="0"/>
      </c:catAx>
      <c:valAx>
        <c:axId val="98904704"/>
        <c:scaling>
          <c:orientation val="minMax"/>
        </c:scaling>
        <c:delete val="0"/>
        <c:axPos val="l"/>
        <c:majorGridlines/>
        <c:numFmt formatCode="General" sourceLinked="1"/>
        <c:majorTickMark val="out"/>
        <c:minorTickMark val="none"/>
        <c:tickLblPos val="nextTo"/>
        <c:crossAx val="98903168"/>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WIP Inventory Turnover</a:t>
            </a: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80.34</c:v>
                </c:pt>
                <c:pt idx="1">
                  <c:v>192.96</c:v>
                </c:pt>
                <c:pt idx="2">
                  <c:v>159.57</c:v>
                </c:pt>
              </c:numCache>
            </c:numRef>
          </c:val>
        </c:ser>
        <c:dLbls>
          <c:showLegendKey val="0"/>
          <c:showVal val="0"/>
          <c:showCatName val="0"/>
          <c:showSerName val="0"/>
          <c:showPercent val="0"/>
          <c:showBubbleSize val="0"/>
        </c:dLbls>
        <c:gapWidth val="150"/>
        <c:overlap val="100"/>
        <c:axId val="30324608"/>
        <c:axId val="30326144"/>
      </c:barChart>
      <c:catAx>
        <c:axId val="30324608"/>
        <c:scaling>
          <c:orientation val="minMax"/>
        </c:scaling>
        <c:delete val="0"/>
        <c:axPos val="b"/>
        <c:numFmt formatCode="General" sourceLinked="1"/>
        <c:majorTickMark val="out"/>
        <c:minorTickMark val="none"/>
        <c:tickLblPos val="nextTo"/>
        <c:crossAx val="30326144"/>
        <c:crosses val="autoZero"/>
        <c:auto val="1"/>
        <c:lblAlgn val="ctr"/>
        <c:lblOffset val="100"/>
        <c:noMultiLvlLbl val="0"/>
      </c:catAx>
      <c:valAx>
        <c:axId val="30326144"/>
        <c:scaling>
          <c:orientation val="minMax"/>
        </c:scaling>
        <c:delete val="0"/>
        <c:axPos val="l"/>
        <c:majorGridlines/>
        <c:numFmt formatCode="General" sourceLinked="1"/>
        <c:majorTickMark val="out"/>
        <c:minorTickMark val="none"/>
        <c:tickLblPos val="nextTo"/>
        <c:crossAx val="30324608"/>
        <c:crosses val="autoZero"/>
        <c:crossBetween val="between"/>
      </c:valAx>
    </c:plotArea>
    <c:legend>
      <c:legendPos val="r"/>
      <c:overlay val="0"/>
    </c:legend>
    <c:plotVisOnly val="1"/>
    <c:dispBlanksAs val="gap"/>
    <c:showDLblsOverMax val="0"/>
  </c:chart>
  <c:externalData r:id="rId1">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Raw Materials Inventory Turnover</a:t>
            </a: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5.68</c:v>
                </c:pt>
                <c:pt idx="1">
                  <c:v>6.53</c:v>
                </c:pt>
                <c:pt idx="2">
                  <c:v>7.06</c:v>
                </c:pt>
              </c:numCache>
            </c:numRef>
          </c:val>
        </c:ser>
        <c:dLbls>
          <c:showLegendKey val="0"/>
          <c:showVal val="0"/>
          <c:showCatName val="0"/>
          <c:showSerName val="0"/>
          <c:showPercent val="0"/>
          <c:showBubbleSize val="0"/>
        </c:dLbls>
        <c:gapWidth val="150"/>
        <c:overlap val="100"/>
        <c:axId val="98953856"/>
        <c:axId val="99045760"/>
      </c:barChart>
      <c:catAx>
        <c:axId val="98953856"/>
        <c:scaling>
          <c:orientation val="minMax"/>
        </c:scaling>
        <c:delete val="0"/>
        <c:axPos val="b"/>
        <c:numFmt formatCode="General" sourceLinked="1"/>
        <c:majorTickMark val="out"/>
        <c:minorTickMark val="none"/>
        <c:tickLblPos val="nextTo"/>
        <c:crossAx val="99045760"/>
        <c:crosses val="autoZero"/>
        <c:auto val="1"/>
        <c:lblAlgn val="ctr"/>
        <c:lblOffset val="100"/>
        <c:noMultiLvlLbl val="0"/>
      </c:catAx>
      <c:valAx>
        <c:axId val="99045760"/>
        <c:scaling>
          <c:orientation val="minMax"/>
        </c:scaling>
        <c:delete val="0"/>
        <c:axPos val="l"/>
        <c:majorGridlines/>
        <c:numFmt formatCode="General" sourceLinked="1"/>
        <c:majorTickMark val="out"/>
        <c:minorTickMark val="none"/>
        <c:tickLblPos val="nextTo"/>
        <c:crossAx val="98953856"/>
        <c:crosses val="autoZero"/>
        <c:crossBetween val="between"/>
      </c:valAx>
    </c:plotArea>
    <c:legend>
      <c:legendPos val="r"/>
      <c:overlay val="0"/>
    </c:legend>
    <c:plotVisOnly val="1"/>
    <c:dispBlanksAs val="gap"/>
    <c:showDLblsOverMax val="0"/>
  </c:chart>
  <c:externalData r:id="rId1">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chemeClr val="accent1"/>
                </a:solidFill>
                <a:latin typeface="+mn-lt"/>
                <a:ea typeface="+mn-ea"/>
                <a:cs typeface="+mn-cs"/>
              </a:defRPr>
            </a:pPr>
            <a:r>
              <a:rPr lang="en-US" sz="1800" b="1">
                <a:solidFill>
                  <a:schemeClr val="accent1"/>
                </a:solidFill>
              </a:rPr>
              <a:t>Number of days holdings Raw materials</a:t>
            </a: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chemeClr val="accent1"/>
                </a:solidFill>
                <a:latin typeface="+mn-lt"/>
                <a:ea typeface="+mn-ea"/>
                <a:cs typeface="+mn-cs"/>
              </a:defRPr>
            </a:pPr>
            <a:endParaRPr lang="en-US">
              <a:solidFill>
                <a:schemeClr val="accent1"/>
              </a:solidFill>
            </a:endParaRP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64.23</c:v>
                </c:pt>
                <c:pt idx="1">
                  <c:v>55.839999999999996</c:v>
                </c:pt>
                <c:pt idx="2">
                  <c:v>51.690000000000012</c:v>
                </c:pt>
              </c:numCache>
            </c:numRef>
          </c:val>
        </c:ser>
        <c:dLbls>
          <c:showLegendKey val="0"/>
          <c:showVal val="0"/>
          <c:showCatName val="0"/>
          <c:showSerName val="0"/>
          <c:showPercent val="0"/>
          <c:showBubbleSize val="0"/>
        </c:dLbls>
        <c:gapWidth val="150"/>
        <c:overlap val="100"/>
        <c:axId val="99062144"/>
        <c:axId val="99063680"/>
      </c:barChart>
      <c:catAx>
        <c:axId val="99062144"/>
        <c:scaling>
          <c:orientation val="minMax"/>
        </c:scaling>
        <c:delete val="0"/>
        <c:axPos val="b"/>
        <c:numFmt formatCode="General" sourceLinked="1"/>
        <c:majorTickMark val="out"/>
        <c:minorTickMark val="none"/>
        <c:tickLblPos val="nextTo"/>
        <c:crossAx val="99063680"/>
        <c:crosses val="autoZero"/>
        <c:auto val="1"/>
        <c:lblAlgn val="ctr"/>
        <c:lblOffset val="100"/>
        <c:noMultiLvlLbl val="0"/>
      </c:catAx>
      <c:valAx>
        <c:axId val="99063680"/>
        <c:scaling>
          <c:orientation val="minMax"/>
        </c:scaling>
        <c:delete val="0"/>
        <c:axPos val="l"/>
        <c:majorGridlines/>
        <c:numFmt formatCode="General" sourceLinked="1"/>
        <c:majorTickMark val="out"/>
        <c:minorTickMark val="none"/>
        <c:tickLblPos val="nextTo"/>
        <c:crossAx val="99062144"/>
        <c:crosses val="autoZero"/>
        <c:crossBetween val="between"/>
      </c:valAx>
    </c:plotArea>
    <c:legend>
      <c:legendPos val="r"/>
      <c:overlay val="0"/>
    </c:legend>
    <c:plotVisOnly val="1"/>
    <c:dispBlanksAs val="gap"/>
    <c:showDLblsOverMax val="0"/>
  </c:chart>
  <c:externalData r:id="rId1">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WIP</a:t>
            </a:r>
            <a:r>
              <a:rPr lang="en-US" baseline="0">
                <a:solidFill>
                  <a:schemeClr val="accent1"/>
                </a:solidFill>
              </a:rPr>
              <a:t> Inventory Turnover</a:t>
            </a:r>
            <a:endParaRPr lang="en-US">
              <a:solidFill>
                <a:schemeClr val="accent1"/>
              </a:solidFill>
            </a:endParaRP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75.489999999999995</c:v>
                </c:pt>
                <c:pt idx="1">
                  <c:v>35.870000000000005</c:v>
                </c:pt>
                <c:pt idx="2">
                  <c:v>35.520000000000003</c:v>
                </c:pt>
              </c:numCache>
            </c:numRef>
          </c:val>
        </c:ser>
        <c:dLbls>
          <c:showLegendKey val="0"/>
          <c:showVal val="0"/>
          <c:showCatName val="0"/>
          <c:showSerName val="0"/>
          <c:showPercent val="0"/>
          <c:showBubbleSize val="0"/>
        </c:dLbls>
        <c:gapWidth val="150"/>
        <c:overlap val="100"/>
        <c:axId val="109672320"/>
        <c:axId val="109673856"/>
      </c:barChart>
      <c:catAx>
        <c:axId val="109672320"/>
        <c:scaling>
          <c:orientation val="minMax"/>
        </c:scaling>
        <c:delete val="0"/>
        <c:axPos val="b"/>
        <c:numFmt formatCode="General" sourceLinked="1"/>
        <c:majorTickMark val="out"/>
        <c:minorTickMark val="none"/>
        <c:tickLblPos val="nextTo"/>
        <c:crossAx val="109673856"/>
        <c:crosses val="autoZero"/>
        <c:auto val="1"/>
        <c:lblAlgn val="ctr"/>
        <c:lblOffset val="100"/>
        <c:noMultiLvlLbl val="0"/>
      </c:catAx>
      <c:valAx>
        <c:axId val="109673856"/>
        <c:scaling>
          <c:orientation val="minMax"/>
        </c:scaling>
        <c:delete val="0"/>
        <c:axPos val="l"/>
        <c:majorGridlines/>
        <c:numFmt formatCode="General" sourceLinked="1"/>
        <c:majorTickMark val="out"/>
        <c:minorTickMark val="none"/>
        <c:tickLblPos val="nextTo"/>
        <c:crossAx val="109672320"/>
        <c:crosses val="autoZero"/>
        <c:crossBetween val="between"/>
      </c:valAx>
    </c:plotArea>
    <c:legend>
      <c:legendPos val="r"/>
      <c:overlay val="0"/>
    </c:legend>
    <c:plotVisOnly val="1"/>
    <c:dispBlanksAs val="gap"/>
    <c:showDLblsOverMax val="0"/>
  </c:chart>
  <c:externalData r:id="rId1">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FG INventory Turnover</a:t>
            </a: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12.83</c:v>
                </c:pt>
                <c:pt idx="1">
                  <c:v>10.88</c:v>
                </c:pt>
                <c:pt idx="2">
                  <c:v>9.629999999999999</c:v>
                </c:pt>
              </c:numCache>
            </c:numRef>
          </c:val>
        </c:ser>
        <c:dLbls>
          <c:showLegendKey val="0"/>
          <c:showVal val="0"/>
          <c:showCatName val="0"/>
          <c:showSerName val="0"/>
          <c:showPercent val="0"/>
          <c:showBubbleSize val="0"/>
        </c:dLbls>
        <c:gapWidth val="150"/>
        <c:overlap val="100"/>
        <c:axId val="109686144"/>
        <c:axId val="99095680"/>
      </c:barChart>
      <c:catAx>
        <c:axId val="109686144"/>
        <c:scaling>
          <c:orientation val="minMax"/>
        </c:scaling>
        <c:delete val="0"/>
        <c:axPos val="b"/>
        <c:numFmt formatCode="General" sourceLinked="1"/>
        <c:majorTickMark val="out"/>
        <c:minorTickMark val="none"/>
        <c:tickLblPos val="nextTo"/>
        <c:crossAx val="99095680"/>
        <c:crosses val="autoZero"/>
        <c:auto val="1"/>
        <c:lblAlgn val="ctr"/>
        <c:lblOffset val="100"/>
        <c:noMultiLvlLbl val="0"/>
      </c:catAx>
      <c:valAx>
        <c:axId val="99095680"/>
        <c:scaling>
          <c:orientation val="minMax"/>
        </c:scaling>
        <c:delete val="0"/>
        <c:axPos val="l"/>
        <c:majorGridlines/>
        <c:numFmt formatCode="General" sourceLinked="1"/>
        <c:majorTickMark val="out"/>
        <c:minorTickMark val="none"/>
        <c:tickLblPos val="nextTo"/>
        <c:crossAx val="109686144"/>
        <c:crosses val="autoZero"/>
        <c:crossBetween val="between"/>
      </c:valAx>
    </c:plotArea>
    <c:legend>
      <c:legendPos val="r"/>
      <c:overlay val="0"/>
    </c:legend>
    <c:plotVisOnly val="1"/>
    <c:dispBlanksAs val="gap"/>
    <c:showDLblsOverMax val="0"/>
  </c:chart>
  <c:externalData r:id="rId1">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FG Storage</a:t>
            </a:r>
            <a:r>
              <a:rPr lang="en-US" baseline="0">
                <a:solidFill>
                  <a:schemeClr val="accent1"/>
                </a:solidFill>
              </a:rPr>
              <a:t> Period</a:t>
            </a:r>
            <a:endParaRPr lang="en-US">
              <a:solidFill>
                <a:schemeClr val="accent1"/>
              </a:solidFill>
            </a:endParaRP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28</c:v>
                </c:pt>
                <c:pt idx="1">
                  <c:v>33</c:v>
                </c:pt>
                <c:pt idx="2">
                  <c:v>37</c:v>
                </c:pt>
              </c:numCache>
            </c:numRef>
          </c:val>
        </c:ser>
        <c:dLbls>
          <c:showLegendKey val="0"/>
          <c:showVal val="0"/>
          <c:showCatName val="0"/>
          <c:showSerName val="0"/>
          <c:showPercent val="0"/>
          <c:showBubbleSize val="0"/>
        </c:dLbls>
        <c:gapWidth val="150"/>
        <c:overlap val="100"/>
        <c:axId val="98886784"/>
        <c:axId val="98888320"/>
      </c:barChart>
      <c:catAx>
        <c:axId val="98886784"/>
        <c:scaling>
          <c:orientation val="minMax"/>
        </c:scaling>
        <c:delete val="0"/>
        <c:axPos val="b"/>
        <c:numFmt formatCode="General" sourceLinked="1"/>
        <c:majorTickMark val="out"/>
        <c:minorTickMark val="none"/>
        <c:tickLblPos val="nextTo"/>
        <c:crossAx val="98888320"/>
        <c:crosses val="autoZero"/>
        <c:auto val="1"/>
        <c:lblAlgn val="ctr"/>
        <c:lblOffset val="100"/>
        <c:noMultiLvlLbl val="0"/>
      </c:catAx>
      <c:valAx>
        <c:axId val="98888320"/>
        <c:scaling>
          <c:orientation val="minMax"/>
        </c:scaling>
        <c:delete val="0"/>
        <c:axPos val="l"/>
        <c:majorGridlines/>
        <c:numFmt formatCode="General" sourceLinked="1"/>
        <c:majorTickMark val="out"/>
        <c:minorTickMark val="none"/>
        <c:tickLblPos val="nextTo"/>
        <c:crossAx val="98886784"/>
        <c:crosses val="autoZero"/>
        <c:crossBetween val="between"/>
      </c:valAx>
    </c:plotArea>
    <c:legend>
      <c:legendPos val="r"/>
      <c:overlay val="0"/>
    </c:legend>
    <c:plotVisOnly val="1"/>
    <c:dispBlanksAs val="gap"/>
    <c:showDLblsOverMax val="0"/>
  </c:chart>
  <c:externalData r:id="rId1">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Receivable Turnover</a:t>
            </a: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2014</c:v>
                </c:pt>
                <c:pt idx="2">
                  <c:v>2014</c:v>
                </c:pt>
              </c:numCache>
            </c:numRef>
          </c:cat>
          <c:val>
            <c:numRef>
              <c:f>Sheet1!$B$2:$B$4</c:f>
              <c:numCache>
                <c:formatCode>General</c:formatCode>
                <c:ptCount val="3"/>
                <c:pt idx="0">
                  <c:v>7.1499999999999995</c:v>
                </c:pt>
                <c:pt idx="1">
                  <c:v>7.71</c:v>
                </c:pt>
                <c:pt idx="2">
                  <c:v>8.02</c:v>
                </c:pt>
              </c:numCache>
            </c:numRef>
          </c:val>
        </c:ser>
        <c:dLbls>
          <c:showLegendKey val="0"/>
          <c:showVal val="0"/>
          <c:showCatName val="0"/>
          <c:showSerName val="0"/>
          <c:showPercent val="0"/>
          <c:showBubbleSize val="0"/>
        </c:dLbls>
        <c:gapWidth val="150"/>
        <c:overlap val="100"/>
        <c:axId val="99175808"/>
        <c:axId val="99177600"/>
      </c:barChart>
      <c:catAx>
        <c:axId val="99175808"/>
        <c:scaling>
          <c:orientation val="minMax"/>
        </c:scaling>
        <c:delete val="0"/>
        <c:axPos val="b"/>
        <c:numFmt formatCode="General" sourceLinked="1"/>
        <c:majorTickMark val="out"/>
        <c:minorTickMark val="none"/>
        <c:tickLblPos val="nextTo"/>
        <c:crossAx val="99177600"/>
        <c:crosses val="autoZero"/>
        <c:auto val="1"/>
        <c:lblAlgn val="ctr"/>
        <c:lblOffset val="100"/>
        <c:noMultiLvlLbl val="0"/>
      </c:catAx>
      <c:valAx>
        <c:axId val="99177600"/>
        <c:scaling>
          <c:orientation val="minMax"/>
        </c:scaling>
        <c:delete val="0"/>
        <c:axPos val="l"/>
        <c:majorGridlines/>
        <c:numFmt formatCode="General" sourceLinked="1"/>
        <c:majorTickMark val="out"/>
        <c:minorTickMark val="none"/>
        <c:tickLblPos val="nextTo"/>
        <c:crossAx val="99175808"/>
        <c:crosses val="autoZero"/>
        <c:crossBetween val="between"/>
      </c:valAx>
    </c:plotArea>
    <c:legend>
      <c:legendPos val="r"/>
      <c:overlay val="0"/>
    </c:legend>
    <c:plotVisOnly val="1"/>
    <c:dispBlanksAs val="gap"/>
    <c:showDLblsOverMax val="0"/>
  </c:chart>
  <c:externalData r:id="rId1">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DSO</a:t>
            </a: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51</c:v>
                </c:pt>
                <c:pt idx="1">
                  <c:v>47</c:v>
                </c:pt>
                <c:pt idx="2">
                  <c:v>45</c:v>
                </c:pt>
              </c:numCache>
            </c:numRef>
          </c:val>
        </c:ser>
        <c:dLbls>
          <c:showLegendKey val="0"/>
          <c:showVal val="0"/>
          <c:showCatName val="0"/>
          <c:showSerName val="0"/>
          <c:showPercent val="0"/>
          <c:showBubbleSize val="0"/>
        </c:dLbls>
        <c:gapWidth val="150"/>
        <c:overlap val="100"/>
        <c:axId val="99148928"/>
        <c:axId val="99150464"/>
      </c:barChart>
      <c:catAx>
        <c:axId val="99148928"/>
        <c:scaling>
          <c:orientation val="minMax"/>
        </c:scaling>
        <c:delete val="0"/>
        <c:axPos val="b"/>
        <c:numFmt formatCode="General" sourceLinked="1"/>
        <c:majorTickMark val="out"/>
        <c:minorTickMark val="none"/>
        <c:tickLblPos val="nextTo"/>
        <c:crossAx val="99150464"/>
        <c:crosses val="autoZero"/>
        <c:auto val="1"/>
        <c:lblAlgn val="ctr"/>
        <c:lblOffset val="100"/>
        <c:noMultiLvlLbl val="0"/>
      </c:catAx>
      <c:valAx>
        <c:axId val="99150464"/>
        <c:scaling>
          <c:orientation val="minMax"/>
        </c:scaling>
        <c:delete val="0"/>
        <c:axPos val="l"/>
        <c:majorGridlines/>
        <c:numFmt formatCode="General" sourceLinked="1"/>
        <c:majorTickMark val="out"/>
        <c:minorTickMark val="none"/>
        <c:tickLblPos val="nextTo"/>
        <c:crossAx val="99148928"/>
        <c:crosses val="autoZero"/>
        <c:crossBetween val="between"/>
      </c:valAx>
    </c:plotArea>
    <c:legend>
      <c:legendPos val="r"/>
      <c:overlay val="0"/>
    </c:legend>
    <c:plotVisOnly val="1"/>
    <c:dispBlanksAs val="gap"/>
    <c:showDLblsOverMax val="0"/>
  </c:chart>
  <c:externalData r:id="rId1">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Cash Turnover Ratio</a:t>
            </a:r>
          </a:p>
        </c:rich>
      </c:tx>
      <c:overlay val="0"/>
    </c:title>
    <c:autoTitleDeleted val="0"/>
    <c:plotArea>
      <c:layout/>
      <c:barChart>
        <c:barDir val="col"/>
        <c:grouping val="stacked"/>
        <c:varyColors val="0"/>
        <c:ser>
          <c:idx val="0"/>
          <c:order val="0"/>
          <c:tx>
            <c:strRef>
              <c:f>Sheet1!$B$1</c:f>
              <c:strCache>
                <c:ptCount val="1"/>
                <c:pt idx="0">
                  <c:v>Cash Turnover</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13.58</c:v>
                </c:pt>
                <c:pt idx="1">
                  <c:v>14.239999999999998</c:v>
                </c:pt>
                <c:pt idx="2">
                  <c:v>12.08</c:v>
                </c:pt>
              </c:numCache>
            </c:numRef>
          </c:val>
        </c:ser>
        <c:dLbls>
          <c:showLegendKey val="0"/>
          <c:showVal val="0"/>
          <c:showCatName val="0"/>
          <c:showSerName val="0"/>
          <c:showPercent val="0"/>
          <c:showBubbleSize val="0"/>
        </c:dLbls>
        <c:gapWidth val="150"/>
        <c:overlap val="100"/>
        <c:axId val="99232384"/>
        <c:axId val="99275136"/>
      </c:barChart>
      <c:catAx>
        <c:axId val="99232384"/>
        <c:scaling>
          <c:orientation val="minMax"/>
        </c:scaling>
        <c:delete val="0"/>
        <c:axPos val="b"/>
        <c:numFmt formatCode="General" sourceLinked="1"/>
        <c:majorTickMark val="out"/>
        <c:minorTickMark val="none"/>
        <c:tickLblPos val="nextTo"/>
        <c:crossAx val="99275136"/>
        <c:crosses val="autoZero"/>
        <c:auto val="1"/>
        <c:lblAlgn val="ctr"/>
        <c:lblOffset val="100"/>
        <c:noMultiLvlLbl val="0"/>
      </c:catAx>
      <c:valAx>
        <c:axId val="99275136"/>
        <c:scaling>
          <c:orientation val="minMax"/>
        </c:scaling>
        <c:delete val="0"/>
        <c:axPos val="l"/>
        <c:majorGridlines/>
        <c:numFmt formatCode="General" sourceLinked="1"/>
        <c:majorTickMark val="out"/>
        <c:minorTickMark val="none"/>
        <c:tickLblPos val="nextTo"/>
        <c:crossAx val="99232384"/>
        <c:crosses val="autoZero"/>
        <c:crossBetween val="between"/>
      </c:valAx>
    </c:plotArea>
    <c:legend>
      <c:legendPos val="r"/>
      <c:overlay val="0"/>
    </c:legend>
    <c:plotVisOnly val="1"/>
    <c:dispBlanksAs val="gap"/>
    <c:showDLblsOverMax val="0"/>
  </c:chart>
  <c:externalData r:id="rId1">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Payable</a:t>
            </a:r>
            <a:r>
              <a:rPr lang="en-US" baseline="0">
                <a:solidFill>
                  <a:schemeClr val="accent1"/>
                </a:solidFill>
              </a:rPr>
              <a:t> Turnover</a:t>
            </a:r>
            <a:endParaRPr lang="en-US">
              <a:solidFill>
                <a:schemeClr val="accent1"/>
              </a:solidFill>
            </a:endParaRP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10.61</c:v>
                </c:pt>
                <c:pt idx="1">
                  <c:v>15.34</c:v>
                </c:pt>
                <c:pt idx="2">
                  <c:v>17.059999999999999</c:v>
                </c:pt>
              </c:numCache>
            </c:numRef>
          </c:val>
        </c:ser>
        <c:dLbls>
          <c:showLegendKey val="0"/>
          <c:showVal val="0"/>
          <c:showCatName val="0"/>
          <c:showSerName val="0"/>
          <c:showPercent val="0"/>
          <c:showBubbleSize val="0"/>
        </c:dLbls>
        <c:gapWidth val="150"/>
        <c:overlap val="100"/>
        <c:axId val="113123712"/>
        <c:axId val="113125248"/>
      </c:barChart>
      <c:catAx>
        <c:axId val="113123712"/>
        <c:scaling>
          <c:orientation val="minMax"/>
        </c:scaling>
        <c:delete val="0"/>
        <c:axPos val="b"/>
        <c:numFmt formatCode="General" sourceLinked="1"/>
        <c:majorTickMark val="out"/>
        <c:minorTickMark val="none"/>
        <c:tickLblPos val="nextTo"/>
        <c:crossAx val="113125248"/>
        <c:crosses val="autoZero"/>
        <c:auto val="1"/>
        <c:lblAlgn val="ctr"/>
        <c:lblOffset val="100"/>
        <c:noMultiLvlLbl val="0"/>
      </c:catAx>
      <c:valAx>
        <c:axId val="113125248"/>
        <c:scaling>
          <c:orientation val="minMax"/>
        </c:scaling>
        <c:delete val="0"/>
        <c:axPos val="l"/>
        <c:majorGridlines/>
        <c:numFmt formatCode="General" sourceLinked="1"/>
        <c:majorTickMark val="out"/>
        <c:minorTickMark val="none"/>
        <c:tickLblPos val="nextTo"/>
        <c:crossAx val="113123712"/>
        <c:crosses val="autoZero"/>
        <c:crossBetween val="between"/>
      </c:valAx>
    </c:plotArea>
    <c:legend>
      <c:legendPos val="r"/>
      <c:overlay val="0"/>
    </c:legend>
    <c:plotVisOnly val="1"/>
    <c:dispBlanksAs val="gap"/>
    <c:showDLblsOverMax val="0"/>
  </c:chart>
  <c:externalData r:id="rId1">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DPO</a:t>
            </a: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34.370000000000005</c:v>
                </c:pt>
                <c:pt idx="1">
                  <c:v>23.779999999999987</c:v>
                </c:pt>
                <c:pt idx="2">
                  <c:v>21.39</c:v>
                </c:pt>
              </c:numCache>
            </c:numRef>
          </c:val>
        </c:ser>
        <c:dLbls>
          <c:showLegendKey val="0"/>
          <c:showVal val="0"/>
          <c:showCatName val="0"/>
          <c:showSerName val="0"/>
          <c:showPercent val="0"/>
          <c:showBubbleSize val="0"/>
        </c:dLbls>
        <c:gapWidth val="150"/>
        <c:overlap val="100"/>
        <c:axId val="113141632"/>
        <c:axId val="113143168"/>
      </c:barChart>
      <c:catAx>
        <c:axId val="113141632"/>
        <c:scaling>
          <c:orientation val="minMax"/>
        </c:scaling>
        <c:delete val="0"/>
        <c:axPos val="b"/>
        <c:numFmt formatCode="General" sourceLinked="1"/>
        <c:majorTickMark val="out"/>
        <c:minorTickMark val="none"/>
        <c:tickLblPos val="nextTo"/>
        <c:crossAx val="113143168"/>
        <c:crosses val="autoZero"/>
        <c:auto val="1"/>
        <c:lblAlgn val="ctr"/>
        <c:lblOffset val="100"/>
        <c:noMultiLvlLbl val="0"/>
      </c:catAx>
      <c:valAx>
        <c:axId val="113143168"/>
        <c:scaling>
          <c:orientation val="minMax"/>
        </c:scaling>
        <c:delete val="0"/>
        <c:axPos val="l"/>
        <c:majorGridlines/>
        <c:numFmt formatCode="General" sourceLinked="1"/>
        <c:majorTickMark val="out"/>
        <c:minorTickMark val="none"/>
        <c:tickLblPos val="nextTo"/>
        <c:crossAx val="113141632"/>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FG Inventory Turnover</a:t>
            </a: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47.949999999999996</c:v>
                </c:pt>
                <c:pt idx="1">
                  <c:v>172.03</c:v>
                </c:pt>
                <c:pt idx="2">
                  <c:v>236.86</c:v>
                </c:pt>
              </c:numCache>
            </c:numRef>
          </c:val>
        </c:ser>
        <c:dLbls>
          <c:showLegendKey val="0"/>
          <c:showVal val="0"/>
          <c:showCatName val="0"/>
          <c:showSerName val="0"/>
          <c:showPercent val="0"/>
          <c:showBubbleSize val="0"/>
        </c:dLbls>
        <c:gapWidth val="150"/>
        <c:overlap val="100"/>
        <c:axId val="30961024"/>
        <c:axId val="95470720"/>
      </c:barChart>
      <c:catAx>
        <c:axId val="30961024"/>
        <c:scaling>
          <c:orientation val="minMax"/>
        </c:scaling>
        <c:delete val="0"/>
        <c:axPos val="b"/>
        <c:numFmt formatCode="General" sourceLinked="1"/>
        <c:majorTickMark val="out"/>
        <c:minorTickMark val="none"/>
        <c:tickLblPos val="nextTo"/>
        <c:crossAx val="95470720"/>
        <c:crosses val="autoZero"/>
        <c:auto val="1"/>
        <c:lblAlgn val="ctr"/>
        <c:lblOffset val="100"/>
        <c:noMultiLvlLbl val="0"/>
      </c:catAx>
      <c:valAx>
        <c:axId val="95470720"/>
        <c:scaling>
          <c:orientation val="minMax"/>
        </c:scaling>
        <c:delete val="0"/>
        <c:axPos val="l"/>
        <c:majorGridlines/>
        <c:numFmt formatCode="General" sourceLinked="1"/>
        <c:majorTickMark val="out"/>
        <c:minorTickMark val="none"/>
        <c:tickLblPos val="nextTo"/>
        <c:crossAx val="30961024"/>
        <c:crosses val="autoZero"/>
        <c:crossBetween val="between"/>
      </c:valAx>
    </c:plotArea>
    <c:legend>
      <c:legendPos val="r"/>
      <c:overlay val="0"/>
    </c:legend>
    <c:plotVisOnly val="1"/>
    <c:dispBlanksAs val="gap"/>
    <c:showDLblsOverMax val="0"/>
  </c:chart>
  <c:externalData r:id="rId1">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Current Ratio</a:t>
            </a:r>
          </a:p>
        </c:rich>
      </c:tx>
      <c:overlay val="0"/>
    </c:title>
    <c:autoTitleDeleted val="0"/>
    <c:plotArea>
      <c:layout/>
      <c:barChart>
        <c:barDir val="col"/>
        <c:grouping val="stacked"/>
        <c:varyColors val="0"/>
        <c:ser>
          <c:idx val="0"/>
          <c:order val="0"/>
          <c:tx>
            <c:strRef>
              <c:f>Sheet1!$B$1</c:f>
              <c:strCache>
                <c:ptCount val="1"/>
                <c:pt idx="0">
                  <c:v>Current Ratio</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2.68</c:v>
                </c:pt>
                <c:pt idx="1">
                  <c:v>2.8499999999999988</c:v>
                </c:pt>
                <c:pt idx="2">
                  <c:v>1.77</c:v>
                </c:pt>
              </c:numCache>
            </c:numRef>
          </c:val>
        </c:ser>
        <c:dLbls>
          <c:showLegendKey val="0"/>
          <c:showVal val="0"/>
          <c:showCatName val="0"/>
          <c:showSerName val="0"/>
          <c:showPercent val="0"/>
          <c:showBubbleSize val="0"/>
        </c:dLbls>
        <c:gapWidth val="150"/>
        <c:overlap val="100"/>
        <c:axId val="113544576"/>
        <c:axId val="113546368"/>
      </c:barChart>
      <c:catAx>
        <c:axId val="113544576"/>
        <c:scaling>
          <c:orientation val="minMax"/>
        </c:scaling>
        <c:delete val="0"/>
        <c:axPos val="b"/>
        <c:numFmt formatCode="General" sourceLinked="1"/>
        <c:majorTickMark val="out"/>
        <c:minorTickMark val="none"/>
        <c:tickLblPos val="nextTo"/>
        <c:crossAx val="113546368"/>
        <c:crosses val="autoZero"/>
        <c:auto val="1"/>
        <c:lblAlgn val="ctr"/>
        <c:lblOffset val="100"/>
        <c:noMultiLvlLbl val="0"/>
      </c:catAx>
      <c:valAx>
        <c:axId val="113546368"/>
        <c:scaling>
          <c:orientation val="minMax"/>
        </c:scaling>
        <c:delete val="0"/>
        <c:axPos val="l"/>
        <c:majorGridlines/>
        <c:numFmt formatCode="General" sourceLinked="1"/>
        <c:majorTickMark val="out"/>
        <c:minorTickMark val="none"/>
        <c:tickLblPos val="nextTo"/>
        <c:crossAx val="113544576"/>
        <c:crosses val="autoZero"/>
        <c:crossBetween val="between"/>
      </c:valAx>
    </c:plotArea>
    <c:legend>
      <c:legendPos val="r"/>
      <c:overlay val="0"/>
    </c:legend>
    <c:plotVisOnly val="1"/>
    <c:dispBlanksAs val="gap"/>
    <c:showDLblsOverMax val="0"/>
  </c:chart>
  <c:externalData r:id="rId1">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Quick Ratio</a:t>
            </a:r>
          </a:p>
        </c:rich>
      </c:tx>
      <c:overlay val="0"/>
    </c:title>
    <c:autoTitleDeleted val="0"/>
    <c:plotArea>
      <c:layout/>
      <c:barChart>
        <c:barDir val="col"/>
        <c:grouping val="stacked"/>
        <c:varyColors val="0"/>
        <c:ser>
          <c:idx val="0"/>
          <c:order val="0"/>
          <c:tx>
            <c:strRef>
              <c:f>Sheet1!$B$1</c:f>
              <c:strCache>
                <c:ptCount val="1"/>
                <c:pt idx="0">
                  <c:v>Quick Ratio</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0.71700000000000064</c:v>
                </c:pt>
                <c:pt idx="1">
                  <c:v>0.81799999999999995</c:v>
                </c:pt>
                <c:pt idx="2">
                  <c:v>0.34400000000000008</c:v>
                </c:pt>
              </c:numCache>
            </c:numRef>
          </c:val>
        </c:ser>
        <c:dLbls>
          <c:showLegendKey val="0"/>
          <c:showVal val="0"/>
          <c:showCatName val="0"/>
          <c:showSerName val="0"/>
          <c:showPercent val="0"/>
          <c:showBubbleSize val="0"/>
        </c:dLbls>
        <c:gapWidth val="150"/>
        <c:overlap val="100"/>
        <c:axId val="113566848"/>
        <c:axId val="113568384"/>
      </c:barChart>
      <c:catAx>
        <c:axId val="113566848"/>
        <c:scaling>
          <c:orientation val="minMax"/>
        </c:scaling>
        <c:delete val="0"/>
        <c:axPos val="b"/>
        <c:numFmt formatCode="General" sourceLinked="1"/>
        <c:majorTickMark val="out"/>
        <c:minorTickMark val="none"/>
        <c:tickLblPos val="nextTo"/>
        <c:crossAx val="113568384"/>
        <c:crosses val="autoZero"/>
        <c:auto val="1"/>
        <c:lblAlgn val="ctr"/>
        <c:lblOffset val="100"/>
        <c:noMultiLvlLbl val="0"/>
      </c:catAx>
      <c:valAx>
        <c:axId val="113568384"/>
        <c:scaling>
          <c:orientation val="minMax"/>
        </c:scaling>
        <c:delete val="0"/>
        <c:axPos val="l"/>
        <c:majorGridlines/>
        <c:numFmt formatCode="General" sourceLinked="1"/>
        <c:majorTickMark val="out"/>
        <c:minorTickMark val="none"/>
        <c:tickLblPos val="nextTo"/>
        <c:crossAx val="113566848"/>
        <c:crosses val="autoZero"/>
        <c:crossBetween val="between"/>
      </c:valAx>
    </c:plotArea>
    <c:legend>
      <c:legendPos val="r"/>
      <c:overlay val="0"/>
    </c:legend>
    <c:plotVisOnly val="1"/>
    <c:dispBlanksAs val="gap"/>
    <c:showDLblsOverMax val="0"/>
  </c:chart>
  <c:externalData r:id="rId1">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Cash</a:t>
            </a:r>
            <a:r>
              <a:rPr lang="en-US" baseline="0">
                <a:solidFill>
                  <a:schemeClr val="accent1"/>
                </a:solidFill>
              </a:rPr>
              <a:t> Ratio</a:t>
            </a:r>
            <a:endParaRPr lang="en-US">
              <a:solidFill>
                <a:schemeClr val="accent1"/>
              </a:solidFill>
            </a:endParaRPr>
          </a:p>
        </c:rich>
      </c:tx>
      <c:overlay val="0"/>
    </c:title>
    <c:autoTitleDeleted val="0"/>
    <c:plotArea>
      <c:layout/>
      <c:barChart>
        <c:barDir val="col"/>
        <c:grouping val="stacked"/>
        <c:varyColors val="0"/>
        <c:ser>
          <c:idx val="0"/>
          <c:order val="0"/>
          <c:tx>
            <c:strRef>
              <c:f>Sheet1!$B$1</c:f>
              <c:strCache>
                <c:ptCount val="1"/>
                <c:pt idx="0">
                  <c:v>Cash Ratio</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8.1000000000000003E-2</c:v>
                </c:pt>
                <c:pt idx="1">
                  <c:v>7.3999999999999996E-2</c:v>
                </c:pt>
                <c:pt idx="2">
                  <c:v>4.7000000000000014E-2</c:v>
                </c:pt>
              </c:numCache>
            </c:numRef>
          </c:val>
        </c:ser>
        <c:dLbls>
          <c:showLegendKey val="0"/>
          <c:showVal val="0"/>
          <c:showCatName val="0"/>
          <c:showSerName val="0"/>
          <c:showPercent val="0"/>
          <c:showBubbleSize val="0"/>
        </c:dLbls>
        <c:gapWidth val="150"/>
        <c:overlap val="100"/>
        <c:axId val="99216000"/>
        <c:axId val="113160576"/>
      </c:barChart>
      <c:catAx>
        <c:axId val="99216000"/>
        <c:scaling>
          <c:orientation val="minMax"/>
        </c:scaling>
        <c:delete val="0"/>
        <c:axPos val="b"/>
        <c:numFmt formatCode="General" sourceLinked="1"/>
        <c:majorTickMark val="out"/>
        <c:minorTickMark val="none"/>
        <c:tickLblPos val="nextTo"/>
        <c:crossAx val="113160576"/>
        <c:crosses val="autoZero"/>
        <c:auto val="1"/>
        <c:lblAlgn val="ctr"/>
        <c:lblOffset val="100"/>
        <c:noMultiLvlLbl val="0"/>
      </c:catAx>
      <c:valAx>
        <c:axId val="113160576"/>
        <c:scaling>
          <c:orientation val="minMax"/>
        </c:scaling>
        <c:delete val="0"/>
        <c:axPos val="l"/>
        <c:majorGridlines/>
        <c:numFmt formatCode="General" sourceLinked="1"/>
        <c:majorTickMark val="out"/>
        <c:minorTickMark val="none"/>
        <c:tickLblPos val="nextTo"/>
        <c:crossAx val="99216000"/>
        <c:crosses val="autoZero"/>
        <c:crossBetween val="between"/>
      </c:valAx>
    </c:plotArea>
    <c:legend>
      <c:legendPos val="r"/>
      <c:overlay val="0"/>
    </c:legend>
    <c:plotVisOnly val="1"/>
    <c:dispBlanksAs val="gap"/>
    <c:showDLblsOverMax val="0"/>
  </c:chart>
  <c:externalData r:id="rId1">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Working Capital</a:t>
            </a:r>
            <a:r>
              <a:rPr lang="en-US" baseline="0">
                <a:solidFill>
                  <a:schemeClr val="accent1"/>
                </a:solidFill>
              </a:rPr>
              <a:t> Turnover</a:t>
            </a:r>
            <a:endParaRPr lang="en-US">
              <a:solidFill>
                <a:schemeClr val="accent1"/>
              </a:solidFill>
            </a:endParaRP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2</c:v>
                </c:pt>
                <c:pt idx="1">
                  <c:v>-3.3299999999999987</c:v>
                </c:pt>
                <c:pt idx="2">
                  <c:v>-2.5499999999999998</c:v>
                </c:pt>
              </c:numCache>
            </c:numRef>
          </c:val>
        </c:ser>
        <c:dLbls>
          <c:showLegendKey val="0"/>
          <c:showVal val="0"/>
          <c:showCatName val="0"/>
          <c:showSerName val="0"/>
          <c:showPercent val="0"/>
          <c:showBubbleSize val="0"/>
        </c:dLbls>
        <c:gapWidth val="150"/>
        <c:overlap val="100"/>
        <c:axId val="113463680"/>
        <c:axId val="113465216"/>
      </c:barChart>
      <c:catAx>
        <c:axId val="113463680"/>
        <c:scaling>
          <c:orientation val="minMax"/>
        </c:scaling>
        <c:delete val="0"/>
        <c:axPos val="b"/>
        <c:numFmt formatCode="General" sourceLinked="1"/>
        <c:majorTickMark val="out"/>
        <c:minorTickMark val="none"/>
        <c:tickLblPos val="nextTo"/>
        <c:crossAx val="113465216"/>
        <c:crosses val="autoZero"/>
        <c:auto val="1"/>
        <c:lblAlgn val="ctr"/>
        <c:lblOffset val="100"/>
        <c:noMultiLvlLbl val="0"/>
      </c:catAx>
      <c:valAx>
        <c:axId val="113465216"/>
        <c:scaling>
          <c:orientation val="minMax"/>
        </c:scaling>
        <c:delete val="0"/>
        <c:axPos val="l"/>
        <c:majorGridlines/>
        <c:numFmt formatCode="General" sourceLinked="1"/>
        <c:majorTickMark val="out"/>
        <c:minorTickMark val="none"/>
        <c:tickLblPos val="nextTo"/>
        <c:crossAx val="113463680"/>
        <c:crosses val="autoZero"/>
        <c:crossBetween val="between"/>
      </c:valAx>
    </c:plotArea>
    <c:legend>
      <c:legendPos val="r"/>
      <c:overlay val="0"/>
    </c:legend>
    <c:plotVisOnly val="1"/>
    <c:dispBlanksAs val="gap"/>
    <c:showDLblsOverMax val="0"/>
  </c:chart>
  <c:externalData r:id="rId1">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Current Asset Turnover</a:t>
            </a: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0.87900000000000289</c:v>
                </c:pt>
                <c:pt idx="1">
                  <c:v>0.81599999999999995</c:v>
                </c:pt>
                <c:pt idx="2">
                  <c:v>10.29</c:v>
                </c:pt>
              </c:numCache>
            </c:numRef>
          </c:val>
        </c:ser>
        <c:dLbls>
          <c:showLegendKey val="0"/>
          <c:showVal val="0"/>
          <c:showCatName val="0"/>
          <c:showSerName val="0"/>
          <c:showPercent val="0"/>
          <c:showBubbleSize val="0"/>
        </c:dLbls>
        <c:gapWidth val="150"/>
        <c:overlap val="100"/>
        <c:axId val="113448832"/>
        <c:axId val="113450368"/>
      </c:barChart>
      <c:catAx>
        <c:axId val="113448832"/>
        <c:scaling>
          <c:orientation val="minMax"/>
        </c:scaling>
        <c:delete val="0"/>
        <c:axPos val="b"/>
        <c:numFmt formatCode="General" sourceLinked="1"/>
        <c:majorTickMark val="out"/>
        <c:minorTickMark val="none"/>
        <c:tickLblPos val="nextTo"/>
        <c:crossAx val="113450368"/>
        <c:crosses val="autoZero"/>
        <c:auto val="1"/>
        <c:lblAlgn val="ctr"/>
        <c:lblOffset val="100"/>
        <c:noMultiLvlLbl val="0"/>
      </c:catAx>
      <c:valAx>
        <c:axId val="113450368"/>
        <c:scaling>
          <c:orientation val="minMax"/>
        </c:scaling>
        <c:delete val="0"/>
        <c:axPos val="l"/>
        <c:majorGridlines/>
        <c:numFmt formatCode="General" sourceLinked="1"/>
        <c:majorTickMark val="out"/>
        <c:minorTickMark val="none"/>
        <c:tickLblPos val="nextTo"/>
        <c:crossAx val="113448832"/>
        <c:crosses val="autoZero"/>
        <c:crossBetween val="between"/>
      </c:valAx>
    </c:plotArea>
    <c:legend>
      <c:legendPos val="r"/>
      <c:overlay val="0"/>
    </c:legend>
    <c:plotVisOnly val="1"/>
    <c:dispBlanksAs val="gap"/>
    <c:showDLblsOverMax val="0"/>
  </c:chart>
  <c:externalData r:id="rId1">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Inventory Turnover</a:t>
            </a: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5.0890000000000004</c:v>
                </c:pt>
                <c:pt idx="1">
                  <c:v>0.95000000000000062</c:v>
                </c:pt>
                <c:pt idx="2">
                  <c:v>21.53</c:v>
                </c:pt>
              </c:numCache>
            </c:numRef>
          </c:val>
        </c:ser>
        <c:dLbls>
          <c:showLegendKey val="0"/>
          <c:showVal val="0"/>
          <c:showCatName val="0"/>
          <c:showSerName val="0"/>
          <c:showPercent val="0"/>
          <c:showBubbleSize val="0"/>
        </c:dLbls>
        <c:gapWidth val="150"/>
        <c:overlap val="100"/>
        <c:axId val="113560960"/>
        <c:axId val="113611904"/>
      </c:barChart>
      <c:catAx>
        <c:axId val="113560960"/>
        <c:scaling>
          <c:orientation val="minMax"/>
        </c:scaling>
        <c:delete val="0"/>
        <c:axPos val="b"/>
        <c:numFmt formatCode="General" sourceLinked="1"/>
        <c:majorTickMark val="out"/>
        <c:minorTickMark val="none"/>
        <c:tickLblPos val="nextTo"/>
        <c:crossAx val="113611904"/>
        <c:crosses val="autoZero"/>
        <c:auto val="1"/>
        <c:lblAlgn val="ctr"/>
        <c:lblOffset val="100"/>
        <c:noMultiLvlLbl val="0"/>
      </c:catAx>
      <c:valAx>
        <c:axId val="113611904"/>
        <c:scaling>
          <c:orientation val="minMax"/>
        </c:scaling>
        <c:delete val="0"/>
        <c:axPos val="l"/>
        <c:majorGridlines/>
        <c:numFmt formatCode="General" sourceLinked="1"/>
        <c:majorTickMark val="out"/>
        <c:minorTickMark val="none"/>
        <c:tickLblPos val="nextTo"/>
        <c:crossAx val="113560960"/>
        <c:crosses val="autoZero"/>
        <c:crossBetween val="between"/>
      </c:valAx>
    </c:plotArea>
    <c:legend>
      <c:legendPos val="r"/>
      <c:overlay val="0"/>
    </c:legend>
    <c:plotVisOnly val="1"/>
    <c:dispBlanksAs val="gap"/>
    <c:showDLblsOverMax val="0"/>
  </c:chart>
  <c:externalData r:id="rId1">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DIH</a:t>
            </a: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71</c:v>
                </c:pt>
                <c:pt idx="1">
                  <c:v>384</c:v>
                </c:pt>
                <c:pt idx="2">
                  <c:v>16</c:v>
                </c:pt>
              </c:numCache>
            </c:numRef>
          </c:val>
        </c:ser>
        <c:dLbls>
          <c:showLegendKey val="0"/>
          <c:showVal val="0"/>
          <c:showCatName val="0"/>
          <c:showSerName val="0"/>
          <c:showPercent val="0"/>
          <c:showBubbleSize val="0"/>
        </c:dLbls>
        <c:gapWidth val="150"/>
        <c:overlap val="100"/>
        <c:axId val="113636480"/>
        <c:axId val="113638016"/>
      </c:barChart>
      <c:catAx>
        <c:axId val="113636480"/>
        <c:scaling>
          <c:orientation val="minMax"/>
        </c:scaling>
        <c:delete val="0"/>
        <c:axPos val="b"/>
        <c:numFmt formatCode="General" sourceLinked="1"/>
        <c:majorTickMark val="out"/>
        <c:minorTickMark val="none"/>
        <c:tickLblPos val="nextTo"/>
        <c:crossAx val="113638016"/>
        <c:crosses val="autoZero"/>
        <c:auto val="1"/>
        <c:lblAlgn val="ctr"/>
        <c:lblOffset val="100"/>
        <c:noMultiLvlLbl val="0"/>
      </c:catAx>
      <c:valAx>
        <c:axId val="113638016"/>
        <c:scaling>
          <c:orientation val="minMax"/>
        </c:scaling>
        <c:delete val="0"/>
        <c:axPos val="l"/>
        <c:majorGridlines/>
        <c:numFmt formatCode="General" sourceLinked="1"/>
        <c:majorTickMark val="out"/>
        <c:minorTickMark val="none"/>
        <c:tickLblPos val="nextTo"/>
        <c:crossAx val="113636480"/>
        <c:crosses val="autoZero"/>
        <c:crossBetween val="between"/>
      </c:valAx>
    </c:plotArea>
    <c:legend>
      <c:legendPos val="r"/>
      <c:overlay val="0"/>
    </c:legend>
    <c:plotVisOnly val="1"/>
    <c:dispBlanksAs val="gap"/>
    <c:showDLblsOverMax val="0"/>
  </c:chart>
  <c:externalData r:id="rId1">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Raw</a:t>
            </a:r>
            <a:r>
              <a:rPr lang="en-US" baseline="0">
                <a:solidFill>
                  <a:schemeClr val="accent1"/>
                </a:solidFill>
              </a:rPr>
              <a:t> Materials Inventory Turnover</a:t>
            </a:r>
            <a:endParaRPr lang="en-US">
              <a:solidFill>
                <a:schemeClr val="accent1"/>
              </a:solidFill>
            </a:endParaRP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17.21</c:v>
                </c:pt>
                <c:pt idx="1">
                  <c:v>5.87</c:v>
                </c:pt>
                <c:pt idx="2">
                  <c:v>6.4300000000000024</c:v>
                </c:pt>
              </c:numCache>
            </c:numRef>
          </c:val>
        </c:ser>
        <c:dLbls>
          <c:showLegendKey val="0"/>
          <c:showVal val="0"/>
          <c:showCatName val="0"/>
          <c:showSerName val="0"/>
          <c:showPercent val="0"/>
          <c:showBubbleSize val="0"/>
        </c:dLbls>
        <c:gapWidth val="150"/>
        <c:overlap val="100"/>
        <c:axId val="113674880"/>
        <c:axId val="113680768"/>
      </c:barChart>
      <c:catAx>
        <c:axId val="113674880"/>
        <c:scaling>
          <c:orientation val="minMax"/>
        </c:scaling>
        <c:delete val="0"/>
        <c:axPos val="b"/>
        <c:numFmt formatCode="General" sourceLinked="1"/>
        <c:majorTickMark val="out"/>
        <c:minorTickMark val="none"/>
        <c:tickLblPos val="nextTo"/>
        <c:crossAx val="113680768"/>
        <c:crosses val="autoZero"/>
        <c:auto val="1"/>
        <c:lblAlgn val="ctr"/>
        <c:lblOffset val="100"/>
        <c:noMultiLvlLbl val="0"/>
      </c:catAx>
      <c:valAx>
        <c:axId val="113680768"/>
        <c:scaling>
          <c:orientation val="minMax"/>
        </c:scaling>
        <c:delete val="0"/>
        <c:axPos val="l"/>
        <c:majorGridlines/>
        <c:numFmt formatCode="General" sourceLinked="1"/>
        <c:majorTickMark val="out"/>
        <c:minorTickMark val="none"/>
        <c:tickLblPos val="nextTo"/>
        <c:crossAx val="113674880"/>
        <c:crosses val="autoZero"/>
        <c:crossBetween val="between"/>
      </c:valAx>
    </c:plotArea>
    <c:legend>
      <c:legendPos val="r"/>
      <c:overlay val="0"/>
    </c:legend>
    <c:plotVisOnly val="1"/>
    <c:dispBlanksAs val="gap"/>
    <c:showDLblsOverMax val="0"/>
  </c:chart>
  <c:externalData r:id="rId1">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Number</a:t>
            </a:r>
            <a:r>
              <a:rPr lang="en-US" baseline="0">
                <a:solidFill>
                  <a:schemeClr val="accent1"/>
                </a:solidFill>
              </a:rPr>
              <a:t> of days holdings Raw Materials</a:t>
            </a:r>
            <a:endParaRPr lang="en-US">
              <a:solidFill>
                <a:schemeClr val="accent1"/>
              </a:solidFill>
            </a:endParaRP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21.2</c:v>
                </c:pt>
                <c:pt idx="1">
                  <c:v>62.14</c:v>
                </c:pt>
                <c:pt idx="2">
                  <c:v>56.74</c:v>
                </c:pt>
              </c:numCache>
            </c:numRef>
          </c:val>
        </c:ser>
        <c:dLbls>
          <c:showLegendKey val="0"/>
          <c:showVal val="0"/>
          <c:showCatName val="0"/>
          <c:showSerName val="0"/>
          <c:showPercent val="0"/>
          <c:showBubbleSize val="0"/>
        </c:dLbls>
        <c:gapWidth val="150"/>
        <c:overlap val="100"/>
        <c:axId val="114983296"/>
        <c:axId val="114984832"/>
      </c:barChart>
      <c:catAx>
        <c:axId val="114983296"/>
        <c:scaling>
          <c:orientation val="minMax"/>
        </c:scaling>
        <c:delete val="0"/>
        <c:axPos val="b"/>
        <c:numFmt formatCode="General" sourceLinked="1"/>
        <c:majorTickMark val="out"/>
        <c:minorTickMark val="none"/>
        <c:tickLblPos val="nextTo"/>
        <c:crossAx val="114984832"/>
        <c:crosses val="autoZero"/>
        <c:auto val="1"/>
        <c:lblAlgn val="ctr"/>
        <c:lblOffset val="100"/>
        <c:noMultiLvlLbl val="0"/>
      </c:catAx>
      <c:valAx>
        <c:axId val="114984832"/>
        <c:scaling>
          <c:orientation val="minMax"/>
        </c:scaling>
        <c:delete val="0"/>
        <c:axPos val="l"/>
        <c:majorGridlines/>
        <c:numFmt formatCode="General" sourceLinked="1"/>
        <c:majorTickMark val="out"/>
        <c:minorTickMark val="none"/>
        <c:tickLblPos val="nextTo"/>
        <c:crossAx val="114983296"/>
        <c:crosses val="autoZero"/>
        <c:crossBetween val="between"/>
      </c:valAx>
    </c:plotArea>
    <c:legend>
      <c:legendPos val="r"/>
      <c:overlay val="0"/>
    </c:legend>
    <c:plotVisOnly val="1"/>
    <c:dispBlanksAs val="gap"/>
    <c:showDLblsOverMax val="0"/>
  </c:chart>
  <c:externalData r:id="rId1">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WIP Inventory</a:t>
            </a:r>
            <a:r>
              <a:rPr lang="en-US" baseline="0">
                <a:solidFill>
                  <a:schemeClr val="accent1"/>
                </a:solidFill>
              </a:rPr>
              <a:t> Turnover</a:t>
            </a:r>
            <a:endParaRPr lang="en-US">
              <a:solidFill>
                <a:schemeClr val="accent1"/>
              </a:solidFill>
            </a:endParaRP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75.489999999999995</c:v>
                </c:pt>
                <c:pt idx="1">
                  <c:v>2.7</c:v>
                </c:pt>
                <c:pt idx="2">
                  <c:v>6.2</c:v>
                </c:pt>
              </c:numCache>
            </c:numRef>
          </c:val>
        </c:ser>
        <c:dLbls>
          <c:showLegendKey val="0"/>
          <c:showVal val="0"/>
          <c:showCatName val="0"/>
          <c:showSerName val="0"/>
          <c:showPercent val="0"/>
          <c:showBubbleSize val="0"/>
        </c:dLbls>
        <c:gapWidth val="150"/>
        <c:overlap val="100"/>
        <c:axId val="113706880"/>
        <c:axId val="113708416"/>
      </c:barChart>
      <c:catAx>
        <c:axId val="113706880"/>
        <c:scaling>
          <c:orientation val="minMax"/>
        </c:scaling>
        <c:delete val="0"/>
        <c:axPos val="b"/>
        <c:numFmt formatCode="General" sourceLinked="1"/>
        <c:majorTickMark val="out"/>
        <c:minorTickMark val="none"/>
        <c:tickLblPos val="nextTo"/>
        <c:crossAx val="113708416"/>
        <c:crosses val="autoZero"/>
        <c:auto val="1"/>
        <c:lblAlgn val="ctr"/>
        <c:lblOffset val="100"/>
        <c:noMultiLvlLbl val="0"/>
      </c:catAx>
      <c:valAx>
        <c:axId val="113708416"/>
        <c:scaling>
          <c:orientation val="minMax"/>
        </c:scaling>
        <c:delete val="0"/>
        <c:axPos val="l"/>
        <c:majorGridlines/>
        <c:numFmt formatCode="General" sourceLinked="1"/>
        <c:majorTickMark val="out"/>
        <c:minorTickMark val="none"/>
        <c:tickLblPos val="nextTo"/>
        <c:crossAx val="113706880"/>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FG Storage Period</a:t>
            </a: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7.6</c:v>
                </c:pt>
                <c:pt idx="1">
                  <c:v>2.121</c:v>
                </c:pt>
                <c:pt idx="2">
                  <c:v>1.54</c:v>
                </c:pt>
              </c:numCache>
            </c:numRef>
          </c:val>
        </c:ser>
        <c:dLbls>
          <c:showLegendKey val="0"/>
          <c:showVal val="0"/>
          <c:showCatName val="0"/>
          <c:showSerName val="0"/>
          <c:showPercent val="0"/>
          <c:showBubbleSize val="0"/>
        </c:dLbls>
        <c:gapWidth val="150"/>
        <c:overlap val="100"/>
        <c:axId val="93852800"/>
        <c:axId val="93854336"/>
      </c:barChart>
      <c:catAx>
        <c:axId val="93852800"/>
        <c:scaling>
          <c:orientation val="minMax"/>
        </c:scaling>
        <c:delete val="0"/>
        <c:axPos val="b"/>
        <c:numFmt formatCode="General" sourceLinked="1"/>
        <c:majorTickMark val="out"/>
        <c:minorTickMark val="none"/>
        <c:tickLblPos val="nextTo"/>
        <c:crossAx val="93854336"/>
        <c:crosses val="autoZero"/>
        <c:auto val="1"/>
        <c:lblAlgn val="ctr"/>
        <c:lblOffset val="100"/>
        <c:noMultiLvlLbl val="0"/>
      </c:catAx>
      <c:valAx>
        <c:axId val="93854336"/>
        <c:scaling>
          <c:orientation val="minMax"/>
        </c:scaling>
        <c:delete val="0"/>
        <c:axPos val="l"/>
        <c:majorGridlines/>
        <c:numFmt formatCode="General" sourceLinked="1"/>
        <c:majorTickMark val="out"/>
        <c:minorTickMark val="none"/>
        <c:tickLblPos val="nextTo"/>
        <c:crossAx val="93852800"/>
        <c:crosses val="autoZero"/>
        <c:crossBetween val="between"/>
      </c:valAx>
    </c:plotArea>
    <c:legend>
      <c:legendPos val="r"/>
      <c:overlay val="0"/>
    </c:legend>
    <c:plotVisOnly val="1"/>
    <c:dispBlanksAs val="gap"/>
    <c:showDLblsOverMax val="0"/>
  </c:chart>
  <c:externalData r:id="rId1">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FG Inventory Turnover</a:t>
            </a: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18.07</c:v>
                </c:pt>
                <c:pt idx="1">
                  <c:v>0.56000000000000005</c:v>
                </c:pt>
                <c:pt idx="2">
                  <c:v>1.53</c:v>
                </c:pt>
              </c:numCache>
            </c:numRef>
          </c:val>
        </c:ser>
        <c:dLbls>
          <c:showLegendKey val="0"/>
          <c:showVal val="0"/>
          <c:showCatName val="0"/>
          <c:showSerName val="0"/>
          <c:showPercent val="0"/>
          <c:showBubbleSize val="0"/>
        </c:dLbls>
        <c:gapWidth val="150"/>
        <c:overlap val="100"/>
        <c:axId val="113528192"/>
        <c:axId val="113722496"/>
      </c:barChart>
      <c:catAx>
        <c:axId val="113528192"/>
        <c:scaling>
          <c:orientation val="minMax"/>
        </c:scaling>
        <c:delete val="0"/>
        <c:axPos val="b"/>
        <c:numFmt formatCode="General" sourceLinked="1"/>
        <c:majorTickMark val="out"/>
        <c:minorTickMark val="none"/>
        <c:tickLblPos val="nextTo"/>
        <c:crossAx val="113722496"/>
        <c:crosses val="autoZero"/>
        <c:auto val="1"/>
        <c:lblAlgn val="ctr"/>
        <c:lblOffset val="100"/>
        <c:noMultiLvlLbl val="0"/>
      </c:catAx>
      <c:valAx>
        <c:axId val="113722496"/>
        <c:scaling>
          <c:orientation val="minMax"/>
        </c:scaling>
        <c:delete val="0"/>
        <c:axPos val="l"/>
        <c:majorGridlines/>
        <c:numFmt formatCode="General" sourceLinked="1"/>
        <c:majorTickMark val="out"/>
        <c:minorTickMark val="none"/>
        <c:tickLblPos val="nextTo"/>
        <c:crossAx val="113528192"/>
        <c:crosses val="autoZero"/>
        <c:crossBetween val="between"/>
      </c:valAx>
    </c:plotArea>
    <c:legend>
      <c:legendPos val="r"/>
      <c:overlay val="0"/>
    </c:legend>
    <c:plotVisOnly val="1"/>
    <c:dispBlanksAs val="gap"/>
    <c:showDLblsOverMax val="0"/>
  </c:chart>
  <c:externalData r:id="rId1">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FG Storage Period</a:t>
            </a: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20.2</c:v>
                </c:pt>
                <c:pt idx="1">
                  <c:v>646.87</c:v>
                </c:pt>
                <c:pt idx="2">
                  <c:v>239.28</c:v>
                </c:pt>
              </c:numCache>
            </c:numRef>
          </c:val>
        </c:ser>
        <c:dLbls>
          <c:showLegendKey val="0"/>
          <c:showVal val="0"/>
          <c:showCatName val="0"/>
          <c:showSerName val="0"/>
          <c:showPercent val="0"/>
          <c:showBubbleSize val="0"/>
        </c:dLbls>
        <c:gapWidth val="150"/>
        <c:overlap val="100"/>
        <c:axId val="114848896"/>
        <c:axId val="114850432"/>
      </c:barChart>
      <c:catAx>
        <c:axId val="114848896"/>
        <c:scaling>
          <c:orientation val="minMax"/>
        </c:scaling>
        <c:delete val="0"/>
        <c:axPos val="b"/>
        <c:numFmt formatCode="General" sourceLinked="1"/>
        <c:majorTickMark val="out"/>
        <c:minorTickMark val="none"/>
        <c:tickLblPos val="nextTo"/>
        <c:crossAx val="114850432"/>
        <c:crosses val="autoZero"/>
        <c:auto val="1"/>
        <c:lblAlgn val="ctr"/>
        <c:lblOffset val="100"/>
        <c:noMultiLvlLbl val="0"/>
      </c:catAx>
      <c:valAx>
        <c:axId val="114850432"/>
        <c:scaling>
          <c:orientation val="minMax"/>
        </c:scaling>
        <c:delete val="0"/>
        <c:axPos val="l"/>
        <c:majorGridlines/>
        <c:numFmt formatCode="General" sourceLinked="1"/>
        <c:majorTickMark val="out"/>
        <c:minorTickMark val="none"/>
        <c:tickLblPos val="nextTo"/>
        <c:crossAx val="114848896"/>
        <c:crosses val="autoZero"/>
        <c:crossBetween val="between"/>
      </c:valAx>
    </c:plotArea>
    <c:legend>
      <c:legendPos val="r"/>
      <c:overlay val="0"/>
    </c:legend>
    <c:plotVisOnly val="1"/>
    <c:dispBlanksAs val="gap"/>
    <c:showDLblsOverMax val="0"/>
  </c:chart>
  <c:externalData r:id="rId1">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Receivable</a:t>
            </a:r>
            <a:r>
              <a:rPr lang="en-US" baseline="0">
                <a:solidFill>
                  <a:schemeClr val="accent1"/>
                </a:solidFill>
              </a:rPr>
              <a:t> Turnover</a:t>
            </a:r>
            <a:endParaRPr lang="en-US">
              <a:solidFill>
                <a:schemeClr val="accent1"/>
              </a:solidFill>
            </a:endParaRPr>
          </a:p>
        </c:rich>
      </c:tx>
      <c:overlay val="0"/>
    </c:title>
    <c:autoTitleDeleted val="0"/>
    <c:plotArea>
      <c:layout/>
      <c:barChart>
        <c:barDir val="col"/>
        <c:grouping val="stacked"/>
        <c:varyColors val="0"/>
        <c:ser>
          <c:idx val="0"/>
          <c:order val="0"/>
          <c:tx>
            <c:strRef>
              <c:f>Sheet1!$B$1</c:f>
              <c:strCache>
                <c:ptCount val="1"/>
                <c:pt idx="0">
                  <c:v>Freequncy</c:v>
                </c:pt>
              </c:strCache>
            </c:strRef>
          </c:tx>
          <c:invertIfNegative val="0"/>
          <c:cat>
            <c:numRef>
              <c:f>Sheet1!$A$2:$A$4</c:f>
              <c:numCache>
                <c:formatCode>General</c:formatCode>
                <c:ptCount val="3"/>
                <c:pt idx="0">
                  <c:v>2016</c:v>
                </c:pt>
                <c:pt idx="1">
                  <c:v>2014</c:v>
                </c:pt>
                <c:pt idx="2">
                  <c:v>2014</c:v>
                </c:pt>
              </c:numCache>
            </c:numRef>
          </c:cat>
          <c:val>
            <c:numRef>
              <c:f>Sheet1!$B$2:$B$4</c:f>
              <c:numCache>
                <c:formatCode>General</c:formatCode>
                <c:ptCount val="3"/>
                <c:pt idx="0">
                  <c:v>25.27</c:v>
                </c:pt>
                <c:pt idx="1">
                  <c:v>9.2299999999999986</c:v>
                </c:pt>
                <c:pt idx="2">
                  <c:v>52.260000000000012</c:v>
                </c:pt>
              </c:numCache>
            </c:numRef>
          </c:val>
        </c:ser>
        <c:dLbls>
          <c:showLegendKey val="0"/>
          <c:showVal val="0"/>
          <c:showCatName val="0"/>
          <c:showSerName val="0"/>
          <c:showPercent val="0"/>
          <c:showBubbleSize val="0"/>
        </c:dLbls>
        <c:gapWidth val="150"/>
        <c:overlap val="100"/>
        <c:axId val="113744512"/>
        <c:axId val="113762688"/>
      </c:barChart>
      <c:catAx>
        <c:axId val="113744512"/>
        <c:scaling>
          <c:orientation val="minMax"/>
        </c:scaling>
        <c:delete val="0"/>
        <c:axPos val="b"/>
        <c:numFmt formatCode="General" sourceLinked="1"/>
        <c:majorTickMark val="out"/>
        <c:minorTickMark val="none"/>
        <c:tickLblPos val="nextTo"/>
        <c:crossAx val="113762688"/>
        <c:crosses val="autoZero"/>
        <c:auto val="1"/>
        <c:lblAlgn val="ctr"/>
        <c:lblOffset val="100"/>
        <c:noMultiLvlLbl val="0"/>
      </c:catAx>
      <c:valAx>
        <c:axId val="113762688"/>
        <c:scaling>
          <c:orientation val="minMax"/>
        </c:scaling>
        <c:delete val="0"/>
        <c:axPos val="l"/>
        <c:majorGridlines/>
        <c:numFmt formatCode="General" sourceLinked="1"/>
        <c:majorTickMark val="out"/>
        <c:minorTickMark val="none"/>
        <c:tickLblPos val="nextTo"/>
        <c:crossAx val="113744512"/>
        <c:crosses val="autoZero"/>
        <c:crossBetween val="between"/>
      </c:valAx>
    </c:plotArea>
    <c:legend>
      <c:legendPos val="r"/>
      <c:overlay val="0"/>
    </c:legend>
    <c:plotVisOnly val="1"/>
    <c:dispBlanksAs val="gap"/>
    <c:showDLblsOverMax val="0"/>
  </c:chart>
  <c:externalData r:id="rId1">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DSO</a:t>
            </a: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14</c:v>
                </c:pt>
                <c:pt idx="1">
                  <c:v>39</c:v>
                </c:pt>
                <c:pt idx="2">
                  <c:v>7</c:v>
                </c:pt>
              </c:numCache>
            </c:numRef>
          </c:val>
        </c:ser>
        <c:dLbls>
          <c:showLegendKey val="0"/>
          <c:showVal val="0"/>
          <c:showCatName val="0"/>
          <c:showSerName val="0"/>
          <c:showPercent val="0"/>
          <c:showBubbleSize val="0"/>
        </c:dLbls>
        <c:gapWidth val="150"/>
        <c:overlap val="100"/>
        <c:axId val="114934144"/>
        <c:axId val="114935680"/>
      </c:barChart>
      <c:catAx>
        <c:axId val="114934144"/>
        <c:scaling>
          <c:orientation val="minMax"/>
        </c:scaling>
        <c:delete val="0"/>
        <c:axPos val="b"/>
        <c:numFmt formatCode="General" sourceLinked="1"/>
        <c:majorTickMark val="out"/>
        <c:minorTickMark val="none"/>
        <c:tickLblPos val="nextTo"/>
        <c:crossAx val="114935680"/>
        <c:crosses val="autoZero"/>
        <c:auto val="1"/>
        <c:lblAlgn val="ctr"/>
        <c:lblOffset val="100"/>
        <c:noMultiLvlLbl val="0"/>
      </c:catAx>
      <c:valAx>
        <c:axId val="114935680"/>
        <c:scaling>
          <c:orientation val="minMax"/>
        </c:scaling>
        <c:delete val="0"/>
        <c:axPos val="l"/>
        <c:majorGridlines/>
        <c:numFmt formatCode="General" sourceLinked="1"/>
        <c:majorTickMark val="out"/>
        <c:minorTickMark val="none"/>
        <c:tickLblPos val="nextTo"/>
        <c:crossAx val="114934144"/>
        <c:crosses val="autoZero"/>
        <c:crossBetween val="between"/>
      </c:valAx>
    </c:plotArea>
    <c:legend>
      <c:legendPos val="r"/>
      <c:overlay val="0"/>
    </c:legend>
    <c:plotVisOnly val="1"/>
    <c:dispBlanksAs val="gap"/>
    <c:showDLblsOverMax val="0"/>
  </c:chart>
  <c:externalData r:id="rId1">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Cash Turnover</a:t>
            </a:r>
          </a:p>
        </c:rich>
      </c:tx>
      <c:overlay val="0"/>
    </c:title>
    <c:autoTitleDeleted val="0"/>
    <c:plotArea>
      <c:layout/>
      <c:barChart>
        <c:barDir val="col"/>
        <c:grouping val="stacked"/>
        <c:varyColors val="0"/>
        <c:ser>
          <c:idx val="0"/>
          <c:order val="0"/>
          <c:tx>
            <c:strRef>
              <c:f>Sheet1!$B$1</c:f>
              <c:strCache>
                <c:ptCount val="1"/>
                <c:pt idx="0">
                  <c:v>Cash Turnover</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0.60900000000000065</c:v>
                </c:pt>
                <c:pt idx="1">
                  <c:v>9.0400000000000009</c:v>
                </c:pt>
                <c:pt idx="2">
                  <c:v>60.5</c:v>
                </c:pt>
              </c:numCache>
            </c:numRef>
          </c:val>
        </c:ser>
        <c:dLbls>
          <c:showLegendKey val="0"/>
          <c:showVal val="0"/>
          <c:showCatName val="0"/>
          <c:showSerName val="0"/>
          <c:showPercent val="0"/>
          <c:showBubbleSize val="0"/>
        </c:dLbls>
        <c:gapWidth val="150"/>
        <c:overlap val="100"/>
        <c:axId val="115033216"/>
        <c:axId val="115034752"/>
      </c:barChart>
      <c:catAx>
        <c:axId val="115033216"/>
        <c:scaling>
          <c:orientation val="minMax"/>
        </c:scaling>
        <c:delete val="0"/>
        <c:axPos val="b"/>
        <c:numFmt formatCode="General" sourceLinked="1"/>
        <c:majorTickMark val="out"/>
        <c:minorTickMark val="none"/>
        <c:tickLblPos val="nextTo"/>
        <c:crossAx val="115034752"/>
        <c:crosses val="autoZero"/>
        <c:auto val="1"/>
        <c:lblAlgn val="ctr"/>
        <c:lblOffset val="100"/>
        <c:noMultiLvlLbl val="0"/>
      </c:catAx>
      <c:valAx>
        <c:axId val="115034752"/>
        <c:scaling>
          <c:orientation val="minMax"/>
        </c:scaling>
        <c:delete val="0"/>
        <c:axPos val="l"/>
        <c:majorGridlines/>
        <c:numFmt formatCode="General" sourceLinked="1"/>
        <c:majorTickMark val="out"/>
        <c:minorTickMark val="none"/>
        <c:tickLblPos val="nextTo"/>
        <c:crossAx val="115033216"/>
        <c:crosses val="autoZero"/>
        <c:crossBetween val="between"/>
      </c:valAx>
    </c:plotArea>
    <c:legend>
      <c:legendPos val="r"/>
      <c:overlay val="0"/>
    </c:legend>
    <c:plotVisOnly val="1"/>
    <c:dispBlanksAs val="gap"/>
    <c:showDLblsOverMax val="0"/>
  </c:chart>
  <c:externalData r:id="rId1">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Payable</a:t>
            </a:r>
            <a:r>
              <a:rPr lang="en-US" baseline="0">
                <a:solidFill>
                  <a:schemeClr val="accent1"/>
                </a:solidFill>
              </a:rPr>
              <a:t>  Turnover</a:t>
            </a:r>
            <a:endParaRPr lang="en-US">
              <a:solidFill>
                <a:schemeClr val="accent1"/>
              </a:solidFill>
            </a:endParaRPr>
          </a:p>
        </c:rich>
      </c:tx>
      <c:overlay val="0"/>
    </c:title>
    <c:autoTitleDeleted val="0"/>
    <c:plotArea>
      <c:layout/>
      <c:barChart>
        <c:barDir val="col"/>
        <c:grouping val="stacked"/>
        <c:varyColors val="0"/>
        <c:ser>
          <c:idx val="0"/>
          <c:order val="0"/>
          <c:tx>
            <c:strRef>
              <c:f>Sheet1!$B$1</c:f>
              <c:strCache>
                <c:ptCount val="1"/>
                <c:pt idx="0">
                  <c:v>Freequency</c:v>
                </c:pt>
              </c:strCache>
            </c:strRef>
          </c:tx>
          <c:invertIfNegative val="0"/>
          <c:cat>
            <c:numRef>
              <c:f>Sheet1!$A$2:$A$3</c:f>
              <c:numCache>
                <c:formatCode>General</c:formatCode>
                <c:ptCount val="2"/>
                <c:pt idx="0">
                  <c:v>2016</c:v>
                </c:pt>
                <c:pt idx="1">
                  <c:v>2014</c:v>
                </c:pt>
              </c:numCache>
            </c:numRef>
          </c:cat>
          <c:val>
            <c:numRef>
              <c:f>Sheet1!$B$2:$B$3</c:f>
              <c:numCache>
                <c:formatCode>General</c:formatCode>
                <c:ptCount val="2"/>
                <c:pt idx="0">
                  <c:v>23.130000000000031</c:v>
                </c:pt>
                <c:pt idx="1">
                  <c:v>138.91</c:v>
                </c:pt>
              </c:numCache>
            </c:numRef>
          </c:val>
        </c:ser>
        <c:dLbls>
          <c:showLegendKey val="0"/>
          <c:showVal val="0"/>
          <c:showCatName val="0"/>
          <c:showSerName val="0"/>
          <c:showPercent val="0"/>
          <c:showBubbleSize val="0"/>
        </c:dLbls>
        <c:gapWidth val="150"/>
        <c:overlap val="100"/>
        <c:axId val="115075712"/>
        <c:axId val="115077504"/>
      </c:barChart>
      <c:catAx>
        <c:axId val="115075712"/>
        <c:scaling>
          <c:orientation val="minMax"/>
        </c:scaling>
        <c:delete val="0"/>
        <c:axPos val="b"/>
        <c:numFmt formatCode="General" sourceLinked="1"/>
        <c:majorTickMark val="out"/>
        <c:minorTickMark val="none"/>
        <c:tickLblPos val="nextTo"/>
        <c:crossAx val="115077504"/>
        <c:crosses val="autoZero"/>
        <c:auto val="1"/>
        <c:lblAlgn val="ctr"/>
        <c:lblOffset val="100"/>
        <c:noMultiLvlLbl val="0"/>
      </c:catAx>
      <c:valAx>
        <c:axId val="115077504"/>
        <c:scaling>
          <c:orientation val="minMax"/>
        </c:scaling>
        <c:delete val="0"/>
        <c:axPos val="l"/>
        <c:majorGridlines/>
        <c:numFmt formatCode="General" sourceLinked="1"/>
        <c:majorTickMark val="out"/>
        <c:minorTickMark val="none"/>
        <c:tickLblPos val="nextTo"/>
        <c:crossAx val="115075712"/>
        <c:crosses val="autoZero"/>
        <c:crossBetween val="between"/>
      </c:valAx>
    </c:plotArea>
    <c:legend>
      <c:legendPos val="r"/>
      <c:overlay val="0"/>
    </c:legend>
    <c:plotVisOnly val="1"/>
    <c:dispBlanksAs val="gap"/>
    <c:showDLblsOverMax val="0"/>
  </c:chart>
  <c:externalData r:id="rId1">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DPO</a:t>
            </a:r>
          </a:p>
        </c:rich>
      </c:tx>
      <c:overlay val="0"/>
    </c:title>
    <c:autoTitleDeleted val="0"/>
    <c:plotArea>
      <c:layout/>
      <c:barChart>
        <c:barDir val="col"/>
        <c:grouping val="stacked"/>
        <c:varyColors val="0"/>
        <c:ser>
          <c:idx val="0"/>
          <c:order val="0"/>
          <c:tx>
            <c:strRef>
              <c:f>Sheet1!$B$1</c:f>
              <c:strCache>
                <c:ptCount val="1"/>
                <c:pt idx="0">
                  <c:v>Days</c:v>
                </c:pt>
              </c:strCache>
            </c:strRef>
          </c:tx>
          <c:invertIfNegative val="0"/>
          <c:cat>
            <c:numRef>
              <c:f>Sheet1!$A$2:$A$3</c:f>
              <c:numCache>
                <c:formatCode>General</c:formatCode>
                <c:ptCount val="2"/>
                <c:pt idx="0">
                  <c:v>2016</c:v>
                </c:pt>
                <c:pt idx="1">
                  <c:v>2014</c:v>
                </c:pt>
              </c:numCache>
            </c:numRef>
          </c:cat>
          <c:val>
            <c:numRef>
              <c:f>Sheet1!$B$2:$B$3</c:f>
              <c:numCache>
                <c:formatCode>General</c:formatCode>
                <c:ptCount val="2"/>
                <c:pt idx="0">
                  <c:v>15.77</c:v>
                </c:pt>
                <c:pt idx="1">
                  <c:v>2.62</c:v>
                </c:pt>
              </c:numCache>
            </c:numRef>
          </c:val>
        </c:ser>
        <c:dLbls>
          <c:showLegendKey val="0"/>
          <c:showVal val="0"/>
          <c:showCatName val="0"/>
          <c:showSerName val="0"/>
          <c:showPercent val="0"/>
          <c:showBubbleSize val="0"/>
        </c:dLbls>
        <c:gapWidth val="150"/>
        <c:overlap val="100"/>
        <c:axId val="115130752"/>
        <c:axId val="115132288"/>
      </c:barChart>
      <c:catAx>
        <c:axId val="115130752"/>
        <c:scaling>
          <c:orientation val="minMax"/>
        </c:scaling>
        <c:delete val="0"/>
        <c:axPos val="b"/>
        <c:numFmt formatCode="General" sourceLinked="1"/>
        <c:majorTickMark val="out"/>
        <c:minorTickMark val="none"/>
        <c:tickLblPos val="nextTo"/>
        <c:crossAx val="115132288"/>
        <c:crosses val="autoZero"/>
        <c:auto val="1"/>
        <c:lblAlgn val="ctr"/>
        <c:lblOffset val="100"/>
        <c:noMultiLvlLbl val="0"/>
      </c:catAx>
      <c:valAx>
        <c:axId val="115132288"/>
        <c:scaling>
          <c:orientation val="minMax"/>
        </c:scaling>
        <c:delete val="0"/>
        <c:axPos val="l"/>
        <c:majorGridlines/>
        <c:numFmt formatCode="General" sourceLinked="1"/>
        <c:majorTickMark val="out"/>
        <c:minorTickMark val="none"/>
        <c:tickLblPos val="nextTo"/>
        <c:crossAx val="115130752"/>
        <c:crosses val="autoZero"/>
        <c:crossBetween val="between"/>
      </c:valAx>
    </c:plotArea>
    <c:legend>
      <c:legendPos val="r"/>
      <c:overlay val="0"/>
    </c:legend>
    <c:plotVisOnly val="1"/>
    <c:dispBlanksAs val="gap"/>
    <c:showDLblsOverMax val="0"/>
  </c:chart>
  <c:externalData r:id="rId1">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Current Ratio</a:t>
            </a:r>
          </a:p>
        </c:rich>
      </c:tx>
      <c:overlay val="0"/>
    </c:title>
    <c:autoTitleDeleted val="0"/>
    <c:plotArea>
      <c:layout/>
      <c:barChart>
        <c:barDir val="col"/>
        <c:grouping val="stacked"/>
        <c:varyColors val="0"/>
        <c:ser>
          <c:idx val="0"/>
          <c:order val="0"/>
          <c:tx>
            <c:strRef>
              <c:f>Sheet1!$B$1</c:f>
              <c:strCache>
                <c:ptCount val="1"/>
                <c:pt idx="0">
                  <c:v>Current Ratio</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6.6</c:v>
                </c:pt>
                <c:pt idx="1">
                  <c:v>0.81</c:v>
                </c:pt>
                <c:pt idx="2">
                  <c:v>9.9000000000000046E-2</c:v>
                </c:pt>
              </c:numCache>
            </c:numRef>
          </c:val>
        </c:ser>
        <c:dLbls>
          <c:showLegendKey val="0"/>
          <c:showVal val="0"/>
          <c:showCatName val="0"/>
          <c:showSerName val="0"/>
          <c:showPercent val="0"/>
          <c:showBubbleSize val="0"/>
        </c:dLbls>
        <c:gapWidth val="150"/>
        <c:overlap val="100"/>
        <c:axId val="115152768"/>
        <c:axId val="115154304"/>
      </c:barChart>
      <c:catAx>
        <c:axId val="115152768"/>
        <c:scaling>
          <c:orientation val="minMax"/>
        </c:scaling>
        <c:delete val="0"/>
        <c:axPos val="b"/>
        <c:numFmt formatCode="General" sourceLinked="1"/>
        <c:majorTickMark val="out"/>
        <c:minorTickMark val="none"/>
        <c:tickLblPos val="nextTo"/>
        <c:crossAx val="115154304"/>
        <c:crosses val="autoZero"/>
        <c:auto val="1"/>
        <c:lblAlgn val="ctr"/>
        <c:lblOffset val="100"/>
        <c:noMultiLvlLbl val="0"/>
      </c:catAx>
      <c:valAx>
        <c:axId val="115154304"/>
        <c:scaling>
          <c:orientation val="minMax"/>
        </c:scaling>
        <c:delete val="0"/>
        <c:axPos val="l"/>
        <c:majorGridlines/>
        <c:numFmt formatCode="General" sourceLinked="1"/>
        <c:majorTickMark val="out"/>
        <c:minorTickMark val="none"/>
        <c:tickLblPos val="nextTo"/>
        <c:crossAx val="115152768"/>
        <c:crosses val="autoZero"/>
        <c:crossBetween val="between"/>
      </c:valAx>
    </c:plotArea>
    <c:legend>
      <c:legendPos val="r"/>
      <c:overlay val="0"/>
    </c:legend>
    <c:plotVisOnly val="1"/>
    <c:dispBlanksAs val="gap"/>
    <c:showDLblsOverMax val="0"/>
  </c:chart>
  <c:externalData r:id="rId1">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Quick Ratio</a:t>
            </a:r>
          </a:p>
        </c:rich>
      </c:tx>
      <c:overlay val="0"/>
    </c:title>
    <c:autoTitleDeleted val="0"/>
    <c:plotArea>
      <c:layout/>
      <c:barChart>
        <c:barDir val="col"/>
        <c:grouping val="stacked"/>
        <c:varyColors val="0"/>
        <c:ser>
          <c:idx val="0"/>
          <c:order val="0"/>
          <c:tx>
            <c:strRef>
              <c:f>Sheet1!$B$1</c:f>
              <c:strCache>
                <c:ptCount val="1"/>
                <c:pt idx="0">
                  <c:v>Quick Ratio</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3.7800000000000002</c:v>
                </c:pt>
                <c:pt idx="1">
                  <c:v>10.93</c:v>
                </c:pt>
                <c:pt idx="2">
                  <c:v>0.05</c:v>
                </c:pt>
              </c:numCache>
            </c:numRef>
          </c:val>
        </c:ser>
        <c:dLbls>
          <c:showLegendKey val="0"/>
          <c:showVal val="0"/>
          <c:showCatName val="0"/>
          <c:showSerName val="0"/>
          <c:showPercent val="0"/>
          <c:showBubbleSize val="0"/>
        </c:dLbls>
        <c:gapWidth val="150"/>
        <c:overlap val="100"/>
        <c:axId val="115174784"/>
        <c:axId val="114820224"/>
      </c:barChart>
      <c:catAx>
        <c:axId val="115174784"/>
        <c:scaling>
          <c:orientation val="minMax"/>
        </c:scaling>
        <c:delete val="0"/>
        <c:axPos val="b"/>
        <c:numFmt formatCode="General" sourceLinked="1"/>
        <c:majorTickMark val="out"/>
        <c:minorTickMark val="none"/>
        <c:tickLblPos val="nextTo"/>
        <c:crossAx val="114820224"/>
        <c:crosses val="autoZero"/>
        <c:auto val="1"/>
        <c:lblAlgn val="ctr"/>
        <c:lblOffset val="100"/>
        <c:noMultiLvlLbl val="0"/>
      </c:catAx>
      <c:valAx>
        <c:axId val="114820224"/>
        <c:scaling>
          <c:orientation val="minMax"/>
        </c:scaling>
        <c:delete val="0"/>
        <c:axPos val="l"/>
        <c:majorGridlines/>
        <c:numFmt formatCode="General" sourceLinked="1"/>
        <c:majorTickMark val="out"/>
        <c:minorTickMark val="none"/>
        <c:tickLblPos val="nextTo"/>
        <c:crossAx val="115174784"/>
        <c:crosses val="autoZero"/>
        <c:crossBetween val="between"/>
      </c:valAx>
    </c:plotArea>
    <c:legend>
      <c:legendPos val="r"/>
      <c:overlay val="0"/>
    </c:legend>
    <c:plotVisOnly val="1"/>
    <c:dispBlanksAs val="gap"/>
    <c:showDLblsOverMax val="0"/>
  </c:chart>
  <c:externalData r:id="rId1">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chemeClr val="accent1"/>
                </a:solidFill>
              </a:defRPr>
            </a:pPr>
            <a:r>
              <a:rPr lang="en-US">
                <a:solidFill>
                  <a:schemeClr val="accent1"/>
                </a:solidFill>
              </a:rPr>
              <a:t>Cash</a:t>
            </a:r>
            <a:r>
              <a:rPr lang="en-US" baseline="0">
                <a:solidFill>
                  <a:schemeClr val="accent1"/>
                </a:solidFill>
              </a:rPr>
              <a:t> Ratio</a:t>
            </a:r>
            <a:endParaRPr lang="en-US">
              <a:solidFill>
                <a:schemeClr val="accent1"/>
              </a:solidFill>
            </a:endParaRPr>
          </a:p>
        </c:rich>
      </c:tx>
      <c:overlay val="0"/>
    </c:title>
    <c:autoTitleDeleted val="0"/>
    <c:plotArea>
      <c:layout/>
      <c:barChart>
        <c:barDir val="col"/>
        <c:grouping val="stacked"/>
        <c:varyColors val="0"/>
        <c:ser>
          <c:idx val="0"/>
          <c:order val="0"/>
          <c:tx>
            <c:strRef>
              <c:f>Sheet1!$B$1</c:f>
              <c:strCache>
                <c:ptCount val="1"/>
                <c:pt idx="0">
                  <c:v>Cash Ratio</c:v>
                </c:pt>
              </c:strCache>
            </c:strRef>
          </c:tx>
          <c:invertIfNegative val="0"/>
          <c:cat>
            <c:numRef>
              <c:f>Sheet1!$A$2:$A$4</c:f>
              <c:numCache>
                <c:formatCode>General</c:formatCode>
                <c:ptCount val="3"/>
                <c:pt idx="0">
                  <c:v>2016</c:v>
                </c:pt>
                <c:pt idx="1">
                  <c:v>2015</c:v>
                </c:pt>
                <c:pt idx="2">
                  <c:v>2014</c:v>
                </c:pt>
              </c:numCache>
            </c:numRef>
          </c:cat>
          <c:val>
            <c:numRef>
              <c:f>Sheet1!$B$2:$B$4</c:f>
              <c:numCache>
                <c:formatCode>General</c:formatCode>
                <c:ptCount val="3"/>
                <c:pt idx="0">
                  <c:v>3.27</c:v>
                </c:pt>
                <c:pt idx="1">
                  <c:v>4.7000000000000014E-2</c:v>
                </c:pt>
                <c:pt idx="2">
                  <c:v>8.2000000000000007E-3</c:v>
                </c:pt>
              </c:numCache>
            </c:numRef>
          </c:val>
        </c:ser>
        <c:dLbls>
          <c:showLegendKey val="0"/>
          <c:showVal val="0"/>
          <c:showCatName val="0"/>
          <c:showSerName val="0"/>
          <c:showPercent val="0"/>
          <c:showBubbleSize val="0"/>
        </c:dLbls>
        <c:gapWidth val="150"/>
        <c:overlap val="100"/>
        <c:axId val="115508352"/>
        <c:axId val="115509888"/>
      </c:barChart>
      <c:catAx>
        <c:axId val="115508352"/>
        <c:scaling>
          <c:orientation val="minMax"/>
        </c:scaling>
        <c:delete val="0"/>
        <c:axPos val="b"/>
        <c:numFmt formatCode="General" sourceLinked="1"/>
        <c:majorTickMark val="out"/>
        <c:minorTickMark val="none"/>
        <c:tickLblPos val="nextTo"/>
        <c:crossAx val="115509888"/>
        <c:crosses val="autoZero"/>
        <c:auto val="1"/>
        <c:lblAlgn val="ctr"/>
        <c:lblOffset val="100"/>
        <c:noMultiLvlLbl val="0"/>
      </c:catAx>
      <c:valAx>
        <c:axId val="115509888"/>
        <c:scaling>
          <c:orientation val="minMax"/>
        </c:scaling>
        <c:delete val="0"/>
        <c:axPos val="l"/>
        <c:majorGridlines/>
        <c:numFmt formatCode="General" sourceLinked="1"/>
        <c:majorTickMark val="out"/>
        <c:minorTickMark val="none"/>
        <c:tickLblPos val="nextTo"/>
        <c:crossAx val="11550835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Squ16</b:Tag>
    <b:SourceType>InternetSite</b:SourceType>
    <b:Guid>{3687E4C2-0B35-4174-9B52-3FA48587A457}</b:Guid>
    <b:InternetSiteTitle>Square Textile Limited</b:InternetSiteTitle>
    <b:Year>2014-25016</b:Year>
    <b:URL>https://textile.squaregroup.com/tex_financialStat.html</b:URL>
    <b:RefOrder>1</b:RefOrder>
  </b:Source>
  <b:Source>
    <b:Tag>App161</b:Tag>
    <b:SourceType>InternetSite</b:SourceType>
    <b:Guid>{241B3362-8326-4017-9E55-D611A2F1352D}</b:Guid>
    <b:InternetSiteTitle>Appex textile Limited</b:InternetSiteTitle>
    <b:Year>2014-2016</b:Year>
    <b:URL>https://www.apexknitting.com/FinancialReports.php</b:URL>
    <b:RefOrder>2</b:RefOrder>
  </b:Source>
  <b:Source>
    <b:Tag>App16</b:Tag>
    <b:SourceType>InternetSite</b:SourceType>
    <b:Guid>{720BB4BA-3B05-4671-A6C6-BA98280D1C88}</b:Guid>
    <b:InternetSiteTitle>Appex Food Limited</b:InternetSiteTitle>
    <b:Year>2014-2016</b:Year>
    <b:URL>https://www.apexfoods.com/investors-info/financial-reports</b:URL>
    <b:RefOrder>3</b:RefOrder>
  </b:Source>
  <b:Source>
    <b:Tag>ACI16</b:Tag>
    <b:SourceType>InternetSite</b:SourceType>
    <b:Guid>{1AD18E18-19A0-4EC6-8F97-AB7680B57CCA}</b:Guid>
    <b:InternetSiteTitle>ACI Food Limited</b:InternetSiteTitle>
    <b:Year>2014-2016</b:Year>
    <b:URL>https://www.aci-bd.com/financials/</b:URL>
    <b:RefOrder>6</b:RefOrder>
  </b:Source>
  <b:Source>
    <b:Tag>Bex16</b:Tag>
    <b:SourceType>InternetSite</b:SourceType>
    <b:Guid>{F681A78A-5965-4B42-AA15-CF7DBB7826FB}</b:Guid>
    <b:InternetSiteTitle>Beximco Pharmaceuticals Limited</b:InternetSiteTitle>
    <b:Year>2014-2016</b:Year>
    <b:URL>https://www.beximcopharma.com/investor/financial-reports.html</b:URL>
    <b:RefOrder>4</b:RefOrder>
  </b:Source>
  <b:Source>
    <b:Tag>Squ161</b:Tag>
    <b:SourceType>InternetSite</b:SourceType>
    <b:Guid>{A9D80D4B-BABE-47F1-AA3F-2F3A0C6CA297}</b:Guid>
    <b:InternetSiteTitle>Square Pharmaceuticals Limited</b:InternetSiteTitle>
    <b:Year>2014-2016</b:Year>
    <b:URL>http://www.squarepharma.com.bd/annual-reports.php</b:URL>
    <b:RefOrder>5</b:RefOrder>
  </b:Source>
  <b:Source>
    <b:Tag>Squ</b:Tag>
    <b:SourceType>Report</b:SourceType>
    <b:Guid>{F541ACFC-C784-4083-B885-F57B6E072B49}</b:Guid>
    <b:Author>
      <b:Author>
        <b:NameList>
          <b:Person>
            <b:Last>Ltd.</b:Last>
            <b:First>Square</b:First>
            <b:Middle>Textile</b:Middle>
          </b:Person>
        </b:NameList>
      </b:Author>
    </b:Author>
    <b:RefOrder>7</b:RefOrder>
  </b:Source>
</b:Sources>
</file>

<file path=customXml/itemProps1.xml><?xml version="1.0" encoding="utf-8"?>
<ds:datastoreItem xmlns:ds="http://schemas.openxmlformats.org/officeDocument/2006/customXml" ds:itemID="{3657F3B4-E290-4C49-833B-1CC3F32F8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8760</Words>
  <Characters>49933</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NOvice</dc:creator>
  <cp:lastModifiedBy>shakila</cp:lastModifiedBy>
  <cp:revision>2</cp:revision>
  <dcterms:created xsi:type="dcterms:W3CDTF">2019-09-11T06:54:00Z</dcterms:created>
  <dcterms:modified xsi:type="dcterms:W3CDTF">2019-09-11T06:54:00Z</dcterms:modified>
</cp:coreProperties>
</file>