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0B4" w:rsidRPr="0091374D" w:rsidRDefault="00CE10B4" w:rsidP="00CE10B4">
      <w:pPr>
        <w:pStyle w:val="Heading1"/>
        <w:jc w:val="center"/>
        <w:rPr>
          <w:rFonts w:ascii="Times New Roman" w:hAnsi="Times New Roman" w:cs="Times New Roman"/>
          <w:b/>
          <w:color w:val="auto"/>
        </w:rPr>
      </w:pPr>
      <w:bookmarkStart w:id="0" w:name="_Toc532912615"/>
      <w:r w:rsidRPr="0091374D">
        <w:rPr>
          <w:rFonts w:ascii="Times New Roman" w:hAnsi="Times New Roman" w:cs="Times New Roman"/>
          <w:color w:val="auto"/>
        </w:rPr>
        <w:t>Financial Performance Analysis of Selected Jute Companies of Bangladesh</w:t>
      </w:r>
      <w:bookmarkEnd w:id="0"/>
    </w:p>
    <w:p w:rsidR="00CE10B4" w:rsidRPr="0091374D" w:rsidRDefault="00CE10B4" w:rsidP="00CE10B4">
      <w:pPr>
        <w:spacing w:after="120" w:line="240" w:lineRule="auto"/>
        <w:rPr>
          <w:rFonts w:ascii="Times New Roman" w:hAnsi="Times New Roman" w:cs="Times New Roman"/>
          <w:sz w:val="24"/>
          <w:szCs w:val="24"/>
        </w:rPr>
      </w:pPr>
    </w:p>
    <w:p w:rsidR="00CE10B4" w:rsidRPr="0091374D" w:rsidRDefault="00CE10B4" w:rsidP="00CE10B4">
      <w:pPr>
        <w:spacing w:after="120" w:line="360" w:lineRule="auto"/>
        <w:jc w:val="both"/>
        <w:rPr>
          <w:rFonts w:ascii="Times New Roman" w:hAnsi="Times New Roman" w:cs="Times New Roman"/>
          <w:sz w:val="24"/>
          <w:szCs w:val="24"/>
        </w:rPr>
        <w:sectPr w:rsidR="00CE10B4" w:rsidRPr="0091374D" w:rsidSect="00CE10B4">
          <w:pgSz w:w="12240" w:h="15840" w:code="1"/>
          <w:pgMar w:top="1440" w:right="1440" w:bottom="1170" w:left="1440" w:header="720" w:footer="720" w:gutter="0"/>
          <w:cols w:sep="1" w:space="720"/>
          <w:docGrid w:linePitch="360"/>
        </w:sectPr>
      </w:pPr>
    </w:p>
    <w:p w:rsidR="00CE10B4" w:rsidRPr="0091374D" w:rsidRDefault="00CE10B4" w:rsidP="00CE10B4">
      <w:pPr>
        <w:pStyle w:val="Heading2"/>
        <w:ind w:left="0" w:firstLine="0"/>
        <w:rPr>
          <w:rFonts w:ascii="Times New Roman" w:hAnsi="Times New Roman" w:cs="Times New Roman"/>
          <w:b w:val="0"/>
          <w:i w:val="0"/>
          <w:sz w:val="24"/>
          <w:szCs w:val="24"/>
        </w:rPr>
      </w:pPr>
      <w:bookmarkStart w:id="1" w:name="_Toc532912616"/>
      <w:r w:rsidRPr="0091374D">
        <w:rPr>
          <w:rFonts w:ascii="Times New Roman" w:hAnsi="Times New Roman" w:cs="Times New Roman"/>
          <w:b w:val="0"/>
          <w:i w:val="0"/>
          <w:sz w:val="24"/>
          <w:szCs w:val="24"/>
        </w:rPr>
        <w:lastRenderedPageBreak/>
        <w:t>Abdullah Al Nabil</w:t>
      </w:r>
      <w:bookmarkEnd w:id="1"/>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United International University</w:t>
      </w:r>
    </w:p>
    <w:p w:rsidR="00CE10B4" w:rsidRPr="0091374D" w:rsidRDefault="00CE10B4" w:rsidP="00CE10B4">
      <w:pPr>
        <w:spacing w:after="0" w:line="360" w:lineRule="auto"/>
        <w:jc w:val="both"/>
        <w:rPr>
          <w:rFonts w:ascii="Times New Roman" w:hAnsi="Times New Roman" w:cs="Times New Roman"/>
          <w:sz w:val="24"/>
          <w:szCs w:val="24"/>
        </w:rPr>
      </w:pP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 xml:space="preserve">Supervisor: </w:t>
      </w:r>
      <w:proofErr w:type="spellStart"/>
      <w:r w:rsidRPr="0091374D">
        <w:rPr>
          <w:rFonts w:ascii="Times New Roman" w:hAnsi="Times New Roman" w:cs="Times New Roman"/>
          <w:sz w:val="24"/>
          <w:szCs w:val="24"/>
        </w:rPr>
        <w:t>Nusrat</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Farzana</w:t>
      </w:r>
      <w:proofErr w:type="spellEnd"/>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Assistant Professor</w:t>
      </w:r>
    </w:p>
    <w:p w:rsidR="00CE10B4"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United International University</w:t>
      </w:r>
    </w:p>
    <w:p w:rsidR="00A57008" w:rsidRDefault="00A57008" w:rsidP="00CE10B4">
      <w:pPr>
        <w:spacing w:after="0" w:line="360" w:lineRule="auto"/>
        <w:jc w:val="both"/>
        <w:rPr>
          <w:rFonts w:ascii="Times New Roman" w:hAnsi="Times New Roman" w:cs="Times New Roman"/>
          <w:sz w:val="24"/>
          <w:szCs w:val="24"/>
        </w:rPr>
        <w:sectPr w:rsidR="00A57008" w:rsidSect="000C3EFA">
          <w:type w:val="continuous"/>
          <w:pgSz w:w="12240" w:h="15840" w:code="1"/>
          <w:pgMar w:top="1440" w:right="1440" w:bottom="1170" w:left="1440" w:header="720" w:footer="720" w:gutter="0"/>
          <w:cols w:num="2" w:space="720"/>
          <w:docGrid w:linePitch="360"/>
        </w:sectPr>
      </w:pPr>
    </w:p>
    <w:p w:rsidR="00A57008" w:rsidRDefault="00A57008" w:rsidP="00CE10B4">
      <w:pPr>
        <w:spacing w:after="0" w:line="360" w:lineRule="auto"/>
        <w:jc w:val="both"/>
        <w:rPr>
          <w:rFonts w:ascii="Times New Roman" w:hAnsi="Times New Roman" w:cs="Times New Roman"/>
          <w:sz w:val="24"/>
          <w:szCs w:val="24"/>
        </w:rPr>
      </w:pPr>
    </w:p>
    <w:p w:rsidR="00A57008" w:rsidRPr="0091374D" w:rsidRDefault="00A57008" w:rsidP="00CE10B4">
      <w:pPr>
        <w:spacing w:after="0" w:line="360" w:lineRule="auto"/>
        <w:jc w:val="both"/>
        <w:rPr>
          <w:rFonts w:ascii="Times New Roman" w:hAnsi="Times New Roman" w:cs="Times New Roman"/>
          <w:sz w:val="24"/>
          <w:szCs w:val="24"/>
        </w:rPr>
      </w:pPr>
    </w:p>
    <w:p w:rsidR="00CE10B4" w:rsidRPr="0091374D" w:rsidRDefault="00CE10B4" w:rsidP="00CE10B4">
      <w:pPr>
        <w:spacing w:after="0" w:line="240" w:lineRule="auto"/>
        <w:jc w:val="center"/>
        <w:rPr>
          <w:rFonts w:ascii="Times New Roman" w:hAnsi="Times New Roman" w:cs="Times New Roman"/>
          <w:b/>
          <w:sz w:val="24"/>
          <w:szCs w:val="24"/>
        </w:rPr>
        <w:sectPr w:rsidR="00CE10B4" w:rsidRPr="0091374D" w:rsidSect="000C3EFA">
          <w:type w:val="continuous"/>
          <w:pgSz w:w="12240" w:h="15840" w:code="1"/>
          <w:pgMar w:top="1440" w:right="1440" w:bottom="1170" w:left="1440" w:header="720" w:footer="720" w:gutter="0"/>
          <w:cols w:num="2" w:space="720"/>
          <w:docGrid w:linePitch="360"/>
        </w:sectPr>
      </w:pPr>
    </w:p>
    <w:p w:rsidR="00CE10B4" w:rsidRPr="0091374D" w:rsidRDefault="00CE10B4" w:rsidP="00CE10B4">
      <w:pPr>
        <w:spacing w:after="0" w:line="360" w:lineRule="auto"/>
        <w:jc w:val="center"/>
        <w:rPr>
          <w:rFonts w:ascii="Times New Roman" w:hAnsi="Times New Roman" w:cs="Times New Roman"/>
          <w:b/>
          <w:i/>
          <w:iCs/>
          <w:sz w:val="26"/>
          <w:szCs w:val="26"/>
        </w:rPr>
      </w:pPr>
      <w:r w:rsidRPr="0091374D">
        <w:rPr>
          <w:rFonts w:ascii="Times New Roman" w:hAnsi="Times New Roman" w:cs="Times New Roman"/>
          <w:b/>
          <w:i/>
          <w:iCs/>
          <w:sz w:val="26"/>
          <w:szCs w:val="26"/>
        </w:rPr>
        <w:lastRenderedPageBreak/>
        <w:t>Abstract</w:t>
      </w:r>
    </w:p>
    <w:p w:rsidR="00CE10B4" w:rsidRPr="0091374D" w:rsidRDefault="00CE10B4" w:rsidP="00CE10B4">
      <w:pPr>
        <w:spacing w:after="0" w:line="240" w:lineRule="auto"/>
        <w:jc w:val="center"/>
        <w:rPr>
          <w:rFonts w:ascii="Times New Roman" w:hAnsi="Times New Roman" w:cs="Times New Roman"/>
          <w:b/>
          <w:sz w:val="28"/>
          <w:szCs w:val="24"/>
        </w:rPr>
      </w:pPr>
    </w:p>
    <w:p w:rsidR="00CE10B4" w:rsidRPr="0091374D" w:rsidRDefault="00CE10B4" w:rsidP="00CE10B4">
      <w:pPr>
        <w:spacing w:after="0" w:line="240" w:lineRule="auto"/>
        <w:ind w:left="720"/>
        <w:jc w:val="both"/>
        <w:rPr>
          <w:rFonts w:ascii="Times New Roman" w:hAnsi="Times New Roman" w:cs="Times New Roman"/>
          <w:i/>
          <w:iCs/>
          <w:sz w:val="20"/>
          <w:szCs w:val="20"/>
        </w:rPr>
      </w:pPr>
      <w:r w:rsidRPr="0091374D">
        <w:rPr>
          <w:rFonts w:ascii="Times New Roman" w:hAnsi="Times New Roman" w:cs="Times New Roman"/>
          <w:i/>
          <w:iCs/>
          <w:sz w:val="20"/>
          <w:szCs w:val="20"/>
        </w:rPr>
        <w:t>Bangladesh is one of the top jute producing countries in the world. There was a time when 90% of foreign currency income of Bangladesh came from the jute &amp; jute product. Unfortunately at present foreign currency income of Bangladesh from jute and jute product has been reduced. This research paper is an effort to identify the financial position, strengths and weaknesses of listed Jute Companies of Dhaka Stock Exchange (DSE) with the help of financial statement analysis tools and techniques like ratio analysis, correlation analysis, and to identify the relationship of Earning per Share (EPS) with different kinds of financial ratios. This research paper is based on secondary data. It is hoped that selected jute companies’ all stakeholders like investors, creditors, government will get benefits from this research paper. The research result shows that financial performance of selected jute companies is not pretty good. Therefore some recommendations for the listed Jute Companies of DSE for a better financial performance are provided at the end of the research paper.</w:t>
      </w:r>
    </w:p>
    <w:p w:rsidR="00CE10B4" w:rsidRPr="0091374D" w:rsidRDefault="00CE10B4" w:rsidP="00CE10B4">
      <w:pPr>
        <w:spacing w:after="0" w:line="240" w:lineRule="auto"/>
        <w:jc w:val="both"/>
        <w:rPr>
          <w:rFonts w:ascii="Times New Roman" w:hAnsi="Times New Roman" w:cs="Times New Roman"/>
          <w:b/>
          <w:sz w:val="24"/>
          <w:szCs w:val="24"/>
        </w:rPr>
      </w:pPr>
    </w:p>
    <w:p w:rsidR="00CE10B4" w:rsidRPr="0091374D" w:rsidRDefault="00CE10B4" w:rsidP="00CE10B4">
      <w:pPr>
        <w:pBdr>
          <w:bottom w:val="single" w:sz="4" w:space="1" w:color="auto"/>
        </w:pBdr>
        <w:spacing w:after="0" w:line="360" w:lineRule="auto"/>
        <w:jc w:val="both"/>
        <w:rPr>
          <w:rFonts w:ascii="Times New Roman" w:hAnsi="Times New Roman" w:cs="Times New Roman"/>
          <w:bCs/>
          <w:sz w:val="24"/>
          <w:szCs w:val="24"/>
        </w:rPr>
      </w:pPr>
      <w:r w:rsidRPr="0091374D">
        <w:rPr>
          <w:rFonts w:ascii="Times New Roman" w:hAnsi="Times New Roman" w:cs="Times New Roman"/>
          <w:bCs/>
          <w:sz w:val="24"/>
          <w:szCs w:val="24"/>
        </w:rPr>
        <w:t>Keywords: Jute Company, Financial Performance, Ratio Analysis, Correlation Analysis, EPS</w:t>
      </w:r>
    </w:p>
    <w:p w:rsidR="00ED4556" w:rsidRDefault="00ED4556" w:rsidP="00CE10B4">
      <w:pPr>
        <w:spacing w:after="0" w:line="240" w:lineRule="auto"/>
        <w:rPr>
          <w:rFonts w:ascii="Times New Roman" w:hAnsi="Times New Roman" w:cs="Times New Roman"/>
          <w:b/>
          <w:sz w:val="26"/>
        </w:rPr>
      </w:pPr>
    </w:p>
    <w:p w:rsidR="00CE10B4" w:rsidRPr="0091374D" w:rsidRDefault="00CE10B4" w:rsidP="00CE10B4">
      <w:pPr>
        <w:spacing w:after="0" w:line="240" w:lineRule="auto"/>
        <w:rPr>
          <w:rFonts w:ascii="Times New Roman" w:hAnsi="Times New Roman" w:cs="Times New Roman"/>
          <w:b/>
          <w:sz w:val="26"/>
        </w:rPr>
      </w:pPr>
      <w:r w:rsidRPr="0091374D">
        <w:rPr>
          <w:rFonts w:ascii="Times New Roman" w:hAnsi="Times New Roman" w:cs="Times New Roman"/>
          <w:b/>
          <w:sz w:val="26"/>
        </w:rPr>
        <w:t>Introduction</w:t>
      </w:r>
    </w:p>
    <w:p w:rsidR="00CE10B4" w:rsidRPr="0091374D" w:rsidRDefault="00CE10B4" w:rsidP="00CE10B4">
      <w:pPr>
        <w:spacing w:after="0" w:line="240" w:lineRule="auto"/>
        <w:rPr>
          <w:rFonts w:ascii="Times New Roman" w:hAnsi="Times New Roman" w:cs="Times New Roman"/>
          <w:b/>
          <w:sz w:val="28"/>
          <w:szCs w:val="24"/>
        </w:rPr>
      </w:pP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Jute is called the golden fiber of Bangladesh. Jute alone contributes about 1.58% to GDP of Bangladesh without involving any foreign investment (Bangladesh Bureau of Statistics 2011). A large segment of total population of Bangladesh earns their livelihood directly and indirectly from the jute sector. Though in the 1980s global demand for jute goods were declined, at present demand for diversified jute products (DJP) have been increasing all over the world. So, consequently export earnings from jute should be increased, but unfortunately export earnings declined by 3.11% in 2013-2014, &amp; in 2014-2015 Fiscal Years (The Financial Express). In this research paper the financial performance of the jute companies those are listed in Dhaka Stock Exchange (DSE) are evaluated. There are 3 jute companies those are listed at DSE. They are Jute Spinners Limited., Northern Jute Manufacturing Co. Limited, &amp;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Industries Limited. In Bangladesh, no research is conducted yet, which evaluates jute companies’ financial performance. A lot of researches were conducted on production and export of jute and jute product. Many scientific researches were also conducted at Bangladesh Jute Research Institute (BJRI), but any research on </w:t>
      </w:r>
      <w:r w:rsidRPr="0091374D">
        <w:rPr>
          <w:rFonts w:ascii="Times New Roman" w:hAnsi="Times New Roman" w:cs="Times New Roman"/>
          <w:b/>
          <w:sz w:val="24"/>
          <w:szCs w:val="24"/>
        </w:rPr>
        <w:t>listed</w:t>
      </w:r>
      <w:r w:rsidRPr="0091374D">
        <w:rPr>
          <w:rFonts w:ascii="Times New Roman" w:hAnsi="Times New Roman" w:cs="Times New Roman"/>
          <w:sz w:val="24"/>
          <w:szCs w:val="24"/>
        </w:rPr>
        <w:t xml:space="preserve"> jute companies is not conducted yet using financial statement analysis tools &amp; techniques like ratio and correlation analysis etc. Therefore, it is hoped that this research paper will be helpful for the readers especially for the general investors.</w:t>
      </w:r>
    </w:p>
    <w:p w:rsidR="00CE10B4" w:rsidRPr="0091374D" w:rsidRDefault="00CE10B4" w:rsidP="00CE10B4">
      <w:pPr>
        <w:spacing w:after="0" w:line="240" w:lineRule="auto"/>
        <w:rPr>
          <w:rFonts w:ascii="Times New Roman" w:hAnsi="Times New Roman" w:cs="Times New Roman"/>
          <w:b/>
          <w:sz w:val="26"/>
        </w:rPr>
      </w:pPr>
      <w:r w:rsidRPr="0091374D">
        <w:rPr>
          <w:rFonts w:ascii="Times New Roman" w:hAnsi="Times New Roman" w:cs="Times New Roman"/>
          <w:b/>
          <w:sz w:val="26"/>
        </w:rPr>
        <w:t>Statement of Problem</w:t>
      </w:r>
    </w:p>
    <w:p w:rsidR="00CE10B4" w:rsidRPr="0091374D" w:rsidRDefault="00CE10B4" w:rsidP="00CE10B4">
      <w:pPr>
        <w:spacing w:after="0" w:line="240" w:lineRule="auto"/>
        <w:jc w:val="both"/>
        <w:rPr>
          <w:rFonts w:ascii="Times New Roman" w:hAnsi="Times New Roman" w:cs="Times New Roman"/>
          <w:sz w:val="24"/>
          <w:szCs w:val="24"/>
        </w:rPr>
      </w:pP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There was a time when 90% of foreign currency income of Bangladesh came from the jute &amp; jute product. That is Jute &amp; Jute product was the main source of foreign currency income. </w:t>
      </w:r>
      <w:r w:rsidRPr="0091374D">
        <w:rPr>
          <w:rFonts w:ascii="Times New Roman" w:hAnsi="Times New Roman" w:cs="Times New Roman"/>
          <w:sz w:val="24"/>
          <w:szCs w:val="24"/>
        </w:rPr>
        <w:lastRenderedPageBreak/>
        <w:t>(myacademybd.com) However, at present foreign currency income from Jute &amp; Jute product is reduced. There might be various reasons behind the reduction of this income. So, it is very necessity to measure the financial performance of jute companies of Bangladesh so that problems of jute industries come to light.</w:t>
      </w:r>
    </w:p>
    <w:p w:rsidR="00CE10B4" w:rsidRPr="0091374D" w:rsidRDefault="00CE10B4" w:rsidP="00CE10B4">
      <w:pPr>
        <w:spacing w:after="0" w:line="240" w:lineRule="auto"/>
        <w:rPr>
          <w:rFonts w:ascii="Times New Roman" w:hAnsi="Times New Roman" w:cs="Times New Roman"/>
          <w:b/>
          <w:sz w:val="28"/>
          <w:szCs w:val="24"/>
        </w:rPr>
      </w:pPr>
    </w:p>
    <w:p w:rsidR="00CE10B4" w:rsidRPr="0091374D" w:rsidRDefault="00CE10B4" w:rsidP="00CE10B4">
      <w:pPr>
        <w:spacing w:after="0" w:line="240" w:lineRule="auto"/>
        <w:rPr>
          <w:rFonts w:ascii="Times New Roman" w:hAnsi="Times New Roman" w:cs="Times New Roman"/>
          <w:b/>
          <w:sz w:val="26"/>
        </w:rPr>
      </w:pPr>
      <w:r w:rsidRPr="0091374D">
        <w:rPr>
          <w:rFonts w:ascii="Times New Roman" w:hAnsi="Times New Roman" w:cs="Times New Roman"/>
          <w:b/>
          <w:sz w:val="26"/>
        </w:rPr>
        <w:t>Literature Review</w:t>
      </w:r>
    </w:p>
    <w:p w:rsidR="00CE10B4" w:rsidRPr="0091374D" w:rsidRDefault="00CE10B4" w:rsidP="00CE10B4">
      <w:pPr>
        <w:spacing w:after="0" w:line="240" w:lineRule="auto"/>
        <w:jc w:val="both"/>
        <w:rPr>
          <w:rFonts w:ascii="Times New Roman" w:hAnsi="Times New Roman" w:cs="Times New Roman"/>
          <w:sz w:val="24"/>
          <w:szCs w:val="24"/>
        </w:rPr>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Innocent, E. C., Mary, O. I. &amp; Matthew, O. M. (2013) examined the Gross Profit Margin’s relationship with inventory turnover ratio &amp; with Total Asset Turnover ratio. They also evaluated relationship of Gross Profit Margin with Creditors’ Velocity as well as debtors’ turnover ratio.</w:t>
      </w:r>
    </w:p>
    <w:p w:rsidR="00CE10B4" w:rsidRPr="0091374D" w:rsidRDefault="00CE10B4" w:rsidP="00CE10B4">
      <w:pPr>
        <w:spacing w:after="0" w:line="240" w:lineRule="auto"/>
        <w:jc w:val="both"/>
        <w:rPr>
          <w:rFonts w:ascii="Times New Roman" w:hAnsi="Times New Roman" w:cs="Times New Roman"/>
          <w:sz w:val="24"/>
          <w:szCs w:val="24"/>
        </w:rPr>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Brigham, E. F. &amp; Houston, J. F. measured financial performance of a manufacturing firm (Allied Food Products). They used the financial ratios to compare that company with the industry average. (Fundamental s of Financial Management, Brigham &amp; Houston, 12</w:t>
      </w:r>
      <w:r w:rsidRPr="0091374D">
        <w:rPr>
          <w:rFonts w:ascii="Times New Roman" w:hAnsi="Times New Roman" w:cs="Times New Roman"/>
          <w:sz w:val="24"/>
          <w:szCs w:val="24"/>
          <w:vertAlign w:val="superscript"/>
        </w:rPr>
        <w:t>th</w:t>
      </w:r>
      <w:r w:rsidRPr="0091374D">
        <w:rPr>
          <w:rFonts w:ascii="Times New Roman" w:hAnsi="Times New Roman" w:cs="Times New Roman"/>
          <w:sz w:val="24"/>
          <w:szCs w:val="24"/>
        </w:rPr>
        <w:t xml:space="preserve"> Edition)</w:t>
      </w:r>
    </w:p>
    <w:p w:rsidR="00CE10B4" w:rsidRPr="0091374D" w:rsidRDefault="00CE10B4" w:rsidP="00CE10B4">
      <w:pPr>
        <w:spacing w:after="0" w:line="240" w:lineRule="auto"/>
        <w:jc w:val="both"/>
        <w:rPr>
          <w:rFonts w:ascii="Times New Roman" w:hAnsi="Times New Roman" w:cs="Times New Roman"/>
          <w:sz w:val="24"/>
          <w:szCs w:val="24"/>
        </w:rPr>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Padma (2016) aimed to measure, evaluate &amp; compare the financial performance of selected steel companies. She used 6 ratios such as Current Ratio, Return on capital employed, Total Debt/Equity ratio, Inventory Turnover Ratio, Dividend Payout Ratio, and Earnings per Share to find the selected steel companies’ performance.</w:t>
      </w:r>
    </w:p>
    <w:p w:rsidR="00CE10B4" w:rsidRPr="0091374D" w:rsidRDefault="00CE10B4" w:rsidP="00CE10B4">
      <w:pPr>
        <w:spacing w:after="0" w:line="240" w:lineRule="auto"/>
        <w:jc w:val="both"/>
        <w:rPr>
          <w:rFonts w:ascii="Times New Roman" w:hAnsi="Times New Roman" w:cs="Times New Roman"/>
          <w:sz w:val="24"/>
          <w:szCs w:val="24"/>
        </w:rPr>
      </w:pPr>
    </w:p>
    <w:p w:rsidR="00CE10B4" w:rsidRPr="0091374D" w:rsidRDefault="00CE10B4" w:rsidP="00CE10B4">
      <w:pPr>
        <w:spacing w:after="0" w:line="240" w:lineRule="auto"/>
        <w:jc w:val="both"/>
        <w:rPr>
          <w:rFonts w:ascii="Times New Roman" w:hAnsi="Times New Roman" w:cs="Times New Roman"/>
          <w:sz w:val="24"/>
          <w:szCs w:val="24"/>
        </w:rPr>
      </w:pPr>
      <w:proofErr w:type="spellStart"/>
      <w:r w:rsidRPr="0091374D">
        <w:rPr>
          <w:rFonts w:ascii="Times New Roman" w:hAnsi="Times New Roman" w:cs="Times New Roman"/>
          <w:sz w:val="24"/>
          <w:szCs w:val="24"/>
        </w:rPr>
        <w:t>Idhayajothi</w:t>
      </w:r>
      <w:proofErr w:type="spellEnd"/>
      <w:r w:rsidRPr="0091374D">
        <w:rPr>
          <w:rFonts w:ascii="Times New Roman" w:hAnsi="Times New Roman" w:cs="Times New Roman"/>
          <w:sz w:val="24"/>
          <w:szCs w:val="24"/>
        </w:rPr>
        <w:t xml:space="preserve">, R., </w:t>
      </w:r>
      <w:proofErr w:type="spellStart"/>
      <w:r w:rsidRPr="0091374D">
        <w:rPr>
          <w:rFonts w:ascii="Times New Roman" w:hAnsi="Times New Roman" w:cs="Times New Roman"/>
          <w:sz w:val="24"/>
          <w:szCs w:val="24"/>
        </w:rPr>
        <w:t>Latasri</w:t>
      </w:r>
      <w:proofErr w:type="spellEnd"/>
      <w:r w:rsidRPr="0091374D">
        <w:rPr>
          <w:rFonts w:ascii="Times New Roman" w:hAnsi="Times New Roman" w:cs="Times New Roman"/>
          <w:sz w:val="24"/>
          <w:szCs w:val="24"/>
        </w:rPr>
        <w:t xml:space="preserve">, Dr. O. T. V. N., </w:t>
      </w:r>
      <w:proofErr w:type="spellStart"/>
      <w:r w:rsidRPr="0091374D">
        <w:rPr>
          <w:rFonts w:ascii="Times New Roman" w:hAnsi="Times New Roman" w:cs="Times New Roman"/>
          <w:sz w:val="24"/>
          <w:szCs w:val="24"/>
        </w:rPr>
        <w:t>Manjula</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Banu</w:t>
      </w:r>
      <w:proofErr w:type="spellEnd"/>
      <w:r w:rsidRPr="0091374D">
        <w:rPr>
          <w:rFonts w:ascii="Times New Roman" w:hAnsi="Times New Roman" w:cs="Times New Roman"/>
          <w:sz w:val="24"/>
          <w:szCs w:val="24"/>
        </w:rPr>
        <w:t xml:space="preserve"> A. M., &amp; </w:t>
      </w:r>
      <w:proofErr w:type="spellStart"/>
      <w:r w:rsidRPr="0091374D">
        <w:rPr>
          <w:rFonts w:ascii="Times New Roman" w:hAnsi="Times New Roman" w:cs="Times New Roman"/>
          <w:sz w:val="24"/>
          <w:szCs w:val="24"/>
        </w:rPr>
        <w:t>Malini</w:t>
      </w:r>
      <w:proofErr w:type="spellEnd"/>
      <w:r w:rsidRPr="0091374D">
        <w:rPr>
          <w:rFonts w:ascii="Times New Roman" w:hAnsi="Times New Roman" w:cs="Times New Roman"/>
          <w:sz w:val="24"/>
          <w:szCs w:val="24"/>
        </w:rPr>
        <w:t xml:space="preserve"> R. (2014) tried to know the financial position of the Ashok Leyland. They applied Ratio analysis, Common-size statement, Comparative statement, Trend analysis to find the financial performance of Ashok Leyland &amp; their study revealed that the financial performance of the firm is fair. </w:t>
      </w:r>
    </w:p>
    <w:p w:rsidR="00CE10B4" w:rsidRPr="0091374D" w:rsidRDefault="00CE10B4" w:rsidP="00CE10B4">
      <w:pPr>
        <w:pStyle w:val="Default"/>
        <w:jc w:val="both"/>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ISLAM, M., A. (2014) conducted a research to find out significant difference of Return on Asset, Return on Equity, Cost to income, Cash &amp; Portfolio Investment to Deposit, Loans to deposit, Nonperforming Loans to Total Loan, and Net Loans to total asset with financial performance.</w:t>
      </w:r>
    </w:p>
    <w:p w:rsidR="00CE10B4" w:rsidRPr="0091374D" w:rsidRDefault="00CE10B4" w:rsidP="00CE10B4">
      <w:pPr>
        <w:spacing w:after="0" w:line="240" w:lineRule="auto"/>
        <w:jc w:val="center"/>
        <w:rPr>
          <w:rFonts w:ascii="Times New Roman" w:hAnsi="Times New Roman" w:cs="Times New Roman"/>
          <w:b/>
          <w:sz w:val="24"/>
          <w:szCs w:val="24"/>
        </w:rPr>
      </w:pPr>
    </w:p>
    <w:p w:rsidR="00CE10B4" w:rsidRPr="0091374D" w:rsidRDefault="00CE10B4" w:rsidP="00CE10B4">
      <w:pPr>
        <w:spacing w:after="0" w:line="240" w:lineRule="auto"/>
        <w:rPr>
          <w:rFonts w:ascii="Times New Roman" w:hAnsi="Times New Roman" w:cs="Times New Roman"/>
          <w:b/>
          <w:sz w:val="26"/>
        </w:rPr>
      </w:pPr>
      <w:r w:rsidRPr="0091374D">
        <w:rPr>
          <w:rFonts w:ascii="Times New Roman" w:hAnsi="Times New Roman" w:cs="Times New Roman"/>
          <w:b/>
          <w:sz w:val="26"/>
        </w:rPr>
        <w:t>Objective of the report</w:t>
      </w:r>
    </w:p>
    <w:p w:rsidR="00CE10B4" w:rsidRPr="0091374D" w:rsidRDefault="00CE10B4" w:rsidP="00CE10B4">
      <w:pPr>
        <w:spacing w:after="0" w:line="240" w:lineRule="auto"/>
        <w:rPr>
          <w:rFonts w:ascii="Times New Roman" w:hAnsi="Times New Roman" w:cs="Times New Roman"/>
          <w:sz w:val="28"/>
          <w:szCs w:val="24"/>
        </w:rPr>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Based on the literature review and problem statement the following objectives are set for this research:</w:t>
      </w:r>
    </w:p>
    <w:p w:rsidR="00CE10B4" w:rsidRPr="0091374D" w:rsidRDefault="00CE10B4" w:rsidP="00CE10B4">
      <w:pPr>
        <w:pStyle w:val="ListParagraph"/>
        <w:numPr>
          <w:ilvl w:val="0"/>
          <w:numId w:val="3"/>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To evaluate the financial performance of DSE’s Jute Companies</w:t>
      </w:r>
    </w:p>
    <w:p w:rsidR="00CE10B4" w:rsidRPr="0091374D" w:rsidRDefault="00CE10B4" w:rsidP="00CE10B4">
      <w:pPr>
        <w:pStyle w:val="ListParagraph"/>
        <w:numPr>
          <w:ilvl w:val="0"/>
          <w:numId w:val="3"/>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To examine the relationship of inventory turnover ratio (ITR) with EPS of DSE’s listed jute companies</w:t>
      </w:r>
    </w:p>
    <w:p w:rsidR="00CE10B4" w:rsidRPr="0091374D" w:rsidRDefault="00CE10B4" w:rsidP="00CE10B4">
      <w:pPr>
        <w:pStyle w:val="ListParagraph"/>
        <w:numPr>
          <w:ilvl w:val="0"/>
          <w:numId w:val="3"/>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To know the link between Debt to Equity Ratio &amp; EPS</w:t>
      </w:r>
    </w:p>
    <w:p w:rsidR="00CE10B4" w:rsidRPr="0091374D" w:rsidRDefault="00CE10B4" w:rsidP="00CE10B4">
      <w:pPr>
        <w:pStyle w:val="ListParagraph"/>
        <w:numPr>
          <w:ilvl w:val="0"/>
          <w:numId w:val="3"/>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To evaluate the connection of Total asset turnover with EPS</w:t>
      </w:r>
    </w:p>
    <w:p w:rsidR="00CE10B4" w:rsidRPr="0091374D" w:rsidRDefault="00CE10B4" w:rsidP="00CE10B4">
      <w:pPr>
        <w:pStyle w:val="ListParagraph"/>
        <w:numPr>
          <w:ilvl w:val="0"/>
          <w:numId w:val="3"/>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To determine the relationship between EPS &amp; ROA, relationship between EPS &amp; ROE</w:t>
      </w:r>
    </w:p>
    <w:p w:rsidR="00CE10B4" w:rsidRPr="0091374D" w:rsidRDefault="00CE10B4" w:rsidP="00CE10B4">
      <w:pPr>
        <w:pStyle w:val="ListParagraph"/>
        <w:numPr>
          <w:ilvl w:val="0"/>
          <w:numId w:val="3"/>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To recommend general shareholders in case of purchasing share of the selected jute companies</w:t>
      </w:r>
    </w:p>
    <w:p w:rsidR="00CE10B4" w:rsidRPr="0091374D" w:rsidRDefault="00CE10B4" w:rsidP="00CE10B4">
      <w:pPr>
        <w:spacing w:after="0" w:line="240" w:lineRule="auto"/>
        <w:jc w:val="center"/>
        <w:rPr>
          <w:rFonts w:ascii="Times New Roman" w:hAnsi="Times New Roman" w:cs="Times New Roman"/>
          <w:b/>
          <w:sz w:val="24"/>
          <w:szCs w:val="24"/>
        </w:rPr>
      </w:pPr>
    </w:p>
    <w:p w:rsidR="00ED4556" w:rsidRDefault="00ED4556" w:rsidP="00CE10B4">
      <w:pPr>
        <w:spacing w:after="0" w:line="240" w:lineRule="auto"/>
        <w:rPr>
          <w:rFonts w:ascii="Times New Roman" w:hAnsi="Times New Roman" w:cs="Times New Roman"/>
          <w:b/>
          <w:sz w:val="26"/>
        </w:rPr>
      </w:pPr>
    </w:p>
    <w:p w:rsidR="00ED4556" w:rsidRDefault="00ED4556" w:rsidP="00CE10B4">
      <w:pPr>
        <w:spacing w:after="0" w:line="240" w:lineRule="auto"/>
        <w:rPr>
          <w:rFonts w:ascii="Times New Roman" w:hAnsi="Times New Roman" w:cs="Times New Roman"/>
          <w:b/>
          <w:sz w:val="26"/>
        </w:rPr>
      </w:pPr>
    </w:p>
    <w:p w:rsidR="00CE10B4" w:rsidRPr="0091374D" w:rsidRDefault="00CE10B4" w:rsidP="00CE10B4">
      <w:pPr>
        <w:spacing w:after="0" w:line="240" w:lineRule="auto"/>
        <w:rPr>
          <w:rFonts w:ascii="Times New Roman" w:hAnsi="Times New Roman" w:cs="Times New Roman"/>
          <w:b/>
          <w:sz w:val="26"/>
        </w:rPr>
      </w:pPr>
      <w:r w:rsidRPr="0091374D">
        <w:rPr>
          <w:rFonts w:ascii="Times New Roman" w:hAnsi="Times New Roman" w:cs="Times New Roman"/>
          <w:b/>
          <w:sz w:val="26"/>
        </w:rPr>
        <w:lastRenderedPageBreak/>
        <w:t>Research Methodology</w:t>
      </w:r>
    </w:p>
    <w:p w:rsidR="00CE10B4" w:rsidRPr="0091374D" w:rsidRDefault="00CE10B4" w:rsidP="00CE10B4">
      <w:pPr>
        <w:spacing w:after="0" w:line="240" w:lineRule="auto"/>
        <w:rPr>
          <w:rFonts w:ascii="Times New Roman" w:hAnsi="Times New Roman" w:cs="Times New Roman"/>
          <w:b/>
          <w:sz w:val="28"/>
          <w:szCs w:val="24"/>
        </w:rPr>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Published annual reports are used for this study which has been collected through websites. The researcher also collected some annual reports from Dhaka Stock Exchange Library. No primary data has been used to conduct the research.</w:t>
      </w:r>
    </w:p>
    <w:p w:rsidR="00CE10B4" w:rsidRPr="0091374D" w:rsidRDefault="00CE10B4" w:rsidP="00CE10B4">
      <w:pPr>
        <w:spacing w:after="0" w:line="240" w:lineRule="auto"/>
        <w:jc w:val="both"/>
        <w:rPr>
          <w:rFonts w:ascii="Times New Roman" w:hAnsi="Times New Roman" w:cs="Times New Roman"/>
          <w:sz w:val="24"/>
          <w:szCs w:val="24"/>
          <w:u w:val="single"/>
        </w:rPr>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u w:val="single"/>
        </w:rPr>
        <w:t>Ratio Analysis</w:t>
      </w:r>
      <w:r w:rsidRPr="0091374D">
        <w:rPr>
          <w:rFonts w:ascii="Times New Roman" w:hAnsi="Times New Roman" w:cs="Times New Roman"/>
          <w:sz w:val="24"/>
          <w:szCs w:val="24"/>
        </w:rPr>
        <w:t>: The researcher calculates the following ratios &amp; then finds the industry average of those ratios:</w:t>
      </w:r>
    </w:p>
    <w:p w:rsidR="00CE10B4" w:rsidRPr="0091374D" w:rsidRDefault="00CE10B4" w:rsidP="00CE10B4">
      <w:pPr>
        <w:pStyle w:val="ListParagraph"/>
        <w:numPr>
          <w:ilvl w:val="0"/>
          <w:numId w:val="1"/>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Liquidity ratio: Current Ratio, Quick Ratio</w:t>
      </w:r>
    </w:p>
    <w:p w:rsidR="00CE10B4" w:rsidRPr="0091374D" w:rsidRDefault="00CE10B4" w:rsidP="00CE10B4">
      <w:pPr>
        <w:pStyle w:val="ListParagraph"/>
        <w:numPr>
          <w:ilvl w:val="0"/>
          <w:numId w:val="1"/>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Activity ratio: Inventory Turnover, Asset Turnover</w:t>
      </w:r>
    </w:p>
    <w:p w:rsidR="00CE10B4" w:rsidRPr="0091374D" w:rsidRDefault="00CE10B4" w:rsidP="00CE10B4">
      <w:pPr>
        <w:pStyle w:val="ListParagraph"/>
        <w:numPr>
          <w:ilvl w:val="0"/>
          <w:numId w:val="1"/>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Solvency ratio: Debt to equity ratio</w:t>
      </w:r>
    </w:p>
    <w:p w:rsidR="00CE10B4" w:rsidRPr="0091374D" w:rsidRDefault="00CE10B4" w:rsidP="00CE10B4">
      <w:pPr>
        <w:pStyle w:val="ListParagraph"/>
        <w:numPr>
          <w:ilvl w:val="0"/>
          <w:numId w:val="1"/>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Profitability ratio: Net Profit Margin, ROA, ROE</w:t>
      </w:r>
    </w:p>
    <w:p w:rsidR="00CE10B4" w:rsidRPr="0091374D" w:rsidRDefault="00CE10B4" w:rsidP="00CE10B4">
      <w:pPr>
        <w:spacing w:after="0" w:line="240" w:lineRule="auto"/>
        <w:jc w:val="both"/>
        <w:rPr>
          <w:rFonts w:ascii="Times New Roman" w:hAnsi="Times New Roman" w:cs="Times New Roman"/>
          <w:sz w:val="24"/>
          <w:szCs w:val="24"/>
          <w:u w:val="single"/>
        </w:rPr>
      </w:pP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u w:val="single"/>
        </w:rPr>
        <w:t>Correlation Analysis</w:t>
      </w:r>
      <w:r w:rsidRPr="0091374D">
        <w:rPr>
          <w:rFonts w:ascii="Times New Roman" w:hAnsi="Times New Roman" w:cs="Times New Roman"/>
          <w:sz w:val="24"/>
          <w:szCs w:val="24"/>
        </w:rPr>
        <w:t>: In the correlation analysis it is tried to find out how the relationship among EPS &amp; some independent variables like ROA, ROE is.</w:t>
      </w:r>
    </w:p>
    <w:p w:rsidR="00CE10B4" w:rsidRPr="0091374D" w:rsidRDefault="00CE10B4" w:rsidP="00CE10B4">
      <w:pPr>
        <w:spacing w:after="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To do ratio analysis &amp; correlation analysis, MS Excel has been used. </w:t>
      </w:r>
    </w:p>
    <w:p w:rsidR="00CE10B4" w:rsidRPr="0091374D" w:rsidRDefault="00CE10B4" w:rsidP="00CE10B4">
      <w:pPr>
        <w:spacing w:after="0" w:line="240" w:lineRule="auto"/>
        <w:jc w:val="center"/>
        <w:rPr>
          <w:rFonts w:ascii="Times New Roman" w:hAnsi="Times New Roman" w:cs="Times New Roman"/>
          <w:b/>
          <w:sz w:val="28"/>
          <w:szCs w:val="24"/>
        </w:rPr>
      </w:pPr>
    </w:p>
    <w:p w:rsidR="00CE10B4" w:rsidRPr="0091374D" w:rsidRDefault="00CE10B4" w:rsidP="00CE10B4">
      <w:pPr>
        <w:spacing w:after="0" w:line="240" w:lineRule="auto"/>
        <w:rPr>
          <w:rFonts w:ascii="Times New Roman" w:hAnsi="Times New Roman" w:cs="Times New Roman"/>
          <w:b/>
          <w:sz w:val="26"/>
        </w:rPr>
      </w:pPr>
      <w:r w:rsidRPr="0091374D">
        <w:rPr>
          <w:rFonts w:ascii="Times New Roman" w:hAnsi="Times New Roman" w:cs="Times New Roman"/>
          <w:b/>
          <w:sz w:val="26"/>
        </w:rPr>
        <w:t>Limitation of the Report</w:t>
      </w:r>
    </w:p>
    <w:p w:rsidR="00CE10B4" w:rsidRPr="0091374D" w:rsidRDefault="00CE10B4" w:rsidP="00CE10B4">
      <w:pPr>
        <w:spacing w:after="0" w:line="240" w:lineRule="auto"/>
        <w:rPr>
          <w:rFonts w:ascii="Times New Roman" w:hAnsi="Times New Roman" w:cs="Times New Roman"/>
          <w:b/>
          <w:sz w:val="28"/>
          <w:szCs w:val="24"/>
        </w:rPr>
      </w:pPr>
    </w:p>
    <w:p w:rsidR="00CE10B4" w:rsidRPr="0091374D" w:rsidRDefault="00CE10B4" w:rsidP="00CE10B4">
      <w:pPr>
        <w:pStyle w:val="ListParagraph"/>
        <w:numPr>
          <w:ilvl w:val="0"/>
          <w:numId w:val="2"/>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There are only three jute companies, which are listed at DSE. Consequently, number of observation has become very small.</w:t>
      </w:r>
    </w:p>
    <w:p w:rsidR="00CE10B4" w:rsidRPr="0091374D" w:rsidRDefault="00CE10B4" w:rsidP="00CE10B4">
      <w:pPr>
        <w:pStyle w:val="ListParagraph"/>
        <w:numPr>
          <w:ilvl w:val="0"/>
          <w:numId w:val="2"/>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This research paper is based on only 5 years’ annual reports’ information. Though there is intention to use 10-15 years’ annual report’ information of selected jute companies, it has not been possible to use 10-15 years’ annual reports’ information due to unavailability of 10-15 years’ old annual reports of selected jute companies.</w:t>
      </w:r>
    </w:p>
    <w:p w:rsidR="00CE10B4" w:rsidRPr="0091374D" w:rsidRDefault="00CE10B4" w:rsidP="00CE10B4">
      <w:pPr>
        <w:pStyle w:val="ListParagraph"/>
        <w:numPr>
          <w:ilvl w:val="0"/>
          <w:numId w:val="2"/>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 xml:space="preserve">It has not been possible to provide broad descriptive analysis of the ratios due to limitation of page. </w:t>
      </w:r>
    </w:p>
    <w:p w:rsidR="00CE10B4" w:rsidRPr="0091374D" w:rsidRDefault="00CE10B4" w:rsidP="00CE10B4">
      <w:pPr>
        <w:pStyle w:val="ListParagraph"/>
        <w:numPr>
          <w:ilvl w:val="0"/>
          <w:numId w:val="2"/>
        </w:numPr>
        <w:spacing w:after="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There are more than 23 financial ratios, but in this research only 7-8 ratios are being tested. So, other ratios may have impact on EPS, which is not tested in this research.</w:t>
      </w:r>
    </w:p>
    <w:p w:rsidR="00ED4556" w:rsidRDefault="00ED4556" w:rsidP="00ED4556">
      <w:pPr>
        <w:spacing w:after="120" w:line="240" w:lineRule="auto"/>
        <w:rPr>
          <w:rFonts w:ascii="Times New Roman" w:hAnsi="Times New Roman" w:cs="Times New Roman"/>
          <w:b/>
          <w:sz w:val="28"/>
          <w:szCs w:val="24"/>
          <w:u w:val="single"/>
        </w:rPr>
        <w:sectPr w:rsidR="00ED4556">
          <w:pgSz w:w="12240" w:h="15840"/>
          <w:pgMar w:top="1440" w:right="1440" w:bottom="1440" w:left="1440" w:header="720" w:footer="720" w:gutter="0"/>
          <w:cols w:space="720"/>
          <w:docGrid w:linePitch="360"/>
        </w:sectPr>
      </w:pPr>
    </w:p>
    <w:p w:rsidR="00CE10B4" w:rsidRPr="0091374D" w:rsidRDefault="00CE10B4" w:rsidP="00ED4556">
      <w:pPr>
        <w:spacing w:after="120" w:line="240" w:lineRule="auto"/>
        <w:rPr>
          <w:rFonts w:ascii="Times New Roman" w:hAnsi="Times New Roman" w:cs="Times New Roman"/>
          <w:b/>
          <w:sz w:val="28"/>
          <w:szCs w:val="24"/>
          <w:u w:val="single"/>
        </w:rPr>
      </w:pPr>
    </w:p>
    <w:p w:rsidR="00CE10B4" w:rsidRPr="0091374D" w:rsidRDefault="00CE10B4" w:rsidP="00CE10B4">
      <w:pPr>
        <w:spacing w:after="120" w:line="240" w:lineRule="auto"/>
        <w:jc w:val="center"/>
        <w:rPr>
          <w:rFonts w:ascii="Times New Roman" w:hAnsi="Times New Roman" w:cs="Times New Roman"/>
          <w:b/>
          <w:sz w:val="26"/>
        </w:rPr>
      </w:pPr>
      <w:r w:rsidRPr="0091374D">
        <w:rPr>
          <w:rFonts w:ascii="Times New Roman" w:hAnsi="Times New Roman" w:cs="Times New Roman"/>
          <w:b/>
          <w:sz w:val="26"/>
        </w:rPr>
        <w:t>Financial Performance Analysis</w:t>
      </w:r>
    </w:p>
    <w:p w:rsidR="00CE10B4" w:rsidRPr="0091374D" w:rsidRDefault="00CE10B4" w:rsidP="00CE10B4">
      <w:pPr>
        <w:spacing w:after="120" w:line="240" w:lineRule="auto"/>
        <w:jc w:val="center"/>
        <w:rPr>
          <w:rFonts w:ascii="Times New Roman" w:hAnsi="Times New Roman" w:cs="Times New Roman"/>
          <w:b/>
          <w:sz w:val="28"/>
          <w:szCs w:val="24"/>
          <w:u w:val="single"/>
        </w:rPr>
      </w:pPr>
    </w:p>
    <w:p w:rsidR="00CE10B4" w:rsidRPr="0091374D" w:rsidRDefault="00CE10B4" w:rsidP="00CE10B4">
      <w:pPr>
        <w:spacing w:after="120" w:line="240" w:lineRule="auto"/>
        <w:jc w:val="both"/>
        <w:rPr>
          <w:rFonts w:ascii="Times New Roman" w:hAnsi="Times New Roman" w:cs="Times New Roman"/>
          <w:sz w:val="24"/>
          <w:szCs w:val="24"/>
          <w:u w:val="single"/>
        </w:rPr>
      </w:pPr>
      <w:r w:rsidRPr="0091374D">
        <w:rPr>
          <w:rFonts w:ascii="Times New Roman" w:hAnsi="Times New Roman" w:cs="Times New Roman"/>
          <w:noProof/>
          <w:sz w:val="24"/>
          <w:szCs w:val="24"/>
          <w:u w:val="single"/>
        </w:rPr>
        <w:drawing>
          <wp:inline distT="0" distB="0" distL="0" distR="0" wp14:anchorId="04954C3F" wp14:editId="6E9AC442">
            <wp:extent cx="5760720" cy="6288516"/>
            <wp:effectExtent l="19050" t="0" r="0" b="0"/>
            <wp:docPr id="2240" name="Picture 0" descr="Allah is the grea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ah is the greatest.jpg"/>
                    <pic:cNvPicPr/>
                  </pic:nvPicPr>
                  <pic:blipFill>
                    <a:blip r:embed="rId6"/>
                    <a:stretch>
                      <a:fillRect/>
                    </a:stretch>
                  </pic:blipFill>
                  <pic:spPr>
                    <a:xfrm>
                      <a:off x="0" y="0"/>
                      <a:ext cx="5760720" cy="6288516"/>
                    </a:xfrm>
                    <a:prstGeom prst="rect">
                      <a:avLst/>
                    </a:prstGeom>
                  </pic:spPr>
                </pic:pic>
              </a:graphicData>
            </a:graphic>
          </wp:inline>
        </w:drawing>
      </w:r>
    </w:p>
    <w:p w:rsidR="00CE10B4" w:rsidRPr="0091374D" w:rsidRDefault="00CE10B4" w:rsidP="00CE10B4">
      <w:pPr>
        <w:spacing w:after="120" w:line="240" w:lineRule="auto"/>
        <w:jc w:val="both"/>
        <w:rPr>
          <w:rFonts w:ascii="Times New Roman" w:hAnsi="Times New Roman" w:cs="Times New Roman"/>
          <w:sz w:val="24"/>
          <w:szCs w:val="24"/>
        </w:rPr>
      </w:pP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Some abbreviations are used in the above figure. In this figure JUTESPINN stands for Jute Spinners Limited; NORTHERN stands for Northern Jute Manufacturing Co. Limited, and SONALIANSH stands for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Industries Limited. And EPS stands for Earning per Share.</w:t>
      </w:r>
    </w:p>
    <w:p w:rsidR="00CE10B4" w:rsidRPr="0091374D" w:rsidRDefault="00CE10B4" w:rsidP="00CE10B4">
      <w:pPr>
        <w:spacing w:after="120" w:line="240" w:lineRule="auto"/>
        <w:jc w:val="both"/>
        <w:rPr>
          <w:rFonts w:ascii="Times New Roman" w:hAnsi="Times New Roman" w:cs="Times New Roman"/>
          <w:sz w:val="24"/>
          <w:szCs w:val="24"/>
        </w:rPr>
      </w:pPr>
    </w:p>
    <w:p w:rsidR="00CE10B4" w:rsidRPr="0091374D" w:rsidRDefault="00CE10B4" w:rsidP="00CE10B4">
      <w:pPr>
        <w:spacing w:after="120" w:line="240" w:lineRule="auto"/>
        <w:jc w:val="both"/>
        <w:rPr>
          <w:rFonts w:ascii="Times New Roman" w:hAnsi="Times New Roman" w:cs="Times New Roman"/>
          <w:sz w:val="24"/>
          <w:szCs w:val="24"/>
        </w:rPr>
      </w:pPr>
    </w:p>
    <w:tbl>
      <w:tblPr>
        <w:tblStyle w:val="TableGrid"/>
        <w:tblW w:w="5000" w:type="pct"/>
        <w:tblLook w:val="04A0" w:firstRow="1" w:lastRow="0" w:firstColumn="1" w:lastColumn="0" w:noHBand="0" w:noVBand="1"/>
      </w:tblPr>
      <w:tblGrid>
        <w:gridCol w:w="1916"/>
        <w:gridCol w:w="1915"/>
        <w:gridCol w:w="1915"/>
        <w:gridCol w:w="1915"/>
        <w:gridCol w:w="1915"/>
      </w:tblGrid>
      <w:tr w:rsidR="00CE10B4" w:rsidRPr="0091374D" w:rsidTr="00ED4556">
        <w:trPr>
          <w:trHeight w:val="29"/>
        </w:trPr>
        <w:tc>
          <w:tcPr>
            <w:tcW w:w="1000" w:type="pct"/>
            <w:vMerge w:val="restart"/>
            <w:vAlign w:val="center"/>
          </w:tcPr>
          <w:p w:rsidR="00CE10B4" w:rsidRPr="00ED4556" w:rsidRDefault="00CE10B4" w:rsidP="001500F3">
            <w:pPr>
              <w:spacing w:after="120"/>
              <w:jc w:val="center"/>
              <w:rPr>
                <w:rFonts w:ascii="Times New Roman" w:hAnsi="Times New Roman" w:cs="Times New Roman"/>
                <w:b/>
                <w:sz w:val="24"/>
                <w:szCs w:val="24"/>
              </w:rPr>
            </w:pPr>
            <w:r w:rsidRPr="00ED4556">
              <w:rPr>
                <w:rFonts w:ascii="Times New Roman" w:hAnsi="Times New Roman" w:cs="Times New Roman"/>
                <w:b/>
                <w:color w:val="000000"/>
                <w:sz w:val="24"/>
                <w:szCs w:val="24"/>
              </w:rPr>
              <w:t>Name of the Ratios</w:t>
            </w:r>
          </w:p>
        </w:tc>
        <w:tc>
          <w:tcPr>
            <w:tcW w:w="1000" w:type="pct"/>
            <w:vMerge w:val="restart"/>
            <w:vAlign w:val="center"/>
          </w:tcPr>
          <w:p w:rsidR="00CE10B4" w:rsidRPr="00ED4556" w:rsidRDefault="00CE10B4" w:rsidP="001500F3">
            <w:pPr>
              <w:spacing w:after="120"/>
              <w:jc w:val="center"/>
              <w:rPr>
                <w:rFonts w:ascii="Times New Roman" w:hAnsi="Times New Roman" w:cs="Times New Roman"/>
                <w:b/>
                <w:color w:val="000000"/>
                <w:sz w:val="24"/>
                <w:szCs w:val="24"/>
              </w:rPr>
            </w:pPr>
            <w:r w:rsidRPr="00ED4556">
              <w:rPr>
                <w:rFonts w:ascii="Times New Roman" w:hAnsi="Times New Roman" w:cs="Times New Roman"/>
                <w:b/>
                <w:color w:val="000000"/>
                <w:sz w:val="24"/>
                <w:szCs w:val="24"/>
              </w:rPr>
              <w:t>Average of Industry Average from 2012-2016</w:t>
            </w:r>
          </w:p>
        </w:tc>
        <w:tc>
          <w:tcPr>
            <w:tcW w:w="3000" w:type="pct"/>
            <w:gridSpan w:val="3"/>
            <w:vAlign w:val="center"/>
          </w:tcPr>
          <w:p w:rsidR="00CE10B4" w:rsidRPr="00ED4556" w:rsidRDefault="00CE10B4" w:rsidP="001500F3">
            <w:pPr>
              <w:spacing w:after="120"/>
              <w:jc w:val="center"/>
              <w:rPr>
                <w:rFonts w:ascii="Times New Roman" w:hAnsi="Times New Roman" w:cs="Times New Roman"/>
                <w:b/>
                <w:color w:val="000000"/>
                <w:sz w:val="24"/>
                <w:szCs w:val="24"/>
              </w:rPr>
            </w:pPr>
            <w:r w:rsidRPr="00ED4556">
              <w:rPr>
                <w:rFonts w:ascii="Times New Roman" w:hAnsi="Times New Roman" w:cs="Times New Roman"/>
                <w:b/>
                <w:color w:val="000000"/>
                <w:sz w:val="24"/>
                <w:szCs w:val="24"/>
              </w:rPr>
              <w:t>Average of financial Ratios from 2012-2016</w:t>
            </w:r>
          </w:p>
        </w:tc>
      </w:tr>
      <w:tr w:rsidR="00CE10B4" w:rsidRPr="0091374D" w:rsidTr="00ED4556">
        <w:trPr>
          <w:trHeight w:val="29"/>
        </w:trPr>
        <w:tc>
          <w:tcPr>
            <w:tcW w:w="1000" w:type="pct"/>
            <w:vMerge/>
            <w:vAlign w:val="center"/>
          </w:tcPr>
          <w:p w:rsidR="00CE10B4" w:rsidRPr="00ED4556" w:rsidRDefault="00CE10B4" w:rsidP="001500F3">
            <w:pPr>
              <w:spacing w:after="120"/>
              <w:jc w:val="center"/>
              <w:rPr>
                <w:rFonts w:ascii="Times New Roman" w:hAnsi="Times New Roman" w:cs="Times New Roman"/>
                <w:b/>
                <w:color w:val="000000"/>
                <w:sz w:val="24"/>
                <w:szCs w:val="24"/>
              </w:rPr>
            </w:pPr>
          </w:p>
        </w:tc>
        <w:tc>
          <w:tcPr>
            <w:tcW w:w="1000" w:type="pct"/>
            <w:vMerge/>
            <w:vAlign w:val="center"/>
          </w:tcPr>
          <w:p w:rsidR="00CE10B4" w:rsidRPr="00ED4556" w:rsidRDefault="00CE10B4" w:rsidP="001500F3">
            <w:pPr>
              <w:spacing w:after="120"/>
              <w:jc w:val="center"/>
              <w:rPr>
                <w:rFonts w:ascii="Times New Roman" w:hAnsi="Times New Roman" w:cs="Times New Roman"/>
                <w:b/>
                <w:color w:val="000000"/>
                <w:sz w:val="24"/>
                <w:szCs w:val="24"/>
              </w:rPr>
            </w:pPr>
          </w:p>
        </w:tc>
        <w:tc>
          <w:tcPr>
            <w:tcW w:w="1000" w:type="pct"/>
            <w:vAlign w:val="center"/>
          </w:tcPr>
          <w:p w:rsidR="00CE10B4" w:rsidRPr="00ED4556" w:rsidRDefault="00CE10B4" w:rsidP="001500F3">
            <w:pPr>
              <w:spacing w:after="120"/>
              <w:jc w:val="center"/>
              <w:rPr>
                <w:rFonts w:ascii="Times New Roman" w:hAnsi="Times New Roman" w:cs="Times New Roman"/>
                <w:b/>
                <w:color w:val="000000"/>
                <w:sz w:val="24"/>
                <w:szCs w:val="24"/>
              </w:rPr>
            </w:pPr>
            <w:r w:rsidRPr="00ED4556">
              <w:rPr>
                <w:rFonts w:ascii="Times New Roman" w:hAnsi="Times New Roman" w:cs="Times New Roman"/>
                <w:b/>
                <w:color w:val="000000"/>
                <w:sz w:val="24"/>
                <w:szCs w:val="24"/>
              </w:rPr>
              <w:t>Jute Spinners Limited</w:t>
            </w:r>
          </w:p>
        </w:tc>
        <w:tc>
          <w:tcPr>
            <w:tcW w:w="1000" w:type="pct"/>
            <w:vAlign w:val="center"/>
          </w:tcPr>
          <w:p w:rsidR="00CE10B4" w:rsidRPr="00ED4556" w:rsidRDefault="00CE10B4" w:rsidP="001500F3">
            <w:pPr>
              <w:spacing w:after="120"/>
              <w:jc w:val="center"/>
              <w:rPr>
                <w:rFonts w:ascii="Times New Roman" w:hAnsi="Times New Roman" w:cs="Times New Roman"/>
                <w:b/>
                <w:color w:val="000000"/>
                <w:sz w:val="24"/>
                <w:szCs w:val="24"/>
              </w:rPr>
            </w:pPr>
            <w:r w:rsidRPr="00ED4556">
              <w:rPr>
                <w:rFonts w:ascii="Times New Roman" w:hAnsi="Times New Roman" w:cs="Times New Roman"/>
                <w:b/>
                <w:color w:val="000000"/>
                <w:sz w:val="24"/>
                <w:szCs w:val="24"/>
              </w:rPr>
              <w:t>Northern Manufacturing Co. Limited</w:t>
            </w:r>
          </w:p>
        </w:tc>
        <w:tc>
          <w:tcPr>
            <w:tcW w:w="1000" w:type="pct"/>
            <w:vAlign w:val="center"/>
          </w:tcPr>
          <w:p w:rsidR="00CE10B4" w:rsidRPr="00ED4556" w:rsidRDefault="00CE10B4" w:rsidP="001500F3">
            <w:pPr>
              <w:spacing w:after="120"/>
              <w:jc w:val="center"/>
              <w:rPr>
                <w:rFonts w:ascii="Times New Roman" w:hAnsi="Times New Roman" w:cs="Times New Roman"/>
                <w:b/>
                <w:color w:val="000000"/>
                <w:sz w:val="24"/>
                <w:szCs w:val="24"/>
              </w:rPr>
            </w:pPr>
            <w:proofErr w:type="spellStart"/>
            <w:r w:rsidRPr="00ED4556">
              <w:rPr>
                <w:rFonts w:ascii="Times New Roman" w:hAnsi="Times New Roman" w:cs="Times New Roman"/>
                <w:b/>
                <w:color w:val="000000"/>
                <w:sz w:val="24"/>
                <w:szCs w:val="24"/>
              </w:rPr>
              <w:t>Sonali</w:t>
            </w:r>
            <w:proofErr w:type="spellEnd"/>
            <w:r w:rsidRPr="00ED4556">
              <w:rPr>
                <w:rFonts w:ascii="Times New Roman" w:hAnsi="Times New Roman" w:cs="Times New Roman"/>
                <w:b/>
                <w:color w:val="000000"/>
                <w:sz w:val="24"/>
                <w:szCs w:val="24"/>
              </w:rPr>
              <w:t xml:space="preserve"> </w:t>
            </w:r>
            <w:proofErr w:type="spellStart"/>
            <w:r w:rsidRPr="00ED4556">
              <w:rPr>
                <w:rFonts w:ascii="Times New Roman" w:hAnsi="Times New Roman" w:cs="Times New Roman"/>
                <w:b/>
                <w:color w:val="000000"/>
                <w:sz w:val="24"/>
                <w:szCs w:val="24"/>
              </w:rPr>
              <w:t>Aansh</w:t>
            </w:r>
            <w:proofErr w:type="spellEnd"/>
            <w:r w:rsidRPr="00ED4556">
              <w:rPr>
                <w:rFonts w:ascii="Times New Roman" w:hAnsi="Times New Roman" w:cs="Times New Roman"/>
                <w:b/>
                <w:color w:val="000000"/>
                <w:sz w:val="24"/>
                <w:szCs w:val="24"/>
              </w:rPr>
              <w:t xml:space="preserve"> Industries Limited</w:t>
            </w:r>
          </w:p>
        </w:tc>
      </w:tr>
      <w:tr w:rsidR="00CE10B4" w:rsidRPr="0091374D" w:rsidTr="00ED4556">
        <w:trPr>
          <w:trHeight w:val="29"/>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Current Ratio</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0.847</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0.891</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0.569</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1.080</w:t>
            </w:r>
          </w:p>
        </w:tc>
      </w:tr>
      <w:tr w:rsidR="00CE10B4" w:rsidRPr="0091374D" w:rsidTr="00ED4556">
        <w:trPr>
          <w:trHeight w:val="29"/>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Quick Ratio</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0.273</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0.154</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0.157</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0.509</w:t>
            </w:r>
          </w:p>
        </w:tc>
      </w:tr>
      <w:tr w:rsidR="00CE10B4" w:rsidRPr="0091374D" w:rsidTr="00ED4556">
        <w:trPr>
          <w:trHeight w:val="629"/>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Inventory Turnover Ratio</w:t>
            </w:r>
          </w:p>
        </w:tc>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1.759</w:t>
            </w:r>
          </w:p>
        </w:tc>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2.182</w:t>
            </w:r>
          </w:p>
        </w:tc>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1.554</w:t>
            </w:r>
          </w:p>
        </w:tc>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1542</w:t>
            </w:r>
          </w:p>
        </w:tc>
      </w:tr>
      <w:tr w:rsidR="00CE10B4" w:rsidRPr="0091374D" w:rsidTr="00ED4556">
        <w:trPr>
          <w:trHeight w:val="692"/>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Total Asset Turnover Ratio</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0.755</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1.472</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0.264</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0.530</w:t>
            </w:r>
          </w:p>
        </w:tc>
      </w:tr>
      <w:tr w:rsidR="00CE10B4" w:rsidRPr="0091374D" w:rsidTr="00ED4556">
        <w:trPr>
          <w:trHeight w:val="29"/>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Net Profit Margin</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-0.030</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-0.113</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0.016</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0.006</w:t>
            </w:r>
          </w:p>
        </w:tc>
      </w:tr>
      <w:tr w:rsidR="00CE10B4" w:rsidRPr="0091374D" w:rsidTr="00ED4556">
        <w:trPr>
          <w:trHeight w:val="29"/>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ROA</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-0.063</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-0.151</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-0.043</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0.004</w:t>
            </w:r>
          </w:p>
        </w:tc>
      </w:tr>
      <w:tr w:rsidR="00CE10B4" w:rsidRPr="0091374D" w:rsidTr="00ED4556">
        <w:trPr>
          <w:trHeight w:val="29"/>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ROE</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0.314</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0.366</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0.569</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0.008</w:t>
            </w:r>
          </w:p>
        </w:tc>
      </w:tr>
      <w:tr w:rsidR="00CE10B4" w:rsidRPr="0091374D" w:rsidTr="00ED4556">
        <w:trPr>
          <w:trHeight w:val="692"/>
        </w:trPr>
        <w:tc>
          <w:tcPr>
            <w:tcW w:w="1000" w:type="pct"/>
            <w:vAlign w:val="center"/>
          </w:tcPr>
          <w:p w:rsidR="00CE10B4" w:rsidRPr="0091374D" w:rsidRDefault="00CE10B4" w:rsidP="001500F3">
            <w:pPr>
              <w:spacing w:after="120"/>
              <w:jc w:val="center"/>
              <w:rPr>
                <w:rFonts w:ascii="Times New Roman" w:hAnsi="Times New Roman" w:cs="Times New Roman"/>
                <w:sz w:val="24"/>
                <w:szCs w:val="24"/>
              </w:rPr>
            </w:pPr>
            <w:r w:rsidRPr="0091374D">
              <w:rPr>
                <w:rFonts w:ascii="Times New Roman" w:hAnsi="Times New Roman" w:cs="Times New Roman"/>
                <w:sz w:val="24"/>
                <w:szCs w:val="24"/>
              </w:rPr>
              <w:t>Debt Equity Ratio</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-0.138</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1.962</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-3.738</w:t>
            </w:r>
          </w:p>
        </w:tc>
        <w:tc>
          <w:tcPr>
            <w:tcW w:w="1000" w:type="pct"/>
            <w:vAlign w:val="center"/>
          </w:tcPr>
          <w:p w:rsidR="00CE10B4" w:rsidRPr="0091374D" w:rsidRDefault="00CE10B4" w:rsidP="001500F3">
            <w:pPr>
              <w:spacing w:after="120"/>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1.362</w:t>
            </w:r>
          </w:p>
        </w:tc>
      </w:tr>
    </w:tbl>
    <w:p w:rsidR="00CE10B4" w:rsidRPr="0091374D" w:rsidRDefault="00CE10B4" w:rsidP="00CE10B4">
      <w:pPr>
        <w:spacing w:after="120" w:line="240" w:lineRule="auto"/>
        <w:jc w:val="both"/>
        <w:rPr>
          <w:rFonts w:ascii="Times New Roman" w:hAnsi="Times New Roman" w:cs="Times New Roman"/>
          <w:sz w:val="24"/>
          <w:szCs w:val="24"/>
        </w:rPr>
      </w:pPr>
    </w:p>
    <w:p w:rsidR="00CE10B4" w:rsidRPr="0091374D" w:rsidRDefault="00CE10B4" w:rsidP="00CE10B4">
      <w:pPr>
        <w:spacing w:after="120" w:line="240" w:lineRule="auto"/>
        <w:jc w:val="center"/>
        <w:rPr>
          <w:rFonts w:ascii="Times New Roman" w:hAnsi="Times New Roman" w:cs="Times New Roman"/>
          <w:b/>
          <w:sz w:val="24"/>
          <w:szCs w:val="24"/>
        </w:rPr>
      </w:pPr>
      <w:r w:rsidRPr="0091374D">
        <w:rPr>
          <w:rFonts w:ascii="Times New Roman" w:hAnsi="Times New Roman" w:cs="Times New Roman"/>
          <w:b/>
          <w:sz w:val="24"/>
          <w:szCs w:val="24"/>
        </w:rPr>
        <w:t>Figure: Arithmetic mean of industry average &amp; Ratios from 2012-2016</w:t>
      </w:r>
    </w:p>
    <w:p w:rsidR="00CE10B4" w:rsidRPr="0091374D" w:rsidRDefault="00CE10B4" w:rsidP="00CE10B4">
      <w:pPr>
        <w:spacing w:after="120" w:line="240" w:lineRule="auto"/>
        <w:jc w:val="center"/>
        <w:rPr>
          <w:rFonts w:ascii="Times New Roman" w:hAnsi="Times New Roman" w:cs="Times New Roman"/>
          <w:b/>
          <w:sz w:val="28"/>
          <w:szCs w:val="24"/>
        </w:rPr>
      </w:pPr>
    </w:p>
    <w:p w:rsidR="00CE10B4" w:rsidRPr="0091374D" w:rsidRDefault="00CE10B4" w:rsidP="00CE10B4">
      <w:pPr>
        <w:spacing w:after="120" w:line="240" w:lineRule="auto"/>
        <w:rPr>
          <w:rFonts w:ascii="Times New Roman" w:hAnsi="Times New Roman" w:cs="Times New Roman"/>
          <w:b/>
          <w:sz w:val="26"/>
        </w:rPr>
      </w:pPr>
      <w:r w:rsidRPr="0091374D">
        <w:rPr>
          <w:rFonts w:ascii="Times New Roman" w:hAnsi="Times New Roman" w:cs="Times New Roman"/>
          <w:b/>
          <w:sz w:val="26"/>
        </w:rPr>
        <w:t>Interpretation of Ratio Analysis:</w:t>
      </w:r>
    </w:p>
    <w:p w:rsidR="00CE10B4" w:rsidRPr="0091374D" w:rsidRDefault="00CE10B4" w:rsidP="00CE10B4">
      <w:pPr>
        <w:spacing w:after="0" w:line="360" w:lineRule="auto"/>
        <w:jc w:val="both"/>
        <w:rPr>
          <w:rFonts w:ascii="Times New Roman" w:hAnsi="Times New Roman" w:cs="Times New Roman"/>
          <w:b/>
          <w:sz w:val="24"/>
          <w:szCs w:val="24"/>
          <w:u w:val="single"/>
        </w:rPr>
      </w:pP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Current Ratio &amp; Quick Ratio</w:t>
      </w:r>
      <w:r w:rsidRPr="0091374D">
        <w:rPr>
          <w:rFonts w:ascii="Times New Roman" w:hAnsi="Times New Roman" w:cs="Times New Roman"/>
          <w:sz w:val="24"/>
          <w:szCs w:val="24"/>
        </w:rPr>
        <w:t>: Both current &amp; quick ratios are liquidity ratios, which reveal the relationship of a company’s current assets with its current liabilities.</w:t>
      </w: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Current Ratio = </w:t>
      </w:r>
      <m:oMath>
        <m:f>
          <m:fPr>
            <m:ctrlPr>
              <w:rPr>
                <w:rFonts w:ascii="Cambria Math" w:hAnsi="Cambria Math" w:cs="Times New Roman"/>
                <w:sz w:val="24"/>
                <w:szCs w:val="24"/>
              </w:rPr>
            </m:ctrlPr>
          </m:fPr>
          <m:num>
            <m:r>
              <m:rPr>
                <m:sty m:val="p"/>
              </m:rPr>
              <w:rPr>
                <w:rFonts w:ascii="Cambria Math" w:hAnsi="Cambria Math" w:cs="Times New Roman"/>
                <w:sz w:val="24"/>
                <w:szCs w:val="24"/>
              </w:rPr>
              <m:t>Current Assets</m:t>
            </m:r>
          </m:num>
          <m:den>
            <m:r>
              <m:rPr>
                <m:sty m:val="p"/>
              </m:rPr>
              <w:rPr>
                <w:rFonts w:ascii="Cambria Math" w:hAnsi="Cambria Math" w:cs="Times New Roman"/>
                <w:sz w:val="24"/>
                <w:szCs w:val="24"/>
              </w:rPr>
              <m:t>Current Liabilities</m:t>
            </m:r>
          </m:den>
        </m:f>
      </m:oMath>
      <w:r w:rsidRPr="0091374D">
        <w:rPr>
          <w:rFonts w:ascii="Times New Roman" w:hAnsi="Times New Roman" w:cs="Times New Roman"/>
          <w:sz w:val="24"/>
          <w:szCs w:val="24"/>
        </w:rPr>
        <w:t xml:space="preserve">    Quick Ratio = </w:t>
      </w:r>
      <m:oMath>
        <m:f>
          <m:fPr>
            <m:ctrlPr>
              <w:rPr>
                <w:rFonts w:ascii="Cambria Math" w:hAnsi="Cambria Math" w:cs="Times New Roman"/>
                <w:sz w:val="24"/>
                <w:szCs w:val="24"/>
              </w:rPr>
            </m:ctrlPr>
          </m:fPr>
          <m:num>
            <m:r>
              <m:rPr>
                <m:sty m:val="p"/>
              </m:rPr>
              <w:rPr>
                <w:rFonts w:ascii="Cambria Math" w:hAnsi="Cambria Math" w:cs="Times New Roman"/>
                <w:sz w:val="24"/>
                <w:szCs w:val="24"/>
              </w:rPr>
              <m:t>Current Assets-Inventories</m:t>
            </m:r>
          </m:num>
          <m:den>
            <m:r>
              <m:rPr>
                <m:sty m:val="p"/>
              </m:rPr>
              <w:rPr>
                <w:rFonts w:ascii="Cambria Math" w:hAnsi="Cambria Math" w:cs="Times New Roman"/>
                <w:sz w:val="24"/>
                <w:szCs w:val="24"/>
              </w:rPr>
              <m:t>Current Liabilities</m:t>
            </m:r>
          </m:den>
        </m:f>
      </m:oMath>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From 2012-2016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Industries Limited was doing well in terms of maintaining liquidity. Due to shortage of </w:t>
      </w:r>
      <w:r w:rsidRPr="0091374D">
        <w:rPr>
          <w:rFonts w:ascii="Times New Roman" w:hAnsi="Times New Roman" w:cs="Times New Roman"/>
          <w:b/>
          <w:sz w:val="24"/>
          <w:szCs w:val="24"/>
        </w:rPr>
        <w:t>working capital</w:t>
      </w:r>
      <w:r w:rsidRPr="0091374D">
        <w:rPr>
          <w:rFonts w:ascii="Times New Roman" w:hAnsi="Times New Roman" w:cs="Times New Roman"/>
          <w:sz w:val="24"/>
          <w:szCs w:val="24"/>
        </w:rPr>
        <w:t xml:space="preserve"> Northern Manufacturing Co. Limited can’t maintain a satisfied level of current assets. So, this firm has in a little bit risky position.</w:t>
      </w: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Inventory Turnover Ratio</w:t>
      </w:r>
      <w:r w:rsidRPr="0091374D">
        <w:rPr>
          <w:rFonts w:ascii="Times New Roman" w:hAnsi="Times New Roman" w:cs="Times New Roman"/>
          <w:sz w:val="24"/>
          <w:szCs w:val="24"/>
        </w:rPr>
        <w:t xml:space="preserve">: Using this ratio it can be measured how many times a company can sell its inventory in a specific period of time. From the figures it is seen that Northern Jute Manufacturing Co. Limited can sell its inventory most quickly comparing with other firms. This </w:t>
      </w:r>
      <w:r w:rsidRPr="0091374D">
        <w:rPr>
          <w:rFonts w:ascii="Times New Roman" w:hAnsi="Times New Roman" w:cs="Times New Roman"/>
          <w:sz w:val="24"/>
          <w:szCs w:val="24"/>
        </w:rPr>
        <w:lastRenderedPageBreak/>
        <w:t>may happen because management of Northern Jute Manufacturing Co. Limited is continuously improving the human resources by conducting supervision and on-the-job training programs. That’s why their sales force may be efficient which may have an indirect positive impact on inventory turnover.</w:t>
      </w: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Total asset turnover</w:t>
      </w:r>
      <w:r w:rsidRPr="0091374D">
        <w:rPr>
          <w:rFonts w:ascii="Times New Roman" w:hAnsi="Times New Roman" w:cs="Times New Roman"/>
          <w:sz w:val="24"/>
          <w:szCs w:val="24"/>
        </w:rPr>
        <w:t xml:space="preserve">: This ratio shows the efficiency through which a company is using its total assets to generate revenue. In this case, Jute Spinner Limited is the most successful company; i.e. this firm’s assets most efficiently generate revenue. This firm has utilized maximum capacity of the factory to earn maximum return. </w:t>
      </w: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Net Profit Margin</w:t>
      </w:r>
      <w:r w:rsidRPr="0091374D">
        <w:rPr>
          <w:rFonts w:ascii="Times New Roman" w:hAnsi="Times New Roman" w:cs="Times New Roman"/>
          <w:sz w:val="24"/>
          <w:szCs w:val="24"/>
        </w:rPr>
        <w:t>: Among 3 jute companies, Northern Jute Manufacturing Co. Limited is the most profitable jute company since its Net Profit Margin is higher than other jute companies. Jute Spinners Limited has the lowest net profit margin due to Implementation of Wage Commission 2013, electricity outage, World Recession, increment of price of complementary goods. Moreover, Subsidies for export jute products has been decreased from 10% to 7.5%. This is also one reason for net loss margin of Jute Spinners Limited.</w:t>
      </w: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Return on Assets</w:t>
      </w:r>
      <w:r w:rsidRPr="0091374D">
        <w:rPr>
          <w:rFonts w:ascii="Times New Roman" w:hAnsi="Times New Roman" w:cs="Times New Roman"/>
          <w:sz w:val="24"/>
          <w:szCs w:val="24"/>
          <w:u w:val="single"/>
        </w:rPr>
        <w:t>:</w:t>
      </w:r>
      <w:r w:rsidRPr="0091374D">
        <w:rPr>
          <w:rFonts w:ascii="Times New Roman" w:hAnsi="Times New Roman" w:cs="Times New Roman"/>
          <w:sz w:val="24"/>
          <w:szCs w:val="24"/>
        </w:rPr>
        <w:t xml:space="preserve"> Assets are acquired to generate revenue. ROA ratio shows how efficient a firm is in case of generating revenue through its assets.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Limited is the most profitable company relative to its total assets. Due to increment of demand for diversified product, export has been increased by BDT 116784921. This may be a reason of high ROA for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Limited.</w:t>
      </w:r>
    </w:p>
    <w:p w:rsidR="00CE10B4" w:rsidRPr="0091374D" w:rsidRDefault="00CE10B4" w:rsidP="00CE10B4">
      <w:pPr>
        <w:spacing w:after="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Return on Equity</w:t>
      </w:r>
      <w:r w:rsidRPr="0091374D">
        <w:rPr>
          <w:rFonts w:ascii="Times New Roman" w:hAnsi="Times New Roman" w:cs="Times New Roman"/>
          <w:sz w:val="24"/>
          <w:szCs w:val="24"/>
        </w:rPr>
        <w:t>: How much net income a company generates with the money shareholders have invested can be known through Return on Equity ratio. Northern Jute Manufacturing Co. Limited generates the highest BDT of profit with each BDT of shareholders' equity.</w:t>
      </w:r>
    </w:p>
    <w:p w:rsidR="00CE10B4" w:rsidRPr="0091374D" w:rsidRDefault="00CE10B4" w:rsidP="00CE10B4">
      <w:pPr>
        <w:spacing w:after="0" w:line="360" w:lineRule="auto"/>
        <w:jc w:val="both"/>
        <w:rPr>
          <w:rFonts w:ascii="Times New Roman" w:hAnsi="Times New Roman" w:cs="Times New Roman"/>
          <w:color w:val="111111"/>
          <w:sz w:val="24"/>
          <w:szCs w:val="24"/>
          <w:shd w:val="clear" w:color="auto" w:fill="FFFFFF"/>
        </w:rPr>
      </w:pPr>
      <w:r w:rsidRPr="0091374D">
        <w:rPr>
          <w:rFonts w:ascii="Times New Roman" w:hAnsi="Times New Roman" w:cs="Times New Roman"/>
          <w:b/>
          <w:sz w:val="24"/>
          <w:szCs w:val="24"/>
          <w:u w:val="single"/>
        </w:rPr>
        <w:t>Debt Equity Ratio</w:t>
      </w:r>
      <w:r w:rsidRPr="0091374D">
        <w:rPr>
          <w:rFonts w:ascii="Times New Roman" w:hAnsi="Times New Roman" w:cs="Times New Roman"/>
          <w:sz w:val="24"/>
          <w:szCs w:val="24"/>
        </w:rPr>
        <w:t xml:space="preserve">: </w:t>
      </w:r>
      <w:r w:rsidRPr="0091374D">
        <w:rPr>
          <w:rFonts w:ascii="Times New Roman" w:hAnsi="Times New Roman" w:cs="Times New Roman"/>
          <w:color w:val="111111"/>
          <w:sz w:val="24"/>
          <w:szCs w:val="24"/>
          <w:shd w:val="clear" w:color="auto" w:fill="FFFFFF"/>
        </w:rPr>
        <w:t xml:space="preserve">This ratio reveals the proportion of debt that a firm is using to acquire its assets comparing with the amount of money provided by its shareholders. </w:t>
      </w:r>
      <w:proofErr w:type="spellStart"/>
      <w:r w:rsidRPr="0091374D">
        <w:rPr>
          <w:rFonts w:ascii="Times New Roman" w:hAnsi="Times New Roman" w:cs="Times New Roman"/>
          <w:color w:val="111111"/>
          <w:sz w:val="24"/>
          <w:szCs w:val="24"/>
          <w:shd w:val="clear" w:color="auto" w:fill="FFFFFF"/>
        </w:rPr>
        <w:t>Sonali</w:t>
      </w:r>
      <w:proofErr w:type="spellEnd"/>
      <w:r w:rsidRPr="0091374D">
        <w:rPr>
          <w:rFonts w:ascii="Times New Roman" w:hAnsi="Times New Roman" w:cs="Times New Roman"/>
          <w:color w:val="111111"/>
          <w:sz w:val="24"/>
          <w:szCs w:val="24"/>
          <w:shd w:val="clear" w:color="auto" w:fill="FFFFFF"/>
        </w:rPr>
        <w:t xml:space="preserve"> </w:t>
      </w:r>
      <w:proofErr w:type="spellStart"/>
      <w:r w:rsidRPr="0091374D">
        <w:rPr>
          <w:rFonts w:ascii="Times New Roman" w:hAnsi="Times New Roman" w:cs="Times New Roman"/>
          <w:color w:val="111111"/>
          <w:sz w:val="24"/>
          <w:szCs w:val="24"/>
          <w:shd w:val="clear" w:color="auto" w:fill="FFFFFF"/>
        </w:rPr>
        <w:t>Aansh</w:t>
      </w:r>
      <w:proofErr w:type="spellEnd"/>
      <w:r w:rsidRPr="0091374D">
        <w:rPr>
          <w:rFonts w:ascii="Times New Roman" w:hAnsi="Times New Roman" w:cs="Times New Roman"/>
          <w:color w:val="111111"/>
          <w:sz w:val="24"/>
          <w:szCs w:val="24"/>
          <w:shd w:val="clear" w:color="auto" w:fill="FFFFFF"/>
        </w:rPr>
        <w:t xml:space="preserve"> Industries Limited has taken on relatively little debt and thus has low risk. This is happened because </w:t>
      </w:r>
      <w:proofErr w:type="spellStart"/>
      <w:r w:rsidRPr="0091374D">
        <w:rPr>
          <w:rFonts w:ascii="Times New Roman" w:hAnsi="Times New Roman" w:cs="Times New Roman"/>
          <w:color w:val="111111"/>
          <w:sz w:val="24"/>
          <w:szCs w:val="24"/>
          <w:shd w:val="clear" w:color="auto" w:fill="FFFFFF"/>
        </w:rPr>
        <w:t>Sonali</w:t>
      </w:r>
      <w:proofErr w:type="spellEnd"/>
      <w:r w:rsidRPr="0091374D">
        <w:rPr>
          <w:rFonts w:ascii="Times New Roman" w:hAnsi="Times New Roman" w:cs="Times New Roman"/>
          <w:color w:val="111111"/>
          <w:sz w:val="24"/>
          <w:szCs w:val="24"/>
          <w:shd w:val="clear" w:color="auto" w:fill="FFFFFF"/>
        </w:rPr>
        <w:t xml:space="preserve"> </w:t>
      </w:r>
      <w:proofErr w:type="spellStart"/>
      <w:r w:rsidRPr="0091374D">
        <w:rPr>
          <w:rFonts w:ascii="Times New Roman" w:hAnsi="Times New Roman" w:cs="Times New Roman"/>
          <w:color w:val="111111"/>
          <w:sz w:val="24"/>
          <w:szCs w:val="24"/>
          <w:shd w:val="clear" w:color="auto" w:fill="FFFFFF"/>
        </w:rPr>
        <w:t>Aansh</w:t>
      </w:r>
      <w:proofErr w:type="spellEnd"/>
      <w:r w:rsidRPr="0091374D">
        <w:rPr>
          <w:rFonts w:ascii="Times New Roman" w:hAnsi="Times New Roman" w:cs="Times New Roman"/>
          <w:color w:val="111111"/>
          <w:sz w:val="24"/>
          <w:szCs w:val="24"/>
          <w:shd w:val="clear" w:color="auto" w:fill="FFFFFF"/>
        </w:rPr>
        <w:t xml:space="preserve"> Industries Limited has the maximum paid up capital among the three listed jute companies of DSE. So, it does the equity financing not debt financing. </w:t>
      </w:r>
    </w:p>
    <w:p w:rsidR="00CE10B4" w:rsidRPr="0091374D" w:rsidRDefault="00CE10B4" w:rsidP="006D5466">
      <w:pPr>
        <w:spacing w:after="120" w:line="240" w:lineRule="auto"/>
        <w:rPr>
          <w:rFonts w:ascii="Times New Roman" w:hAnsi="Times New Roman" w:cs="Times New Roman"/>
          <w:b/>
          <w:sz w:val="26"/>
        </w:rPr>
      </w:pPr>
      <w:r w:rsidRPr="0091374D">
        <w:rPr>
          <w:rFonts w:ascii="Times New Roman" w:hAnsi="Times New Roman" w:cs="Times New Roman"/>
          <w:b/>
          <w:sz w:val="26"/>
        </w:rPr>
        <w:t>Analysis of relationship of EPS with financial ratios &amp; Market Price of the Share:</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b/>
          <w:sz w:val="24"/>
          <w:szCs w:val="24"/>
        </w:rPr>
        <w:t>Statement of Hypothesis</w:t>
      </w:r>
      <w:r w:rsidRPr="0091374D">
        <w:rPr>
          <w:rFonts w:ascii="Times New Roman" w:hAnsi="Times New Roman" w:cs="Times New Roman"/>
          <w:sz w:val="24"/>
          <w:szCs w:val="24"/>
        </w:rPr>
        <w:t>:</w:t>
      </w:r>
    </w:p>
    <w:p w:rsidR="00CE10B4" w:rsidRPr="0091374D" w:rsidRDefault="00CE10B4" w:rsidP="00CE10B4">
      <w:pPr>
        <w:spacing w:after="120" w:line="240" w:lineRule="auto"/>
        <w:jc w:val="both"/>
        <w:rPr>
          <w:rFonts w:ascii="Times New Roman" w:hAnsi="Times New Roman" w:cs="Times New Roman"/>
          <w:sz w:val="24"/>
          <w:szCs w:val="24"/>
          <w:u w:val="single"/>
        </w:rPr>
      </w:pP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On the basis of literature review &amp; research questions, the following hypotheses have been made:</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lastRenderedPageBreak/>
        <w:t>Hypothesis 01: H</w:t>
      </w:r>
      <w:r w:rsidRPr="0091374D">
        <w:rPr>
          <w:rFonts w:ascii="Times New Roman" w:hAnsi="Times New Roman" w:cs="Times New Roman"/>
          <w:sz w:val="24"/>
          <w:szCs w:val="24"/>
          <w:vertAlign w:val="subscript"/>
        </w:rPr>
        <w:t>1</w:t>
      </w:r>
      <w:r w:rsidRPr="0091374D">
        <w:rPr>
          <w:rFonts w:ascii="Times New Roman" w:hAnsi="Times New Roman" w:cs="Times New Roman"/>
          <w:sz w:val="24"/>
          <w:szCs w:val="24"/>
        </w:rPr>
        <w:t xml:space="preserve"> There is a positive relationship of Inventory Turnover Ratio with EPS. </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Hypothesis 02: H</w:t>
      </w:r>
      <w:r w:rsidRPr="0091374D">
        <w:rPr>
          <w:rFonts w:ascii="Times New Roman" w:hAnsi="Times New Roman" w:cs="Times New Roman"/>
          <w:sz w:val="24"/>
          <w:szCs w:val="24"/>
          <w:vertAlign w:val="subscript"/>
        </w:rPr>
        <w:t>2</w:t>
      </w:r>
      <w:r w:rsidRPr="0091374D">
        <w:rPr>
          <w:rFonts w:ascii="Times New Roman" w:hAnsi="Times New Roman" w:cs="Times New Roman"/>
          <w:sz w:val="24"/>
          <w:szCs w:val="24"/>
        </w:rPr>
        <w:t xml:space="preserve"> There is positive relationship between Total Asset Turnover and EPS.</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Hypothesis 03: H</w:t>
      </w:r>
      <w:r w:rsidRPr="0091374D">
        <w:rPr>
          <w:rFonts w:ascii="Times New Roman" w:hAnsi="Times New Roman" w:cs="Times New Roman"/>
          <w:sz w:val="24"/>
          <w:szCs w:val="24"/>
          <w:vertAlign w:val="subscript"/>
        </w:rPr>
        <w:t>3</w:t>
      </w:r>
      <w:r w:rsidRPr="0091374D">
        <w:rPr>
          <w:rFonts w:ascii="Times New Roman" w:hAnsi="Times New Roman" w:cs="Times New Roman"/>
          <w:sz w:val="24"/>
          <w:szCs w:val="24"/>
        </w:rPr>
        <w:t xml:space="preserve"> There is a positive relation between ROA and EPS.</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Hypothesis 04: H</w:t>
      </w:r>
      <w:r w:rsidRPr="0091374D">
        <w:rPr>
          <w:rFonts w:ascii="Times New Roman" w:hAnsi="Times New Roman" w:cs="Times New Roman"/>
          <w:sz w:val="24"/>
          <w:szCs w:val="24"/>
          <w:vertAlign w:val="subscript"/>
        </w:rPr>
        <w:t>4</w:t>
      </w:r>
      <w:r w:rsidRPr="0091374D">
        <w:rPr>
          <w:rFonts w:ascii="Times New Roman" w:hAnsi="Times New Roman" w:cs="Times New Roman"/>
          <w:sz w:val="24"/>
          <w:szCs w:val="24"/>
        </w:rPr>
        <w:t xml:space="preserve"> There is a positive relation of ROE with EPS.</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Hypothesis 05: H</w:t>
      </w:r>
      <w:r w:rsidRPr="0091374D">
        <w:rPr>
          <w:rFonts w:ascii="Times New Roman" w:hAnsi="Times New Roman" w:cs="Times New Roman"/>
          <w:sz w:val="24"/>
          <w:szCs w:val="24"/>
          <w:vertAlign w:val="subscript"/>
        </w:rPr>
        <w:t>5</w:t>
      </w:r>
      <w:r w:rsidRPr="0091374D">
        <w:rPr>
          <w:rFonts w:ascii="Times New Roman" w:hAnsi="Times New Roman" w:cs="Times New Roman"/>
          <w:sz w:val="24"/>
          <w:szCs w:val="24"/>
        </w:rPr>
        <w:t xml:space="preserve"> EPS and Debt Equity ratio are positively correlated.</w:t>
      </w:r>
    </w:p>
    <w:p w:rsidR="00CE10B4" w:rsidRPr="0091374D" w:rsidRDefault="00CE10B4" w:rsidP="00CE10B4">
      <w:pPr>
        <w:spacing w:after="120" w:line="240" w:lineRule="auto"/>
        <w:jc w:val="both"/>
        <w:rPr>
          <w:rFonts w:ascii="Times New Roman" w:hAnsi="Times New Roman" w:cs="Times New Roman"/>
          <w:sz w:val="24"/>
          <w:szCs w:val="24"/>
        </w:rPr>
      </w:pP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In carrying out this paper work, a compact form of research models is developed as follows:</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(EPS) </w:t>
      </w:r>
      <w:r w:rsidRPr="0091374D">
        <w:rPr>
          <w:rFonts w:ascii="Times New Roman" w:hAnsi="Times New Roman" w:cs="Times New Roman"/>
          <w:sz w:val="24"/>
          <w:szCs w:val="24"/>
          <w:vertAlign w:val="subscript"/>
        </w:rPr>
        <w:t>y</w:t>
      </w:r>
      <w:r w:rsidRPr="0091374D">
        <w:rPr>
          <w:rFonts w:ascii="Times New Roman" w:hAnsi="Times New Roman" w:cs="Times New Roman"/>
          <w:sz w:val="24"/>
          <w:szCs w:val="24"/>
        </w:rPr>
        <w:t xml:space="preserve"> = b</w:t>
      </w:r>
      <w:r w:rsidRPr="0091374D">
        <w:rPr>
          <w:rFonts w:ascii="Times New Roman" w:hAnsi="Times New Roman" w:cs="Times New Roman"/>
          <w:sz w:val="24"/>
          <w:szCs w:val="24"/>
          <w:vertAlign w:val="subscript"/>
        </w:rPr>
        <w:t>1</w:t>
      </w:r>
      <w:r w:rsidRPr="0091374D">
        <w:rPr>
          <w:rFonts w:ascii="Times New Roman" w:hAnsi="Times New Roman" w:cs="Times New Roman"/>
          <w:sz w:val="24"/>
          <w:szCs w:val="24"/>
        </w:rPr>
        <w:t xml:space="preserve"> (ITR) + Є</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(EPS) </w:t>
      </w:r>
      <w:r w:rsidRPr="0091374D">
        <w:rPr>
          <w:rFonts w:ascii="Times New Roman" w:hAnsi="Times New Roman" w:cs="Times New Roman"/>
          <w:sz w:val="24"/>
          <w:szCs w:val="24"/>
          <w:vertAlign w:val="subscript"/>
        </w:rPr>
        <w:t>y</w:t>
      </w:r>
      <w:r w:rsidRPr="0091374D">
        <w:rPr>
          <w:rFonts w:ascii="Times New Roman" w:hAnsi="Times New Roman" w:cs="Times New Roman"/>
          <w:sz w:val="24"/>
          <w:szCs w:val="24"/>
        </w:rPr>
        <w:t xml:space="preserve"> = b</w:t>
      </w:r>
      <w:r w:rsidRPr="0091374D">
        <w:rPr>
          <w:rFonts w:ascii="Times New Roman" w:hAnsi="Times New Roman" w:cs="Times New Roman"/>
          <w:sz w:val="24"/>
          <w:szCs w:val="24"/>
          <w:vertAlign w:val="subscript"/>
        </w:rPr>
        <w:t>2</w:t>
      </w:r>
      <w:r w:rsidRPr="0091374D">
        <w:rPr>
          <w:rFonts w:ascii="Times New Roman" w:hAnsi="Times New Roman" w:cs="Times New Roman"/>
          <w:sz w:val="24"/>
          <w:szCs w:val="24"/>
        </w:rPr>
        <w:t xml:space="preserve"> (TAT) + Є</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(EPS) </w:t>
      </w:r>
      <w:r w:rsidRPr="0091374D">
        <w:rPr>
          <w:rFonts w:ascii="Times New Roman" w:hAnsi="Times New Roman" w:cs="Times New Roman"/>
          <w:sz w:val="24"/>
          <w:szCs w:val="24"/>
          <w:vertAlign w:val="subscript"/>
        </w:rPr>
        <w:t>y</w:t>
      </w:r>
      <w:r w:rsidRPr="0091374D">
        <w:rPr>
          <w:rFonts w:ascii="Times New Roman" w:hAnsi="Times New Roman" w:cs="Times New Roman"/>
          <w:sz w:val="24"/>
          <w:szCs w:val="24"/>
        </w:rPr>
        <w:t xml:space="preserve"> = b</w:t>
      </w:r>
      <w:r w:rsidRPr="0091374D">
        <w:rPr>
          <w:rFonts w:ascii="Times New Roman" w:hAnsi="Times New Roman" w:cs="Times New Roman"/>
          <w:sz w:val="24"/>
          <w:szCs w:val="24"/>
          <w:vertAlign w:val="subscript"/>
        </w:rPr>
        <w:t>3</w:t>
      </w:r>
      <w:r w:rsidRPr="0091374D">
        <w:rPr>
          <w:rFonts w:ascii="Times New Roman" w:hAnsi="Times New Roman" w:cs="Times New Roman"/>
          <w:sz w:val="24"/>
          <w:szCs w:val="24"/>
        </w:rPr>
        <w:t xml:space="preserve"> (ROA) + Є</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(EPS) </w:t>
      </w:r>
      <w:r w:rsidRPr="0091374D">
        <w:rPr>
          <w:rFonts w:ascii="Times New Roman" w:hAnsi="Times New Roman" w:cs="Times New Roman"/>
          <w:sz w:val="24"/>
          <w:szCs w:val="24"/>
          <w:vertAlign w:val="subscript"/>
        </w:rPr>
        <w:t>y</w:t>
      </w:r>
      <w:r w:rsidRPr="0091374D">
        <w:rPr>
          <w:rFonts w:ascii="Times New Roman" w:hAnsi="Times New Roman" w:cs="Times New Roman"/>
          <w:sz w:val="24"/>
          <w:szCs w:val="24"/>
        </w:rPr>
        <w:t xml:space="preserve"> = b</w:t>
      </w:r>
      <w:r w:rsidRPr="0091374D">
        <w:rPr>
          <w:rFonts w:ascii="Times New Roman" w:hAnsi="Times New Roman" w:cs="Times New Roman"/>
          <w:sz w:val="24"/>
          <w:szCs w:val="24"/>
          <w:vertAlign w:val="subscript"/>
        </w:rPr>
        <w:t>4</w:t>
      </w:r>
      <w:r w:rsidRPr="0091374D">
        <w:rPr>
          <w:rFonts w:ascii="Times New Roman" w:hAnsi="Times New Roman" w:cs="Times New Roman"/>
          <w:sz w:val="24"/>
          <w:szCs w:val="24"/>
        </w:rPr>
        <w:t xml:space="preserve"> (ROE) + Є</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(EPS) </w:t>
      </w:r>
      <w:r w:rsidRPr="0091374D">
        <w:rPr>
          <w:rFonts w:ascii="Times New Roman" w:hAnsi="Times New Roman" w:cs="Times New Roman"/>
          <w:sz w:val="24"/>
          <w:szCs w:val="24"/>
          <w:vertAlign w:val="subscript"/>
        </w:rPr>
        <w:t>y</w:t>
      </w:r>
      <w:r w:rsidRPr="0091374D">
        <w:rPr>
          <w:rFonts w:ascii="Times New Roman" w:hAnsi="Times New Roman" w:cs="Times New Roman"/>
          <w:sz w:val="24"/>
          <w:szCs w:val="24"/>
        </w:rPr>
        <w:t xml:space="preserve"> = b</w:t>
      </w:r>
      <w:r w:rsidRPr="0091374D">
        <w:rPr>
          <w:rFonts w:ascii="Times New Roman" w:hAnsi="Times New Roman" w:cs="Times New Roman"/>
          <w:sz w:val="24"/>
          <w:szCs w:val="24"/>
          <w:vertAlign w:val="subscript"/>
        </w:rPr>
        <w:t>5</w:t>
      </w:r>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DtE</w:t>
      </w:r>
      <w:proofErr w:type="spellEnd"/>
      <w:r w:rsidRPr="0091374D">
        <w:rPr>
          <w:rFonts w:ascii="Times New Roman" w:hAnsi="Times New Roman" w:cs="Times New Roman"/>
          <w:sz w:val="24"/>
          <w:szCs w:val="24"/>
        </w:rPr>
        <w:t xml:space="preserve">) + Є </w:t>
      </w:r>
    </w:p>
    <w:p w:rsidR="00CE10B4" w:rsidRPr="0091374D" w:rsidRDefault="00CE10B4" w:rsidP="00CE10B4">
      <w:pPr>
        <w:spacing w:after="120" w:line="240" w:lineRule="auto"/>
        <w:jc w:val="both"/>
        <w:rPr>
          <w:rFonts w:ascii="Times New Roman" w:hAnsi="Times New Roman" w:cs="Times New Roman"/>
          <w:sz w:val="24"/>
          <w:szCs w:val="24"/>
        </w:rPr>
      </w:pPr>
      <w:proofErr w:type="gramStart"/>
      <w:r w:rsidRPr="0091374D">
        <w:rPr>
          <w:rFonts w:ascii="Times New Roman" w:hAnsi="Times New Roman" w:cs="Times New Roman"/>
          <w:sz w:val="24"/>
          <w:szCs w:val="24"/>
        </w:rPr>
        <w:t>b</w:t>
      </w:r>
      <w:r w:rsidRPr="0091374D">
        <w:rPr>
          <w:rFonts w:ascii="Times New Roman" w:hAnsi="Times New Roman" w:cs="Times New Roman"/>
          <w:sz w:val="24"/>
          <w:szCs w:val="24"/>
          <w:vertAlign w:val="subscript"/>
        </w:rPr>
        <w:t>1</w:t>
      </w:r>
      <w:proofErr w:type="gramEnd"/>
      <w:r w:rsidRPr="0091374D">
        <w:rPr>
          <w:rFonts w:ascii="Times New Roman" w:hAnsi="Times New Roman" w:cs="Times New Roman"/>
          <w:sz w:val="24"/>
          <w:szCs w:val="24"/>
        </w:rPr>
        <w:t>– b</w:t>
      </w:r>
      <w:r w:rsidRPr="0091374D">
        <w:rPr>
          <w:rFonts w:ascii="Times New Roman" w:hAnsi="Times New Roman" w:cs="Times New Roman"/>
          <w:sz w:val="24"/>
          <w:szCs w:val="24"/>
          <w:vertAlign w:val="subscript"/>
        </w:rPr>
        <w:t>5</w:t>
      </w:r>
      <w:r w:rsidRPr="0091374D">
        <w:rPr>
          <w:rFonts w:ascii="Times New Roman" w:hAnsi="Times New Roman" w:cs="Times New Roman"/>
          <w:sz w:val="24"/>
          <w:szCs w:val="24"/>
        </w:rPr>
        <w:t xml:space="preserve"> = Coefficient for the independent variables X of companies, denoting the nature of relationship with dependent variable Y (or parameters).</w:t>
      </w:r>
    </w:p>
    <w:p w:rsidR="00CE10B4" w:rsidRPr="0091374D" w:rsidRDefault="00CE10B4" w:rsidP="00CE10B4">
      <w:pPr>
        <w:spacing w:after="120" w:line="240" w:lineRule="auto"/>
        <w:jc w:val="both"/>
        <w:rPr>
          <w:rFonts w:ascii="Times New Roman" w:hAnsi="Times New Roman" w:cs="Times New Roman"/>
          <w:sz w:val="20"/>
          <w:szCs w:val="20"/>
        </w:rPr>
      </w:pPr>
      <w:proofErr w:type="spellStart"/>
      <w:r w:rsidRPr="0091374D">
        <w:rPr>
          <w:rFonts w:ascii="Times New Roman" w:hAnsi="Times New Roman" w:cs="Times New Roman"/>
          <w:sz w:val="24"/>
          <w:szCs w:val="24"/>
        </w:rPr>
        <w:t>Є</w:t>
      </w:r>
      <w:r w:rsidRPr="0091374D">
        <w:rPr>
          <w:rFonts w:ascii="Times New Roman" w:hAnsi="Times New Roman" w:cs="Times New Roman"/>
          <w:sz w:val="24"/>
          <w:szCs w:val="24"/>
          <w:vertAlign w:val="subscript"/>
        </w:rPr>
        <w:t>i</w:t>
      </w:r>
      <w:proofErr w:type="spellEnd"/>
      <w:r w:rsidRPr="0091374D">
        <w:rPr>
          <w:rFonts w:ascii="Times New Roman" w:hAnsi="Times New Roman" w:cs="Times New Roman"/>
          <w:sz w:val="24"/>
          <w:szCs w:val="24"/>
        </w:rPr>
        <w:t xml:space="preserve"> = the error term</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Where: EPS = Earnings per share; ITR = Inventory Turnover Ratio; </w:t>
      </w:r>
      <w:proofErr w:type="spellStart"/>
      <w:r w:rsidRPr="0091374D">
        <w:rPr>
          <w:rFonts w:ascii="Times New Roman" w:hAnsi="Times New Roman" w:cs="Times New Roman"/>
          <w:sz w:val="24"/>
          <w:szCs w:val="24"/>
        </w:rPr>
        <w:t>DtE</w:t>
      </w:r>
      <w:proofErr w:type="spellEnd"/>
      <w:r w:rsidRPr="0091374D">
        <w:rPr>
          <w:rFonts w:ascii="Times New Roman" w:hAnsi="Times New Roman" w:cs="Times New Roman"/>
          <w:sz w:val="24"/>
          <w:szCs w:val="24"/>
        </w:rPr>
        <w:t xml:space="preserve"> = Debt to Equity Ratio; TAT = Total Assets Turnover</w:t>
      </w:r>
    </w:p>
    <w:p w:rsidR="00CE10B4" w:rsidRPr="0091374D" w:rsidRDefault="00CE10B4" w:rsidP="00CE10B4">
      <w:pPr>
        <w:spacing w:after="120" w:line="240" w:lineRule="auto"/>
        <w:jc w:val="both"/>
        <w:rPr>
          <w:rFonts w:ascii="Times New Roman" w:hAnsi="Times New Roman" w:cs="Times New Roman"/>
          <w:sz w:val="24"/>
          <w:szCs w:val="24"/>
        </w:rPr>
      </w:pPr>
      <w:r w:rsidRPr="0091374D">
        <w:rPr>
          <w:rFonts w:ascii="Times New Roman" w:hAnsi="Times New Roman" w:cs="Times New Roman"/>
          <w:sz w:val="24"/>
          <w:szCs w:val="24"/>
        </w:rPr>
        <w:t>Y = Dependent variable of company; X = Independent variable of company.</w:t>
      </w:r>
    </w:p>
    <w:p w:rsidR="00CE10B4" w:rsidRPr="0091374D" w:rsidRDefault="00CE10B4" w:rsidP="00CE10B4">
      <w:pPr>
        <w:spacing w:after="120" w:line="240" w:lineRule="auto"/>
        <w:rPr>
          <w:rFonts w:ascii="Times New Roman" w:hAnsi="Times New Roman" w:cs="Times New Roman"/>
          <w:b/>
          <w:sz w:val="28"/>
          <w:szCs w:val="24"/>
        </w:rPr>
      </w:pPr>
    </w:p>
    <w:p w:rsidR="00CE10B4" w:rsidRPr="0091374D" w:rsidRDefault="00CE10B4" w:rsidP="00CE10B4">
      <w:pPr>
        <w:spacing w:after="120" w:line="240" w:lineRule="auto"/>
        <w:rPr>
          <w:rFonts w:ascii="Times New Roman" w:hAnsi="Times New Roman" w:cs="Times New Roman"/>
          <w:b/>
          <w:sz w:val="26"/>
        </w:rPr>
      </w:pPr>
      <w:r w:rsidRPr="0091374D">
        <w:rPr>
          <w:rFonts w:ascii="Times New Roman" w:hAnsi="Times New Roman" w:cs="Times New Roman"/>
          <w:b/>
          <w:sz w:val="26"/>
        </w:rPr>
        <w:t>Findings of Correlation Analysis:</w:t>
      </w:r>
    </w:p>
    <w:p w:rsidR="00CE10B4" w:rsidRPr="0091374D"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EPS &amp; Inventory Turnover</w:t>
      </w:r>
      <w:r w:rsidRPr="0091374D">
        <w:rPr>
          <w:rFonts w:ascii="Times New Roman" w:hAnsi="Times New Roman" w:cs="Times New Roman"/>
          <w:sz w:val="24"/>
          <w:szCs w:val="24"/>
          <w:u w:val="single"/>
        </w:rPr>
        <w:t>:</w:t>
      </w:r>
      <w:r w:rsidRPr="0091374D">
        <w:rPr>
          <w:rFonts w:ascii="Times New Roman" w:hAnsi="Times New Roman" w:cs="Times New Roman"/>
          <w:sz w:val="24"/>
          <w:szCs w:val="24"/>
        </w:rPr>
        <w:t xml:space="preserve">  In this case, the value of r is -0.13110615. So, EPS &amp; Inventory turnover is negatively correlated; i.e. if Inventory turnover increases, then EPS will be decreased. Therefore, hypothesis 01 (H</w:t>
      </w:r>
      <w:r w:rsidRPr="0091374D">
        <w:rPr>
          <w:rFonts w:ascii="Times New Roman" w:hAnsi="Times New Roman" w:cs="Times New Roman"/>
          <w:sz w:val="24"/>
          <w:szCs w:val="24"/>
          <w:vertAlign w:val="subscript"/>
        </w:rPr>
        <w:t>1</w:t>
      </w:r>
      <w:r w:rsidRPr="0091374D">
        <w:rPr>
          <w:rFonts w:ascii="Times New Roman" w:hAnsi="Times New Roman" w:cs="Times New Roman"/>
          <w:sz w:val="24"/>
          <w:szCs w:val="24"/>
        </w:rPr>
        <w:t>) is rejected.</w:t>
      </w:r>
    </w:p>
    <w:p w:rsidR="00CE10B4" w:rsidRPr="0091374D" w:rsidRDefault="00CE10B4" w:rsidP="00CE10B4">
      <w:pPr>
        <w:autoSpaceDE w:val="0"/>
        <w:autoSpaceDN w:val="0"/>
        <w:adjustRightInd w:val="0"/>
        <w:spacing w:after="12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EPS &amp; Total Asset Turnover</w:t>
      </w:r>
      <w:r w:rsidRPr="0091374D">
        <w:rPr>
          <w:rFonts w:ascii="Times New Roman" w:hAnsi="Times New Roman" w:cs="Times New Roman"/>
          <w:sz w:val="24"/>
          <w:szCs w:val="24"/>
          <w:u w:val="single"/>
        </w:rPr>
        <w:t>:</w:t>
      </w:r>
      <w:r w:rsidRPr="0091374D">
        <w:rPr>
          <w:rFonts w:ascii="Times New Roman" w:hAnsi="Times New Roman" w:cs="Times New Roman"/>
          <w:sz w:val="24"/>
          <w:szCs w:val="24"/>
        </w:rPr>
        <w:t xml:space="preserve"> Here value of coefficient of correlation [r] is -0.58930455. Therefore, hypothesis 02 (H</w:t>
      </w:r>
      <w:r w:rsidRPr="0091374D">
        <w:rPr>
          <w:rFonts w:ascii="Times New Roman" w:hAnsi="Times New Roman" w:cs="Times New Roman"/>
          <w:sz w:val="24"/>
          <w:szCs w:val="24"/>
          <w:vertAlign w:val="subscript"/>
        </w:rPr>
        <w:t>2</w:t>
      </w:r>
      <w:r w:rsidRPr="0091374D">
        <w:rPr>
          <w:rFonts w:ascii="Times New Roman" w:hAnsi="Times New Roman" w:cs="Times New Roman"/>
          <w:sz w:val="24"/>
          <w:szCs w:val="24"/>
        </w:rPr>
        <w:t>) is rejected. EPS has a strong negative relationship with Total Asset Turnover. It also shows that the companies do not utilize their assets efficient in generating its income.</w:t>
      </w:r>
    </w:p>
    <w:p w:rsidR="00CE10B4" w:rsidRPr="0091374D"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EPS &amp; ROA</w:t>
      </w:r>
      <w:r w:rsidRPr="0091374D">
        <w:rPr>
          <w:rFonts w:ascii="Times New Roman" w:hAnsi="Times New Roman" w:cs="Times New Roman"/>
          <w:sz w:val="24"/>
          <w:szCs w:val="24"/>
          <w:u w:val="single"/>
        </w:rPr>
        <w:t>:</w:t>
      </w:r>
      <w:r w:rsidRPr="0091374D">
        <w:rPr>
          <w:rFonts w:ascii="Times New Roman" w:hAnsi="Times New Roman" w:cs="Times New Roman"/>
          <w:sz w:val="24"/>
          <w:szCs w:val="24"/>
        </w:rPr>
        <w:t xml:space="preserve"> Value of correlation coefficient between EPS &amp; ROA is 0.97049894. So, hypothesis 03 (H</w:t>
      </w:r>
      <w:r w:rsidRPr="0091374D">
        <w:rPr>
          <w:rFonts w:ascii="Times New Roman" w:hAnsi="Times New Roman" w:cs="Times New Roman"/>
          <w:sz w:val="24"/>
          <w:szCs w:val="24"/>
          <w:vertAlign w:val="subscript"/>
        </w:rPr>
        <w:t>3</w:t>
      </w:r>
      <w:r w:rsidRPr="0091374D">
        <w:rPr>
          <w:rFonts w:ascii="Times New Roman" w:hAnsi="Times New Roman" w:cs="Times New Roman"/>
          <w:sz w:val="24"/>
          <w:szCs w:val="24"/>
        </w:rPr>
        <w:t xml:space="preserve">) is accepted. If ROA goes up, then EPS will also go up. </w:t>
      </w:r>
    </w:p>
    <w:p w:rsidR="00CE10B4" w:rsidRPr="0091374D"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t>EPS &amp; ROE</w:t>
      </w:r>
      <w:r w:rsidRPr="0091374D">
        <w:rPr>
          <w:rFonts w:ascii="Times New Roman" w:hAnsi="Times New Roman" w:cs="Times New Roman"/>
          <w:sz w:val="24"/>
          <w:szCs w:val="24"/>
        </w:rPr>
        <w:t>: Value of coefficient of correlation [r] between EPS &amp; ROE is -0.34128418. Hypothesis 04 (H</w:t>
      </w:r>
      <w:r w:rsidRPr="0091374D">
        <w:rPr>
          <w:rFonts w:ascii="Times New Roman" w:hAnsi="Times New Roman" w:cs="Times New Roman"/>
          <w:sz w:val="24"/>
          <w:szCs w:val="24"/>
          <w:vertAlign w:val="subscript"/>
        </w:rPr>
        <w:t>4</w:t>
      </w:r>
      <w:r w:rsidRPr="0091374D">
        <w:rPr>
          <w:rFonts w:ascii="Times New Roman" w:hAnsi="Times New Roman" w:cs="Times New Roman"/>
          <w:sz w:val="24"/>
          <w:szCs w:val="24"/>
        </w:rPr>
        <w:t>) is also rejected. However, in other research papers it is seen that there is a positive relationship between EPS &amp; ROA.</w:t>
      </w:r>
    </w:p>
    <w:p w:rsidR="00CE10B4" w:rsidRPr="0091374D"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b/>
          <w:sz w:val="24"/>
          <w:szCs w:val="24"/>
          <w:u w:val="single"/>
        </w:rPr>
        <w:lastRenderedPageBreak/>
        <w:t>EPS &amp; Debt Equity Ratio</w:t>
      </w:r>
      <w:r w:rsidRPr="0091374D">
        <w:rPr>
          <w:rFonts w:ascii="Times New Roman" w:hAnsi="Times New Roman" w:cs="Times New Roman"/>
          <w:sz w:val="24"/>
          <w:szCs w:val="24"/>
        </w:rPr>
        <w:t xml:space="preserve">: Correlation Coefficient shows that there is positive relation between EPS &amp; Debt Equity Ratio. R value of EPS &amp; Debt equity ratio is </w:t>
      </w:r>
      <w:r w:rsidRPr="0091374D">
        <w:rPr>
          <w:rFonts w:ascii="Times New Roman" w:eastAsia="Times New Roman" w:hAnsi="Times New Roman" w:cs="Times New Roman"/>
          <w:color w:val="000000"/>
          <w:sz w:val="24"/>
          <w:szCs w:val="24"/>
        </w:rPr>
        <w:t>0.42057765. Therefore, hypothesis 05 (H</w:t>
      </w:r>
      <w:r w:rsidRPr="0091374D">
        <w:rPr>
          <w:rFonts w:ascii="Times New Roman" w:eastAsia="Times New Roman" w:hAnsi="Times New Roman" w:cs="Times New Roman"/>
          <w:color w:val="000000"/>
          <w:sz w:val="24"/>
          <w:szCs w:val="24"/>
          <w:vertAlign w:val="subscript"/>
        </w:rPr>
        <w:t>5</w:t>
      </w:r>
      <w:r w:rsidRPr="0091374D">
        <w:rPr>
          <w:rFonts w:ascii="Times New Roman" w:hAnsi="Times New Roman" w:cs="Times New Roman"/>
          <w:sz w:val="24"/>
          <w:szCs w:val="24"/>
        </w:rPr>
        <w:t xml:space="preserve">) is accepted. </w:t>
      </w:r>
    </w:p>
    <w:p w:rsidR="00CE10B4" w:rsidRPr="0091374D" w:rsidRDefault="00CE10B4" w:rsidP="00CE10B4">
      <w:pPr>
        <w:spacing w:after="120" w:line="240" w:lineRule="auto"/>
        <w:rPr>
          <w:rFonts w:ascii="Times New Roman" w:hAnsi="Times New Roman" w:cs="Times New Roman"/>
          <w:b/>
          <w:sz w:val="28"/>
          <w:szCs w:val="24"/>
        </w:rPr>
      </w:pPr>
    </w:p>
    <w:p w:rsidR="00CE10B4" w:rsidRPr="0091374D" w:rsidRDefault="00CE10B4" w:rsidP="00CE10B4">
      <w:pPr>
        <w:spacing w:after="120" w:line="240" w:lineRule="auto"/>
        <w:rPr>
          <w:rFonts w:ascii="Times New Roman" w:hAnsi="Times New Roman" w:cs="Times New Roman"/>
          <w:b/>
          <w:sz w:val="28"/>
          <w:szCs w:val="24"/>
        </w:rPr>
      </w:pPr>
      <w:r w:rsidRPr="0091374D">
        <w:rPr>
          <w:rFonts w:ascii="Times New Roman" w:hAnsi="Times New Roman" w:cs="Times New Roman"/>
          <w:b/>
          <w:sz w:val="28"/>
          <w:szCs w:val="24"/>
        </w:rPr>
        <w:t>Recommendations:</w:t>
      </w:r>
    </w:p>
    <w:p w:rsidR="00CE10B4" w:rsidRPr="0091374D" w:rsidRDefault="00CE10B4" w:rsidP="00CE10B4">
      <w:pPr>
        <w:spacing w:after="120" w:line="240" w:lineRule="auto"/>
        <w:rPr>
          <w:rFonts w:ascii="Times New Roman" w:hAnsi="Times New Roman" w:cs="Times New Roman"/>
          <w:b/>
          <w:sz w:val="28"/>
          <w:szCs w:val="24"/>
        </w:rPr>
      </w:pPr>
    </w:p>
    <w:p w:rsidR="00CE10B4" w:rsidRPr="0091374D" w:rsidRDefault="00CE10B4" w:rsidP="00CE10B4">
      <w:pPr>
        <w:pStyle w:val="ListParagraph"/>
        <w:numPr>
          <w:ilvl w:val="0"/>
          <w:numId w:val="5"/>
        </w:numPr>
        <w:spacing w:after="120" w:line="36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The management of jute companies must be careful about working capital since one jute company failed to generate sales in 2012 &amp; in 2013 due to shortage of working capital. So, Northern Manufacturing Co. Limited must raise their current ratio.</w:t>
      </w:r>
    </w:p>
    <w:p w:rsidR="00CE10B4" w:rsidRPr="0091374D" w:rsidRDefault="00CE10B4" w:rsidP="00CE10B4">
      <w:pPr>
        <w:pStyle w:val="ListParagraph"/>
        <w:numPr>
          <w:ilvl w:val="0"/>
          <w:numId w:val="5"/>
        </w:numPr>
        <w:autoSpaceDE w:val="0"/>
        <w:autoSpaceDN w:val="0"/>
        <w:adjustRightInd w:val="0"/>
        <w:spacing w:after="120" w:line="36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The jute industry should assign much important to inventory holdings since Inventory turnover ratio (ITR) bears negative relationship with EPS. In the annual report it is informed that due to increment of supply comparing with demand, jute products are remained unsold. The management should increase relationship with foreign buyers in order to prevent over storage of inventories &amp; increase sales of jute products.</w:t>
      </w:r>
    </w:p>
    <w:p w:rsidR="00CE10B4" w:rsidRPr="0091374D" w:rsidRDefault="00CE10B4" w:rsidP="00CE10B4">
      <w:pPr>
        <w:pStyle w:val="ListParagraph"/>
        <w:numPr>
          <w:ilvl w:val="0"/>
          <w:numId w:val="5"/>
        </w:numPr>
        <w:autoSpaceDE w:val="0"/>
        <w:autoSpaceDN w:val="0"/>
        <w:adjustRightInd w:val="0"/>
        <w:spacing w:after="120" w:line="36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Some jute factories of listed jute companies are shut down. It’s an absolute indication that cannot utilize their assets efficiently in generating more income. Consequently, negative ROA, ROE are seen in some years among the listed jute companies. In this case, the government should increase subsidies to jute sector to prevent such shut down of jute factories. If government does so, then jute companies can fully utilize their assets &amp; social unrest will not be emerged.</w:t>
      </w:r>
    </w:p>
    <w:p w:rsidR="00CE10B4" w:rsidRPr="0091374D" w:rsidRDefault="00CE10B4" w:rsidP="00CE10B4">
      <w:pPr>
        <w:pStyle w:val="ListParagraph"/>
        <w:numPr>
          <w:ilvl w:val="0"/>
          <w:numId w:val="5"/>
        </w:numPr>
        <w:autoSpaceDE w:val="0"/>
        <w:autoSpaceDN w:val="0"/>
        <w:adjustRightInd w:val="0"/>
        <w:spacing w:after="120" w:line="36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 xml:space="preserve">Northern Jute Manufacturing Co. Limited should increase their paid up capital, because their debt is too much high comparing with equity. This is very risky for any company, because there is a huge threat of bankruptcy if debt to equity ratio is very high as high borrowing from debtors will cause high amount of interest expense.   </w:t>
      </w:r>
    </w:p>
    <w:p w:rsidR="00CE10B4" w:rsidRPr="0091374D" w:rsidRDefault="00CE10B4" w:rsidP="00CE10B4">
      <w:pPr>
        <w:pStyle w:val="ListParagraph"/>
        <w:numPr>
          <w:ilvl w:val="0"/>
          <w:numId w:val="5"/>
        </w:numPr>
        <w:autoSpaceDE w:val="0"/>
        <w:autoSpaceDN w:val="0"/>
        <w:adjustRightInd w:val="0"/>
        <w:spacing w:after="120" w:line="36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 xml:space="preserve">Jute Spinner Limited’s net profit margin negative from 2012-2016. This is very disappointment for the shareholders of Jute Spinner Limited. The CEO of Jute Spinner Limited reassures company’s stockholders again &amp; again, but the firm is facing net loss year after year. Therefore, Jute Spinners Limited should produce diversified jute products like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Industries Limited to increase their products’ demand in the international market.</w:t>
      </w:r>
    </w:p>
    <w:p w:rsidR="006D5466" w:rsidRDefault="006D5466" w:rsidP="00CE10B4">
      <w:pPr>
        <w:spacing w:after="120" w:line="240" w:lineRule="auto"/>
        <w:rPr>
          <w:rFonts w:ascii="Times New Roman" w:hAnsi="Times New Roman" w:cs="Times New Roman"/>
          <w:b/>
          <w:sz w:val="26"/>
        </w:rPr>
      </w:pPr>
    </w:p>
    <w:p w:rsidR="006D5466" w:rsidRDefault="006D5466" w:rsidP="00CE10B4">
      <w:pPr>
        <w:spacing w:after="120" w:line="240" w:lineRule="auto"/>
        <w:rPr>
          <w:rFonts w:ascii="Times New Roman" w:hAnsi="Times New Roman" w:cs="Times New Roman"/>
          <w:b/>
          <w:sz w:val="26"/>
        </w:rPr>
      </w:pPr>
    </w:p>
    <w:p w:rsidR="00CE10B4" w:rsidRPr="0091374D" w:rsidRDefault="00CE10B4" w:rsidP="00CE10B4">
      <w:pPr>
        <w:spacing w:after="120" w:line="240" w:lineRule="auto"/>
        <w:rPr>
          <w:rFonts w:ascii="Times New Roman" w:hAnsi="Times New Roman" w:cs="Times New Roman"/>
          <w:b/>
          <w:sz w:val="26"/>
        </w:rPr>
      </w:pPr>
      <w:r w:rsidRPr="0091374D">
        <w:rPr>
          <w:rFonts w:ascii="Times New Roman" w:hAnsi="Times New Roman" w:cs="Times New Roman"/>
          <w:b/>
          <w:sz w:val="26"/>
        </w:rPr>
        <w:lastRenderedPageBreak/>
        <w:t>Special Suggestion for general investors:</w:t>
      </w:r>
    </w:p>
    <w:p w:rsidR="00CE10B4" w:rsidRPr="0091374D"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sz w:val="24"/>
          <w:szCs w:val="24"/>
        </w:rPr>
        <w:t>Investors should invest in that company whose profitable ratios are high if the market is efficient. The following table provides an idea about profitability ratios of the selected jute companies:</w:t>
      </w:r>
    </w:p>
    <w:p w:rsidR="00CE10B4" w:rsidRPr="0091374D" w:rsidRDefault="00CE10B4" w:rsidP="00CE10B4">
      <w:pPr>
        <w:spacing w:after="120" w:line="240" w:lineRule="auto"/>
        <w:rPr>
          <w:rFonts w:ascii="Times New Roman" w:hAnsi="Times New Roman" w:cs="Times New Roman"/>
          <w:sz w:val="24"/>
          <w:szCs w:val="24"/>
        </w:rPr>
      </w:pPr>
    </w:p>
    <w:tbl>
      <w:tblPr>
        <w:tblStyle w:val="TableGrid"/>
        <w:tblW w:w="5000" w:type="pct"/>
        <w:jc w:val="center"/>
        <w:tblLook w:val="04A0" w:firstRow="1" w:lastRow="0" w:firstColumn="1" w:lastColumn="0" w:noHBand="0" w:noVBand="1"/>
      </w:tblPr>
      <w:tblGrid>
        <w:gridCol w:w="2691"/>
        <w:gridCol w:w="2727"/>
        <w:gridCol w:w="1124"/>
        <w:gridCol w:w="1776"/>
        <w:gridCol w:w="1258"/>
      </w:tblGrid>
      <w:tr w:rsidR="00CE10B4" w:rsidRPr="0091374D" w:rsidTr="006D5466">
        <w:trPr>
          <w:trHeight w:val="570"/>
          <w:jc w:val="center"/>
        </w:trPr>
        <w:tc>
          <w:tcPr>
            <w:tcW w:w="1405" w:type="pct"/>
            <w:vMerge w:val="restart"/>
            <w:vAlign w:val="center"/>
          </w:tcPr>
          <w:p w:rsidR="00CE10B4" w:rsidRPr="006D5466" w:rsidRDefault="00CE10B4" w:rsidP="001500F3">
            <w:pPr>
              <w:spacing w:after="120" w:line="360" w:lineRule="auto"/>
              <w:jc w:val="center"/>
              <w:rPr>
                <w:rFonts w:ascii="Times New Roman" w:hAnsi="Times New Roman" w:cs="Times New Roman"/>
                <w:b/>
                <w:sz w:val="24"/>
                <w:szCs w:val="24"/>
              </w:rPr>
            </w:pPr>
            <w:r w:rsidRPr="006D5466">
              <w:rPr>
                <w:rFonts w:ascii="Times New Roman" w:hAnsi="Times New Roman" w:cs="Times New Roman"/>
                <w:b/>
                <w:sz w:val="24"/>
                <w:szCs w:val="24"/>
              </w:rPr>
              <w:t>Name of the Profitability Ratios</w:t>
            </w:r>
          </w:p>
        </w:tc>
        <w:tc>
          <w:tcPr>
            <w:tcW w:w="1424" w:type="pct"/>
            <w:vMerge w:val="restart"/>
            <w:vAlign w:val="center"/>
          </w:tcPr>
          <w:p w:rsidR="00CE10B4" w:rsidRPr="006D5466" w:rsidRDefault="00CE10B4" w:rsidP="001500F3">
            <w:pPr>
              <w:spacing w:after="120" w:line="360" w:lineRule="auto"/>
              <w:jc w:val="center"/>
              <w:rPr>
                <w:rFonts w:ascii="Times New Roman" w:hAnsi="Times New Roman" w:cs="Times New Roman"/>
                <w:b/>
                <w:sz w:val="24"/>
                <w:szCs w:val="24"/>
              </w:rPr>
            </w:pPr>
            <w:r w:rsidRPr="006D5466">
              <w:rPr>
                <w:rFonts w:ascii="Times New Roman" w:hAnsi="Times New Roman" w:cs="Times New Roman"/>
                <w:b/>
                <w:sz w:val="24"/>
                <w:szCs w:val="24"/>
              </w:rPr>
              <w:t>Average of Industry Average of Industry Average from 2012-2016</w:t>
            </w:r>
          </w:p>
        </w:tc>
        <w:tc>
          <w:tcPr>
            <w:tcW w:w="2171" w:type="pct"/>
            <w:gridSpan w:val="3"/>
            <w:vAlign w:val="center"/>
          </w:tcPr>
          <w:p w:rsidR="00CE10B4" w:rsidRPr="006D5466" w:rsidRDefault="00CE10B4" w:rsidP="001500F3">
            <w:pPr>
              <w:spacing w:after="120" w:line="360" w:lineRule="auto"/>
              <w:jc w:val="center"/>
              <w:rPr>
                <w:rFonts w:ascii="Times New Roman" w:hAnsi="Times New Roman" w:cs="Times New Roman"/>
                <w:b/>
                <w:sz w:val="24"/>
                <w:szCs w:val="24"/>
              </w:rPr>
            </w:pPr>
            <w:r w:rsidRPr="006D5466">
              <w:rPr>
                <w:rFonts w:ascii="Times New Roman" w:hAnsi="Times New Roman" w:cs="Times New Roman"/>
                <w:b/>
                <w:sz w:val="24"/>
                <w:szCs w:val="24"/>
              </w:rPr>
              <w:t xml:space="preserve">Average of </w:t>
            </w:r>
            <w:r w:rsidRPr="006D5466">
              <w:rPr>
                <w:rFonts w:ascii="Times New Roman" w:hAnsi="Times New Roman" w:cs="Times New Roman"/>
                <w:b/>
                <w:color w:val="000000"/>
                <w:sz w:val="24"/>
                <w:szCs w:val="24"/>
              </w:rPr>
              <w:t>financial Ratios from 2012-2016</w:t>
            </w:r>
          </w:p>
        </w:tc>
      </w:tr>
      <w:tr w:rsidR="00CE10B4" w:rsidRPr="0091374D" w:rsidTr="006D5466">
        <w:trPr>
          <w:trHeight w:val="569"/>
          <w:jc w:val="center"/>
        </w:trPr>
        <w:tc>
          <w:tcPr>
            <w:tcW w:w="1405" w:type="pct"/>
            <w:vMerge/>
            <w:vAlign w:val="center"/>
          </w:tcPr>
          <w:p w:rsidR="00CE10B4" w:rsidRPr="006D5466" w:rsidRDefault="00CE10B4" w:rsidP="001500F3">
            <w:pPr>
              <w:spacing w:after="120" w:line="360" w:lineRule="auto"/>
              <w:jc w:val="center"/>
              <w:rPr>
                <w:rFonts w:ascii="Times New Roman" w:hAnsi="Times New Roman" w:cs="Times New Roman"/>
                <w:b/>
                <w:sz w:val="24"/>
                <w:szCs w:val="24"/>
              </w:rPr>
            </w:pPr>
          </w:p>
        </w:tc>
        <w:tc>
          <w:tcPr>
            <w:tcW w:w="1424" w:type="pct"/>
            <w:vMerge/>
            <w:vAlign w:val="center"/>
          </w:tcPr>
          <w:p w:rsidR="00CE10B4" w:rsidRPr="006D5466" w:rsidRDefault="00CE10B4" w:rsidP="001500F3">
            <w:pPr>
              <w:spacing w:after="120" w:line="360" w:lineRule="auto"/>
              <w:jc w:val="center"/>
              <w:rPr>
                <w:rFonts w:ascii="Times New Roman" w:hAnsi="Times New Roman" w:cs="Times New Roman"/>
                <w:b/>
                <w:sz w:val="24"/>
                <w:szCs w:val="24"/>
              </w:rPr>
            </w:pPr>
          </w:p>
        </w:tc>
        <w:tc>
          <w:tcPr>
            <w:tcW w:w="587" w:type="pct"/>
            <w:tcBorders>
              <w:right w:val="single" w:sz="4" w:space="0" w:color="auto"/>
            </w:tcBorders>
            <w:vAlign w:val="center"/>
          </w:tcPr>
          <w:p w:rsidR="00CE10B4" w:rsidRPr="006D5466" w:rsidRDefault="00CE10B4" w:rsidP="001500F3">
            <w:pPr>
              <w:spacing w:after="120" w:line="360" w:lineRule="auto"/>
              <w:jc w:val="center"/>
              <w:rPr>
                <w:rFonts w:ascii="Times New Roman" w:hAnsi="Times New Roman" w:cs="Times New Roman"/>
                <w:b/>
                <w:sz w:val="24"/>
                <w:szCs w:val="24"/>
              </w:rPr>
            </w:pPr>
            <w:r w:rsidRPr="006D5466">
              <w:rPr>
                <w:rFonts w:ascii="Times New Roman" w:hAnsi="Times New Roman" w:cs="Times New Roman"/>
                <w:b/>
                <w:color w:val="000000"/>
                <w:sz w:val="24"/>
                <w:szCs w:val="24"/>
              </w:rPr>
              <w:t>Jute Spinners Limited</w:t>
            </w:r>
          </w:p>
        </w:tc>
        <w:tc>
          <w:tcPr>
            <w:tcW w:w="927" w:type="pct"/>
            <w:tcBorders>
              <w:left w:val="single" w:sz="4" w:space="0" w:color="auto"/>
            </w:tcBorders>
            <w:vAlign w:val="center"/>
          </w:tcPr>
          <w:p w:rsidR="00CE10B4" w:rsidRPr="006D5466" w:rsidRDefault="00CE10B4" w:rsidP="001500F3">
            <w:pPr>
              <w:spacing w:after="120" w:line="360" w:lineRule="auto"/>
              <w:jc w:val="center"/>
              <w:rPr>
                <w:rFonts w:ascii="Times New Roman" w:hAnsi="Times New Roman" w:cs="Times New Roman"/>
                <w:b/>
                <w:sz w:val="24"/>
                <w:szCs w:val="24"/>
              </w:rPr>
            </w:pPr>
            <w:r w:rsidRPr="006D5466">
              <w:rPr>
                <w:rFonts w:ascii="Times New Roman" w:hAnsi="Times New Roman" w:cs="Times New Roman"/>
                <w:b/>
                <w:color w:val="000000"/>
                <w:sz w:val="24"/>
                <w:szCs w:val="24"/>
              </w:rPr>
              <w:t>Northern Manufacturing Co. Limited</w:t>
            </w:r>
          </w:p>
        </w:tc>
        <w:tc>
          <w:tcPr>
            <w:tcW w:w="656" w:type="pct"/>
            <w:vAlign w:val="center"/>
          </w:tcPr>
          <w:p w:rsidR="00CE10B4" w:rsidRPr="006D5466" w:rsidRDefault="00CE10B4" w:rsidP="001500F3">
            <w:pPr>
              <w:spacing w:after="120" w:line="360" w:lineRule="auto"/>
              <w:jc w:val="center"/>
              <w:rPr>
                <w:rFonts w:ascii="Times New Roman" w:hAnsi="Times New Roman" w:cs="Times New Roman"/>
                <w:b/>
                <w:sz w:val="24"/>
                <w:szCs w:val="24"/>
              </w:rPr>
            </w:pPr>
            <w:proofErr w:type="spellStart"/>
            <w:r w:rsidRPr="006D5466">
              <w:rPr>
                <w:rFonts w:ascii="Times New Roman" w:hAnsi="Times New Roman" w:cs="Times New Roman"/>
                <w:b/>
                <w:sz w:val="24"/>
                <w:szCs w:val="24"/>
              </w:rPr>
              <w:t>Sonali</w:t>
            </w:r>
            <w:proofErr w:type="spellEnd"/>
            <w:r w:rsidRPr="006D5466">
              <w:rPr>
                <w:rFonts w:ascii="Times New Roman" w:hAnsi="Times New Roman" w:cs="Times New Roman"/>
                <w:b/>
                <w:sz w:val="24"/>
                <w:szCs w:val="24"/>
              </w:rPr>
              <w:t xml:space="preserve"> </w:t>
            </w:r>
            <w:proofErr w:type="spellStart"/>
            <w:r w:rsidRPr="006D5466">
              <w:rPr>
                <w:rFonts w:ascii="Times New Roman" w:hAnsi="Times New Roman" w:cs="Times New Roman"/>
                <w:b/>
                <w:sz w:val="24"/>
                <w:szCs w:val="24"/>
              </w:rPr>
              <w:t>Aansh</w:t>
            </w:r>
            <w:proofErr w:type="spellEnd"/>
            <w:r w:rsidRPr="006D5466">
              <w:rPr>
                <w:rFonts w:ascii="Times New Roman" w:hAnsi="Times New Roman" w:cs="Times New Roman"/>
                <w:b/>
                <w:sz w:val="24"/>
                <w:szCs w:val="24"/>
              </w:rPr>
              <w:t xml:space="preserve"> Industries Limited</w:t>
            </w:r>
          </w:p>
        </w:tc>
      </w:tr>
      <w:tr w:rsidR="00CE10B4" w:rsidRPr="0091374D" w:rsidTr="006D5466">
        <w:trPr>
          <w:jc w:val="center"/>
        </w:trPr>
        <w:tc>
          <w:tcPr>
            <w:tcW w:w="1405" w:type="pct"/>
            <w:vAlign w:val="center"/>
          </w:tcPr>
          <w:p w:rsidR="00CE10B4" w:rsidRPr="0091374D" w:rsidRDefault="00CE10B4" w:rsidP="001500F3">
            <w:pPr>
              <w:spacing w:after="120" w:line="360" w:lineRule="auto"/>
              <w:jc w:val="center"/>
              <w:rPr>
                <w:rFonts w:ascii="Times New Roman" w:hAnsi="Times New Roman" w:cs="Times New Roman"/>
                <w:sz w:val="24"/>
                <w:szCs w:val="24"/>
              </w:rPr>
            </w:pPr>
            <w:r w:rsidRPr="0091374D">
              <w:rPr>
                <w:rFonts w:ascii="Times New Roman" w:hAnsi="Times New Roman" w:cs="Times New Roman"/>
                <w:sz w:val="24"/>
                <w:szCs w:val="24"/>
              </w:rPr>
              <w:t>Gross Profit Margin</w:t>
            </w:r>
          </w:p>
        </w:tc>
        <w:tc>
          <w:tcPr>
            <w:tcW w:w="1424" w:type="pct"/>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11.65%</w:t>
            </w:r>
          </w:p>
        </w:tc>
        <w:tc>
          <w:tcPr>
            <w:tcW w:w="587" w:type="pct"/>
            <w:tcBorders>
              <w:righ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8.87%</w:t>
            </w:r>
          </w:p>
        </w:tc>
        <w:tc>
          <w:tcPr>
            <w:tcW w:w="927" w:type="pct"/>
            <w:tcBorders>
              <w:left w:val="single" w:sz="4" w:space="0" w:color="auto"/>
              <w:righ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9.75%</w:t>
            </w:r>
          </w:p>
        </w:tc>
        <w:tc>
          <w:tcPr>
            <w:tcW w:w="656" w:type="pct"/>
            <w:tcBorders>
              <w:lef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16.33%</w:t>
            </w:r>
          </w:p>
        </w:tc>
      </w:tr>
      <w:tr w:rsidR="00CE10B4" w:rsidRPr="0091374D" w:rsidTr="006D5466">
        <w:trPr>
          <w:jc w:val="center"/>
        </w:trPr>
        <w:tc>
          <w:tcPr>
            <w:tcW w:w="1405" w:type="pct"/>
            <w:vAlign w:val="center"/>
          </w:tcPr>
          <w:p w:rsidR="00CE10B4" w:rsidRPr="0091374D" w:rsidRDefault="00CE10B4" w:rsidP="001500F3">
            <w:pPr>
              <w:spacing w:after="120" w:line="360" w:lineRule="auto"/>
              <w:jc w:val="center"/>
              <w:rPr>
                <w:rFonts w:ascii="Times New Roman" w:hAnsi="Times New Roman" w:cs="Times New Roman"/>
                <w:sz w:val="24"/>
                <w:szCs w:val="24"/>
              </w:rPr>
            </w:pPr>
            <w:r w:rsidRPr="0091374D">
              <w:rPr>
                <w:rFonts w:ascii="Times New Roman" w:hAnsi="Times New Roman" w:cs="Times New Roman"/>
                <w:sz w:val="24"/>
                <w:szCs w:val="24"/>
              </w:rPr>
              <w:t>Operating Return on Asset</w:t>
            </w:r>
          </w:p>
        </w:tc>
        <w:tc>
          <w:tcPr>
            <w:tcW w:w="1424" w:type="pct"/>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-0.0503</w:t>
            </w:r>
          </w:p>
        </w:tc>
        <w:tc>
          <w:tcPr>
            <w:tcW w:w="587" w:type="pct"/>
            <w:tcBorders>
              <w:righ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-0.13946</w:t>
            </w:r>
          </w:p>
        </w:tc>
        <w:tc>
          <w:tcPr>
            <w:tcW w:w="927" w:type="pct"/>
            <w:tcBorders>
              <w:left w:val="single" w:sz="4" w:space="0" w:color="auto"/>
              <w:righ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-0.04415</w:t>
            </w:r>
          </w:p>
        </w:tc>
        <w:tc>
          <w:tcPr>
            <w:tcW w:w="656" w:type="pct"/>
            <w:tcBorders>
              <w:lef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0.03287</w:t>
            </w:r>
          </w:p>
        </w:tc>
      </w:tr>
      <w:tr w:rsidR="00CE10B4" w:rsidRPr="0091374D" w:rsidTr="006D5466">
        <w:trPr>
          <w:jc w:val="center"/>
        </w:trPr>
        <w:tc>
          <w:tcPr>
            <w:tcW w:w="1405" w:type="pct"/>
            <w:vAlign w:val="center"/>
          </w:tcPr>
          <w:p w:rsidR="00CE10B4" w:rsidRPr="0091374D" w:rsidRDefault="00CE10B4" w:rsidP="001500F3">
            <w:pPr>
              <w:spacing w:after="120" w:line="360" w:lineRule="auto"/>
              <w:jc w:val="center"/>
              <w:rPr>
                <w:rFonts w:ascii="Times New Roman" w:hAnsi="Times New Roman" w:cs="Times New Roman"/>
                <w:sz w:val="24"/>
                <w:szCs w:val="24"/>
              </w:rPr>
            </w:pPr>
            <w:r w:rsidRPr="0091374D">
              <w:rPr>
                <w:rFonts w:ascii="Times New Roman" w:hAnsi="Times New Roman" w:cs="Times New Roman"/>
                <w:sz w:val="24"/>
                <w:szCs w:val="24"/>
              </w:rPr>
              <w:t>Pretax Margin</w:t>
            </w:r>
          </w:p>
        </w:tc>
        <w:tc>
          <w:tcPr>
            <w:tcW w:w="1424" w:type="pct"/>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-2.52%</w:t>
            </w:r>
          </w:p>
        </w:tc>
        <w:tc>
          <w:tcPr>
            <w:tcW w:w="587" w:type="pct"/>
            <w:tcBorders>
              <w:righ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-10.45%</w:t>
            </w:r>
          </w:p>
        </w:tc>
        <w:tc>
          <w:tcPr>
            <w:tcW w:w="927" w:type="pct"/>
            <w:tcBorders>
              <w:left w:val="single" w:sz="4" w:space="0" w:color="auto"/>
              <w:righ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2.01%</w:t>
            </w:r>
          </w:p>
        </w:tc>
        <w:tc>
          <w:tcPr>
            <w:tcW w:w="656" w:type="pct"/>
            <w:tcBorders>
              <w:left w:val="single" w:sz="4" w:space="0" w:color="auto"/>
            </w:tcBorders>
            <w:vAlign w:val="center"/>
          </w:tcPr>
          <w:p w:rsidR="00CE10B4" w:rsidRPr="0091374D" w:rsidRDefault="00CE10B4" w:rsidP="001500F3">
            <w:pPr>
              <w:spacing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rPr>
              <w:t>0.88%</w:t>
            </w:r>
          </w:p>
        </w:tc>
      </w:tr>
      <w:tr w:rsidR="00CE10B4" w:rsidRPr="0091374D" w:rsidTr="006D5466">
        <w:trPr>
          <w:jc w:val="center"/>
        </w:trPr>
        <w:tc>
          <w:tcPr>
            <w:tcW w:w="1405" w:type="pct"/>
            <w:vAlign w:val="center"/>
          </w:tcPr>
          <w:p w:rsidR="00CE10B4" w:rsidRPr="0091374D" w:rsidRDefault="00CE10B4" w:rsidP="001500F3">
            <w:pPr>
              <w:spacing w:after="120" w:line="360" w:lineRule="auto"/>
              <w:jc w:val="center"/>
              <w:rPr>
                <w:rFonts w:ascii="Times New Roman" w:hAnsi="Times New Roman" w:cs="Times New Roman"/>
                <w:sz w:val="24"/>
                <w:szCs w:val="24"/>
              </w:rPr>
            </w:pPr>
            <w:r w:rsidRPr="0091374D">
              <w:rPr>
                <w:rFonts w:ascii="Times New Roman" w:hAnsi="Times New Roman" w:cs="Times New Roman"/>
                <w:sz w:val="24"/>
                <w:szCs w:val="24"/>
              </w:rPr>
              <w:t>ROA</w:t>
            </w:r>
          </w:p>
        </w:tc>
        <w:tc>
          <w:tcPr>
            <w:tcW w:w="1424" w:type="pct"/>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-0.063</w:t>
            </w:r>
          </w:p>
        </w:tc>
        <w:tc>
          <w:tcPr>
            <w:tcW w:w="587" w:type="pct"/>
            <w:tcBorders>
              <w:right w:val="single" w:sz="4" w:space="0" w:color="auto"/>
            </w:tcBorders>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-0.151</w:t>
            </w:r>
          </w:p>
        </w:tc>
        <w:tc>
          <w:tcPr>
            <w:tcW w:w="927" w:type="pct"/>
            <w:tcBorders>
              <w:left w:val="single" w:sz="4" w:space="0" w:color="auto"/>
              <w:right w:val="single" w:sz="4" w:space="0" w:color="auto"/>
            </w:tcBorders>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-0.043</w:t>
            </w:r>
          </w:p>
        </w:tc>
        <w:tc>
          <w:tcPr>
            <w:tcW w:w="656" w:type="pct"/>
            <w:tcBorders>
              <w:left w:val="single" w:sz="4" w:space="0" w:color="auto"/>
            </w:tcBorders>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0.004</w:t>
            </w:r>
          </w:p>
        </w:tc>
      </w:tr>
      <w:tr w:rsidR="00CE10B4" w:rsidRPr="0091374D" w:rsidTr="006D5466">
        <w:trPr>
          <w:jc w:val="center"/>
        </w:trPr>
        <w:tc>
          <w:tcPr>
            <w:tcW w:w="1405" w:type="pct"/>
            <w:vAlign w:val="center"/>
          </w:tcPr>
          <w:p w:rsidR="00CE10B4" w:rsidRPr="0091374D" w:rsidRDefault="00CE10B4" w:rsidP="001500F3">
            <w:pPr>
              <w:spacing w:after="120" w:line="360" w:lineRule="auto"/>
              <w:jc w:val="center"/>
              <w:rPr>
                <w:rFonts w:ascii="Times New Roman" w:hAnsi="Times New Roman" w:cs="Times New Roman"/>
                <w:sz w:val="24"/>
                <w:szCs w:val="24"/>
              </w:rPr>
            </w:pPr>
            <w:r w:rsidRPr="0091374D">
              <w:rPr>
                <w:rFonts w:ascii="Times New Roman" w:hAnsi="Times New Roman" w:cs="Times New Roman"/>
                <w:sz w:val="24"/>
                <w:szCs w:val="24"/>
              </w:rPr>
              <w:t>ROE</w:t>
            </w:r>
          </w:p>
        </w:tc>
        <w:tc>
          <w:tcPr>
            <w:tcW w:w="1424" w:type="pct"/>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0.314</w:t>
            </w:r>
          </w:p>
        </w:tc>
        <w:tc>
          <w:tcPr>
            <w:tcW w:w="587" w:type="pct"/>
            <w:tcBorders>
              <w:right w:val="single" w:sz="4" w:space="0" w:color="auto"/>
            </w:tcBorders>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0.366</w:t>
            </w:r>
          </w:p>
        </w:tc>
        <w:tc>
          <w:tcPr>
            <w:tcW w:w="927" w:type="pct"/>
            <w:tcBorders>
              <w:left w:val="single" w:sz="4" w:space="0" w:color="auto"/>
              <w:right w:val="single" w:sz="4" w:space="0" w:color="auto"/>
            </w:tcBorders>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0.569</w:t>
            </w:r>
          </w:p>
        </w:tc>
        <w:tc>
          <w:tcPr>
            <w:tcW w:w="656" w:type="pct"/>
            <w:tcBorders>
              <w:left w:val="single" w:sz="4" w:space="0" w:color="auto"/>
            </w:tcBorders>
            <w:vAlign w:val="center"/>
          </w:tcPr>
          <w:p w:rsidR="00CE10B4" w:rsidRPr="0091374D" w:rsidRDefault="00CE10B4" w:rsidP="001500F3">
            <w:pPr>
              <w:spacing w:after="120" w:line="360" w:lineRule="auto"/>
              <w:jc w:val="center"/>
              <w:rPr>
                <w:rFonts w:ascii="Times New Roman" w:hAnsi="Times New Roman" w:cs="Times New Roman"/>
                <w:color w:val="000000"/>
                <w:sz w:val="24"/>
                <w:szCs w:val="24"/>
              </w:rPr>
            </w:pPr>
            <w:r w:rsidRPr="0091374D">
              <w:rPr>
                <w:rFonts w:ascii="Times New Roman" w:hAnsi="Times New Roman" w:cs="Times New Roman"/>
                <w:color w:val="000000"/>
                <w:sz w:val="24"/>
                <w:szCs w:val="24"/>
              </w:rPr>
              <w:t>0.008</w:t>
            </w:r>
          </w:p>
        </w:tc>
      </w:tr>
    </w:tbl>
    <w:p w:rsidR="00CE10B4" w:rsidRPr="0091374D" w:rsidRDefault="00CE10B4" w:rsidP="00CE10B4">
      <w:pPr>
        <w:spacing w:after="120" w:line="240" w:lineRule="auto"/>
        <w:rPr>
          <w:rFonts w:ascii="Times New Roman" w:hAnsi="Times New Roman" w:cs="Times New Roman"/>
          <w:sz w:val="24"/>
          <w:szCs w:val="24"/>
        </w:rPr>
      </w:pPr>
    </w:p>
    <w:p w:rsidR="00CE10B4" w:rsidRPr="0091374D"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It is seen from the above table that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limited’s</w:t>
      </w:r>
      <w:proofErr w:type="spellEnd"/>
      <w:r w:rsidRPr="0091374D">
        <w:rPr>
          <w:rFonts w:ascii="Times New Roman" w:hAnsi="Times New Roman" w:cs="Times New Roman"/>
          <w:sz w:val="24"/>
          <w:szCs w:val="24"/>
        </w:rPr>
        <w:t xml:space="preserve"> maximum profitability ratios are better than other two companies’ profitability ratios. So, investors should buy the share of </w:t>
      </w:r>
      <w:proofErr w:type="spellStart"/>
      <w:r w:rsidRPr="0091374D">
        <w:rPr>
          <w:rFonts w:ascii="Times New Roman" w:hAnsi="Times New Roman" w:cs="Times New Roman"/>
          <w:sz w:val="24"/>
          <w:szCs w:val="24"/>
        </w:rPr>
        <w:t>Sonali</w:t>
      </w:r>
      <w:proofErr w:type="spellEnd"/>
      <w:r w:rsidRPr="0091374D">
        <w:rPr>
          <w:rFonts w:ascii="Times New Roman" w:hAnsi="Times New Roman" w:cs="Times New Roman"/>
          <w:sz w:val="24"/>
          <w:szCs w:val="24"/>
        </w:rPr>
        <w:t xml:space="preserve"> </w:t>
      </w:r>
      <w:proofErr w:type="spellStart"/>
      <w:r w:rsidRPr="0091374D">
        <w:rPr>
          <w:rFonts w:ascii="Times New Roman" w:hAnsi="Times New Roman" w:cs="Times New Roman"/>
          <w:sz w:val="24"/>
          <w:szCs w:val="24"/>
        </w:rPr>
        <w:t>Aansh</w:t>
      </w:r>
      <w:proofErr w:type="spellEnd"/>
      <w:r w:rsidRPr="0091374D">
        <w:rPr>
          <w:rFonts w:ascii="Times New Roman" w:hAnsi="Times New Roman" w:cs="Times New Roman"/>
          <w:sz w:val="24"/>
          <w:szCs w:val="24"/>
        </w:rPr>
        <w:t xml:space="preserve"> Industry limited if Dhaka Stock Exchange is an efficient capital market. Now an important question is “Is Dhaka Stock Exchange an efficient capital market?” Further study or research can be conducted to answer this question. </w:t>
      </w:r>
    </w:p>
    <w:p w:rsidR="00CE10B4" w:rsidRPr="0091374D"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In the above table, ROA means return on assets &amp; ROE means return on equity. </w:t>
      </w:r>
    </w:p>
    <w:p w:rsidR="00CE10B4" w:rsidRPr="0091374D" w:rsidRDefault="00CE10B4" w:rsidP="00CE10B4">
      <w:pPr>
        <w:spacing w:after="120" w:line="240" w:lineRule="auto"/>
        <w:rPr>
          <w:rFonts w:ascii="Times New Roman" w:hAnsi="Times New Roman" w:cs="Times New Roman"/>
          <w:sz w:val="28"/>
          <w:szCs w:val="24"/>
        </w:rPr>
      </w:pPr>
      <w:r w:rsidRPr="0091374D">
        <w:rPr>
          <w:rFonts w:ascii="Times New Roman" w:hAnsi="Times New Roman" w:cs="Times New Roman"/>
          <w:b/>
          <w:sz w:val="28"/>
          <w:szCs w:val="24"/>
        </w:rPr>
        <w:t>Conclusion:</w:t>
      </w:r>
      <w:r w:rsidRPr="0091374D">
        <w:rPr>
          <w:rFonts w:ascii="Times New Roman" w:hAnsi="Times New Roman" w:cs="Times New Roman"/>
          <w:sz w:val="28"/>
          <w:szCs w:val="24"/>
        </w:rPr>
        <w:t xml:space="preserve"> </w:t>
      </w:r>
    </w:p>
    <w:p w:rsidR="00CE10B4" w:rsidRDefault="00CE10B4" w:rsidP="00CE10B4">
      <w:pPr>
        <w:spacing w:after="120" w:line="360" w:lineRule="auto"/>
        <w:jc w:val="both"/>
        <w:rPr>
          <w:rFonts w:ascii="Times New Roman" w:hAnsi="Times New Roman" w:cs="Times New Roman"/>
          <w:sz w:val="24"/>
          <w:szCs w:val="24"/>
        </w:rPr>
      </w:pPr>
      <w:r w:rsidRPr="0091374D">
        <w:rPr>
          <w:rFonts w:ascii="Times New Roman" w:hAnsi="Times New Roman" w:cs="Times New Roman"/>
          <w:sz w:val="24"/>
          <w:szCs w:val="24"/>
        </w:rPr>
        <w:t xml:space="preserve">Annual reports of the listed jute companies of DSE expressed that supply has been increased comparing with demand &amp; consequently in the international market export price of jute products has been reduced abnormally. Moreover, Government is reducing subsidies to jute sector. That is jute sector of Bangladesh is facing some serious problems &amp; government of Bangladesh is also </w:t>
      </w:r>
      <w:r w:rsidRPr="0091374D">
        <w:rPr>
          <w:rFonts w:ascii="Times New Roman" w:hAnsi="Times New Roman" w:cs="Times New Roman"/>
          <w:sz w:val="24"/>
          <w:szCs w:val="24"/>
        </w:rPr>
        <w:lastRenderedPageBreak/>
        <w:t>careless to protect jute industry. However, if initiatives are not taken, then jute industry will face the threat of extinction as the listed jute companies’ net profit margin is seen to be negative in last few years.</w:t>
      </w:r>
    </w:p>
    <w:p w:rsidR="006D5466" w:rsidRPr="0091374D" w:rsidRDefault="006D5466" w:rsidP="00CE10B4">
      <w:pPr>
        <w:spacing w:after="120" w:line="360" w:lineRule="auto"/>
        <w:jc w:val="both"/>
        <w:rPr>
          <w:rFonts w:ascii="Times New Roman" w:hAnsi="Times New Roman" w:cs="Times New Roman"/>
          <w:sz w:val="24"/>
          <w:szCs w:val="24"/>
        </w:rPr>
      </w:pPr>
    </w:p>
    <w:p w:rsidR="006D5466" w:rsidRDefault="006D5466" w:rsidP="00CE10B4">
      <w:pPr>
        <w:spacing w:after="120" w:line="240" w:lineRule="auto"/>
        <w:rPr>
          <w:rFonts w:ascii="Times New Roman" w:hAnsi="Times New Roman" w:cs="Times New Roman"/>
          <w:b/>
          <w:sz w:val="28"/>
          <w:szCs w:val="24"/>
          <w:u w:val="single"/>
        </w:rPr>
        <w:sectPr w:rsidR="006D5466">
          <w:pgSz w:w="12240" w:h="15840"/>
          <w:pgMar w:top="1440" w:right="1440" w:bottom="1440" w:left="1440" w:header="720" w:footer="720" w:gutter="0"/>
          <w:cols w:space="720"/>
          <w:docGrid w:linePitch="360"/>
        </w:sectPr>
      </w:pPr>
    </w:p>
    <w:p w:rsidR="00CE10B4" w:rsidRPr="0091374D" w:rsidRDefault="00CE10B4" w:rsidP="00CE10B4">
      <w:pPr>
        <w:spacing w:after="120" w:line="240" w:lineRule="auto"/>
        <w:jc w:val="center"/>
        <w:rPr>
          <w:rFonts w:ascii="Times New Roman" w:hAnsi="Times New Roman" w:cs="Times New Roman"/>
          <w:b/>
          <w:i/>
          <w:iCs/>
          <w:sz w:val="28"/>
          <w:szCs w:val="24"/>
        </w:rPr>
      </w:pPr>
      <w:r w:rsidRPr="0091374D">
        <w:rPr>
          <w:rFonts w:ascii="Times New Roman" w:hAnsi="Times New Roman" w:cs="Times New Roman"/>
          <w:b/>
          <w:i/>
          <w:iCs/>
          <w:sz w:val="28"/>
          <w:szCs w:val="24"/>
        </w:rPr>
        <w:lastRenderedPageBreak/>
        <w:t>References</w:t>
      </w:r>
    </w:p>
    <w:p w:rsidR="00CE10B4" w:rsidRPr="0091374D" w:rsidRDefault="00CE10B4" w:rsidP="00CE10B4">
      <w:pPr>
        <w:pStyle w:val="ListParagraph"/>
        <w:numPr>
          <w:ilvl w:val="0"/>
          <w:numId w:val="4"/>
        </w:numPr>
        <w:autoSpaceDE w:val="0"/>
        <w:autoSpaceDN w:val="0"/>
        <w:adjustRightInd w:val="0"/>
        <w:spacing w:after="120" w:line="240" w:lineRule="auto"/>
        <w:ind w:left="0" w:firstLine="0"/>
        <w:jc w:val="both"/>
        <w:rPr>
          <w:rFonts w:ascii="Times New Roman" w:hAnsi="Times New Roman" w:cs="Times New Roman"/>
          <w:sz w:val="24"/>
          <w:szCs w:val="24"/>
        </w:rPr>
      </w:pPr>
      <w:bookmarkStart w:id="2" w:name="_GoBack"/>
      <w:bookmarkEnd w:id="2"/>
      <w:r w:rsidRPr="0091374D">
        <w:rPr>
          <w:rFonts w:ascii="Times New Roman" w:hAnsi="Times New Roman" w:cs="Times New Roman"/>
          <w:sz w:val="24"/>
          <w:szCs w:val="24"/>
        </w:rPr>
        <w:t>Padma (2016), “RATIO ANALYSIS: A COMPARATIVE STUDY OF SELECTED STEEL SECTOR INDUSTRIES</w:t>
      </w:r>
      <w:r w:rsidRPr="0091374D">
        <w:rPr>
          <w:rFonts w:ascii="Times New Roman" w:hAnsi="Times New Roman" w:cs="Times New Roman"/>
          <w:i/>
          <w:sz w:val="24"/>
          <w:szCs w:val="24"/>
        </w:rPr>
        <w:t>”, KAAV INTERNATIONAL JOURNAL OF ECONOMICS, COMMERCE &amp; BUSINESS MANAGEMENT</w:t>
      </w:r>
      <w:r w:rsidRPr="0091374D">
        <w:rPr>
          <w:rFonts w:ascii="Times New Roman" w:hAnsi="Times New Roman" w:cs="Times New Roman"/>
          <w:sz w:val="24"/>
          <w:szCs w:val="24"/>
        </w:rPr>
        <w:t xml:space="preserve">, 3(2) </w:t>
      </w:r>
    </w:p>
    <w:p w:rsidR="00CE10B4" w:rsidRPr="0091374D" w:rsidRDefault="00CE10B4" w:rsidP="00CE10B4">
      <w:pPr>
        <w:pStyle w:val="ListParagraph"/>
        <w:numPr>
          <w:ilvl w:val="0"/>
          <w:numId w:val="4"/>
        </w:numPr>
        <w:autoSpaceDE w:val="0"/>
        <w:autoSpaceDN w:val="0"/>
        <w:adjustRightInd w:val="0"/>
        <w:spacing w:after="12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 xml:space="preserve">Innocent, E. C., Mary, O. I. &amp; Matthew, O. M. (2013), “Financial Ratio Analysis as a Determinant of Profitability in Nigerian Pharmaceutical Industry”, </w:t>
      </w:r>
      <w:r w:rsidRPr="0091374D">
        <w:rPr>
          <w:rFonts w:ascii="Times New Roman" w:hAnsi="Times New Roman" w:cs="Times New Roman"/>
          <w:i/>
          <w:sz w:val="24"/>
          <w:szCs w:val="24"/>
        </w:rPr>
        <w:t>International Journal of Business and Management</w:t>
      </w:r>
      <w:r w:rsidRPr="0091374D">
        <w:rPr>
          <w:rFonts w:ascii="Times New Roman" w:hAnsi="Times New Roman" w:cs="Times New Roman"/>
          <w:sz w:val="24"/>
          <w:szCs w:val="24"/>
        </w:rPr>
        <w:t xml:space="preserve">, </w:t>
      </w:r>
    </w:p>
    <w:p w:rsidR="00CE10B4" w:rsidRPr="0091374D" w:rsidRDefault="00CE10B4" w:rsidP="00CE10B4">
      <w:pPr>
        <w:pStyle w:val="Default"/>
        <w:numPr>
          <w:ilvl w:val="0"/>
          <w:numId w:val="4"/>
        </w:numPr>
        <w:spacing w:after="120"/>
        <w:ind w:left="0" w:firstLine="0"/>
        <w:jc w:val="both"/>
      </w:pPr>
      <w:proofErr w:type="spellStart"/>
      <w:r w:rsidRPr="0091374D">
        <w:t>Idhayajothi</w:t>
      </w:r>
      <w:proofErr w:type="spellEnd"/>
      <w:r w:rsidRPr="0091374D">
        <w:t xml:space="preserve">, R., </w:t>
      </w:r>
      <w:proofErr w:type="spellStart"/>
      <w:r w:rsidRPr="0091374D">
        <w:t>Latasri</w:t>
      </w:r>
      <w:proofErr w:type="spellEnd"/>
      <w:r w:rsidRPr="0091374D">
        <w:t xml:space="preserve">, Dr. O. T. V. N., </w:t>
      </w:r>
      <w:proofErr w:type="spellStart"/>
      <w:r w:rsidRPr="0091374D">
        <w:t>Manjula</w:t>
      </w:r>
      <w:proofErr w:type="spellEnd"/>
      <w:r w:rsidRPr="0091374D">
        <w:t xml:space="preserve">, </w:t>
      </w:r>
      <w:proofErr w:type="spellStart"/>
      <w:r w:rsidRPr="0091374D">
        <w:t>Banu</w:t>
      </w:r>
      <w:proofErr w:type="spellEnd"/>
      <w:r w:rsidRPr="0091374D">
        <w:t xml:space="preserve"> A. M., &amp; </w:t>
      </w:r>
      <w:proofErr w:type="spellStart"/>
      <w:r w:rsidRPr="0091374D">
        <w:t>Malini</w:t>
      </w:r>
      <w:proofErr w:type="spellEnd"/>
      <w:r w:rsidRPr="0091374D">
        <w:t xml:space="preserve"> R. (2014) “A Study on Financial Performance of Ashok Leyland Limited at Chennai”, </w:t>
      </w:r>
      <w:r w:rsidRPr="0091374D">
        <w:rPr>
          <w:i/>
        </w:rPr>
        <w:t>IOSR Journal of Business and Management</w:t>
      </w:r>
      <w:r w:rsidRPr="0091374D">
        <w:t>, 16(6), PP 83-89</w:t>
      </w:r>
    </w:p>
    <w:p w:rsidR="00CE10B4" w:rsidRPr="0091374D" w:rsidRDefault="00CE10B4" w:rsidP="00CE10B4">
      <w:pPr>
        <w:pStyle w:val="Default"/>
        <w:numPr>
          <w:ilvl w:val="0"/>
          <w:numId w:val="4"/>
        </w:numPr>
        <w:spacing w:after="120"/>
        <w:ind w:left="0" w:firstLine="0"/>
        <w:jc w:val="both"/>
      </w:pPr>
      <w:r w:rsidRPr="0091374D">
        <w:t xml:space="preserve">ISLAM, M. A. (2014) “An Analysis of the Financial Performance of National Bank Limited Using Financial Ratio”, </w:t>
      </w:r>
      <w:r w:rsidRPr="0091374D">
        <w:rPr>
          <w:i/>
        </w:rPr>
        <w:t xml:space="preserve">Journal of </w:t>
      </w:r>
      <w:proofErr w:type="spellStart"/>
      <w:r w:rsidRPr="0091374D">
        <w:rPr>
          <w:i/>
        </w:rPr>
        <w:t>Behavioural</w:t>
      </w:r>
      <w:proofErr w:type="spellEnd"/>
      <w:r w:rsidRPr="0091374D">
        <w:rPr>
          <w:i/>
        </w:rPr>
        <w:t xml:space="preserve"> Economics, Finance, Entrepreneurship, Accounting and Transport,</w:t>
      </w:r>
      <w:r w:rsidRPr="0091374D">
        <w:t xml:space="preserve"> Vol. 2, Issue No. 5, Page 121-129</w:t>
      </w:r>
    </w:p>
    <w:p w:rsidR="00CE10B4" w:rsidRPr="0091374D" w:rsidRDefault="00CE10B4" w:rsidP="00CE10B4">
      <w:pPr>
        <w:pStyle w:val="Default"/>
        <w:numPr>
          <w:ilvl w:val="0"/>
          <w:numId w:val="4"/>
        </w:numPr>
        <w:spacing w:after="120"/>
        <w:ind w:left="0" w:firstLine="0"/>
        <w:jc w:val="both"/>
      </w:pPr>
      <w:r w:rsidRPr="0091374D">
        <w:t xml:space="preserve">T, S. K. (2012) “An Analysis of Financial Statements of Karnataka Power Corporation Limited, Bangalore”, </w:t>
      </w:r>
      <w:r w:rsidRPr="0091374D">
        <w:rPr>
          <w:i/>
        </w:rPr>
        <w:t>International Journal of Engineering and Management Research</w:t>
      </w:r>
      <w:r w:rsidRPr="0091374D">
        <w:t>, Volume-2, Issue-3, Pages: 53-57</w:t>
      </w:r>
    </w:p>
    <w:p w:rsidR="00CE10B4" w:rsidRPr="0091374D" w:rsidRDefault="00CE10B4" w:rsidP="00CE10B4">
      <w:pPr>
        <w:pStyle w:val="ListParagraph"/>
        <w:numPr>
          <w:ilvl w:val="0"/>
          <w:numId w:val="4"/>
        </w:numPr>
        <w:autoSpaceDE w:val="0"/>
        <w:autoSpaceDN w:val="0"/>
        <w:adjustRightInd w:val="0"/>
        <w:spacing w:after="120" w:line="240" w:lineRule="auto"/>
        <w:ind w:left="0" w:firstLine="0"/>
        <w:jc w:val="both"/>
        <w:rPr>
          <w:rFonts w:ascii="Times New Roman" w:hAnsi="Times New Roman" w:cs="Times New Roman"/>
          <w:sz w:val="24"/>
          <w:szCs w:val="24"/>
        </w:rPr>
      </w:pPr>
      <w:proofErr w:type="spellStart"/>
      <w:r w:rsidRPr="0091374D">
        <w:rPr>
          <w:rFonts w:ascii="Times New Roman" w:hAnsi="Times New Roman" w:cs="Times New Roman"/>
          <w:sz w:val="24"/>
          <w:szCs w:val="24"/>
        </w:rPr>
        <w:t>Rath</w:t>
      </w:r>
      <w:proofErr w:type="spellEnd"/>
      <w:r w:rsidRPr="0091374D">
        <w:rPr>
          <w:rFonts w:ascii="Times New Roman" w:hAnsi="Times New Roman" w:cs="Times New Roman"/>
          <w:sz w:val="24"/>
          <w:szCs w:val="24"/>
        </w:rPr>
        <w:t xml:space="preserve">, A. K. (2016) “A Study on Financial Statement Analysis of Tata Steel Odisha Project, Kalinga Nagar”, </w:t>
      </w:r>
      <w:r w:rsidRPr="0091374D">
        <w:rPr>
          <w:rFonts w:ascii="Times New Roman" w:hAnsi="Times New Roman" w:cs="Times New Roman"/>
          <w:i/>
          <w:sz w:val="24"/>
          <w:szCs w:val="24"/>
        </w:rPr>
        <w:t>Journal of Research in Business and Management</w:t>
      </w:r>
      <w:r w:rsidRPr="0091374D">
        <w:rPr>
          <w:rFonts w:ascii="Times New Roman" w:hAnsi="Times New Roman" w:cs="Times New Roman"/>
          <w:sz w:val="24"/>
          <w:szCs w:val="24"/>
        </w:rPr>
        <w:t>, Volume 4, Issue 10, pp: 49-60</w:t>
      </w:r>
    </w:p>
    <w:p w:rsidR="00CE10B4" w:rsidRPr="0091374D" w:rsidRDefault="00CE10B4" w:rsidP="00CE10B4">
      <w:pPr>
        <w:pStyle w:val="ListParagraph"/>
        <w:numPr>
          <w:ilvl w:val="0"/>
          <w:numId w:val="4"/>
        </w:numPr>
        <w:autoSpaceDE w:val="0"/>
        <w:autoSpaceDN w:val="0"/>
        <w:adjustRightInd w:val="0"/>
        <w:spacing w:after="12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 xml:space="preserve">VENKATESAN, T., &amp; NAGARAJAN, S. K. (2012) “AN EMPIRICAL STUDY OF PROFITABILITY ANALYSIS OF SELECTED STEEL COMPANIES IN INDIA”, </w:t>
      </w:r>
      <w:r w:rsidRPr="0091374D">
        <w:rPr>
          <w:rFonts w:ascii="Times New Roman" w:hAnsi="Times New Roman" w:cs="Times New Roman"/>
          <w:i/>
          <w:sz w:val="24"/>
          <w:szCs w:val="24"/>
        </w:rPr>
        <w:t>International Journal of Marketing, Financial Services &amp; Management Research</w:t>
      </w:r>
      <w:r w:rsidRPr="0091374D">
        <w:rPr>
          <w:rFonts w:ascii="Times New Roman" w:hAnsi="Times New Roman" w:cs="Times New Roman"/>
          <w:sz w:val="24"/>
          <w:szCs w:val="24"/>
        </w:rPr>
        <w:t>, 1 (10)</w:t>
      </w:r>
    </w:p>
    <w:p w:rsidR="00CE10B4" w:rsidRPr="0091374D" w:rsidRDefault="00CE10B4" w:rsidP="00CE10B4">
      <w:pPr>
        <w:pStyle w:val="ListParagraph"/>
        <w:numPr>
          <w:ilvl w:val="0"/>
          <w:numId w:val="4"/>
        </w:numPr>
        <w:autoSpaceDE w:val="0"/>
        <w:autoSpaceDN w:val="0"/>
        <w:adjustRightInd w:val="0"/>
        <w:spacing w:after="120" w:line="240" w:lineRule="auto"/>
        <w:ind w:left="0" w:firstLine="0"/>
        <w:jc w:val="both"/>
        <w:rPr>
          <w:rFonts w:ascii="Times New Roman" w:hAnsi="Times New Roman" w:cs="Times New Roman"/>
          <w:sz w:val="24"/>
          <w:szCs w:val="24"/>
        </w:rPr>
      </w:pPr>
      <w:proofErr w:type="spellStart"/>
      <w:r w:rsidRPr="0091374D">
        <w:rPr>
          <w:rFonts w:ascii="Times New Roman" w:hAnsi="Times New Roman" w:cs="Times New Roman"/>
          <w:sz w:val="24"/>
          <w:szCs w:val="24"/>
        </w:rPr>
        <w:t>Anand</w:t>
      </w:r>
      <w:proofErr w:type="spellEnd"/>
      <w:r w:rsidRPr="0091374D">
        <w:rPr>
          <w:rFonts w:ascii="Times New Roman" w:hAnsi="Times New Roman" w:cs="Times New Roman"/>
          <w:sz w:val="24"/>
          <w:szCs w:val="24"/>
        </w:rPr>
        <w:t xml:space="preserve">, M. “A Study of Financial Analysis in Textile Sector”, </w:t>
      </w:r>
      <w:r w:rsidRPr="0091374D">
        <w:rPr>
          <w:rFonts w:ascii="Times New Roman" w:hAnsi="Times New Roman" w:cs="Times New Roman"/>
          <w:i/>
          <w:sz w:val="24"/>
          <w:szCs w:val="24"/>
        </w:rPr>
        <w:t>Journal of Business Management &amp; Social Sciences Research</w:t>
      </w:r>
      <w:r w:rsidRPr="0091374D">
        <w:rPr>
          <w:rFonts w:ascii="Times New Roman" w:hAnsi="Times New Roman" w:cs="Times New Roman"/>
          <w:sz w:val="24"/>
          <w:szCs w:val="24"/>
        </w:rPr>
        <w:t>, Volume 3, Issue No.6</w:t>
      </w:r>
    </w:p>
    <w:p w:rsidR="00CE10B4" w:rsidRPr="0091374D" w:rsidRDefault="00CE10B4" w:rsidP="00CE10B4">
      <w:pPr>
        <w:pStyle w:val="ListParagraph"/>
        <w:numPr>
          <w:ilvl w:val="0"/>
          <w:numId w:val="4"/>
        </w:numPr>
        <w:autoSpaceDE w:val="0"/>
        <w:autoSpaceDN w:val="0"/>
        <w:adjustRightInd w:val="0"/>
        <w:spacing w:after="12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 xml:space="preserve">Brigham &amp; Johnson, </w:t>
      </w:r>
      <w:r w:rsidRPr="0091374D">
        <w:rPr>
          <w:rFonts w:ascii="Times New Roman" w:hAnsi="Times New Roman" w:cs="Times New Roman"/>
          <w:i/>
          <w:sz w:val="24"/>
          <w:szCs w:val="24"/>
        </w:rPr>
        <w:t>Fundamental of Financial Management</w:t>
      </w:r>
      <w:r w:rsidRPr="0091374D">
        <w:rPr>
          <w:rFonts w:ascii="Times New Roman" w:hAnsi="Times New Roman" w:cs="Times New Roman"/>
          <w:sz w:val="24"/>
          <w:szCs w:val="24"/>
        </w:rPr>
        <w:t>, 12</w:t>
      </w:r>
      <w:r w:rsidRPr="0091374D">
        <w:rPr>
          <w:rFonts w:ascii="Times New Roman" w:hAnsi="Times New Roman" w:cs="Times New Roman"/>
          <w:sz w:val="24"/>
          <w:szCs w:val="24"/>
          <w:vertAlign w:val="superscript"/>
        </w:rPr>
        <w:t>th</w:t>
      </w:r>
      <w:r w:rsidRPr="0091374D">
        <w:rPr>
          <w:rFonts w:ascii="Times New Roman" w:hAnsi="Times New Roman" w:cs="Times New Roman"/>
          <w:sz w:val="24"/>
          <w:szCs w:val="24"/>
        </w:rPr>
        <w:t xml:space="preserve"> Edition, Cengage Learning</w:t>
      </w:r>
    </w:p>
    <w:p w:rsidR="00CE10B4" w:rsidRPr="0091374D" w:rsidRDefault="00CE10B4" w:rsidP="00CE10B4">
      <w:pPr>
        <w:pStyle w:val="ListParagraph"/>
        <w:numPr>
          <w:ilvl w:val="0"/>
          <w:numId w:val="4"/>
        </w:numPr>
        <w:autoSpaceDE w:val="0"/>
        <w:autoSpaceDN w:val="0"/>
        <w:adjustRightInd w:val="0"/>
        <w:spacing w:after="120" w:line="240" w:lineRule="auto"/>
        <w:ind w:left="0" w:firstLine="0"/>
        <w:jc w:val="both"/>
        <w:rPr>
          <w:rFonts w:ascii="Times New Roman" w:hAnsi="Times New Roman" w:cs="Times New Roman"/>
          <w:sz w:val="24"/>
          <w:szCs w:val="24"/>
        </w:rPr>
      </w:pPr>
      <w:r w:rsidRPr="0091374D">
        <w:rPr>
          <w:rFonts w:ascii="Times New Roman" w:hAnsi="Times New Roman" w:cs="Times New Roman"/>
          <w:sz w:val="24"/>
          <w:szCs w:val="24"/>
        </w:rPr>
        <w:t xml:space="preserve">Horne, </w:t>
      </w:r>
      <w:proofErr w:type="spellStart"/>
      <w:r w:rsidRPr="0091374D">
        <w:rPr>
          <w:rFonts w:ascii="Times New Roman" w:hAnsi="Times New Roman" w:cs="Times New Roman"/>
          <w:sz w:val="24"/>
          <w:szCs w:val="24"/>
        </w:rPr>
        <w:t>Wachowicz</w:t>
      </w:r>
      <w:proofErr w:type="spellEnd"/>
      <w:r w:rsidRPr="0091374D">
        <w:rPr>
          <w:rFonts w:ascii="Times New Roman" w:hAnsi="Times New Roman" w:cs="Times New Roman"/>
          <w:sz w:val="24"/>
          <w:szCs w:val="24"/>
        </w:rPr>
        <w:t xml:space="preserve">, </w:t>
      </w:r>
      <w:r w:rsidRPr="0091374D">
        <w:rPr>
          <w:rFonts w:ascii="Times New Roman" w:hAnsi="Times New Roman" w:cs="Times New Roman"/>
          <w:i/>
          <w:sz w:val="24"/>
          <w:szCs w:val="24"/>
        </w:rPr>
        <w:t>Fundamental of Financial Management</w:t>
      </w:r>
      <w:r w:rsidRPr="0091374D">
        <w:rPr>
          <w:rFonts w:ascii="Times New Roman" w:hAnsi="Times New Roman" w:cs="Times New Roman"/>
          <w:sz w:val="24"/>
          <w:szCs w:val="24"/>
        </w:rPr>
        <w:t>, 13</w:t>
      </w:r>
      <w:r w:rsidRPr="0091374D">
        <w:rPr>
          <w:rFonts w:ascii="Times New Roman" w:hAnsi="Times New Roman" w:cs="Times New Roman"/>
          <w:sz w:val="24"/>
          <w:szCs w:val="24"/>
          <w:vertAlign w:val="superscript"/>
        </w:rPr>
        <w:t>th</w:t>
      </w:r>
      <w:r w:rsidRPr="0091374D">
        <w:rPr>
          <w:rFonts w:ascii="Times New Roman" w:hAnsi="Times New Roman" w:cs="Times New Roman"/>
          <w:sz w:val="24"/>
          <w:szCs w:val="24"/>
        </w:rPr>
        <w:t xml:space="preserve"> Edition, PHI Learning Private Limited</w:t>
      </w:r>
    </w:p>
    <w:p w:rsidR="00CE10B4" w:rsidRPr="0091374D" w:rsidRDefault="00CE10B4" w:rsidP="00CE10B4">
      <w:pPr>
        <w:spacing w:after="120" w:line="240" w:lineRule="auto"/>
        <w:jc w:val="both"/>
        <w:rPr>
          <w:rFonts w:ascii="Times New Roman" w:hAnsi="Times New Roman" w:cs="Times New Roman"/>
          <w:sz w:val="24"/>
          <w:szCs w:val="24"/>
        </w:rPr>
      </w:pPr>
    </w:p>
    <w:sectPr w:rsidR="00CE10B4" w:rsidRPr="009137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E028C"/>
    <w:multiLevelType w:val="hybridMultilevel"/>
    <w:tmpl w:val="4A2CE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016EF"/>
    <w:multiLevelType w:val="hybridMultilevel"/>
    <w:tmpl w:val="BD38C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EE1E8D"/>
    <w:multiLevelType w:val="hybridMultilevel"/>
    <w:tmpl w:val="EF66DD4A"/>
    <w:lvl w:ilvl="0" w:tplc="315E6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9D740E"/>
    <w:multiLevelType w:val="hybridMultilevel"/>
    <w:tmpl w:val="41280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1CB3793"/>
    <w:multiLevelType w:val="hybridMultilevel"/>
    <w:tmpl w:val="204C8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0B4"/>
    <w:rsid w:val="00495332"/>
    <w:rsid w:val="006D5466"/>
    <w:rsid w:val="00A57008"/>
    <w:rsid w:val="00CE10B4"/>
    <w:rsid w:val="00D0537F"/>
    <w:rsid w:val="00ED4556"/>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0B4"/>
    <w:pPr>
      <w:spacing w:after="160" w:line="259" w:lineRule="auto"/>
    </w:pPr>
  </w:style>
  <w:style w:type="paragraph" w:styleId="Heading1">
    <w:name w:val="heading 1"/>
    <w:basedOn w:val="Normal"/>
    <w:next w:val="Normal"/>
    <w:link w:val="Heading1Char"/>
    <w:uiPriority w:val="9"/>
    <w:qFormat/>
    <w:rsid w:val="00CE10B4"/>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CE10B4"/>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0B4"/>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CE10B4"/>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CE10B4"/>
    <w:pPr>
      <w:ind w:left="720"/>
      <w:contextualSpacing/>
    </w:pPr>
  </w:style>
  <w:style w:type="table" w:styleId="TableGrid">
    <w:name w:val="Table Grid"/>
    <w:basedOn w:val="TableNormal"/>
    <w:uiPriority w:val="59"/>
    <w:rsid w:val="00CE1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10B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E1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0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0B4"/>
    <w:pPr>
      <w:spacing w:after="160" w:line="259" w:lineRule="auto"/>
    </w:pPr>
  </w:style>
  <w:style w:type="paragraph" w:styleId="Heading1">
    <w:name w:val="heading 1"/>
    <w:basedOn w:val="Normal"/>
    <w:next w:val="Normal"/>
    <w:link w:val="Heading1Char"/>
    <w:uiPriority w:val="9"/>
    <w:qFormat/>
    <w:rsid w:val="00CE10B4"/>
    <w:pPr>
      <w:keepNext/>
      <w:keepLines/>
      <w:spacing w:before="240" w:after="0" w:line="276" w:lineRule="auto"/>
      <w:outlineLvl w:val="0"/>
    </w:pPr>
    <w:rPr>
      <w:rFonts w:asciiTheme="majorHAnsi" w:eastAsiaTheme="majorEastAsia" w:hAnsiTheme="majorHAnsi" w:cstheme="majorBidi"/>
      <w:color w:val="365F91" w:themeColor="accent1" w:themeShade="BF"/>
      <w:sz w:val="32"/>
      <w:szCs w:val="40"/>
      <w:lang w:bidi="bn-BD"/>
    </w:rPr>
  </w:style>
  <w:style w:type="paragraph" w:styleId="Heading2">
    <w:name w:val="heading 2"/>
    <w:basedOn w:val="Normal"/>
    <w:next w:val="Normal"/>
    <w:link w:val="Heading2Char"/>
    <w:uiPriority w:val="9"/>
    <w:unhideWhenUsed/>
    <w:qFormat/>
    <w:rsid w:val="00CE10B4"/>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0B4"/>
    <w:rPr>
      <w:rFonts w:asciiTheme="majorHAnsi" w:eastAsiaTheme="majorEastAsia" w:hAnsiTheme="majorHAnsi" w:cstheme="majorBidi"/>
      <w:color w:val="365F91" w:themeColor="accent1" w:themeShade="BF"/>
      <w:sz w:val="32"/>
      <w:szCs w:val="40"/>
      <w:lang w:bidi="bn-BD"/>
    </w:rPr>
  </w:style>
  <w:style w:type="character" w:customStyle="1" w:styleId="Heading2Char">
    <w:name w:val="Heading 2 Char"/>
    <w:basedOn w:val="DefaultParagraphFont"/>
    <w:link w:val="Heading2"/>
    <w:uiPriority w:val="9"/>
    <w:rsid w:val="00CE10B4"/>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CE10B4"/>
    <w:pPr>
      <w:ind w:left="720"/>
      <w:contextualSpacing/>
    </w:pPr>
  </w:style>
  <w:style w:type="table" w:styleId="TableGrid">
    <w:name w:val="Table Grid"/>
    <w:basedOn w:val="TableNormal"/>
    <w:uiPriority w:val="59"/>
    <w:rsid w:val="00CE1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E10B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E10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0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2815</Words>
  <Characters>16047</Characters>
  <Application>Microsoft Office Word</Application>
  <DocSecurity>0</DocSecurity>
  <Lines>133</Lines>
  <Paragraphs>37</Paragraphs>
  <ScaleCrop>false</ScaleCrop>
  <Company/>
  <LinksUpToDate>false</LinksUpToDate>
  <CharactersWithSpaces>18825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MOHAMMAD ATIQUR RAHMAN</cp:lastModifiedBy>
  <cp:revision>6</cp:revision>
  <dcterms:created xsi:type="dcterms:W3CDTF">2019-01-08T15:14:00Z</dcterms:created>
  <dcterms:modified xsi:type="dcterms:W3CDTF">2019-01-13T08:39:00Z</dcterms:modified>
</cp:coreProperties>
</file>