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729A9">
      <w:pPr>
        <w:spacing w:after="161" w:line="234" w:lineRule="auto"/>
        <w:ind w:left="369" w:right="431"/>
        <w:jc w:val="center"/>
        <w:rPr>
          <w:b/>
          <w:bCs/>
          <w:sz w:val="36"/>
          <w:szCs w:val="36"/>
        </w:rPr>
      </w:pPr>
      <w:r>
        <w:rPr>
          <w:b/>
          <w:bCs/>
          <w:sz w:val="36"/>
          <w:szCs w:val="36"/>
        </w:rPr>
        <w:t>Report On</w:t>
      </w:r>
    </w:p>
    <w:p w14:paraId="04EE3DCF">
      <w:pPr>
        <w:spacing w:after="17" w:line="251" w:lineRule="auto"/>
        <w:ind w:left="0" w:right="0" w:firstLine="0"/>
        <w:jc w:val="center"/>
        <w:rPr>
          <w:b/>
          <w:bCs/>
          <w:sz w:val="36"/>
          <w:szCs w:val="36"/>
        </w:rPr>
      </w:pPr>
      <w:r>
        <w:rPr>
          <w:b/>
          <w:bCs/>
          <w:sz w:val="36"/>
          <w:szCs w:val="36"/>
        </w:rPr>
        <w:t>HR PRACTICES AND LEAVE MANAGEMENT SYSTEM AT TRUST BANK</w:t>
      </w:r>
    </w:p>
    <w:p w14:paraId="56E9257D">
      <w:pPr>
        <w:spacing w:after="160" w:line="278" w:lineRule="auto"/>
        <w:ind w:left="0" w:right="0" w:firstLine="0"/>
        <w:jc w:val="center"/>
        <w:rPr>
          <w:sz w:val="22"/>
          <w:szCs w:val="22"/>
        </w:rPr>
      </w:pPr>
    </w:p>
    <w:p w14:paraId="1F51684F">
      <w:pPr>
        <w:spacing w:after="160" w:line="278" w:lineRule="auto"/>
        <w:ind w:left="0" w:right="0" w:firstLine="0"/>
        <w:jc w:val="center"/>
        <w:rPr>
          <w:sz w:val="22"/>
          <w:szCs w:val="22"/>
        </w:rPr>
      </w:pPr>
    </w:p>
    <w:p w14:paraId="650EC1C3">
      <w:pPr>
        <w:spacing w:after="160" w:line="278" w:lineRule="auto"/>
        <w:ind w:left="0" w:right="0" w:firstLine="0"/>
        <w:jc w:val="center"/>
        <w:rPr>
          <w:sz w:val="22"/>
          <w:szCs w:val="22"/>
        </w:rPr>
      </w:pPr>
    </w:p>
    <w:p w14:paraId="75AC46AE">
      <w:pPr>
        <w:spacing w:after="160" w:line="278" w:lineRule="auto"/>
        <w:ind w:left="0" w:right="0" w:firstLine="0"/>
        <w:jc w:val="center"/>
        <w:rPr>
          <w:sz w:val="22"/>
          <w:szCs w:val="22"/>
        </w:rPr>
      </w:pPr>
    </w:p>
    <w:p w14:paraId="1159DC0C">
      <w:pPr>
        <w:spacing w:after="160" w:line="278" w:lineRule="auto"/>
        <w:ind w:left="0" w:right="0" w:firstLine="0"/>
        <w:jc w:val="center"/>
        <w:rPr>
          <w:sz w:val="22"/>
          <w:szCs w:val="22"/>
        </w:rPr>
      </w:pPr>
    </w:p>
    <w:p w14:paraId="3366E9D8">
      <w:pPr>
        <w:spacing w:after="160" w:line="278" w:lineRule="auto"/>
        <w:ind w:left="0" w:right="0" w:firstLine="0"/>
        <w:jc w:val="center"/>
        <w:rPr>
          <w:sz w:val="22"/>
          <w:szCs w:val="22"/>
        </w:rPr>
      </w:pPr>
    </w:p>
    <w:p w14:paraId="281BB2BE">
      <w:pPr>
        <w:spacing w:after="160" w:line="278" w:lineRule="auto"/>
        <w:ind w:left="0" w:right="0" w:firstLine="0"/>
        <w:jc w:val="center"/>
      </w:pPr>
      <w:r>
        <w:t>BY</w:t>
      </w:r>
    </w:p>
    <w:p w14:paraId="746C0D10">
      <w:pPr>
        <w:spacing w:after="160" w:line="278" w:lineRule="auto"/>
        <w:ind w:left="0" w:right="0" w:firstLine="0"/>
        <w:jc w:val="center"/>
      </w:pPr>
      <w:r>
        <w:t>AFSHIN ANBAR KHAN</w:t>
      </w:r>
    </w:p>
    <w:p w14:paraId="14F953F6">
      <w:pPr>
        <w:spacing w:after="160" w:line="278" w:lineRule="auto"/>
        <w:ind w:left="0" w:right="0" w:firstLine="0"/>
        <w:jc w:val="center"/>
      </w:pPr>
      <w:r>
        <w:t>111192032</w:t>
      </w:r>
    </w:p>
    <w:p w14:paraId="51CAF1C9">
      <w:pPr>
        <w:spacing w:after="160" w:line="278" w:lineRule="auto"/>
        <w:ind w:left="0" w:right="0" w:firstLine="0"/>
        <w:jc w:val="center"/>
        <w:rPr>
          <w:sz w:val="22"/>
          <w:szCs w:val="22"/>
        </w:rPr>
      </w:pPr>
    </w:p>
    <w:p w14:paraId="3476CAC3">
      <w:pPr>
        <w:spacing w:after="160" w:line="278" w:lineRule="auto"/>
        <w:ind w:left="0" w:right="0" w:firstLine="0"/>
        <w:jc w:val="center"/>
        <w:rPr>
          <w:sz w:val="22"/>
          <w:szCs w:val="22"/>
        </w:rPr>
      </w:pPr>
    </w:p>
    <w:p w14:paraId="4F296F6C">
      <w:pPr>
        <w:spacing w:after="160" w:line="278" w:lineRule="auto"/>
        <w:ind w:left="0" w:right="0" w:firstLine="0"/>
        <w:jc w:val="center"/>
        <w:rPr>
          <w:sz w:val="22"/>
          <w:szCs w:val="22"/>
        </w:rPr>
      </w:pPr>
    </w:p>
    <w:p w14:paraId="536D1693">
      <w:pPr>
        <w:spacing w:after="160" w:line="278" w:lineRule="auto"/>
        <w:ind w:left="0" w:right="0" w:firstLine="0"/>
        <w:jc w:val="center"/>
        <w:rPr>
          <w:sz w:val="22"/>
          <w:szCs w:val="22"/>
        </w:rPr>
      </w:pPr>
    </w:p>
    <w:p w14:paraId="455056FB">
      <w:pPr>
        <w:spacing w:after="118" w:line="259" w:lineRule="auto"/>
        <w:ind w:right="66"/>
        <w:jc w:val="center"/>
        <w:rPr>
          <w:sz w:val="22"/>
          <w:szCs w:val="22"/>
        </w:rPr>
      </w:pPr>
      <w:r>
        <w:rPr>
          <w:sz w:val="22"/>
          <w:szCs w:val="22"/>
        </w:rPr>
        <w:t xml:space="preserve">This report submitted to School of Business of Business and Economics, United International university Business School in partial fulfillment of </w:t>
      </w:r>
    </w:p>
    <w:p w14:paraId="3625AD02">
      <w:pPr>
        <w:spacing w:after="279" w:line="259" w:lineRule="auto"/>
        <w:ind w:right="74"/>
        <w:jc w:val="center"/>
        <w:rPr>
          <w:sz w:val="22"/>
          <w:szCs w:val="22"/>
        </w:rPr>
      </w:pPr>
      <w:r>
        <w:rPr>
          <w:sz w:val="22"/>
          <w:szCs w:val="22"/>
        </w:rPr>
        <w:t xml:space="preserve">Bachelor of Business Administration (BBA) </w:t>
      </w:r>
    </w:p>
    <w:p w14:paraId="467D7037">
      <w:pPr>
        <w:spacing w:after="17" w:line="251" w:lineRule="auto"/>
        <w:ind w:left="0" w:right="0" w:firstLine="0"/>
        <w:jc w:val="center"/>
        <w:rPr>
          <w:b/>
          <w:bCs/>
          <w:sz w:val="32"/>
          <w:szCs w:val="32"/>
        </w:rPr>
      </w:pPr>
      <w:r>
        <w:rPr>
          <w:sz w:val="22"/>
          <w:szCs w:val="22"/>
        </w:rPr>
        <w:br w:type="page"/>
      </w:r>
      <w:r>
        <w:rPr>
          <w:b/>
          <w:bCs/>
          <w:sz w:val="32"/>
          <w:szCs w:val="32"/>
        </w:rPr>
        <w:t>HR PRACTICES AND LEAVE MANAGEMENT SYSTEM AT TRUST BANK</w:t>
      </w:r>
    </w:p>
    <w:p w14:paraId="6A16C52D">
      <w:pPr>
        <w:spacing w:after="160" w:line="278" w:lineRule="auto"/>
        <w:ind w:left="0" w:right="0" w:firstLine="0"/>
        <w:jc w:val="center"/>
        <w:rPr>
          <w:sz w:val="22"/>
          <w:szCs w:val="22"/>
        </w:rPr>
      </w:pPr>
    </w:p>
    <w:p w14:paraId="192C7601">
      <w:pPr>
        <w:spacing w:after="160" w:line="278" w:lineRule="auto"/>
        <w:ind w:left="0" w:right="0" w:firstLine="0"/>
        <w:jc w:val="center"/>
        <w:rPr>
          <w:sz w:val="22"/>
          <w:szCs w:val="22"/>
        </w:rPr>
      </w:pPr>
    </w:p>
    <w:p w14:paraId="7A6D49BF">
      <w:pPr>
        <w:spacing w:after="160" w:line="278" w:lineRule="auto"/>
        <w:ind w:left="0" w:right="0" w:firstLine="0"/>
        <w:jc w:val="center"/>
        <w:rPr>
          <w:b/>
          <w:bCs/>
          <w:sz w:val="28"/>
          <w:szCs w:val="28"/>
        </w:rPr>
      </w:pPr>
      <w:r>
        <w:rPr>
          <w:b/>
          <w:bCs/>
          <w:sz w:val="28"/>
          <w:szCs w:val="28"/>
        </w:rPr>
        <w:t>Submitted to:</w:t>
      </w:r>
    </w:p>
    <w:p w14:paraId="0AA1E78F">
      <w:pPr>
        <w:spacing w:after="160" w:line="278" w:lineRule="auto"/>
        <w:ind w:left="0" w:right="0" w:firstLine="0"/>
        <w:jc w:val="center"/>
        <w:rPr>
          <w:sz w:val="22"/>
          <w:szCs w:val="22"/>
        </w:rPr>
      </w:pPr>
      <w:r>
        <w:rPr>
          <w:sz w:val="22"/>
          <w:szCs w:val="22"/>
        </w:rPr>
        <w:t>Nasrin Akter</w:t>
      </w:r>
    </w:p>
    <w:p w14:paraId="5F6A864A">
      <w:pPr>
        <w:spacing w:after="160" w:line="278" w:lineRule="auto"/>
        <w:ind w:left="0" w:right="0" w:firstLine="0"/>
        <w:jc w:val="center"/>
        <w:rPr>
          <w:sz w:val="22"/>
          <w:szCs w:val="22"/>
        </w:rPr>
      </w:pPr>
      <w:r>
        <w:rPr>
          <w:sz w:val="22"/>
          <w:szCs w:val="22"/>
        </w:rPr>
        <w:t>Assistant Professor</w:t>
      </w:r>
    </w:p>
    <w:p w14:paraId="1921CC29">
      <w:pPr>
        <w:spacing w:after="160" w:line="278" w:lineRule="auto"/>
        <w:ind w:left="0" w:right="0" w:firstLine="0"/>
        <w:jc w:val="center"/>
        <w:rPr>
          <w:sz w:val="22"/>
          <w:szCs w:val="22"/>
        </w:rPr>
      </w:pPr>
      <w:r>
        <w:rPr>
          <w:sz w:val="22"/>
          <w:szCs w:val="22"/>
        </w:rPr>
        <w:t>School of Business &amp; Economics</w:t>
      </w:r>
    </w:p>
    <w:p w14:paraId="2BC46CE6">
      <w:pPr>
        <w:spacing w:after="160" w:line="278" w:lineRule="auto"/>
        <w:ind w:left="0" w:right="0" w:firstLine="0"/>
        <w:jc w:val="center"/>
        <w:rPr>
          <w:sz w:val="22"/>
          <w:szCs w:val="22"/>
        </w:rPr>
      </w:pPr>
    </w:p>
    <w:p w14:paraId="16F6F753">
      <w:pPr>
        <w:spacing w:after="160" w:line="278" w:lineRule="auto"/>
        <w:ind w:left="0" w:right="0" w:firstLine="0"/>
        <w:jc w:val="center"/>
        <w:rPr>
          <w:b/>
          <w:bCs/>
          <w:sz w:val="28"/>
          <w:szCs w:val="28"/>
        </w:rPr>
      </w:pPr>
    </w:p>
    <w:p w14:paraId="1CD39572">
      <w:pPr>
        <w:spacing w:after="160" w:line="278" w:lineRule="auto"/>
        <w:ind w:left="0" w:right="0" w:firstLine="0"/>
        <w:jc w:val="center"/>
        <w:rPr>
          <w:b/>
          <w:bCs/>
          <w:sz w:val="28"/>
          <w:szCs w:val="28"/>
        </w:rPr>
      </w:pPr>
      <w:r>
        <w:rPr>
          <w:b/>
          <w:bCs/>
          <w:sz w:val="28"/>
          <w:szCs w:val="28"/>
        </w:rPr>
        <w:t>Submitted by:</w:t>
      </w:r>
    </w:p>
    <w:p w14:paraId="226A5036">
      <w:pPr>
        <w:spacing w:after="160" w:line="278" w:lineRule="auto"/>
        <w:ind w:left="0" w:right="0" w:firstLine="0"/>
        <w:jc w:val="center"/>
        <w:rPr>
          <w:sz w:val="22"/>
          <w:szCs w:val="22"/>
        </w:rPr>
      </w:pPr>
      <w:r>
        <w:rPr>
          <w:sz w:val="22"/>
          <w:szCs w:val="22"/>
        </w:rPr>
        <w:t>Afshin Anbar Khan</w:t>
      </w:r>
    </w:p>
    <w:p w14:paraId="39F9CE2D">
      <w:pPr>
        <w:spacing w:after="160" w:line="278" w:lineRule="auto"/>
        <w:ind w:left="0" w:right="0" w:firstLine="0"/>
        <w:jc w:val="center"/>
        <w:rPr>
          <w:sz w:val="22"/>
          <w:szCs w:val="22"/>
        </w:rPr>
      </w:pPr>
      <w:r>
        <w:rPr>
          <w:sz w:val="22"/>
          <w:szCs w:val="22"/>
        </w:rPr>
        <w:t>111192032</w:t>
      </w:r>
    </w:p>
    <w:p w14:paraId="5621B8F4">
      <w:pPr>
        <w:spacing w:after="160" w:line="278" w:lineRule="auto"/>
        <w:ind w:left="0" w:right="0" w:firstLine="0"/>
        <w:jc w:val="center"/>
        <w:rPr>
          <w:sz w:val="22"/>
          <w:szCs w:val="22"/>
        </w:rPr>
      </w:pPr>
      <w:r>
        <w:rPr>
          <w:sz w:val="22"/>
          <w:szCs w:val="22"/>
        </w:rPr>
        <w:t>Human Resource Management</w:t>
      </w:r>
    </w:p>
    <w:p w14:paraId="79E831F2">
      <w:pPr>
        <w:spacing w:after="160" w:line="278" w:lineRule="auto"/>
        <w:ind w:left="0" w:right="0" w:firstLine="0"/>
        <w:jc w:val="center"/>
        <w:rPr>
          <w:sz w:val="22"/>
          <w:szCs w:val="22"/>
        </w:rPr>
      </w:pPr>
    </w:p>
    <w:p w14:paraId="7E6ADEFD">
      <w:pPr>
        <w:spacing w:after="160" w:line="278" w:lineRule="auto"/>
        <w:ind w:left="0" w:right="0" w:firstLine="0"/>
        <w:jc w:val="center"/>
        <w:rPr>
          <w:sz w:val="22"/>
          <w:szCs w:val="22"/>
        </w:rPr>
      </w:pPr>
    </w:p>
    <w:p w14:paraId="56148F1B">
      <w:pPr>
        <w:spacing w:after="160" w:line="278" w:lineRule="auto"/>
        <w:ind w:left="0" w:right="0" w:firstLine="0"/>
        <w:jc w:val="center"/>
        <w:rPr>
          <w:sz w:val="22"/>
          <w:szCs w:val="22"/>
        </w:rPr>
      </w:pPr>
    </w:p>
    <w:p w14:paraId="5D775105">
      <w:pPr>
        <w:spacing w:after="160" w:line="278" w:lineRule="auto"/>
        <w:ind w:left="0" w:right="0" w:firstLine="0"/>
        <w:jc w:val="center"/>
        <w:rPr>
          <w:sz w:val="22"/>
          <w:szCs w:val="22"/>
        </w:rPr>
      </w:pPr>
      <w:r>
        <w:rPr>
          <w:sz w:val="22"/>
          <w:szCs w:val="22"/>
        </w:rPr>
        <w:drawing>
          <wp:inline distT="0" distB="0" distL="0" distR="0">
            <wp:extent cx="724535" cy="662305"/>
            <wp:effectExtent l="0" t="0" r="0" b="4445"/>
            <wp:docPr id="2" name="Picture 2" descr="https://upload.wikimedia.org/wikipedia/en/thumb/6/6b/United_International_University_Monogram.svg/200px-United_International_University_Mon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thumb/6/6b/United_International_University_Monogram.svg/200px-United_International_University_Monogram.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26922" cy="664448"/>
                    </a:xfrm>
                    <a:prstGeom prst="rect">
                      <a:avLst/>
                    </a:prstGeom>
                    <a:noFill/>
                    <a:ln>
                      <a:noFill/>
                    </a:ln>
                  </pic:spPr>
                </pic:pic>
              </a:graphicData>
            </a:graphic>
          </wp:inline>
        </w:drawing>
      </w:r>
    </w:p>
    <w:p w14:paraId="0AFEF7E4">
      <w:pPr>
        <w:spacing w:after="160" w:line="278" w:lineRule="auto"/>
        <w:ind w:left="0" w:right="0" w:firstLine="0"/>
        <w:jc w:val="center"/>
        <w:rPr>
          <w:sz w:val="22"/>
          <w:szCs w:val="22"/>
        </w:rPr>
      </w:pPr>
      <w:r>
        <w:rPr>
          <w:sz w:val="22"/>
          <w:szCs w:val="22"/>
        </w:rPr>
        <w:t>School of Business &amp; Economics</w:t>
      </w:r>
    </w:p>
    <w:p w14:paraId="48DEA645">
      <w:pPr>
        <w:spacing w:after="160" w:line="278" w:lineRule="auto"/>
        <w:ind w:left="0" w:right="0" w:firstLine="0"/>
        <w:jc w:val="center"/>
        <w:rPr>
          <w:sz w:val="22"/>
          <w:szCs w:val="22"/>
        </w:rPr>
      </w:pPr>
      <w:r>
        <w:rPr>
          <w:sz w:val="22"/>
          <w:szCs w:val="22"/>
        </w:rPr>
        <w:t>United International University</w:t>
      </w:r>
    </w:p>
    <w:p w14:paraId="0E5C76B4">
      <w:pPr>
        <w:spacing w:after="160" w:line="278" w:lineRule="auto"/>
        <w:ind w:left="0" w:right="0" w:firstLine="0"/>
        <w:jc w:val="center"/>
        <w:rPr>
          <w:b/>
          <w:bCs/>
          <w:sz w:val="22"/>
          <w:szCs w:val="22"/>
        </w:rPr>
      </w:pPr>
    </w:p>
    <w:p w14:paraId="39FC33C8">
      <w:pPr>
        <w:spacing w:after="160" w:line="278" w:lineRule="auto"/>
        <w:ind w:left="0" w:right="0" w:firstLine="0"/>
        <w:jc w:val="center"/>
        <w:rPr>
          <w:sz w:val="28"/>
          <w:szCs w:val="28"/>
        </w:rPr>
      </w:pPr>
      <w:r>
        <w:rPr>
          <w:b/>
          <w:bCs/>
          <w:sz w:val="28"/>
          <w:szCs w:val="28"/>
        </w:rPr>
        <w:t xml:space="preserve">Date of Submission: </w:t>
      </w:r>
      <w:r>
        <w:rPr>
          <w:sz w:val="28"/>
          <w:szCs w:val="28"/>
        </w:rPr>
        <w:t>04 august, 2025</w:t>
      </w:r>
    </w:p>
    <w:p w14:paraId="3F262706">
      <w:pPr>
        <w:spacing w:after="160" w:line="278" w:lineRule="auto"/>
        <w:ind w:left="0" w:right="0" w:firstLine="0"/>
        <w:jc w:val="center"/>
        <w:rPr>
          <w:sz w:val="28"/>
          <w:szCs w:val="28"/>
        </w:rPr>
      </w:pPr>
    </w:p>
    <w:p w14:paraId="52C78AED">
      <w:pPr>
        <w:spacing w:after="160" w:line="278" w:lineRule="auto"/>
        <w:ind w:left="0" w:right="0" w:firstLine="0"/>
        <w:jc w:val="center"/>
        <w:rPr>
          <w:sz w:val="28"/>
          <w:szCs w:val="28"/>
        </w:rPr>
      </w:pPr>
    </w:p>
    <w:p w14:paraId="47A7154C">
      <w:pPr>
        <w:spacing w:after="160" w:line="278" w:lineRule="auto"/>
        <w:ind w:left="0" w:right="0" w:firstLine="0"/>
        <w:jc w:val="center"/>
        <w:rPr>
          <w:sz w:val="22"/>
          <w:szCs w:val="22"/>
        </w:rPr>
      </w:pPr>
    </w:p>
    <w:p w14:paraId="124C09C3">
      <w:pPr>
        <w:pStyle w:val="2"/>
        <w:ind w:left="-5"/>
        <w:rPr>
          <w:rFonts w:ascii="Times New Roman" w:hAnsi="Times New Roman" w:cs="Times New Roman"/>
          <w:b/>
          <w:bCs/>
          <w:sz w:val="32"/>
          <w:szCs w:val="32"/>
        </w:rPr>
        <w:sectPr>
          <w:footerReference r:id="rId5" w:type="default"/>
          <w:pgSz w:w="12240" w:h="15840"/>
          <w:pgMar w:top="1440" w:right="1440" w:bottom="1440" w:left="1440" w:header="720" w:footer="720" w:gutter="0"/>
          <w:cols w:space="720" w:num="1"/>
          <w:docGrid w:linePitch="360" w:charSpace="0"/>
        </w:sectPr>
      </w:pPr>
      <w:bookmarkStart w:id="0" w:name="_Toc47247"/>
    </w:p>
    <w:p w14:paraId="0AE8F307">
      <w:pPr>
        <w:pStyle w:val="2"/>
        <w:ind w:left="-5"/>
        <w:rPr>
          <w:rFonts w:ascii="Times New Roman" w:hAnsi="Times New Roman" w:cs="Times New Roman"/>
          <w:b/>
          <w:bCs/>
          <w:sz w:val="32"/>
          <w:szCs w:val="32"/>
        </w:rPr>
      </w:pPr>
      <w:bookmarkStart w:id="1" w:name="_Toc204820946"/>
      <w:r>
        <w:rPr>
          <w:rFonts w:ascii="Times New Roman" w:hAnsi="Times New Roman" w:cs="Times New Roman"/>
          <w:b/>
          <w:bCs/>
          <w:sz w:val="32"/>
          <w:szCs w:val="32"/>
        </w:rPr>
        <w:t>Letter of Transmittal</w:t>
      </w:r>
      <w:bookmarkEnd w:id="1"/>
      <w:r>
        <w:rPr>
          <w:rFonts w:ascii="Times New Roman" w:hAnsi="Times New Roman" w:cs="Times New Roman"/>
          <w:b/>
          <w:bCs/>
          <w:sz w:val="32"/>
          <w:szCs w:val="32"/>
        </w:rPr>
        <w:t xml:space="preserve">  </w:t>
      </w:r>
      <w:bookmarkEnd w:id="0"/>
    </w:p>
    <w:p w14:paraId="66666F84">
      <w:pPr>
        <w:rPr>
          <w:b/>
          <w:bCs/>
          <w:sz w:val="22"/>
          <w:szCs w:val="22"/>
        </w:rPr>
      </w:pPr>
    </w:p>
    <w:p w14:paraId="559C28DF">
      <w:pPr>
        <w:spacing w:after="160" w:line="360" w:lineRule="auto"/>
        <w:ind w:left="0" w:right="0" w:firstLine="0"/>
        <w:rPr>
          <w:sz w:val="22"/>
          <w:szCs w:val="22"/>
        </w:rPr>
      </w:pPr>
      <w:r>
        <w:rPr>
          <w:sz w:val="22"/>
          <w:szCs w:val="22"/>
        </w:rPr>
        <w:t>Nasrin Akter</w:t>
      </w:r>
    </w:p>
    <w:p w14:paraId="62D8D850">
      <w:pPr>
        <w:spacing w:after="160" w:line="360" w:lineRule="auto"/>
        <w:ind w:left="0" w:right="0" w:firstLine="0"/>
        <w:rPr>
          <w:sz w:val="22"/>
          <w:szCs w:val="22"/>
        </w:rPr>
      </w:pPr>
      <w:r>
        <w:rPr>
          <w:sz w:val="22"/>
          <w:szCs w:val="22"/>
        </w:rPr>
        <w:t>Assistant Professor</w:t>
      </w:r>
    </w:p>
    <w:p w14:paraId="33EF6515">
      <w:pPr>
        <w:spacing w:after="160" w:line="360" w:lineRule="auto"/>
        <w:ind w:left="0" w:right="0" w:firstLine="0"/>
        <w:rPr>
          <w:sz w:val="22"/>
          <w:szCs w:val="22"/>
        </w:rPr>
      </w:pPr>
      <w:r>
        <w:rPr>
          <w:sz w:val="22"/>
          <w:szCs w:val="22"/>
        </w:rPr>
        <w:t>School of Business &amp; Economics</w:t>
      </w:r>
    </w:p>
    <w:p w14:paraId="485BF593">
      <w:pPr>
        <w:spacing w:after="160" w:line="360" w:lineRule="auto"/>
        <w:ind w:left="0" w:right="0" w:firstLine="0"/>
        <w:rPr>
          <w:sz w:val="22"/>
          <w:szCs w:val="22"/>
        </w:rPr>
      </w:pPr>
    </w:p>
    <w:p w14:paraId="2482EEE7">
      <w:pPr>
        <w:tabs>
          <w:tab w:val="left" w:pos="4760"/>
        </w:tabs>
        <w:spacing w:after="160" w:line="360" w:lineRule="auto"/>
        <w:ind w:left="0" w:right="0" w:firstLine="0"/>
        <w:jc w:val="left"/>
        <w:rPr>
          <w:sz w:val="22"/>
          <w:szCs w:val="22"/>
        </w:rPr>
      </w:pPr>
      <w:r>
        <w:rPr>
          <w:sz w:val="22"/>
          <w:szCs w:val="22"/>
        </w:rPr>
        <w:t>Subject: Submission of internship report on HR Practices and Leave Management System at Trust Bank</w:t>
      </w:r>
      <w:r>
        <w:rPr>
          <w:sz w:val="22"/>
          <w:szCs w:val="22"/>
        </w:rPr>
        <w:br w:type="textWrapping"/>
      </w:r>
      <w:r>
        <w:rPr>
          <w:b/>
          <w:bCs/>
          <w:sz w:val="22"/>
          <w:szCs w:val="22"/>
        </w:rPr>
        <w:br w:type="textWrapping"/>
      </w:r>
      <w:r>
        <w:rPr>
          <w:sz w:val="22"/>
          <w:szCs w:val="22"/>
        </w:rPr>
        <w:t>Honorable Ma’am</w:t>
      </w:r>
      <w:r>
        <w:rPr>
          <w:sz w:val="22"/>
          <w:szCs w:val="22"/>
        </w:rPr>
        <w:br w:type="textWrapping"/>
      </w:r>
      <w:r>
        <w:rPr>
          <w:sz w:val="22"/>
          <w:szCs w:val="22"/>
        </w:rPr>
        <w:t xml:space="preserve">I am honored and pleased to share my internship report with you on HR Practices and Leave Management System at Trust Bank. This work was completed to fulfil the last prerequisite for our Bachelor of Business Administration degree. </w:t>
      </w:r>
      <w:r>
        <w:rPr>
          <w:sz w:val="22"/>
          <w:szCs w:val="22"/>
        </w:rPr>
        <w:br w:type="textWrapping"/>
      </w:r>
      <w:r>
        <w:rPr>
          <w:sz w:val="22"/>
          <w:szCs w:val="22"/>
        </w:rPr>
        <w:br w:type="textWrapping"/>
      </w:r>
      <w:r>
        <w:rPr>
          <w:sz w:val="22"/>
          <w:szCs w:val="22"/>
        </w:rPr>
        <w:t>By closely following to our criteria, I make every effort and work to ensure that the quality of this paper is maintained. I appreciate all of your wonderful assistance and the materials you gave me when I was an intern. Working under you, Ma’am, has been an absolute honor because I doubt, I could have completed this paper without your blessings.</w:t>
      </w:r>
    </w:p>
    <w:p w14:paraId="40745CDB">
      <w:pPr>
        <w:tabs>
          <w:tab w:val="left" w:pos="4760"/>
        </w:tabs>
        <w:spacing w:after="160" w:line="360" w:lineRule="auto"/>
        <w:ind w:left="0" w:right="0" w:firstLine="0"/>
        <w:jc w:val="left"/>
        <w:rPr>
          <w:sz w:val="22"/>
          <w:szCs w:val="22"/>
        </w:rPr>
      </w:pPr>
    </w:p>
    <w:p w14:paraId="66D6B2D3">
      <w:pPr>
        <w:tabs>
          <w:tab w:val="left" w:pos="4760"/>
        </w:tabs>
        <w:spacing w:after="160" w:line="360" w:lineRule="auto"/>
        <w:ind w:left="0" w:right="0" w:firstLine="0"/>
        <w:jc w:val="left"/>
        <w:rPr>
          <w:sz w:val="22"/>
          <w:szCs w:val="22"/>
        </w:rPr>
      </w:pPr>
    </w:p>
    <w:p w14:paraId="59E02BC9">
      <w:pPr>
        <w:spacing w:after="160" w:line="360" w:lineRule="auto"/>
        <w:ind w:left="0" w:right="0" w:firstLine="0"/>
        <w:jc w:val="left"/>
        <w:rPr>
          <w:sz w:val="22"/>
          <w:szCs w:val="22"/>
        </w:rPr>
      </w:pPr>
      <w:bookmarkStart w:id="2" w:name="_Hlk203436191"/>
      <w:r>
        <w:rPr>
          <w:sz w:val="22"/>
          <w:szCs w:val="22"/>
        </w:rPr>
        <w:t>Afshin Anbar Khan</w:t>
      </w:r>
    </w:p>
    <w:p w14:paraId="5BB2533D">
      <w:pPr>
        <w:spacing w:after="160" w:line="360" w:lineRule="auto"/>
        <w:ind w:left="0" w:right="0" w:firstLine="0"/>
        <w:jc w:val="left"/>
        <w:rPr>
          <w:sz w:val="22"/>
          <w:szCs w:val="22"/>
        </w:rPr>
      </w:pPr>
      <w:r>
        <w:rPr>
          <w:sz w:val="22"/>
          <w:szCs w:val="22"/>
        </w:rPr>
        <w:t>111192032</w:t>
      </w:r>
    </w:p>
    <w:p w14:paraId="0C91F86A">
      <w:pPr>
        <w:spacing w:after="160" w:line="360" w:lineRule="auto"/>
        <w:ind w:left="0" w:right="0" w:firstLine="0"/>
        <w:jc w:val="left"/>
        <w:rPr>
          <w:sz w:val="22"/>
          <w:szCs w:val="22"/>
        </w:rPr>
      </w:pPr>
      <w:r>
        <w:rPr>
          <w:sz w:val="22"/>
          <w:szCs w:val="22"/>
        </w:rPr>
        <w:t>Human Resource Management</w:t>
      </w:r>
    </w:p>
    <w:bookmarkEnd w:id="2"/>
    <w:p w14:paraId="401B6789">
      <w:pPr>
        <w:pStyle w:val="2"/>
        <w:ind w:left="-5"/>
        <w:rPr>
          <w:rFonts w:ascii="Times New Roman" w:hAnsi="Times New Roman" w:cs="Times New Roman"/>
          <w:b/>
          <w:bCs/>
          <w:sz w:val="22"/>
          <w:szCs w:val="22"/>
        </w:rPr>
      </w:pPr>
      <w:r>
        <w:rPr>
          <w:rFonts w:ascii="Times New Roman" w:hAnsi="Times New Roman" w:cs="Times New Roman"/>
          <w:sz w:val="22"/>
          <w:szCs w:val="22"/>
        </w:rPr>
        <w:br w:type="page"/>
      </w:r>
      <w:r>
        <w:rPr>
          <w:rFonts w:ascii="Times New Roman" w:hAnsi="Times New Roman" w:cs="Times New Roman"/>
          <w:b/>
          <w:bCs/>
          <w:sz w:val="22"/>
          <w:szCs w:val="22"/>
        </w:rPr>
        <w:t xml:space="preserve"> </w:t>
      </w:r>
      <w:bookmarkStart w:id="3" w:name="_Toc204820947"/>
      <w:r>
        <w:rPr>
          <w:rFonts w:ascii="Times New Roman" w:hAnsi="Times New Roman" w:cs="Times New Roman"/>
          <w:b/>
          <w:bCs/>
          <w:sz w:val="36"/>
          <w:szCs w:val="36"/>
        </w:rPr>
        <w:t>Declaration of the student</w:t>
      </w:r>
      <w:bookmarkEnd w:id="3"/>
      <w:r>
        <w:rPr>
          <w:rFonts w:ascii="Times New Roman" w:hAnsi="Times New Roman" w:cs="Times New Roman"/>
          <w:b/>
          <w:bCs/>
          <w:sz w:val="36"/>
          <w:szCs w:val="36"/>
        </w:rPr>
        <w:t xml:space="preserve"> </w:t>
      </w:r>
    </w:p>
    <w:p w14:paraId="6F413A8A">
      <w:pPr>
        <w:ind w:left="0" w:firstLine="0"/>
        <w:rPr>
          <w:sz w:val="22"/>
          <w:szCs w:val="22"/>
        </w:rPr>
      </w:pPr>
    </w:p>
    <w:p w14:paraId="019A7073">
      <w:pPr>
        <w:spacing w:after="160" w:line="278" w:lineRule="auto"/>
        <w:ind w:left="0" w:right="0" w:firstLine="0"/>
        <w:jc w:val="left"/>
        <w:rPr>
          <w:sz w:val="22"/>
          <w:szCs w:val="22"/>
        </w:rPr>
      </w:pPr>
      <w:r>
        <w:rPr>
          <w:sz w:val="22"/>
          <w:szCs w:val="22"/>
        </w:rPr>
        <w:t xml:space="preserve">I am Afshin Anbar Khan, student of BBA in Human Resource Management, ID 111192032 in United International University, declare that this Internship Report on “HR Practices and Leave Management System at Trust Bank” is completely my own work, under the supervision of Assistant Professor, Nasrin Akter, School of Business &amp; Economics. This report is made based on what I have observed daily during my internship at Trust bank PLC and it is not published anywhere else. I also assure you that the purpose of this report is only for my academic requirement and not for any other use.    </w:t>
      </w:r>
    </w:p>
    <w:p w14:paraId="4E936681">
      <w:pPr>
        <w:spacing w:after="160" w:line="360" w:lineRule="auto"/>
        <w:ind w:left="0" w:right="0" w:firstLine="0"/>
        <w:jc w:val="left"/>
        <w:rPr>
          <w:sz w:val="22"/>
          <w:szCs w:val="22"/>
        </w:rPr>
      </w:pPr>
      <w:r>
        <w:rPr>
          <w:sz w:val="22"/>
          <w:szCs w:val="22"/>
        </w:rPr>
        <w:t>Sincerely yours</w:t>
      </w:r>
    </w:p>
    <w:p w14:paraId="099B64DA">
      <w:pPr>
        <w:spacing w:after="160" w:line="360" w:lineRule="auto"/>
        <w:ind w:left="0" w:right="0" w:firstLine="0"/>
        <w:jc w:val="left"/>
        <w:rPr>
          <w:sz w:val="22"/>
          <w:szCs w:val="22"/>
        </w:rPr>
      </w:pPr>
    </w:p>
    <w:p w14:paraId="16BBCA0A">
      <w:pPr>
        <w:spacing w:after="160" w:line="360" w:lineRule="auto"/>
        <w:ind w:left="0" w:right="0" w:firstLine="0"/>
        <w:jc w:val="left"/>
        <w:rPr>
          <w:sz w:val="22"/>
          <w:szCs w:val="22"/>
        </w:rPr>
      </w:pPr>
    </w:p>
    <w:p w14:paraId="1773E721">
      <w:pPr>
        <w:spacing w:after="160" w:line="360" w:lineRule="auto"/>
        <w:ind w:left="0" w:right="0" w:firstLine="0"/>
        <w:jc w:val="left"/>
        <w:rPr>
          <w:sz w:val="22"/>
          <w:szCs w:val="22"/>
        </w:rPr>
      </w:pPr>
      <w:r>
        <w:rPr>
          <w:sz w:val="22"/>
          <w:szCs w:val="22"/>
        </w:rPr>
        <w:t>Afshin Anbar Khan</w:t>
      </w:r>
    </w:p>
    <w:p w14:paraId="54F4394A">
      <w:pPr>
        <w:spacing w:after="160" w:line="360" w:lineRule="auto"/>
        <w:ind w:left="0" w:right="0" w:firstLine="0"/>
        <w:jc w:val="left"/>
        <w:rPr>
          <w:sz w:val="22"/>
          <w:szCs w:val="22"/>
        </w:rPr>
      </w:pPr>
      <w:r>
        <w:rPr>
          <w:sz w:val="22"/>
          <w:szCs w:val="22"/>
        </w:rPr>
        <w:t>111192032</w:t>
      </w:r>
    </w:p>
    <w:p w14:paraId="516FC204">
      <w:pPr>
        <w:spacing w:after="160" w:line="360" w:lineRule="auto"/>
        <w:ind w:left="0" w:right="0" w:firstLine="0"/>
        <w:jc w:val="left"/>
        <w:rPr>
          <w:sz w:val="22"/>
          <w:szCs w:val="22"/>
        </w:rPr>
      </w:pPr>
      <w:r>
        <w:rPr>
          <w:sz w:val="22"/>
          <w:szCs w:val="22"/>
        </w:rPr>
        <w:t>Human Resource Management</w:t>
      </w:r>
    </w:p>
    <w:p w14:paraId="7938E55C">
      <w:pPr>
        <w:spacing w:after="160" w:line="360" w:lineRule="auto"/>
        <w:ind w:left="0" w:right="0" w:firstLine="0"/>
        <w:jc w:val="left"/>
        <w:rPr>
          <w:b/>
          <w:bCs/>
          <w:sz w:val="22"/>
          <w:szCs w:val="22"/>
        </w:rPr>
      </w:pPr>
    </w:p>
    <w:p w14:paraId="745398C0">
      <w:pPr>
        <w:spacing w:after="160" w:line="360" w:lineRule="auto"/>
        <w:ind w:left="0" w:right="0" w:firstLine="0"/>
        <w:jc w:val="left"/>
        <w:rPr>
          <w:b/>
          <w:bCs/>
          <w:sz w:val="22"/>
          <w:szCs w:val="22"/>
        </w:rPr>
      </w:pPr>
    </w:p>
    <w:p w14:paraId="24FE0C4B">
      <w:pPr>
        <w:spacing w:after="160" w:line="360" w:lineRule="auto"/>
        <w:ind w:left="0" w:right="0" w:firstLine="0"/>
        <w:jc w:val="left"/>
        <w:rPr>
          <w:b/>
          <w:bCs/>
          <w:sz w:val="22"/>
          <w:szCs w:val="22"/>
        </w:rPr>
      </w:pPr>
    </w:p>
    <w:p w14:paraId="11BC6521">
      <w:pPr>
        <w:spacing w:after="160" w:line="360" w:lineRule="auto"/>
        <w:ind w:left="0" w:right="0" w:firstLine="0"/>
        <w:jc w:val="left"/>
        <w:rPr>
          <w:b/>
          <w:bCs/>
          <w:sz w:val="22"/>
          <w:szCs w:val="22"/>
        </w:rPr>
      </w:pPr>
    </w:p>
    <w:p w14:paraId="6D3A0822">
      <w:pPr>
        <w:spacing w:after="160" w:line="360" w:lineRule="auto"/>
        <w:ind w:left="0" w:right="0" w:firstLine="0"/>
        <w:jc w:val="left"/>
        <w:rPr>
          <w:b/>
          <w:bCs/>
          <w:sz w:val="22"/>
          <w:szCs w:val="22"/>
        </w:rPr>
      </w:pPr>
    </w:p>
    <w:p w14:paraId="30DD0EDB">
      <w:pPr>
        <w:spacing w:after="160" w:line="360" w:lineRule="auto"/>
        <w:ind w:left="0" w:right="0" w:firstLine="0"/>
        <w:jc w:val="left"/>
        <w:rPr>
          <w:b/>
          <w:bCs/>
          <w:sz w:val="22"/>
          <w:szCs w:val="22"/>
        </w:rPr>
      </w:pPr>
    </w:p>
    <w:p w14:paraId="4490DC83">
      <w:pPr>
        <w:spacing w:after="160" w:line="360" w:lineRule="auto"/>
        <w:ind w:left="0" w:right="0" w:firstLine="0"/>
        <w:jc w:val="left"/>
        <w:rPr>
          <w:b/>
          <w:bCs/>
          <w:sz w:val="22"/>
          <w:szCs w:val="22"/>
        </w:rPr>
      </w:pPr>
    </w:p>
    <w:p w14:paraId="341E1B17">
      <w:pPr>
        <w:spacing w:after="160" w:line="360" w:lineRule="auto"/>
        <w:ind w:left="0" w:right="0" w:firstLine="0"/>
        <w:jc w:val="left"/>
        <w:rPr>
          <w:b/>
          <w:bCs/>
          <w:sz w:val="22"/>
          <w:szCs w:val="22"/>
        </w:rPr>
      </w:pPr>
    </w:p>
    <w:p w14:paraId="26053CE6">
      <w:pPr>
        <w:spacing w:after="160" w:line="360" w:lineRule="auto"/>
        <w:ind w:left="0" w:right="0" w:firstLine="0"/>
        <w:jc w:val="left"/>
        <w:rPr>
          <w:b/>
          <w:bCs/>
          <w:sz w:val="22"/>
          <w:szCs w:val="22"/>
        </w:rPr>
      </w:pPr>
    </w:p>
    <w:p w14:paraId="680FD3C4">
      <w:pPr>
        <w:pStyle w:val="2"/>
        <w:ind w:left="-5"/>
        <w:jc w:val="center"/>
        <w:rPr>
          <w:rFonts w:ascii="Times New Roman" w:hAnsi="Times New Roman" w:cs="Times New Roman"/>
          <w:b/>
          <w:bCs/>
          <w:sz w:val="36"/>
          <w:szCs w:val="36"/>
        </w:rPr>
      </w:pPr>
      <w:bookmarkStart w:id="4" w:name="_Toc47249"/>
    </w:p>
    <w:p w14:paraId="3589C036"/>
    <w:p w14:paraId="53FB248C">
      <w:pPr>
        <w:pStyle w:val="2"/>
        <w:ind w:left="-5"/>
        <w:jc w:val="center"/>
        <w:rPr>
          <w:rFonts w:ascii="Times New Roman" w:hAnsi="Times New Roman" w:cs="Times New Roman"/>
          <w:b/>
          <w:bCs/>
          <w:sz w:val="36"/>
          <w:szCs w:val="36"/>
        </w:rPr>
      </w:pPr>
    </w:p>
    <w:p w14:paraId="2A5F2062">
      <w:pPr>
        <w:pStyle w:val="2"/>
        <w:ind w:left="-5"/>
        <w:jc w:val="center"/>
        <w:rPr>
          <w:rFonts w:ascii="Times New Roman" w:hAnsi="Times New Roman" w:cs="Times New Roman"/>
          <w:b/>
          <w:bCs/>
          <w:sz w:val="36"/>
          <w:szCs w:val="36"/>
        </w:rPr>
      </w:pPr>
      <w:bookmarkStart w:id="5" w:name="_Toc204820948"/>
      <w:r>
        <w:rPr>
          <w:rFonts w:ascii="Times New Roman" w:hAnsi="Times New Roman" w:cs="Times New Roman"/>
          <w:b/>
          <w:bCs/>
          <w:sz w:val="36"/>
          <w:szCs w:val="36"/>
        </w:rPr>
        <w:t>Acknowledgements</w:t>
      </w:r>
      <w:bookmarkEnd w:id="4"/>
      <w:bookmarkEnd w:id="5"/>
    </w:p>
    <w:p w14:paraId="1E6A076D">
      <w:pPr>
        <w:spacing w:line="360" w:lineRule="auto"/>
        <w:ind w:left="-5" w:right="9" w:firstLine="0"/>
        <w:rPr>
          <w:sz w:val="22"/>
          <w:szCs w:val="22"/>
        </w:rPr>
      </w:pPr>
      <w:r>
        <w:rPr>
          <w:sz w:val="22"/>
          <w:szCs w:val="22"/>
        </w:rPr>
        <w:t xml:space="preserve">Many people were involved during my internship, and they guided me throughout my whole journey. They made sure that I maintain a certain standard while writing this report. I find myself lucky to have all the employees who gave me proper and legit guidelines to complete my internship. I also want to thank the Almighty Allah for giving me the chance to join with one of the reputed banking institutions in Bangladesh. Nevertheless, I express my sincere warm regards to my supervisor, Assistant Professor, Nasrin Akter, School of Business &amp; Economics, for giving me all the right materials and instructions and motivating me throughout my challenging journey and for that reason I was able to complete this report with an ease. </w:t>
      </w:r>
    </w:p>
    <w:p w14:paraId="1588BA06">
      <w:pPr>
        <w:spacing w:line="360" w:lineRule="auto"/>
        <w:ind w:left="-5" w:right="9" w:firstLine="0"/>
        <w:rPr>
          <w:sz w:val="22"/>
          <w:szCs w:val="22"/>
        </w:rPr>
      </w:pPr>
    </w:p>
    <w:p w14:paraId="5AB7E7AB">
      <w:pPr>
        <w:spacing w:line="360" w:lineRule="auto"/>
        <w:ind w:left="-5" w:right="9"/>
        <w:rPr>
          <w:sz w:val="22"/>
          <w:szCs w:val="22"/>
        </w:rPr>
      </w:pPr>
    </w:p>
    <w:p w14:paraId="4F8EBC0A">
      <w:pPr>
        <w:spacing w:line="360" w:lineRule="auto"/>
        <w:ind w:left="-5" w:right="9"/>
        <w:rPr>
          <w:sz w:val="22"/>
          <w:szCs w:val="22"/>
        </w:rPr>
      </w:pPr>
    </w:p>
    <w:p w14:paraId="2BAB2D2A">
      <w:pPr>
        <w:spacing w:line="360" w:lineRule="auto"/>
        <w:ind w:left="-5" w:right="9"/>
        <w:rPr>
          <w:sz w:val="22"/>
          <w:szCs w:val="22"/>
        </w:rPr>
      </w:pPr>
    </w:p>
    <w:p w14:paraId="4ABD8208">
      <w:pPr>
        <w:spacing w:line="360" w:lineRule="auto"/>
        <w:ind w:left="-5" w:right="9"/>
        <w:rPr>
          <w:sz w:val="22"/>
          <w:szCs w:val="22"/>
        </w:rPr>
      </w:pPr>
    </w:p>
    <w:p w14:paraId="188F190E">
      <w:pPr>
        <w:spacing w:line="360" w:lineRule="auto"/>
        <w:ind w:left="-5" w:right="9"/>
        <w:rPr>
          <w:sz w:val="22"/>
          <w:szCs w:val="22"/>
        </w:rPr>
      </w:pPr>
    </w:p>
    <w:p w14:paraId="39EFDC93">
      <w:pPr>
        <w:spacing w:line="360" w:lineRule="auto"/>
        <w:ind w:left="-5" w:right="9"/>
        <w:rPr>
          <w:sz w:val="22"/>
          <w:szCs w:val="22"/>
        </w:rPr>
      </w:pPr>
    </w:p>
    <w:p w14:paraId="5B632FA2">
      <w:pPr>
        <w:spacing w:line="360" w:lineRule="auto"/>
        <w:ind w:left="-5" w:right="9"/>
        <w:rPr>
          <w:sz w:val="22"/>
          <w:szCs w:val="22"/>
        </w:rPr>
      </w:pPr>
    </w:p>
    <w:p w14:paraId="2FF09AAA">
      <w:pPr>
        <w:pStyle w:val="2"/>
        <w:spacing w:after="313"/>
        <w:ind w:left="-5"/>
        <w:jc w:val="center"/>
        <w:rPr>
          <w:rFonts w:ascii="Times New Roman" w:hAnsi="Times New Roman" w:cs="Times New Roman"/>
          <w:b/>
          <w:bCs/>
          <w:sz w:val="22"/>
          <w:szCs w:val="22"/>
        </w:rPr>
      </w:pPr>
    </w:p>
    <w:p w14:paraId="6EA553DF">
      <w:pPr>
        <w:pStyle w:val="2"/>
        <w:spacing w:after="313"/>
        <w:ind w:left="-5"/>
        <w:jc w:val="center"/>
        <w:rPr>
          <w:rFonts w:ascii="Times New Roman" w:hAnsi="Times New Roman" w:cs="Times New Roman"/>
          <w:b/>
          <w:bCs/>
          <w:sz w:val="22"/>
          <w:szCs w:val="22"/>
        </w:rPr>
      </w:pPr>
      <w:r>
        <w:rPr>
          <w:rFonts w:ascii="Times New Roman" w:hAnsi="Times New Roman" w:cs="Times New Roman"/>
          <w:b/>
          <w:bCs/>
          <w:sz w:val="22"/>
          <w:szCs w:val="22"/>
        </w:rPr>
        <w:br w:type="textWrapping"/>
      </w:r>
      <w:bookmarkStart w:id="6" w:name="_Toc47250"/>
    </w:p>
    <w:p w14:paraId="05955196"/>
    <w:p w14:paraId="3BEAC233"/>
    <w:p w14:paraId="79BDCC78"/>
    <w:p w14:paraId="6DA1965C"/>
    <w:p w14:paraId="33F595F9"/>
    <w:p w14:paraId="25502988">
      <w:pPr>
        <w:pStyle w:val="2"/>
        <w:spacing w:after="313"/>
        <w:ind w:left="-5"/>
        <w:jc w:val="center"/>
        <w:rPr>
          <w:rFonts w:ascii="Times New Roman" w:hAnsi="Times New Roman" w:cs="Times New Roman"/>
          <w:b/>
          <w:bCs/>
          <w:sz w:val="36"/>
          <w:szCs w:val="36"/>
        </w:rPr>
      </w:pPr>
      <w:bookmarkStart w:id="7" w:name="_Toc204820949"/>
      <w:r>
        <w:rPr>
          <w:rFonts w:ascii="Times New Roman" w:hAnsi="Times New Roman" w:cs="Times New Roman"/>
          <w:b/>
          <w:bCs/>
          <w:sz w:val="36"/>
          <w:szCs w:val="36"/>
        </w:rPr>
        <w:t>Executive Summary</w:t>
      </w:r>
      <w:bookmarkEnd w:id="6"/>
      <w:bookmarkEnd w:id="7"/>
    </w:p>
    <w:p w14:paraId="04322097">
      <w:pPr>
        <w:spacing w:after="3" w:line="360" w:lineRule="auto"/>
        <w:ind w:left="0" w:right="5" w:firstLine="0"/>
        <w:rPr>
          <w:sz w:val="22"/>
          <w:szCs w:val="22"/>
        </w:rPr>
      </w:pPr>
    </w:p>
    <w:p w14:paraId="3ACAE651">
      <w:pPr>
        <w:spacing w:after="3" w:line="360" w:lineRule="auto"/>
        <w:ind w:left="360" w:right="5" w:firstLine="0"/>
        <w:rPr>
          <w:sz w:val="22"/>
          <w:szCs w:val="22"/>
        </w:rPr>
      </w:pPr>
      <w:r>
        <w:rPr>
          <w:sz w:val="22"/>
          <w:szCs w:val="22"/>
        </w:rPr>
        <w:t>According to the Banking Company’s Act-1991, Trust Bank PLC started its banking operation on July 15, 1999. It is financed and monitored by the Army Welfare Trust. They mainly provide service to Army, Navy, and Air Force. Even though their main clients are from defense background, they even give excellent service to civilians and business personnel as well. They maintained their standard of excellence by giving quality service to their clients in the last 25 years. By providing all these services, they helped all the business, firms, and institutions to grow gracefully. This study aims to identify HRM Policies of Trust Bank PLC and how they managed their leave management system. My internship at Trust Bank PLC helped me develop real-life problem-solving skills and it also gave me the ability to develop my banking knowledge in the HRM section. It will definitely help me utilize the knowledge I gained from the bank in getting jobs in near future.I was assigned to the Human Resources Department during my internship, which gave me the chance to watch and learn about the bank's internal processes. It was a very warm and professional setting. The employees were always friendly and patient with me. I was given little assignments every day that had to do with organizing documents, managing personnel data, and comprehending leave requests. I gradually came to realize how crucial the HR division is to maintaining efficient operations within the bank.I also learnt that the human resources department is crucial to maintaining employees' motivation, support, and job satisfaction; it is not simply about hiring and paying employees. The department makes sure that every worker, whether they are civilian or have a military experience, is treated fairly and with dignity.My confidence has grown as a result of the skills and information I acquired throughout this internship, which has also aided in my professional and personal development. I gained knowledge on how to act professionally, collaborate with others, and maintain concentration under pressure. By conversing with several police, asking questions, and taking in their experiences, I also had the opportunity to hone my communication abilities. An important part of my academic and professional experience was my internship at Trust Bank PLC. More significantly, it helped me to identify my interests and strengths while also providing me with the opportunity to put what I had learnt in the classroom into practice. Particularly in the HRM division, I now understand what it means to work for a professional bank. After this experience, I think I'll be able to contribute more successfully to any organization and do better in future job interviews. Trust Bank PLC has my sincere gratitude for providing me with this worthwhile chance.</w:t>
      </w:r>
    </w:p>
    <w:p w14:paraId="44D0151C">
      <w:pPr>
        <w:spacing w:after="3" w:line="360" w:lineRule="auto"/>
        <w:ind w:left="360" w:right="5" w:firstLine="0"/>
        <w:rPr>
          <w:rFonts w:hint="default"/>
          <w:sz w:val="22"/>
          <w:szCs w:val="22"/>
          <w:lang w:val="en-US"/>
        </w:rPr>
      </w:pPr>
      <w:r>
        <w:rPr>
          <w:b/>
          <w:bCs/>
          <w:sz w:val="22"/>
          <w:szCs w:val="22"/>
        </w:rPr>
        <w:t>Key Words</w:t>
      </w:r>
      <w:r>
        <w:rPr>
          <w:rFonts w:hint="default"/>
          <w:b/>
          <w:bCs/>
          <w:sz w:val="22"/>
          <w:szCs w:val="22"/>
          <w:lang w:val="en-US"/>
        </w:rPr>
        <w:t>:</w:t>
      </w:r>
      <w:r>
        <w:rPr>
          <w:b/>
          <w:bCs/>
          <w:color w:val="auto"/>
          <w:kern w:val="0"/>
          <w14:ligatures w14:val="none"/>
        </w:rPr>
        <w:t>Trust Bank PLC</w:t>
      </w:r>
      <w:r>
        <w:rPr>
          <w:rFonts w:hint="default"/>
          <w:b/>
          <w:bCs/>
          <w:color w:val="auto"/>
          <w:kern w:val="0"/>
          <w:lang w:val="en-US"/>
          <w14:ligatures w14:val="none"/>
        </w:rPr>
        <w:t>,</w:t>
      </w:r>
      <w:r>
        <w:rPr>
          <w:b/>
          <w:bCs/>
          <w:color w:val="auto"/>
          <w:kern w:val="0"/>
          <w14:ligatures w14:val="none"/>
        </w:rPr>
        <w:t>HRM Policies</w:t>
      </w:r>
      <w:r>
        <w:rPr>
          <w:rFonts w:hint="default"/>
          <w:b/>
          <w:bCs/>
          <w:color w:val="auto"/>
          <w:kern w:val="0"/>
          <w:lang w:val="en-US"/>
          <w14:ligatures w14:val="none"/>
        </w:rPr>
        <w:t>,</w:t>
      </w:r>
      <w:r>
        <w:rPr>
          <w:b/>
          <w:bCs/>
          <w:color w:val="auto"/>
          <w:kern w:val="0"/>
          <w14:ligatures w14:val="none"/>
        </w:rPr>
        <w:t>Leave Management</w:t>
      </w:r>
      <w:r>
        <w:rPr>
          <w:rFonts w:hint="default"/>
          <w:b/>
          <w:bCs/>
          <w:color w:val="auto"/>
          <w:kern w:val="0"/>
          <w:lang w:val="en-US"/>
          <w14:ligatures w14:val="none"/>
        </w:rPr>
        <w:t>,</w:t>
      </w:r>
      <w:r>
        <w:rPr>
          <w:b/>
          <w:bCs/>
          <w:color w:val="auto"/>
          <w:kern w:val="0"/>
          <w14:ligatures w14:val="none"/>
        </w:rPr>
        <w:t>HRM Policies</w:t>
      </w:r>
      <w:r>
        <w:rPr>
          <w:rFonts w:hint="default"/>
          <w:b/>
          <w:bCs/>
          <w:color w:val="auto"/>
          <w:kern w:val="0"/>
          <w:lang w:val="en-US"/>
          <w14:ligatures w14:val="none"/>
        </w:rPr>
        <w:t>,</w:t>
      </w:r>
      <w:r>
        <w:rPr>
          <w:b/>
          <w:bCs/>
          <w:color w:val="auto"/>
          <w:kern w:val="0"/>
          <w14:ligatures w14:val="none"/>
        </w:rPr>
        <w:t>Employee Support</w:t>
      </w:r>
      <w:r>
        <w:rPr>
          <w:rFonts w:hint="default"/>
          <w:b/>
          <w:bCs/>
          <w:color w:val="auto"/>
          <w:kern w:val="0"/>
          <w:lang w:val="en-US"/>
          <w14:ligatures w14:val="none"/>
        </w:rPr>
        <w:t>.</w:t>
      </w:r>
      <w:bookmarkStart w:id="65" w:name="_GoBack"/>
      <w:bookmarkEnd w:id="65"/>
    </w:p>
    <w:sdt>
      <w:sdtPr>
        <w:rPr>
          <w:rFonts w:ascii="Times New Roman" w:hAnsi="Times New Roman" w:eastAsia="Times New Roman" w:cs="Times New Roman"/>
          <w:color w:val="000000"/>
          <w:kern w:val="2"/>
          <w:sz w:val="22"/>
          <w:szCs w:val="22"/>
          <w14:ligatures w14:val="standardContextual"/>
        </w:rPr>
        <w:id w:val="-299998645"/>
        <w:docPartObj>
          <w:docPartGallery w:val="Table of Contents"/>
          <w:docPartUnique/>
        </w:docPartObj>
      </w:sdtPr>
      <w:sdtEndPr>
        <w:rPr>
          <w:rFonts w:ascii="Times New Roman" w:hAnsi="Times New Roman" w:eastAsia="Times New Roman" w:cs="Times New Roman"/>
          <w:b/>
          <w:bCs/>
          <w:color w:val="000000"/>
          <w:kern w:val="2"/>
          <w:sz w:val="22"/>
          <w:szCs w:val="22"/>
          <w14:ligatures w14:val="standardContextual"/>
        </w:rPr>
      </w:sdtEndPr>
      <w:sdtContent>
        <w:p w14:paraId="59CF1E43">
          <w:pPr>
            <w:pStyle w:val="44"/>
            <w:rPr>
              <w:rFonts w:ascii="Times New Roman" w:hAnsi="Times New Roman" w:cs="Times New Roman"/>
              <w:sz w:val="22"/>
              <w:szCs w:val="22"/>
            </w:rPr>
          </w:pPr>
          <w:r>
            <w:rPr>
              <w:rFonts w:ascii="Times New Roman" w:hAnsi="Times New Roman" w:cs="Times New Roman"/>
              <w:sz w:val="22"/>
              <w:szCs w:val="22"/>
            </w:rPr>
            <w:t>Table of Contents</w:t>
          </w:r>
        </w:p>
        <w:p w14:paraId="0FC0E0D4">
          <w:pPr>
            <w:pStyle w:val="19"/>
            <w:tabs>
              <w:tab w:val="right" w:leader="dot" w:pos="9350"/>
            </w:tabs>
            <w:rPr>
              <w:rFonts w:asciiTheme="minorHAnsi" w:hAnsiTheme="minorHAnsi" w:eastAsiaTheme="minorEastAsia" w:cstheme="minorBidi"/>
              <w:color w:val="auto"/>
            </w:rPr>
          </w:pPr>
          <w:r>
            <w:rPr>
              <w:sz w:val="22"/>
              <w:szCs w:val="22"/>
            </w:rPr>
            <w:fldChar w:fldCharType="begin"/>
          </w:r>
          <w:r>
            <w:rPr>
              <w:sz w:val="22"/>
              <w:szCs w:val="22"/>
            </w:rPr>
            <w:instrText xml:space="preserve"> TOC \o "1-3" \h \z \u </w:instrText>
          </w:r>
          <w:r>
            <w:rPr>
              <w:sz w:val="22"/>
              <w:szCs w:val="22"/>
            </w:rPr>
            <w:fldChar w:fldCharType="separate"/>
          </w:r>
          <w:r>
            <w:fldChar w:fldCharType="begin"/>
          </w:r>
          <w:r>
            <w:instrText xml:space="preserve"> HYPERLINK \l "_Toc204820946" </w:instrText>
          </w:r>
          <w:r>
            <w:fldChar w:fldCharType="separate"/>
          </w:r>
          <w:r>
            <w:rPr>
              <w:rStyle w:val="15"/>
              <w:b/>
              <w:bCs/>
            </w:rPr>
            <w:t>Letter of Transmittal</w:t>
          </w:r>
          <w:r>
            <w:tab/>
          </w:r>
          <w:r>
            <w:fldChar w:fldCharType="begin"/>
          </w:r>
          <w:r>
            <w:instrText xml:space="preserve"> PAGEREF _Toc204820946 \h </w:instrText>
          </w:r>
          <w:r>
            <w:fldChar w:fldCharType="separate"/>
          </w:r>
          <w:r>
            <w:t>i</w:t>
          </w:r>
          <w:r>
            <w:fldChar w:fldCharType="end"/>
          </w:r>
          <w:r>
            <w:fldChar w:fldCharType="end"/>
          </w:r>
        </w:p>
        <w:p w14:paraId="757DCE60">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"_Toc204820947" </w:instrText>
          </w:r>
          <w:r>
            <w:fldChar w:fldCharType="separate"/>
          </w:r>
          <w:r>
            <w:rPr>
              <w:rStyle w:val="15"/>
              <w:b/>
              <w:bCs/>
            </w:rPr>
            <w:t>Declaration of the student</w:t>
          </w:r>
          <w:r>
            <w:tab/>
          </w:r>
          <w:r>
            <w:fldChar w:fldCharType="begin"/>
          </w:r>
          <w:r>
            <w:instrText xml:space="preserve"> PAGEREF _Toc204820947 \h </w:instrText>
          </w:r>
          <w:r>
            <w:fldChar w:fldCharType="separate"/>
          </w:r>
          <w:r>
            <w:t>ii</w:t>
          </w:r>
          <w:r>
            <w:fldChar w:fldCharType="end"/>
          </w:r>
          <w:r>
            <w:fldChar w:fldCharType="end"/>
          </w:r>
        </w:p>
        <w:p w14:paraId="76631CE7">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"_Toc204820948" </w:instrText>
          </w:r>
          <w:r>
            <w:fldChar w:fldCharType="separate"/>
          </w:r>
          <w:r>
            <w:rPr>
              <w:rStyle w:val="15"/>
              <w:b/>
              <w:bCs/>
            </w:rPr>
            <w:t>Acknowledgements</w:t>
          </w:r>
          <w:r>
            <w:tab/>
          </w:r>
          <w:r>
            <w:fldChar w:fldCharType="begin"/>
          </w:r>
          <w:r>
            <w:instrText xml:space="preserve"> PAGEREF _Toc204820948 \h </w:instrText>
          </w:r>
          <w:r>
            <w:fldChar w:fldCharType="separate"/>
          </w:r>
          <w:r>
            <w:t>iii</w:t>
          </w:r>
          <w:r>
            <w:fldChar w:fldCharType="end"/>
          </w:r>
          <w:r>
            <w:fldChar w:fldCharType="end"/>
          </w:r>
        </w:p>
        <w:p w14:paraId="5358B6A3">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"_Toc204820949" </w:instrText>
          </w:r>
          <w:r>
            <w:fldChar w:fldCharType="separate"/>
          </w:r>
          <w:r>
            <w:rPr>
              <w:rStyle w:val="15"/>
              <w:b/>
              <w:bCs/>
            </w:rPr>
            <w:t>Executive Summary</w:t>
          </w:r>
          <w:r>
            <w:tab/>
          </w:r>
          <w:r>
            <w:fldChar w:fldCharType="begin"/>
          </w:r>
          <w:r>
            <w:instrText xml:space="preserve"> PAGEREF _Toc204820949 \h </w:instrText>
          </w:r>
          <w:r>
            <w:fldChar w:fldCharType="separate"/>
          </w:r>
          <w:r>
            <w:t>iv</w:t>
          </w:r>
          <w:r>
            <w:fldChar w:fldCharType="end"/>
          </w:r>
          <w:r>
            <w:fldChar w:fldCharType="end"/>
          </w:r>
        </w:p>
        <w:p w14:paraId="0D637AA3">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"_Toc204820950" </w:instrText>
          </w:r>
          <w:r>
            <w:fldChar w:fldCharType="separate"/>
          </w:r>
          <w:r>
            <w:rPr>
              <w:rStyle w:val="15"/>
              <w:b/>
              <w:bCs/>
            </w:rPr>
            <w:t>Chapter 01</w:t>
          </w:r>
          <w:r>
            <w:tab/>
          </w:r>
          <w:r>
            <w:fldChar w:fldCharType="begin"/>
          </w:r>
          <w:r>
            <w:instrText xml:space="preserve"> PAGEREF _Toc204820950 \h </w:instrText>
          </w:r>
          <w:r>
            <w:fldChar w:fldCharType="separate"/>
          </w:r>
          <w:r>
            <w:t>1</w:t>
          </w:r>
          <w:r>
            <w:fldChar w:fldCharType="end"/>
          </w:r>
          <w:r>
            <w:fldChar w:fldCharType="end"/>
          </w:r>
        </w:p>
        <w:p w14:paraId="3C647683">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"_Toc204820951" </w:instrText>
          </w:r>
          <w:r>
            <w:fldChar w:fldCharType="separate"/>
          </w:r>
          <w:r>
            <w:rPr>
              <w:rStyle w:val="15"/>
              <w:b/>
              <w:bCs/>
            </w:rPr>
            <w:t>INTRODUCTION</w:t>
          </w:r>
          <w:r>
            <w:tab/>
          </w:r>
          <w:r>
            <w:fldChar w:fldCharType="begin"/>
          </w:r>
          <w:r>
            <w:instrText xml:space="preserve"> PAGEREF _Toc204820951 \h </w:instrText>
          </w:r>
          <w:r>
            <w:fldChar w:fldCharType="separate"/>
          </w:r>
          <w:r>
            <w:t>1</w:t>
          </w:r>
          <w:r>
            <w:fldChar w:fldCharType="end"/>
          </w:r>
          <w:r>
            <w:fldChar w:fldCharType="end"/>
          </w:r>
        </w:p>
        <w:p w14:paraId="75235B60">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"_Toc204820952" </w:instrText>
          </w:r>
          <w:r>
            <w:fldChar w:fldCharType="separate"/>
          </w:r>
          <w:r>
            <w:rPr>
              <w:rStyle w:val="15"/>
              <w:b/>
            </w:rPr>
            <w:t xml:space="preserve">1.1 </w:t>
          </w:r>
          <w:r>
            <w:rPr>
              <w:rStyle w:val="15"/>
            </w:rPr>
            <w:t>Introduction</w:t>
          </w:r>
          <w:r>
            <w:tab/>
          </w:r>
          <w:r>
            <w:fldChar w:fldCharType="begin"/>
          </w:r>
          <w:r>
            <w:instrText xml:space="preserve"> PAGEREF _Toc204820952 \h </w:instrText>
          </w:r>
          <w:r>
            <w:fldChar w:fldCharType="separate"/>
          </w:r>
          <w:r>
            <w:t>1</w:t>
          </w:r>
          <w:r>
            <w:fldChar w:fldCharType="end"/>
          </w:r>
          <w:r>
            <w:fldChar w:fldCharType="end"/>
          </w:r>
        </w:p>
        <w:p w14:paraId="68755F45">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"_Toc204820953" </w:instrText>
          </w:r>
          <w:r>
            <w:fldChar w:fldCharType="separate"/>
          </w:r>
          <w:r>
            <w:rPr>
              <w:rStyle w:val="15"/>
              <w:b/>
            </w:rPr>
            <w:t xml:space="preserve">1.2 </w:t>
          </w:r>
          <w:r>
            <w:rPr>
              <w:rStyle w:val="15"/>
            </w:rPr>
            <w:t>Background of the Study</w:t>
          </w:r>
          <w:r>
            <w:tab/>
          </w:r>
          <w:r>
            <w:fldChar w:fldCharType="begin"/>
          </w:r>
          <w:r>
            <w:instrText xml:space="preserve"> PAGEREF _Toc204820953 \h </w:instrText>
          </w:r>
          <w:r>
            <w:fldChar w:fldCharType="separate"/>
          </w:r>
          <w:r>
            <w:t>2</w:t>
          </w:r>
          <w:r>
            <w:fldChar w:fldCharType="end"/>
          </w:r>
          <w:r>
            <w:fldChar w:fldCharType="end"/>
          </w:r>
        </w:p>
        <w:p w14:paraId="79D4BB65">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"_Toc204820954" </w:instrText>
          </w:r>
          <w:r>
            <w:fldChar w:fldCharType="separate"/>
          </w:r>
          <w:r>
            <w:rPr>
              <w:rStyle w:val="15"/>
            </w:rPr>
            <w:t>1.3 Objective of the Report</w:t>
          </w:r>
          <w:r>
            <w:tab/>
          </w:r>
          <w:r>
            <w:fldChar w:fldCharType="begin"/>
          </w:r>
          <w:r>
            <w:instrText xml:space="preserve"> PAGEREF _Toc204820954 \h </w:instrText>
          </w:r>
          <w:r>
            <w:fldChar w:fldCharType="separate"/>
          </w:r>
          <w:r>
            <w:t>2</w:t>
          </w:r>
          <w:r>
            <w:fldChar w:fldCharType="end"/>
          </w:r>
          <w:r>
            <w:fldChar w:fldCharType="end"/>
          </w:r>
        </w:p>
        <w:p w14:paraId="71261005">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"_Toc204820955" </w:instrText>
          </w:r>
          <w:r>
            <w:fldChar w:fldCharType="separate"/>
          </w:r>
          <w:r>
            <w:rPr>
              <w:rStyle w:val="15"/>
              <w:bCs/>
            </w:rPr>
            <w:t xml:space="preserve">1.4 </w:t>
          </w:r>
          <w:r>
            <w:rPr>
              <w:rStyle w:val="15"/>
            </w:rPr>
            <w:t>Scope of the Study</w:t>
          </w:r>
          <w:r>
            <w:tab/>
          </w:r>
          <w:r>
            <w:fldChar w:fldCharType="begin"/>
          </w:r>
          <w:r>
            <w:instrText xml:space="preserve"> PAGEREF _Toc204820955 \h </w:instrText>
          </w:r>
          <w:r>
            <w:fldChar w:fldCharType="separate"/>
          </w:r>
          <w:r>
            <w:t>3</w:t>
          </w:r>
          <w:r>
            <w:fldChar w:fldCharType="end"/>
          </w:r>
          <w:r>
            <w:fldChar w:fldCharType="end"/>
          </w:r>
        </w:p>
        <w:p w14:paraId="5C41733F">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"_Toc204820956" </w:instrText>
          </w:r>
          <w:r>
            <w:fldChar w:fldCharType="separate"/>
          </w:r>
          <w:r>
            <w:rPr>
              <w:rStyle w:val="15"/>
            </w:rPr>
            <w:t>1.5 Limitations of the Study</w:t>
          </w:r>
          <w:r>
            <w:tab/>
          </w:r>
          <w:r>
            <w:fldChar w:fldCharType="begin"/>
          </w:r>
          <w:r>
            <w:instrText xml:space="preserve"> PAGEREF _Toc204820956 \h </w:instrText>
          </w:r>
          <w:r>
            <w:fldChar w:fldCharType="separate"/>
          </w:r>
          <w:r>
            <w:t>3</w:t>
          </w:r>
          <w:r>
            <w:fldChar w:fldCharType="end"/>
          </w:r>
          <w:r>
            <w:fldChar w:fldCharType="end"/>
          </w:r>
        </w:p>
        <w:p w14:paraId="55EF1339">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"_Toc204820957" </w:instrText>
          </w:r>
          <w:r>
            <w:fldChar w:fldCharType="separate"/>
          </w:r>
          <w:r>
            <w:rPr>
              <w:rStyle w:val="15"/>
              <w:b/>
              <w:bCs/>
            </w:rPr>
            <w:t>Chapter 02</w:t>
          </w:r>
          <w:r>
            <w:tab/>
          </w:r>
          <w:r>
            <w:fldChar w:fldCharType="begin"/>
          </w:r>
          <w:r>
            <w:instrText xml:space="preserve"> PAGEREF _Toc204820957 \h </w:instrText>
          </w:r>
          <w:r>
            <w:fldChar w:fldCharType="separate"/>
          </w:r>
          <w:r>
            <w:t>4</w:t>
          </w:r>
          <w:r>
            <w:fldChar w:fldCharType="end"/>
          </w:r>
          <w:r>
            <w:fldChar w:fldCharType="end"/>
          </w:r>
        </w:p>
        <w:p w14:paraId="4FC15BA8">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"_Toc204820958" </w:instrText>
          </w:r>
          <w:r>
            <w:fldChar w:fldCharType="separate"/>
          </w:r>
          <w:r>
            <w:rPr>
              <w:rStyle w:val="15"/>
              <w:b/>
              <w:bCs/>
            </w:rPr>
            <w:t>COMPANY AND INDUSTRY PROFILE</w:t>
          </w:r>
          <w:r>
            <w:tab/>
          </w:r>
          <w:r>
            <w:fldChar w:fldCharType="begin"/>
          </w:r>
          <w:r>
            <w:instrText xml:space="preserve"> PAGEREF _Toc204820958 \h </w:instrText>
          </w:r>
          <w:r>
            <w:fldChar w:fldCharType="separate"/>
          </w:r>
          <w:r>
            <w:t>4</w:t>
          </w:r>
          <w:r>
            <w:fldChar w:fldCharType="end"/>
          </w:r>
          <w:r>
            <w:fldChar w:fldCharType="end"/>
          </w:r>
        </w:p>
        <w:p w14:paraId="47E60FBA">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"_Toc204820959" </w:instrText>
          </w:r>
          <w:r>
            <w:fldChar w:fldCharType="separate"/>
          </w:r>
          <w:r>
            <w:rPr>
              <w:rStyle w:val="15"/>
            </w:rPr>
            <w:t>2.1 Company Analysis</w:t>
          </w:r>
          <w:r>
            <w:tab/>
          </w:r>
          <w:r>
            <w:fldChar w:fldCharType="begin"/>
          </w:r>
          <w:r>
            <w:instrText xml:space="preserve"> PAGEREF _Toc204820959 \h </w:instrText>
          </w:r>
          <w:r>
            <w:fldChar w:fldCharType="separate"/>
          </w:r>
          <w:r>
            <w:t>4</w:t>
          </w:r>
          <w:r>
            <w:fldChar w:fldCharType="end"/>
          </w:r>
          <w:r>
            <w:fldChar w:fldCharType="end"/>
          </w:r>
        </w:p>
        <w:p w14:paraId="5FF62849">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"_Toc204820960" </w:instrText>
          </w:r>
          <w:r>
            <w:fldChar w:fldCharType="separate"/>
          </w:r>
          <w:r>
            <w:rPr>
              <w:rStyle w:val="15"/>
            </w:rPr>
            <w:t>2.1.1 Overview and History</w:t>
          </w:r>
          <w:r>
            <w:tab/>
          </w:r>
          <w:r>
            <w:fldChar w:fldCharType="begin"/>
          </w:r>
          <w:r>
            <w:instrText xml:space="preserve"> PAGEREF _Toc204820960 \h </w:instrText>
          </w:r>
          <w:r>
            <w:fldChar w:fldCharType="separate"/>
          </w:r>
          <w:r>
            <w:t>4</w:t>
          </w:r>
          <w:r>
            <w:fldChar w:fldCharType="end"/>
          </w:r>
          <w:r>
            <w:fldChar w:fldCharType="end"/>
          </w:r>
        </w:p>
        <w:p w14:paraId="017470EF">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"_Toc204820961" </w:instrText>
          </w:r>
          <w:r>
            <w:fldChar w:fldCharType="separate"/>
          </w:r>
          <w:r>
            <w:rPr>
              <w:rStyle w:val="15"/>
            </w:rPr>
            <w:t>2.1.2 Products and Services of Trust Bank Limited</w:t>
          </w:r>
          <w:r>
            <w:tab/>
          </w:r>
          <w:r>
            <w:fldChar w:fldCharType="begin"/>
          </w:r>
          <w:r>
            <w:instrText xml:space="preserve"> PAGEREF _Toc204820961 \h </w:instrText>
          </w:r>
          <w:r>
            <w:fldChar w:fldCharType="separate"/>
          </w:r>
          <w:r>
            <w:t>9</w:t>
          </w:r>
          <w:r>
            <w:fldChar w:fldCharType="end"/>
          </w:r>
          <w:r>
            <w:fldChar w:fldCharType="end"/>
          </w:r>
        </w:p>
        <w:p w14:paraId="6B1D3054">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"_Toc204820962" </w:instrText>
          </w:r>
          <w:r>
            <w:fldChar w:fldCharType="separate"/>
          </w:r>
          <w:r>
            <w:rPr>
              <w:rStyle w:val="15"/>
            </w:rPr>
            <w:t>2.1.3 Company Operations</w:t>
          </w:r>
          <w:r>
            <w:tab/>
          </w:r>
          <w:r>
            <w:fldChar w:fldCharType="begin"/>
          </w:r>
          <w:r>
            <w:instrText xml:space="preserve"> PAGEREF _Toc204820962 \h </w:instrText>
          </w:r>
          <w:r>
            <w:fldChar w:fldCharType="separate"/>
          </w:r>
          <w:r>
            <w:t>11</w:t>
          </w:r>
          <w:r>
            <w:fldChar w:fldCharType="end"/>
          </w:r>
          <w:r>
            <w:fldChar w:fldCharType="end"/>
          </w:r>
        </w:p>
        <w:p w14:paraId="59D3E680">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"_Toc204820963" </w:instrText>
          </w:r>
          <w:r>
            <w:fldChar w:fldCharType="separate"/>
          </w:r>
          <w:r>
            <w:rPr>
              <w:rStyle w:val="15"/>
            </w:rPr>
            <w:t>2.1.4 SWOT Analysis on Trust Bank Limited</w:t>
          </w:r>
          <w:r>
            <w:tab/>
          </w:r>
          <w:r>
            <w:fldChar w:fldCharType="begin"/>
          </w:r>
          <w:r>
            <w:instrText xml:space="preserve"> PAGEREF _Toc204820963 \h </w:instrText>
          </w:r>
          <w:r>
            <w:fldChar w:fldCharType="separate"/>
          </w:r>
          <w:r>
            <w:t>13</w:t>
          </w:r>
          <w:r>
            <w:fldChar w:fldCharType="end"/>
          </w:r>
          <w:r>
            <w:fldChar w:fldCharType="end"/>
          </w:r>
        </w:p>
        <w:p w14:paraId="313E95BE">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"_Toc204820964" </w:instrText>
          </w:r>
          <w:r>
            <w:fldChar w:fldCharType="separate"/>
          </w:r>
          <w:r>
            <w:rPr>
              <w:rStyle w:val="15"/>
            </w:rPr>
            <w:t>2.2 Industry Analysis</w:t>
          </w:r>
          <w:r>
            <w:tab/>
          </w:r>
          <w:r>
            <w:fldChar w:fldCharType="begin"/>
          </w:r>
          <w:r>
            <w:instrText xml:space="preserve"> PAGEREF _Toc204820964 \h </w:instrText>
          </w:r>
          <w:r>
            <w:fldChar w:fldCharType="separate"/>
          </w:r>
          <w:r>
            <w:t>15</w:t>
          </w:r>
          <w:r>
            <w:fldChar w:fldCharType="end"/>
          </w:r>
          <w:r>
            <w:fldChar w:fldCharType="end"/>
          </w:r>
        </w:p>
        <w:p w14:paraId="49035A50">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"_Toc204820965" </w:instrText>
          </w:r>
          <w:r>
            <w:fldChar w:fldCharType="separate"/>
          </w:r>
          <w:r>
            <w:rPr>
              <w:rStyle w:val="15"/>
            </w:rPr>
            <w:t>2.2.1 Specification of the Industry</w:t>
          </w:r>
          <w:r>
            <w:tab/>
          </w:r>
          <w:r>
            <w:fldChar w:fldCharType="begin"/>
          </w:r>
          <w:r>
            <w:instrText xml:space="preserve"> PAGEREF _Toc204820965 \h </w:instrText>
          </w:r>
          <w:r>
            <w:fldChar w:fldCharType="separate"/>
          </w:r>
          <w:r>
            <w:t>15</w:t>
          </w:r>
          <w:r>
            <w:fldChar w:fldCharType="end"/>
          </w:r>
          <w:r>
            <w:fldChar w:fldCharType="end"/>
          </w:r>
        </w:p>
        <w:p w14:paraId="20AC830F">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"_Toc204820966" </w:instrText>
          </w:r>
          <w:r>
            <w:fldChar w:fldCharType="separate"/>
          </w:r>
          <w:r>
            <w:rPr>
              <w:rStyle w:val="15"/>
            </w:rPr>
            <w:t>2.2.2 Size, Trend, and Maturity of the Industry</w:t>
          </w:r>
          <w:r>
            <w:tab/>
          </w:r>
          <w:r>
            <w:fldChar w:fldCharType="begin"/>
          </w:r>
          <w:r>
            <w:instrText xml:space="preserve"> PAGEREF _Toc204820966 \h </w:instrText>
          </w:r>
          <w:r>
            <w:fldChar w:fldCharType="separate"/>
          </w:r>
          <w:r>
            <w:t>15</w:t>
          </w:r>
          <w:r>
            <w:fldChar w:fldCharType="end"/>
          </w:r>
          <w:r>
            <w:fldChar w:fldCharType="end"/>
          </w:r>
        </w:p>
        <w:p w14:paraId="152CA1AE">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"_Toc204820967" </w:instrText>
          </w:r>
          <w:r>
            <w:fldChar w:fldCharType="separate"/>
          </w:r>
          <w:r>
            <w:rPr>
              <w:rStyle w:val="15"/>
            </w:rPr>
            <w:t>2.2.3 Industry SWOT Analysis</w:t>
          </w:r>
          <w:r>
            <w:tab/>
          </w:r>
          <w:r>
            <w:fldChar w:fldCharType="begin"/>
          </w:r>
          <w:r>
            <w:instrText xml:space="preserve"> PAGEREF _Toc204820967 \h </w:instrText>
          </w:r>
          <w:r>
            <w:fldChar w:fldCharType="separate"/>
          </w:r>
          <w:r>
            <w:t>16</w:t>
          </w:r>
          <w:r>
            <w:fldChar w:fldCharType="end"/>
          </w:r>
          <w:r>
            <w:fldChar w:fldCharType="end"/>
          </w:r>
        </w:p>
        <w:p w14:paraId="6C4351C5">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"_Toc204820968" </w:instrText>
          </w:r>
          <w:r>
            <w:fldChar w:fldCharType="separate"/>
          </w:r>
          <w:r>
            <w:rPr>
              <w:rStyle w:val="15"/>
              <w:b/>
              <w:bCs/>
            </w:rPr>
            <w:t>Chapter 03</w:t>
          </w:r>
          <w:r>
            <w:tab/>
          </w:r>
          <w:r>
            <w:fldChar w:fldCharType="begin"/>
          </w:r>
          <w:r>
            <w:instrText xml:space="preserve"> PAGEREF _Toc204820968 \h </w:instrText>
          </w:r>
          <w:r>
            <w:fldChar w:fldCharType="separate"/>
          </w:r>
          <w:r>
            <w:t>18</w:t>
          </w:r>
          <w:r>
            <w:fldChar w:fldCharType="end"/>
          </w:r>
          <w:r>
            <w:fldChar w:fldCharType="end"/>
          </w:r>
        </w:p>
        <w:p w14:paraId="6DA4F04B">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"_Toc204820969" </w:instrText>
          </w:r>
          <w:r>
            <w:fldChar w:fldCharType="separate"/>
          </w:r>
          <w:r>
            <w:rPr>
              <w:rStyle w:val="15"/>
              <w:b/>
              <w:bCs/>
            </w:rPr>
            <w:t>INTERNSHIP EXPERIENCE</w:t>
          </w:r>
          <w:r>
            <w:tab/>
          </w:r>
          <w:r>
            <w:fldChar w:fldCharType="begin"/>
          </w:r>
          <w:r>
            <w:instrText xml:space="preserve"> PAGEREF _Toc204820969 \h </w:instrText>
          </w:r>
          <w:r>
            <w:fldChar w:fldCharType="separate"/>
          </w:r>
          <w:r>
            <w:t>18</w:t>
          </w:r>
          <w:r>
            <w:fldChar w:fldCharType="end"/>
          </w:r>
          <w:r>
            <w:fldChar w:fldCharType="end"/>
          </w:r>
        </w:p>
        <w:p w14:paraId="6BA365A7">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"_Toc204820970" </w:instrText>
          </w:r>
          <w:r>
            <w:fldChar w:fldCharType="separate"/>
          </w:r>
          <w:r>
            <w:rPr>
              <w:rStyle w:val="15"/>
            </w:rPr>
            <w:t>3.1. Position, Duties, and Responsibilities</w:t>
          </w:r>
          <w:r>
            <w:tab/>
          </w:r>
          <w:r>
            <w:fldChar w:fldCharType="begin"/>
          </w:r>
          <w:r>
            <w:instrText xml:space="preserve"> PAGEREF _Toc204820970 \h </w:instrText>
          </w:r>
          <w:r>
            <w:fldChar w:fldCharType="separate"/>
          </w:r>
          <w:r>
            <w:t>18</w:t>
          </w:r>
          <w:r>
            <w:fldChar w:fldCharType="end"/>
          </w:r>
          <w:r>
            <w:fldChar w:fldCharType="end"/>
          </w:r>
        </w:p>
        <w:p w14:paraId="767FB3F9">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"_Toc204820971" </w:instrText>
          </w:r>
          <w:r>
            <w:fldChar w:fldCharType="separate"/>
          </w:r>
          <w:r>
            <w:rPr>
              <w:rStyle w:val="15"/>
            </w:rPr>
            <w:t>3.2 Contribution to Departmental Functions</w:t>
          </w:r>
          <w:r>
            <w:tab/>
          </w:r>
          <w:r>
            <w:fldChar w:fldCharType="begin"/>
          </w:r>
          <w:r>
            <w:instrText xml:space="preserve"> PAGEREF _Toc204820971 \h </w:instrText>
          </w:r>
          <w:r>
            <w:fldChar w:fldCharType="separate"/>
          </w:r>
          <w:r>
            <w:t>18</w:t>
          </w:r>
          <w:r>
            <w:fldChar w:fldCharType="end"/>
          </w:r>
          <w:r>
            <w:fldChar w:fldCharType="end"/>
          </w:r>
        </w:p>
        <w:p w14:paraId="1C283E7C">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"_Toc204820972" </w:instrText>
          </w:r>
          <w:r>
            <w:fldChar w:fldCharType="separate"/>
          </w:r>
          <w:r>
            <w:rPr>
              <w:rStyle w:val="15"/>
            </w:rPr>
            <w:t>3.3 New Skill Development</w:t>
          </w:r>
          <w:r>
            <w:tab/>
          </w:r>
          <w:r>
            <w:fldChar w:fldCharType="begin"/>
          </w:r>
          <w:r>
            <w:instrText xml:space="preserve"> PAGEREF _Toc204820972 \h </w:instrText>
          </w:r>
          <w:r>
            <w:fldChar w:fldCharType="separate"/>
          </w:r>
          <w:r>
            <w:t>19</w:t>
          </w:r>
          <w:r>
            <w:fldChar w:fldCharType="end"/>
          </w:r>
          <w:r>
            <w:fldChar w:fldCharType="end"/>
          </w:r>
        </w:p>
        <w:p w14:paraId="4EF1EB98">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"_Toc204820973" </w:instrText>
          </w:r>
          <w:r>
            <w:fldChar w:fldCharType="separate"/>
          </w:r>
          <w:r>
            <w:rPr>
              <w:rStyle w:val="15"/>
            </w:rPr>
            <w:t>3.4 Application of Academic Knowledge</w:t>
          </w:r>
          <w:r>
            <w:tab/>
          </w:r>
          <w:r>
            <w:fldChar w:fldCharType="begin"/>
          </w:r>
          <w:r>
            <w:instrText xml:space="preserve"> PAGEREF _Toc204820973 \h </w:instrText>
          </w:r>
          <w:r>
            <w:fldChar w:fldCharType="separate"/>
          </w:r>
          <w:r>
            <w:t>19</w:t>
          </w:r>
          <w:r>
            <w:fldChar w:fldCharType="end"/>
          </w:r>
          <w:r>
            <w:fldChar w:fldCharType="end"/>
          </w:r>
        </w:p>
        <w:p w14:paraId="31E80A2D">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"_Toc204820974" </w:instrText>
          </w:r>
          <w:r>
            <w:fldChar w:fldCharType="separate"/>
          </w:r>
          <w:r>
            <w:rPr>
              <w:rStyle w:val="15"/>
              <w:b/>
              <w:bCs/>
            </w:rPr>
            <w:t>Chapter 04</w:t>
          </w:r>
          <w:r>
            <w:tab/>
          </w:r>
          <w:r>
            <w:fldChar w:fldCharType="begin"/>
          </w:r>
          <w:r>
            <w:instrText xml:space="preserve"> PAGEREF _Toc204820974 \h </w:instrText>
          </w:r>
          <w:r>
            <w:fldChar w:fldCharType="separate"/>
          </w:r>
          <w:r>
            <w:t>20</w:t>
          </w:r>
          <w:r>
            <w:fldChar w:fldCharType="end"/>
          </w:r>
          <w:r>
            <w:fldChar w:fldCharType="end"/>
          </w:r>
        </w:p>
        <w:p w14:paraId="2DDB1FAA">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"_Toc204820975" </w:instrText>
          </w:r>
          <w:r>
            <w:fldChar w:fldCharType="separate"/>
          </w:r>
          <w:r>
            <w:rPr>
              <w:rStyle w:val="15"/>
              <w:b/>
              <w:bCs/>
            </w:rPr>
            <w:t>HRM PRACTICES</w:t>
          </w:r>
          <w:r>
            <w:tab/>
          </w:r>
          <w:r>
            <w:fldChar w:fldCharType="begin"/>
          </w:r>
          <w:r>
            <w:instrText xml:space="preserve"> PAGEREF _Toc204820975 \h </w:instrText>
          </w:r>
          <w:r>
            <w:fldChar w:fldCharType="separate"/>
          </w:r>
          <w:r>
            <w:t>20</w:t>
          </w:r>
          <w:r>
            <w:fldChar w:fldCharType="end"/>
          </w:r>
          <w:r>
            <w:fldChar w:fldCharType="end"/>
          </w:r>
        </w:p>
        <w:p w14:paraId="4A5A82E4">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"_Toc204820976" </w:instrText>
          </w:r>
          <w:r>
            <w:fldChar w:fldCharType="separate"/>
          </w:r>
          <w:r>
            <w:rPr>
              <w:rStyle w:val="15"/>
            </w:rPr>
            <w:t>4.1 Recruitment and Selection Policy</w:t>
          </w:r>
          <w:r>
            <w:tab/>
          </w:r>
          <w:r>
            <w:fldChar w:fldCharType="begin"/>
          </w:r>
          <w:r>
            <w:instrText xml:space="preserve"> PAGEREF _Toc204820976 \h </w:instrText>
          </w:r>
          <w:r>
            <w:fldChar w:fldCharType="separate"/>
          </w:r>
          <w:r>
            <w:t>20</w:t>
          </w:r>
          <w:r>
            <w:fldChar w:fldCharType="end"/>
          </w:r>
          <w:r>
            <w:fldChar w:fldCharType="end"/>
          </w:r>
        </w:p>
        <w:p w14:paraId="0D5C3F45">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"_Toc204820977" </w:instrText>
          </w:r>
          <w:r>
            <w:fldChar w:fldCharType="separate"/>
          </w:r>
          <w:r>
            <w:rPr>
              <w:rStyle w:val="15"/>
            </w:rPr>
            <w:t>4.2 Performance Management</w:t>
          </w:r>
          <w:r>
            <w:tab/>
          </w:r>
          <w:r>
            <w:fldChar w:fldCharType="begin"/>
          </w:r>
          <w:r>
            <w:instrText xml:space="preserve"> PAGEREF _Toc204820977 \h </w:instrText>
          </w:r>
          <w:r>
            <w:fldChar w:fldCharType="separate"/>
          </w:r>
          <w:r>
            <w:t>22</w:t>
          </w:r>
          <w:r>
            <w:fldChar w:fldCharType="end"/>
          </w:r>
          <w:r>
            <w:fldChar w:fldCharType="end"/>
          </w:r>
        </w:p>
        <w:p w14:paraId="26F3F6C3">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"_Toc204820978" </w:instrText>
          </w:r>
          <w:r>
            <w:fldChar w:fldCharType="separate"/>
          </w:r>
          <w:r>
            <w:rPr>
              <w:rStyle w:val="15"/>
            </w:rPr>
            <w:t>4.3 Training and Development</w:t>
          </w:r>
          <w:r>
            <w:tab/>
          </w:r>
          <w:r>
            <w:fldChar w:fldCharType="begin"/>
          </w:r>
          <w:r>
            <w:instrText xml:space="preserve"> PAGEREF _Toc204820978 \h </w:instrText>
          </w:r>
          <w:r>
            <w:fldChar w:fldCharType="separate"/>
          </w:r>
          <w:r>
            <w:t>23</w:t>
          </w:r>
          <w:r>
            <w:fldChar w:fldCharType="end"/>
          </w:r>
          <w:r>
            <w:fldChar w:fldCharType="end"/>
          </w:r>
        </w:p>
        <w:p w14:paraId="784E4F42">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"_Toc204820979" </w:instrText>
          </w:r>
          <w:r>
            <w:fldChar w:fldCharType="separate"/>
          </w:r>
          <w:r>
            <w:rPr>
              <w:rStyle w:val="15"/>
            </w:rPr>
            <w:t>4.4 Compensation</w:t>
          </w:r>
          <w:r>
            <w:tab/>
          </w:r>
          <w:r>
            <w:fldChar w:fldCharType="begin"/>
          </w:r>
          <w:r>
            <w:instrText xml:space="preserve"> PAGEREF _Toc204820979 \h </w:instrText>
          </w:r>
          <w:r>
            <w:fldChar w:fldCharType="separate"/>
          </w:r>
          <w:r>
            <w:t>24</w:t>
          </w:r>
          <w:r>
            <w:fldChar w:fldCharType="end"/>
          </w:r>
          <w:r>
            <w:fldChar w:fldCharType="end"/>
          </w:r>
        </w:p>
        <w:p w14:paraId="6F438E8F">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"_Toc204820980" </w:instrText>
          </w:r>
          <w:r>
            <w:fldChar w:fldCharType="separate"/>
          </w:r>
          <w:r>
            <w:rPr>
              <w:rStyle w:val="15"/>
            </w:rPr>
            <w:t>4.5 Attendance and Punctuality</w:t>
          </w:r>
          <w:r>
            <w:tab/>
          </w:r>
          <w:r>
            <w:fldChar w:fldCharType="begin"/>
          </w:r>
          <w:r>
            <w:instrText xml:space="preserve"> PAGEREF _Toc204820980 \h </w:instrText>
          </w:r>
          <w:r>
            <w:fldChar w:fldCharType="separate"/>
          </w:r>
          <w:r>
            <w:t>26</w:t>
          </w:r>
          <w:r>
            <w:fldChar w:fldCharType="end"/>
          </w:r>
          <w:r>
            <w:fldChar w:fldCharType="end"/>
          </w:r>
        </w:p>
        <w:p w14:paraId="0DC10042">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"_Toc204820981" </w:instrText>
          </w:r>
          <w:r>
            <w:fldChar w:fldCharType="separate"/>
          </w:r>
          <w:r>
            <w:rPr>
              <w:rStyle w:val="15"/>
            </w:rPr>
            <w:t>4.6 Leave Management Policy</w:t>
          </w:r>
          <w:r>
            <w:tab/>
          </w:r>
          <w:r>
            <w:fldChar w:fldCharType="begin"/>
          </w:r>
          <w:r>
            <w:instrText xml:space="preserve"> PAGEREF _Toc204820981 \h </w:instrText>
          </w:r>
          <w:r>
            <w:fldChar w:fldCharType="separate"/>
          </w:r>
          <w:r>
            <w:t>27</w:t>
          </w:r>
          <w:r>
            <w:fldChar w:fldCharType="end"/>
          </w:r>
          <w:r>
            <w:fldChar w:fldCharType="end"/>
          </w:r>
        </w:p>
        <w:p w14:paraId="4033A4A4">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"_Toc204820982" </w:instrText>
          </w:r>
          <w:r>
            <w:fldChar w:fldCharType="separate"/>
          </w:r>
          <w:r>
            <w:rPr>
              <w:rStyle w:val="15"/>
            </w:rPr>
            <w:t>4.6.1 Earned Leave (EL)</w:t>
          </w:r>
          <w:r>
            <w:tab/>
          </w:r>
          <w:r>
            <w:fldChar w:fldCharType="begin"/>
          </w:r>
          <w:r>
            <w:instrText xml:space="preserve"> PAGEREF _Toc204820982 \h </w:instrText>
          </w:r>
          <w:r>
            <w:fldChar w:fldCharType="separate"/>
          </w:r>
          <w:r>
            <w:t>28</w:t>
          </w:r>
          <w:r>
            <w:fldChar w:fldCharType="end"/>
          </w:r>
          <w:r>
            <w:fldChar w:fldCharType="end"/>
          </w:r>
        </w:p>
        <w:p w14:paraId="183FF80E">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"_Toc204820983" </w:instrText>
          </w:r>
          <w:r>
            <w:fldChar w:fldCharType="separate"/>
          </w:r>
          <w:r>
            <w:rPr>
              <w:rStyle w:val="15"/>
            </w:rPr>
            <w:t>4.6.2 Casual Leave</w:t>
          </w:r>
          <w:r>
            <w:tab/>
          </w:r>
          <w:r>
            <w:fldChar w:fldCharType="begin"/>
          </w:r>
          <w:r>
            <w:instrText xml:space="preserve"> PAGEREF _Toc204820983 \h </w:instrText>
          </w:r>
          <w:r>
            <w:fldChar w:fldCharType="separate"/>
          </w:r>
          <w:r>
            <w:t>29</w:t>
          </w:r>
          <w:r>
            <w:fldChar w:fldCharType="end"/>
          </w:r>
          <w:r>
            <w:fldChar w:fldCharType="end"/>
          </w:r>
        </w:p>
        <w:p w14:paraId="691BE7B5">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"_Toc204820984" </w:instrText>
          </w:r>
          <w:r>
            <w:fldChar w:fldCharType="separate"/>
          </w:r>
          <w:r>
            <w:rPr>
              <w:rStyle w:val="15"/>
            </w:rPr>
            <w:t>4.6.3 Sick Leave (SL)</w:t>
          </w:r>
          <w:r>
            <w:tab/>
          </w:r>
          <w:r>
            <w:fldChar w:fldCharType="begin"/>
          </w:r>
          <w:r>
            <w:instrText xml:space="preserve"> PAGEREF _Toc204820984 \h </w:instrText>
          </w:r>
          <w:r>
            <w:fldChar w:fldCharType="separate"/>
          </w:r>
          <w:r>
            <w:t>30</w:t>
          </w:r>
          <w:r>
            <w:fldChar w:fldCharType="end"/>
          </w:r>
          <w:r>
            <w:fldChar w:fldCharType="end"/>
          </w:r>
        </w:p>
        <w:p w14:paraId="6E94F48D">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"_Toc204820985" </w:instrText>
          </w:r>
          <w:r>
            <w:fldChar w:fldCharType="separate"/>
          </w:r>
          <w:r>
            <w:rPr>
              <w:rStyle w:val="15"/>
            </w:rPr>
            <w:t>4.6.4 Maternity Leave</w:t>
          </w:r>
          <w:r>
            <w:tab/>
          </w:r>
          <w:r>
            <w:fldChar w:fldCharType="begin"/>
          </w:r>
          <w:r>
            <w:instrText xml:space="preserve"> PAGEREF _Toc204820985 \h </w:instrText>
          </w:r>
          <w:r>
            <w:fldChar w:fldCharType="separate"/>
          </w:r>
          <w:r>
            <w:t>30</w:t>
          </w:r>
          <w:r>
            <w:fldChar w:fldCharType="end"/>
          </w:r>
          <w:r>
            <w:fldChar w:fldCharType="end"/>
          </w:r>
        </w:p>
        <w:p w14:paraId="6376B158">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"_Toc204820986" </w:instrText>
          </w:r>
          <w:r>
            <w:fldChar w:fldCharType="separate"/>
          </w:r>
          <w:r>
            <w:rPr>
              <w:rStyle w:val="15"/>
            </w:rPr>
            <w:t>4.6.5Limitation to Entitlement</w:t>
          </w:r>
          <w:r>
            <w:tab/>
          </w:r>
          <w:r>
            <w:fldChar w:fldCharType="begin"/>
          </w:r>
          <w:r>
            <w:instrText xml:space="preserve"> PAGEREF _Toc204820986 \h </w:instrText>
          </w:r>
          <w:r>
            <w:fldChar w:fldCharType="separate"/>
          </w:r>
          <w:r>
            <w:t>31</w:t>
          </w:r>
          <w:r>
            <w:fldChar w:fldCharType="end"/>
          </w:r>
          <w:r>
            <w:fldChar w:fldCharType="end"/>
          </w:r>
        </w:p>
        <w:p w14:paraId="5B7E5B01">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"_Toc204820987" </w:instrText>
          </w:r>
          <w:r>
            <w:fldChar w:fldCharType="separate"/>
          </w:r>
          <w:r>
            <w:rPr>
              <w:rStyle w:val="15"/>
            </w:rPr>
            <w:t>4.6.7Quarantine Leave</w:t>
          </w:r>
          <w:r>
            <w:tab/>
          </w:r>
          <w:r>
            <w:fldChar w:fldCharType="begin"/>
          </w:r>
          <w:r>
            <w:instrText xml:space="preserve"> PAGEREF _Toc204820987 \h </w:instrText>
          </w:r>
          <w:r>
            <w:fldChar w:fldCharType="separate"/>
          </w:r>
          <w:r>
            <w:t>31</w:t>
          </w:r>
          <w:r>
            <w:fldChar w:fldCharType="end"/>
          </w:r>
          <w:r>
            <w:fldChar w:fldCharType="end"/>
          </w:r>
        </w:p>
        <w:p w14:paraId="19760DA2">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"_Toc204820988" </w:instrText>
          </w:r>
          <w:r>
            <w:fldChar w:fldCharType="separate"/>
          </w:r>
          <w:r>
            <w:rPr>
              <w:rStyle w:val="15"/>
            </w:rPr>
            <w:t>4.6.8Pilgrimage Leave</w:t>
          </w:r>
          <w:r>
            <w:tab/>
          </w:r>
          <w:r>
            <w:fldChar w:fldCharType="begin"/>
          </w:r>
          <w:r>
            <w:instrText xml:space="preserve"> PAGEREF _Toc204820988 \h </w:instrText>
          </w:r>
          <w:r>
            <w:fldChar w:fldCharType="separate"/>
          </w:r>
          <w:r>
            <w:t>31</w:t>
          </w:r>
          <w:r>
            <w:fldChar w:fldCharType="end"/>
          </w:r>
          <w:r>
            <w:fldChar w:fldCharType="end"/>
          </w:r>
        </w:p>
        <w:p w14:paraId="60F5B247">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"_Toc204820989" </w:instrText>
          </w:r>
          <w:r>
            <w:fldChar w:fldCharType="separate"/>
          </w:r>
          <w:r>
            <w:rPr>
              <w:rStyle w:val="15"/>
            </w:rPr>
            <w:t>4.6.9Compulsory / Enforced Leave</w:t>
          </w:r>
          <w:r>
            <w:tab/>
          </w:r>
          <w:r>
            <w:fldChar w:fldCharType="begin"/>
          </w:r>
          <w:r>
            <w:instrText xml:space="preserve"> PAGEREF _Toc204820989 \h </w:instrText>
          </w:r>
          <w:r>
            <w:fldChar w:fldCharType="separate"/>
          </w:r>
          <w:r>
            <w:t>31</w:t>
          </w:r>
          <w:r>
            <w:fldChar w:fldCharType="end"/>
          </w:r>
          <w:r>
            <w:fldChar w:fldCharType="end"/>
          </w:r>
        </w:p>
        <w:p w14:paraId="4CC530FF">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"_Toc204820990" </w:instrText>
          </w:r>
          <w:r>
            <w:fldChar w:fldCharType="separate"/>
          </w:r>
          <w:r>
            <w:rPr>
              <w:rStyle w:val="15"/>
            </w:rPr>
            <w:t>4.6.10 Leave without Pay</w:t>
          </w:r>
          <w:r>
            <w:tab/>
          </w:r>
          <w:r>
            <w:fldChar w:fldCharType="begin"/>
          </w:r>
          <w:r>
            <w:instrText xml:space="preserve"> PAGEREF _Toc204820990 \h </w:instrText>
          </w:r>
          <w:r>
            <w:fldChar w:fldCharType="separate"/>
          </w:r>
          <w:r>
            <w:t>31</w:t>
          </w:r>
          <w:r>
            <w:fldChar w:fldCharType="end"/>
          </w:r>
          <w:r>
            <w:fldChar w:fldCharType="end"/>
          </w:r>
        </w:p>
        <w:p w14:paraId="43F5935C">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"_Toc204820991" </w:instrText>
          </w:r>
          <w:r>
            <w:fldChar w:fldCharType="separate"/>
          </w:r>
          <w:r>
            <w:rPr>
              <w:rStyle w:val="15"/>
            </w:rPr>
            <w:t>4.6.11 Extraordinary Leave</w:t>
          </w:r>
          <w:r>
            <w:tab/>
          </w:r>
          <w:r>
            <w:fldChar w:fldCharType="begin"/>
          </w:r>
          <w:r>
            <w:instrText xml:space="preserve"> PAGEREF _Toc204820991 \h </w:instrText>
          </w:r>
          <w:r>
            <w:fldChar w:fldCharType="separate"/>
          </w:r>
          <w:r>
            <w:t>32</w:t>
          </w:r>
          <w:r>
            <w:fldChar w:fldCharType="end"/>
          </w:r>
          <w:r>
            <w:fldChar w:fldCharType="end"/>
          </w:r>
        </w:p>
        <w:p w14:paraId="3F22F967">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"_Toc204820992" </w:instrText>
          </w:r>
          <w:r>
            <w:fldChar w:fldCharType="separate"/>
          </w:r>
          <w:r>
            <w:rPr>
              <w:rStyle w:val="15"/>
            </w:rPr>
            <w:t>4.6.12 Study Leave</w:t>
          </w:r>
          <w:r>
            <w:tab/>
          </w:r>
          <w:r>
            <w:fldChar w:fldCharType="begin"/>
          </w:r>
          <w:r>
            <w:instrText xml:space="preserve"> PAGEREF _Toc204820992 \h </w:instrText>
          </w:r>
          <w:r>
            <w:fldChar w:fldCharType="separate"/>
          </w:r>
          <w:r>
            <w:t>32</w:t>
          </w:r>
          <w:r>
            <w:fldChar w:fldCharType="end"/>
          </w:r>
          <w:r>
            <w:fldChar w:fldCharType="end"/>
          </w:r>
        </w:p>
        <w:p w14:paraId="3BC6BB1C">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"_Toc204820993" </w:instrText>
          </w:r>
          <w:r>
            <w:fldChar w:fldCharType="separate"/>
          </w:r>
          <w:r>
            <w:rPr>
              <w:rStyle w:val="15"/>
            </w:rPr>
            <w:t>4.6.13 Unauthorized Absences:</w:t>
          </w:r>
          <w:r>
            <w:tab/>
          </w:r>
          <w:r>
            <w:fldChar w:fldCharType="begin"/>
          </w:r>
          <w:r>
            <w:instrText xml:space="preserve"> PAGEREF _Toc204820993 \h </w:instrText>
          </w:r>
          <w:r>
            <w:fldChar w:fldCharType="separate"/>
          </w:r>
          <w:r>
            <w:t>32</w:t>
          </w:r>
          <w:r>
            <w:fldChar w:fldCharType="end"/>
          </w:r>
          <w:r>
            <w:fldChar w:fldCharType="end"/>
          </w:r>
        </w:p>
        <w:p w14:paraId="52050114">
          <w:pPr>
            <w:pStyle w:val="21"/>
            <w:tabs>
              <w:tab w:val="right" w:leader="dot" w:pos="9350"/>
            </w:tabs>
            <w:rPr>
              <w:rFonts w:asciiTheme="minorHAnsi" w:hAnsiTheme="minorHAnsi" w:eastAsiaTheme="minorEastAsia" w:cstheme="minorBidi"/>
              <w:color w:val="auto"/>
            </w:rPr>
          </w:pPr>
          <w:r>
            <w:fldChar w:fldCharType="begin"/>
          </w:r>
          <w:r>
            <w:instrText xml:space="preserve"> HYPERLINK \l "_Toc204820994" </w:instrText>
          </w:r>
          <w:r>
            <w:fldChar w:fldCharType="separate"/>
          </w:r>
          <w:r>
            <w:rPr>
              <w:rStyle w:val="15"/>
            </w:rPr>
            <w:t>4.6.14 Leave procedure</w:t>
          </w:r>
          <w:r>
            <w:tab/>
          </w:r>
          <w:r>
            <w:fldChar w:fldCharType="begin"/>
          </w:r>
          <w:r>
            <w:instrText xml:space="preserve"> PAGEREF _Toc204820994 \h </w:instrText>
          </w:r>
          <w:r>
            <w:fldChar w:fldCharType="separate"/>
          </w:r>
          <w:r>
            <w:t>32</w:t>
          </w:r>
          <w:r>
            <w:fldChar w:fldCharType="end"/>
          </w:r>
          <w:r>
            <w:fldChar w:fldCharType="end"/>
          </w:r>
        </w:p>
        <w:p w14:paraId="2507494A">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"_Toc204820995" </w:instrText>
          </w:r>
          <w:r>
            <w:fldChar w:fldCharType="separate"/>
          </w:r>
          <w:r>
            <w:rPr>
              <w:rStyle w:val="15"/>
              <w:b/>
              <w:bCs/>
            </w:rPr>
            <w:t>Chapter 05</w:t>
          </w:r>
          <w:r>
            <w:tab/>
          </w:r>
          <w:r>
            <w:fldChar w:fldCharType="begin"/>
          </w:r>
          <w:r>
            <w:instrText xml:space="preserve"> PAGEREF _Toc204820995 \h </w:instrText>
          </w:r>
          <w:r>
            <w:fldChar w:fldCharType="separate"/>
          </w:r>
          <w:r>
            <w:t>34</w:t>
          </w:r>
          <w:r>
            <w:fldChar w:fldCharType="end"/>
          </w:r>
          <w:r>
            <w:fldChar w:fldCharType="end"/>
          </w:r>
        </w:p>
        <w:p w14:paraId="23935A60">
          <w:pPr>
            <w:pStyle w:val="19"/>
            <w:tabs>
              <w:tab w:val="right" w:leader="dot" w:pos="9350"/>
            </w:tabs>
            <w:rPr>
              <w:rFonts w:asciiTheme="minorHAnsi" w:hAnsiTheme="minorHAnsi" w:eastAsiaTheme="minorEastAsia" w:cstheme="minorBidi"/>
              <w:color w:val="auto"/>
            </w:rPr>
          </w:pPr>
          <w:r>
            <w:fldChar w:fldCharType="begin"/>
          </w:r>
          <w:r>
            <w:instrText xml:space="preserve"> HYPERLINK \l "_Toc204820996" </w:instrText>
          </w:r>
          <w:r>
            <w:fldChar w:fldCharType="separate"/>
          </w:r>
          <w:r>
            <w:rPr>
              <w:rStyle w:val="15"/>
              <w:b/>
              <w:bCs/>
            </w:rPr>
            <w:t>Findings, Recommendations &amp; Conclusion</w:t>
          </w:r>
          <w:r>
            <w:tab/>
          </w:r>
          <w:r>
            <w:fldChar w:fldCharType="begin"/>
          </w:r>
          <w:r>
            <w:instrText xml:space="preserve"> PAGEREF _Toc204820996 \h </w:instrText>
          </w:r>
          <w:r>
            <w:fldChar w:fldCharType="separate"/>
          </w:r>
          <w:r>
            <w:t>34</w:t>
          </w:r>
          <w:r>
            <w:fldChar w:fldCharType="end"/>
          </w:r>
          <w:r>
            <w:fldChar w:fldCharType="end"/>
          </w:r>
        </w:p>
        <w:p w14:paraId="66FEDB15">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"_Toc204820997" </w:instrText>
          </w:r>
          <w:r>
            <w:fldChar w:fldCharType="separate"/>
          </w:r>
          <w:r>
            <w:rPr>
              <w:rStyle w:val="15"/>
            </w:rPr>
            <w:t>6.1 Findings</w:t>
          </w:r>
          <w:r>
            <w:tab/>
          </w:r>
          <w:r>
            <w:fldChar w:fldCharType="begin"/>
          </w:r>
          <w:r>
            <w:instrText xml:space="preserve"> PAGEREF _Toc204820997 \h </w:instrText>
          </w:r>
          <w:r>
            <w:fldChar w:fldCharType="separate"/>
          </w:r>
          <w:r>
            <w:t>34</w:t>
          </w:r>
          <w:r>
            <w:fldChar w:fldCharType="end"/>
          </w:r>
          <w:r>
            <w:fldChar w:fldCharType="end"/>
          </w:r>
        </w:p>
        <w:p w14:paraId="5A279609">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"_Toc204820998" </w:instrText>
          </w:r>
          <w:r>
            <w:fldChar w:fldCharType="separate"/>
          </w:r>
          <w:r>
            <w:rPr>
              <w:rStyle w:val="15"/>
            </w:rPr>
            <w:t>6.2 Recommendations</w:t>
          </w:r>
          <w:r>
            <w:tab/>
          </w:r>
          <w:r>
            <w:fldChar w:fldCharType="begin"/>
          </w:r>
          <w:r>
            <w:instrText xml:space="preserve"> PAGEREF _Toc204820998 \h </w:instrText>
          </w:r>
          <w:r>
            <w:fldChar w:fldCharType="separate"/>
          </w:r>
          <w:r>
            <w:t>34</w:t>
          </w:r>
          <w:r>
            <w:fldChar w:fldCharType="end"/>
          </w:r>
          <w:r>
            <w:fldChar w:fldCharType="end"/>
          </w:r>
        </w:p>
        <w:p w14:paraId="3BB3B634">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"_Toc204820999" </w:instrText>
          </w:r>
          <w:r>
            <w:fldChar w:fldCharType="separate"/>
          </w:r>
          <w:r>
            <w:rPr>
              <w:rStyle w:val="15"/>
            </w:rPr>
            <w:t>5.3 Conclusion</w:t>
          </w:r>
          <w:r>
            <w:tab/>
          </w:r>
          <w:r>
            <w:fldChar w:fldCharType="begin"/>
          </w:r>
          <w:r>
            <w:instrText xml:space="preserve"> PAGEREF _Toc204820999 \h </w:instrText>
          </w:r>
          <w:r>
            <w:fldChar w:fldCharType="separate"/>
          </w:r>
          <w:r>
            <w:t>35</w:t>
          </w:r>
          <w:r>
            <w:fldChar w:fldCharType="end"/>
          </w:r>
          <w:r>
            <w:fldChar w:fldCharType="end"/>
          </w:r>
        </w:p>
        <w:p w14:paraId="7861C80C">
          <w:pPr>
            <w:pStyle w:val="20"/>
            <w:tabs>
              <w:tab w:val="right" w:leader="dot" w:pos="9350"/>
            </w:tabs>
            <w:rPr>
              <w:rFonts w:asciiTheme="minorHAnsi" w:hAnsiTheme="minorHAnsi" w:eastAsiaTheme="minorEastAsia" w:cstheme="minorBidi"/>
              <w:color w:val="auto"/>
            </w:rPr>
          </w:pPr>
          <w:r>
            <w:fldChar w:fldCharType="begin"/>
          </w:r>
          <w:r>
            <w:instrText xml:space="preserve"> HYPERLINK \l "_Toc204821000" </w:instrText>
          </w:r>
          <w:r>
            <w:fldChar w:fldCharType="separate"/>
          </w:r>
          <w:r>
            <w:rPr>
              <w:rStyle w:val="15"/>
            </w:rPr>
            <w:t>6.4 Reference</w:t>
          </w:r>
          <w:r>
            <w:tab/>
          </w:r>
          <w:r>
            <w:fldChar w:fldCharType="begin"/>
          </w:r>
          <w:r>
            <w:instrText xml:space="preserve"> PAGEREF _Toc204821000 \h </w:instrText>
          </w:r>
          <w:r>
            <w:fldChar w:fldCharType="separate"/>
          </w:r>
          <w:r>
            <w:t>36</w:t>
          </w:r>
          <w:r>
            <w:fldChar w:fldCharType="end"/>
          </w:r>
          <w:r>
            <w:fldChar w:fldCharType="end"/>
          </w:r>
        </w:p>
        <w:p w14:paraId="79C8D770">
          <w:pPr>
            <w:rPr>
              <w:sz w:val="22"/>
              <w:szCs w:val="22"/>
            </w:rPr>
          </w:pPr>
          <w:r>
            <w:rPr>
              <w:b/>
              <w:bCs/>
              <w:sz w:val="22"/>
              <w:szCs w:val="22"/>
            </w:rPr>
            <w:fldChar w:fldCharType="end"/>
          </w:r>
        </w:p>
      </w:sdtContent>
    </w:sdt>
    <w:p w14:paraId="491EDCBF">
      <w:pPr>
        <w:spacing w:after="17" w:line="251" w:lineRule="auto"/>
        <w:ind w:left="2914" w:right="0"/>
        <w:jc w:val="left"/>
        <w:rPr>
          <w:sz w:val="22"/>
          <w:szCs w:val="22"/>
        </w:rPr>
      </w:pPr>
    </w:p>
    <w:p w14:paraId="22D18904">
      <w:pPr>
        <w:pStyle w:val="2"/>
        <w:jc w:val="center"/>
        <w:rPr>
          <w:rFonts w:ascii="Times New Roman" w:hAnsi="Times New Roman" w:cs="Times New Roman"/>
          <w:b/>
          <w:bCs/>
          <w:sz w:val="36"/>
          <w:szCs w:val="36"/>
        </w:rPr>
        <w:sectPr>
          <w:footerReference r:id="rId6" w:type="default"/>
          <w:pgSz w:w="12240" w:h="15840"/>
          <w:pgMar w:top="1440" w:right="1440" w:bottom="1440" w:left="1440" w:header="720" w:footer="720" w:gutter="0"/>
          <w:pgNumType w:fmt="lowerRoman" w:start="1"/>
          <w:cols w:space="720" w:num="1"/>
          <w:docGrid w:linePitch="360" w:charSpace="0"/>
        </w:sectPr>
      </w:pPr>
    </w:p>
    <w:p w14:paraId="3532107F">
      <w:pPr>
        <w:pStyle w:val="2"/>
        <w:jc w:val="center"/>
        <w:rPr>
          <w:rFonts w:ascii="Times New Roman" w:hAnsi="Times New Roman" w:cs="Times New Roman"/>
          <w:b/>
          <w:bCs/>
          <w:sz w:val="36"/>
          <w:szCs w:val="36"/>
        </w:rPr>
      </w:pPr>
      <w:bookmarkStart w:id="8" w:name="_Toc204820950"/>
      <w:r>
        <w:rPr>
          <w:rFonts w:ascii="Times New Roman" w:hAnsi="Times New Roman" w:cs="Times New Roman"/>
          <w:b/>
          <w:bCs/>
          <w:sz w:val="36"/>
          <w:szCs w:val="36"/>
        </w:rPr>
        <w:t>Chapter 01</w:t>
      </w:r>
      <w:bookmarkEnd w:id="8"/>
    </w:p>
    <w:p w14:paraId="4D6BA1FC">
      <w:pPr>
        <w:pStyle w:val="2"/>
        <w:jc w:val="center"/>
        <w:rPr>
          <w:rFonts w:ascii="Times New Roman" w:hAnsi="Times New Roman" w:cs="Times New Roman"/>
          <w:b/>
          <w:bCs/>
          <w:sz w:val="36"/>
          <w:szCs w:val="36"/>
        </w:rPr>
      </w:pPr>
      <w:bookmarkStart w:id="9" w:name="_Toc204820951"/>
      <w:r>
        <w:rPr>
          <w:rFonts w:ascii="Times New Roman" w:hAnsi="Times New Roman" w:cs="Times New Roman"/>
          <w:b/>
          <w:bCs/>
          <w:sz w:val="36"/>
          <w:szCs w:val="36"/>
        </w:rPr>
        <w:t>INTRODUCTION</w:t>
      </w:r>
      <w:bookmarkEnd w:id="9"/>
    </w:p>
    <w:p w14:paraId="70C14872">
      <w:pPr>
        <w:pStyle w:val="3"/>
        <w:rPr>
          <w:rFonts w:ascii="Times New Roman" w:hAnsi="Times New Roman" w:cs="Times New Roman"/>
        </w:rPr>
      </w:pPr>
      <w:bookmarkStart w:id="10" w:name="_Toc204820952"/>
      <w:r>
        <w:rPr>
          <w:rFonts w:ascii="Times New Roman" w:hAnsi="Times New Roman" w:eastAsia="Times New Roman" w:cs="Times New Roman"/>
          <w:b/>
        </w:rPr>
        <w:t xml:space="preserve">1.1 </w:t>
      </w:r>
      <w:r>
        <w:rPr>
          <w:rFonts w:ascii="Times New Roman" w:hAnsi="Times New Roman" w:cs="Times New Roman"/>
        </w:rPr>
        <w:t>Introduction</w:t>
      </w:r>
      <w:bookmarkEnd w:id="10"/>
    </w:p>
    <w:p w14:paraId="42053526">
      <w:pPr>
        <w:spacing w:after="414" w:line="363" w:lineRule="auto"/>
        <w:ind w:left="-5" w:right="47"/>
        <w:rPr>
          <w:sz w:val="22"/>
          <w:szCs w:val="22"/>
        </w:rPr>
      </w:pPr>
      <w:r>
        <w:rPr>
          <w:sz w:val="22"/>
          <w:szCs w:val="22"/>
        </w:rPr>
        <w:t>Internship is an important part of our Bachelor of Business Administration degree program. It gave me an opportunity to get real experience and knowledge that I have learned and it provided me a valuable lesson for my career.</w:t>
      </w:r>
    </w:p>
    <w:p w14:paraId="5CD4D6D5">
      <w:pPr>
        <w:spacing w:after="414" w:line="363" w:lineRule="auto"/>
        <w:ind w:left="-15" w:right="47" w:firstLine="0"/>
        <w:rPr>
          <w:sz w:val="22"/>
          <w:szCs w:val="22"/>
        </w:rPr>
      </w:pPr>
      <w:r>
        <w:rPr>
          <w:sz w:val="22"/>
          <w:szCs w:val="22"/>
        </w:rPr>
        <w:t xml:space="preserve"> Banks generally offer internship opportunities to students who have completed their formal education. Banks allow students who wants to complete their internship to spend 3 months working and assisting senior employees, and gaining knowledge, skills, and insight about the life of a banker and the banking sector in general. It allows student who wants to work in banks to know more about their day-to-day work, working conditions, and the pressures &amp; challenges that they might face if they work in banks.</w:t>
      </w:r>
    </w:p>
    <w:p w14:paraId="6AAB0D8D">
      <w:pPr>
        <w:spacing w:after="313" w:line="363" w:lineRule="auto"/>
        <w:ind w:left="-5" w:right="47"/>
        <w:rPr>
          <w:sz w:val="22"/>
          <w:szCs w:val="22"/>
        </w:rPr>
      </w:pPr>
      <w:r>
        <w:rPr>
          <w:sz w:val="22"/>
          <w:szCs w:val="22"/>
        </w:rPr>
        <w:t xml:space="preserve">Bank is a financial instruction where people can store their money safely, it is called deposit. Bank collets this deposit and gives this money in a form of loan to business personnel or any individual who might be in need. In simple words banks works as a bridge between people with extra money and people in need. Bank and do this transaction directly to the borrower or they can invest this money in financial market. By giving loans to different business commercial banks helps them to grow and create job opportunity. This process boosts the economy of a country significantly.   </w:t>
      </w:r>
    </w:p>
    <w:p w14:paraId="001CD9CE">
      <w:pPr>
        <w:spacing w:after="313" w:line="363" w:lineRule="auto"/>
        <w:ind w:left="-5" w:right="47"/>
        <w:rPr>
          <w:sz w:val="22"/>
          <w:szCs w:val="22"/>
        </w:rPr>
      </w:pPr>
      <w:r>
        <w:rPr>
          <w:sz w:val="22"/>
          <w:szCs w:val="22"/>
        </w:rPr>
        <w:t xml:space="preserve">Credit is one of the most important services of a bank. It is a very important part of a bank as it is the main source of income of a bank. If a bank does not manage its credit like not checking the background properly before landing money or unable to collect repayment it can face financial struggle. Poor credit management can sometimes lead to serious lose and fail to increase its shareholders value. </w:t>
      </w:r>
    </w:p>
    <w:p w14:paraId="78A51D16">
      <w:pPr>
        <w:spacing w:after="313" w:line="363" w:lineRule="auto"/>
        <w:ind w:left="-5" w:right="47"/>
        <w:rPr>
          <w:sz w:val="22"/>
          <w:szCs w:val="22"/>
        </w:rPr>
      </w:pPr>
      <w:r>
        <w:rPr>
          <w:sz w:val="22"/>
          <w:szCs w:val="22"/>
        </w:rPr>
        <w:t xml:space="preserve">Trust bank PLC is a very well know commercial bank in Bangladesh. It was established in 1999. Its main goal is to provide modern and more efficient banking service to different type of client all over Bangladesh. One of its biggest strengths is the Bangladesh army. To reach its goal trust bank PLC focuses on it credit management and strategic management. </w:t>
      </w:r>
    </w:p>
    <w:p w14:paraId="0EBFBE7A">
      <w:pPr>
        <w:pStyle w:val="3"/>
        <w:rPr>
          <w:rFonts w:ascii="Times New Roman" w:hAnsi="Times New Roman" w:cs="Times New Roman"/>
        </w:rPr>
      </w:pPr>
      <w:bookmarkStart w:id="11" w:name="_Toc204820953"/>
      <w:r>
        <w:rPr>
          <w:rFonts w:ascii="Times New Roman" w:hAnsi="Times New Roman" w:eastAsia="Times New Roman" w:cs="Times New Roman"/>
          <w:b/>
        </w:rPr>
        <w:t xml:space="preserve">1.2 </w:t>
      </w:r>
      <w:r>
        <w:rPr>
          <w:rFonts w:ascii="Times New Roman" w:hAnsi="Times New Roman" w:cs="Times New Roman"/>
        </w:rPr>
        <w:t>Background of the Study</w:t>
      </w:r>
      <w:bookmarkEnd w:id="11"/>
    </w:p>
    <w:p w14:paraId="6CFB0E75">
      <w:pPr>
        <w:spacing w:after="414" w:line="363" w:lineRule="auto"/>
        <w:ind w:left="-5" w:right="47"/>
        <w:rPr>
          <w:sz w:val="22"/>
          <w:szCs w:val="22"/>
        </w:rPr>
      </w:pPr>
      <w:r>
        <w:rPr>
          <w:sz w:val="22"/>
          <w:szCs w:val="22"/>
        </w:rPr>
        <w:t>The Bachelor of Business Administration (BBA) program gives the students to use their knowledge in the real-life work experience. This gives the students a chance to use this valuable life experience when they enter the corporate world. With the help of this program students can improve their problem-solving skills and use it to their benefit. It is very import for a student to learn the basics of a banking environment if they are willing to enter the banking world.</w:t>
      </w:r>
    </w:p>
    <w:p w14:paraId="76668AEC">
      <w:pPr>
        <w:ind w:left="-5" w:right="47"/>
        <w:rPr>
          <w:sz w:val="22"/>
          <w:szCs w:val="22"/>
        </w:rPr>
      </w:pPr>
      <w:r>
        <w:rPr>
          <w:sz w:val="22"/>
          <w:szCs w:val="22"/>
        </w:rPr>
        <w:t xml:space="preserve"> Trust bank Limited gave me this opportunity to complete my internship program.</w:t>
      </w:r>
    </w:p>
    <w:p w14:paraId="56EC79A4">
      <w:pPr>
        <w:spacing w:after="528"/>
        <w:ind w:left="-5" w:right="47"/>
        <w:rPr>
          <w:sz w:val="22"/>
          <w:szCs w:val="22"/>
        </w:rPr>
      </w:pPr>
      <w:r>
        <w:rPr>
          <w:sz w:val="22"/>
          <w:szCs w:val="22"/>
        </w:rPr>
        <w:t>And I also get some experience from working in TBL.</w:t>
      </w:r>
    </w:p>
    <w:p w14:paraId="686F0F70">
      <w:pPr>
        <w:spacing w:after="450" w:line="363" w:lineRule="auto"/>
        <w:ind w:left="-5" w:right="47"/>
        <w:rPr>
          <w:sz w:val="22"/>
          <w:szCs w:val="22"/>
        </w:rPr>
      </w:pPr>
      <w:r>
        <w:rPr>
          <w:sz w:val="22"/>
          <w:szCs w:val="22"/>
        </w:rPr>
        <w:t xml:space="preserve">Our traditional educational system is mostly focused on textbook and student rarely gets to experience the real-life events. This practical knowledge about the real life helps a student significantly to prepare themselves for the corporate world. Before finishing my BBA, I was placed at Trust Bank Limited for an internship under the guidance of my faculty supervisor. The internship lasted three months, from April 2025 to June 2025. To complete the BBA program successfully, I need to submit my report which reflects my knowledge and my experience that I gathered during my internship. </w:t>
      </w:r>
    </w:p>
    <w:p w14:paraId="69F3721A">
      <w:pPr>
        <w:spacing w:after="450" w:line="363" w:lineRule="auto"/>
        <w:ind w:left="-5" w:right="47"/>
        <w:rPr>
          <w:sz w:val="22"/>
          <w:szCs w:val="22"/>
        </w:rPr>
      </w:pPr>
      <w:r>
        <w:rPr>
          <w:sz w:val="22"/>
          <w:szCs w:val="22"/>
        </w:rPr>
        <w:t xml:space="preserve"> </w:t>
      </w:r>
    </w:p>
    <w:p w14:paraId="26B4FDF7">
      <w:pPr>
        <w:pStyle w:val="3"/>
        <w:rPr>
          <w:rFonts w:ascii="Times New Roman" w:hAnsi="Times New Roman" w:eastAsia="Times New Roman" w:cs="Times New Roman"/>
        </w:rPr>
      </w:pPr>
      <w:bookmarkStart w:id="12" w:name="_Toc204820954"/>
      <w:r>
        <w:rPr>
          <w:rFonts w:ascii="Times New Roman" w:hAnsi="Times New Roman" w:eastAsia="Times New Roman" w:cs="Times New Roman"/>
        </w:rPr>
        <w:t>1.3 Objective of the Report</w:t>
      </w:r>
      <w:bookmarkEnd w:id="12"/>
    </w:p>
    <w:p w14:paraId="0BD8EF36">
      <w:pPr>
        <w:rPr>
          <w:sz w:val="22"/>
          <w:szCs w:val="22"/>
        </w:rPr>
      </w:pPr>
      <w:r>
        <w:rPr>
          <w:sz w:val="22"/>
          <w:szCs w:val="22"/>
        </w:rPr>
        <w:t xml:space="preserve">Every report needs to have a focal point. If a report will be successful or not depends on how much of it has fulfilled its objective. The core objective of this study is to identify the key HRM policies and how they manage the employee leave management system. Some specific objective of this report is given bellow </w:t>
      </w:r>
    </w:p>
    <w:p w14:paraId="64EDA222">
      <w:pPr>
        <w:pStyle w:val="35"/>
        <w:numPr>
          <w:ilvl w:val="0"/>
          <w:numId w:val="1"/>
        </w:numPr>
        <w:rPr>
          <w:sz w:val="22"/>
          <w:szCs w:val="22"/>
        </w:rPr>
      </w:pPr>
      <w:r>
        <w:rPr>
          <w:sz w:val="22"/>
          <w:szCs w:val="22"/>
        </w:rPr>
        <w:t>Understand overall HRM structure and policy of trust bank</w:t>
      </w:r>
    </w:p>
    <w:p w14:paraId="7996E5AF">
      <w:pPr>
        <w:pStyle w:val="35"/>
        <w:numPr>
          <w:ilvl w:val="0"/>
          <w:numId w:val="1"/>
        </w:numPr>
        <w:rPr>
          <w:sz w:val="22"/>
          <w:szCs w:val="22"/>
        </w:rPr>
      </w:pPr>
      <w:r>
        <w:rPr>
          <w:sz w:val="22"/>
          <w:szCs w:val="22"/>
        </w:rPr>
        <w:t>Analyze the bank’s leave management system</w:t>
      </w:r>
    </w:p>
    <w:p w14:paraId="349C7E28">
      <w:pPr>
        <w:pStyle w:val="35"/>
        <w:numPr>
          <w:ilvl w:val="0"/>
          <w:numId w:val="1"/>
        </w:numPr>
        <w:rPr>
          <w:sz w:val="22"/>
          <w:szCs w:val="22"/>
        </w:rPr>
      </w:pPr>
      <w:r>
        <w:rPr>
          <w:sz w:val="22"/>
          <w:szCs w:val="22"/>
        </w:rPr>
        <w:t>If TBL has a fair and transparent employee performance management system</w:t>
      </w:r>
    </w:p>
    <w:p w14:paraId="545F3FC1">
      <w:pPr>
        <w:pStyle w:val="35"/>
        <w:numPr>
          <w:ilvl w:val="0"/>
          <w:numId w:val="1"/>
        </w:numPr>
        <w:rPr>
          <w:sz w:val="22"/>
          <w:szCs w:val="22"/>
        </w:rPr>
      </w:pPr>
      <w:r>
        <w:rPr>
          <w:sz w:val="22"/>
          <w:szCs w:val="22"/>
        </w:rPr>
        <w:t>The effectiveness of current HR practices</w:t>
      </w:r>
    </w:p>
    <w:p w14:paraId="7B7E7AD3">
      <w:pPr>
        <w:pStyle w:val="35"/>
        <w:numPr>
          <w:ilvl w:val="0"/>
          <w:numId w:val="1"/>
        </w:numPr>
        <w:rPr>
          <w:sz w:val="22"/>
          <w:szCs w:val="22"/>
        </w:rPr>
      </w:pPr>
      <w:r>
        <w:rPr>
          <w:sz w:val="22"/>
          <w:szCs w:val="22"/>
        </w:rPr>
        <w:t>Provide practical recommendation for overall HR operations based on experience during internship.</w:t>
      </w:r>
    </w:p>
    <w:p w14:paraId="786E497D">
      <w:pPr>
        <w:rPr>
          <w:sz w:val="22"/>
          <w:szCs w:val="22"/>
        </w:rPr>
      </w:pPr>
    </w:p>
    <w:p w14:paraId="3B6D30A1">
      <w:pPr>
        <w:spacing w:after="388" w:line="251" w:lineRule="auto"/>
        <w:ind w:left="-5" w:right="0"/>
        <w:jc w:val="left"/>
        <w:rPr>
          <w:sz w:val="22"/>
          <w:szCs w:val="22"/>
        </w:rPr>
      </w:pPr>
    </w:p>
    <w:p w14:paraId="0A6E66DF">
      <w:pPr>
        <w:spacing w:line="363" w:lineRule="auto"/>
        <w:ind w:left="-5" w:right="47"/>
        <w:rPr>
          <w:sz w:val="22"/>
          <w:szCs w:val="22"/>
        </w:rPr>
      </w:pPr>
    </w:p>
    <w:p w14:paraId="79A3D9DF">
      <w:pPr>
        <w:spacing w:line="363" w:lineRule="auto"/>
        <w:ind w:left="-5" w:right="47"/>
        <w:rPr>
          <w:sz w:val="22"/>
          <w:szCs w:val="22"/>
        </w:rPr>
      </w:pPr>
    </w:p>
    <w:p w14:paraId="3FF75315">
      <w:pPr>
        <w:pStyle w:val="3"/>
        <w:rPr>
          <w:rFonts w:ascii="Times New Roman" w:hAnsi="Times New Roman" w:cs="Times New Roman"/>
        </w:rPr>
      </w:pPr>
      <w:bookmarkStart w:id="13" w:name="_Toc204820955"/>
      <w:r>
        <w:rPr>
          <w:rFonts w:ascii="Times New Roman" w:hAnsi="Times New Roman" w:eastAsia="Times New Roman" w:cs="Times New Roman"/>
          <w:bCs/>
        </w:rPr>
        <w:t xml:space="preserve">1.4 </w:t>
      </w:r>
      <w:r>
        <w:rPr>
          <w:rFonts w:ascii="Times New Roman" w:hAnsi="Times New Roman" w:cs="Times New Roman"/>
        </w:rPr>
        <w:t>Scope of the Study</w:t>
      </w:r>
      <w:bookmarkEnd w:id="13"/>
    </w:p>
    <w:p w14:paraId="2D2E9CCA">
      <w:pPr>
        <w:spacing w:after="450" w:line="363" w:lineRule="auto"/>
        <w:ind w:left="0" w:right="47" w:firstLine="0"/>
        <w:rPr>
          <w:sz w:val="22"/>
          <w:szCs w:val="22"/>
        </w:rPr>
      </w:pPr>
      <w:r>
        <w:rPr>
          <w:sz w:val="22"/>
          <w:szCs w:val="22"/>
        </w:rPr>
        <w:t xml:space="preserve">The scope of this report is to learn about the HRM policies and leave management system in Trust Bank Limited (TBL). The scope of this report is to summarize the key points of the report bout HRM polices and provide suggestions for future research and practices related to leave management system. </w:t>
      </w:r>
    </w:p>
    <w:p w14:paraId="6566E12D">
      <w:pPr>
        <w:pStyle w:val="3"/>
        <w:rPr>
          <w:rFonts w:ascii="Times New Roman" w:hAnsi="Times New Roman" w:cs="Times New Roman"/>
        </w:rPr>
      </w:pPr>
      <w:bookmarkStart w:id="14" w:name="_Toc204820956"/>
      <w:r>
        <w:rPr>
          <w:rFonts w:ascii="Times New Roman" w:hAnsi="Times New Roman" w:cs="Times New Roman"/>
        </w:rPr>
        <w:t>1.5 Limitations of the Study</w:t>
      </w:r>
      <w:bookmarkEnd w:id="14"/>
    </w:p>
    <w:p w14:paraId="7F64E391">
      <w:pPr>
        <w:spacing w:after="0" w:line="363" w:lineRule="auto"/>
        <w:ind w:left="-5" w:right="47"/>
        <w:rPr>
          <w:sz w:val="22"/>
          <w:szCs w:val="22"/>
        </w:rPr>
      </w:pPr>
      <w:r>
        <w:rPr>
          <w:sz w:val="22"/>
          <w:szCs w:val="22"/>
        </w:rPr>
        <w:t xml:space="preserve"> I have tried my best to provide the information I have learned about the bank in this report but there were a few limitations. Because of these limitations I was not able to complete the report to the level of accuracy which I wanted. Some potential limitations of the study are:</w:t>
      </w:r>
    </w:p>
    <w:p w14:paraId="59DDBC60">
      <w:pPr>
        <w:pStyle w:val="35"/>
        <w:numPr>
          <w:ilvl w:val="0"/>
          <w:numId w:val="2"/>
        </w:numPr>
        <w:spacing w:after="0" w:line="363" w:lineRule="auto"/>
        <w:ind w:right="47"/>
        <w:rPr>
          <w:sz w:val="22"/>
          <w:szCs w:val="22"/>
        </w:rPr>
      </w:pPr>
      <w:r>
        <w:rPr>
          <w:sz w:val="22"/>
          <w:szCs w:val="22"/>
        </w:rPr>
        <w:t xml:space="preserve">Access to Data: There was a limitation on the access of internal banking data. This restriction on confidential data may affect the ability to conduct a thorough analysis or validate findings. </w:t>
      </w:r>
    </w:p>
    <w:p w14:paraId="3B6103DD">
      <w:pPr>
        <w:numPr>
          <w:ilvl w:val="0"/>
          <w:numId w:val="2"/>
        </w:numPr>
        <w:spacing w:after="3" w:line="363" w:lineRule="auto"/>
        <w:ind w:right="47"/>
        <w:rPr>
          <w:sz w:val="22"/>
          <w:szCs w:val="22"/>
        </w:rPr>
      </w:pPr>
      <w:r>
        <w:rPr>
          <w:sz w:val="22"/>
          <w:szCs w:val="22"/>
        </w:rPr>
        <w:t xml:space="preserve">Time Constraints: The internship duration can cause limitations on the depth of the study, preventing a more comprehensive analysis or exploration. </w:t>
      </w:r>
    </w:p>
    <w:p w14:paraId="620B946C">
      <w:pPr>
        <w:numPr>
          <w:ilvl w:val="0"/>
          <w:numId w:val="2"/>
        </w:numPr>
        <w:spacing w:after="4" w:line="362" w:lineRule="auto"/>
        <w:ind w:right="47"/>
        <w:rPr>
          <w:sz w:val="22"/>
          <w:szCs w:val="22"/>
        </w:rPr>
      </w:pPr>
      <w:r>
        <w:rPr>
          <w:sz w:val="22"/>
          <w:szCs w:val="22"/>
        </w:rPr>
        <w:t>Data Collection Method: obtaining data from some of the employees were verry difficult. Depending on the method of data collection there could be inherent limitations such as response bias, social desirability bias, or the inability to capture the full range of customer experiences.</w:t>
      </w:r>
    </w:p>
    <w:p w14:paraId="0EF98F1C">
      <w:pPr>
        <w:numPr>
          <w:ilvl w:val="0"/>
          <w:numId w:val="2"/>
        </w:numPr>
        <w:spacing w:line="363" w:lineRule="auto"/>
        <w:ind w:right="47"/>
        <w:rPr>
          <w:sz w:val="22"/>
          <w:szCs w:val="22"/>
        </w:rPr>
      </w:pPr>
      <w:r>
        <w:rPr>
          <w:sz w:val="22"/>
          <w:szCs w:val="22"/>
        </w:rPr>
        <w:t>Limited Generalization: Since the study focuses on only one branch, the findings may not be fully applicable to other banks or branches outside of this context.</w:t>
      </w:r>
    </w:p>
    <w:p w14:paraId="17C71FC9">
      <w:pPr>
        <w:numPr>
          <w:ilvl w:val="0"/>
          <w:numId w:val="2"/>
        </w:numPr>
        <w:spacing w:after="1" w:line="363" w:lineRule="auto"/>
        <w:ind w:right="47"/>
        <w:rPr>
          <w:sz w:val="22"/>
          <w:szCs w:val="22"/>
        </w:rPr>
      </w:pPr>
      <w:r>
        <w:rPr>
          <w:sz w:val="22"/>
          <w:szCs w:val="22"/>
        </w:rPr>
        <w:t>External Factors: The study may not account for external factors like economic conditions, competition and regulatory changes, that could influence both service quality and customer satisfaction, potentially confounding the results.</w:t>
      </w:r>
    </w:p>
    <w:p w14:paraId="44FC08FC">
      <w:pPr>
        <w:spacing w:after="160" w:line="278" w:lineRule="auto"/>
        <w:ind w:left="0" w:right="0" w:firstLine="0"/>
        <w:jc w:val="left"/>
        <w:rPr>
          <w:sz w:val="22"/>
          <w:szCs w:val="22"/>
        </w:rPr>
      </w:pPr>
      <w:r>
        <w:rPr>
          <w:sz w:val="22"/>
          <w:szCs w:val="22"/>
        </w:rPr>
        <w:br w:type="page"/>
      </w:r>
    </w:p>
    <w:p w14:paraId="3A9A86D4">
      <w:pPr>
        <w:rPr>
          <w:b/>
          <w:bCs/>
          <w:sz w:val="36"/>
          <w:szCs w:val="36"/>
        </w:rPr>
      </w:pPr>
    </w:p>
    <w:p w14:paraId="219F82F9">
      <w:pPr>
        <w:pStyle w:val="2"/>
        <w:jc w:val="center"/>
        <w:rPr>
          <w:rFonts w:ascii="Times New Roman" w:hAnsi="Times New Roman" w:cs="Times New Roman"/>
          <w:b/>
          <w:bCs/>
          <w:sz w:val="36"/>
          <w:szCs w:val="36"/>
        </w:rPr>
      </w:pPr>
      <w:bookmarkStart w:id="15" w:name="_Toc204820957"/>
      <w:r>
        <w:rPr>
          <w:rFonts w:ascii="Times New Roman" w:hAnsi="Times New Roman" w:cs="Times New Roman"/>
          <w:b/>
          <w:bCs/>
          <w:sz w:val="36"/>
          <w:szCs w:val="36"/>
        </w:rPr>
        <w:t>Chapter 02</w:t>
      </w:r>
      <w:bookmarkEnd w:id="15"/>
    </w:p>
    <w:p w14:paraId="474D6230">
      <w:pPr>
        <w:pStyle w:val="2"/>
        <w:jc w:val="center"/>
        <w:rPr>
          <w:rFonts w:ascii="Times New Roman" w:hAnsi="Times New Roman" w:cs="Times New Roman"/>
          <w:b/>
          <w:bCs/>
          <w:sz w:val="36"/>
          <w:szCs w:val="36"/>
        </w:rPr>
      </w:pPr>
      <w:bookmarkStart w:id="16" w:name="_Toc204820958"/>
      <w:r>
        <w:rPr>
          <w:rFonts w:ascii="Times New Roman" w:hAnsi="Times New Roman" w:cs="Times New Roman"/>
          <w:b/>
          <w:bCs/>
          <w:sz w:val="36"/>
          <w:szCs w:val="36"/>
        </w:rPr>
        <w:t>COMPANY AND INDUSTRY PROFILE</w:t>
      </w:r>
      <w:bookmarkEnd w:id="16"/>
    </w:p>
    <w:p w14:paraId="0362506E">
      <w:pPr>
        <w:pStyle w:val="3"/>
        <w:rPr>
          <w:rFonts w:ascii="Times New Roman" w:hAnsi="Times New Roman" w:cs="Times New Roman"/>
        </w:rPr>
      </w:pPr>
      <w:bookmarkStart w:id="17" w:name="_Toc204820959"/>
      <w:r>
        <w:rPr>
          <w:rFonts w:ascii="Times New Roman" w:hAnsi="Times New Roman" w:cs="Times New Roman"/>
        </w:rPr>
        <w:t>2.1 Company Analysis</w:t>
      </w:r>
      <w:bookmarkEnd w:id="17"/>
    </w:p>
    <w:p w14:paraId="1891B878">
      <w:pPr>
        <w:pStyle w:val="4"/>
      </w:pPr>
      <w:bookmarkStart w:id="18" w:name="_Toc204820960"/>
      <w:r>
        <w:t>2.1.1 Overview and History</w:t>
      </w:r>
      <w:bookmarkEnd w:id="18"/>
    </w:p>
    <w:p w14:paraId="3D95C8A8">
      <w:pPr>
        <w:spacing w:after="1" w:line="363" w:lineRule="auto"/>
        <w:ind w:right="47"/>
        <w:rPr>
          <w:sz w:val="22"/>
          <w:szCs w:val="22"/>
        </w:rPr>
      </w:pPr>
    </w:p>
    <w:p w14:paraId="231B4883">
      <w:pPr>
        <w:spacing w:after="414" w:line="363" w:lineRule="auto"/>
        <w:ind w:left="-5" w:right="47"/>
        <w:rPr>
          <w:sz w:val="22"/>
          <w:szCs w:val="22"/>
        </w:rPr>
      </w:pPr>
      <w:r>
        <w:rPr>
          <w:sz w:val="22"/>
          <w:szCs w:val="22"/>
        </w:rPr>
        <w:t>Trust Bank PLC began its journey on 17 June 1999. It started as a public limited company under the Companies Act of 1994. The bank received its Certificate of Commencement of Business on the same day. Trust Bank was later listed on the Dhaka Stock Exchange on 25 September 2007 and on the Chittagong Stock Exchange on 24 September 2007.</w:t>
      </w:r>
    </w:p>
    <w:p w14:paraId="785BE9E6">
      <w:pPr>
        <w:spacing w:after="414" w:line="363" w:lineRule="auto"/>
        <w:ind w:left="-5" w:right="47"/>
        <w:rPr>
          <w:sz w:val="22"/>
          <w:szCs w:val="22"/>
        </w:rPr>
      </w:pPr>
      <w:r>
        <w:rPr>
          <w:sz w:val="22"/>
          <w:szCs w:val="22"/>
        </w:rPr>
        <w:t>In their early days of business, they were already successful, and they were financially strong and they are able to maintain this streak year after year. Their early success can be due to their solid financial support system, which includes the Army Welfare Trust. Because it handles all of the army's financial operations, this bank enjoys great popularity among the army community. Both the general public and businesspeople have been favoring Trust Bank Ltd. in recent years. The bank handles foreign exchange operations in addition to providing excellent customer service for ordinary banking.</w:t>
      </w:r>
    </w:p>
    <w:p w14:paraId="58301297">
      <w:pPr>
        <w:spacing w:after="414" w:line="363" w:lineRule="auto"/>
        <w:ind w:left="-5" w:right="47"/>
        <w:jc w:val="center"/>
        <w:rPr>
          <w:sz w:val="22"/>
          <w:szCs w:val="22"/>
        </w:rPr>
      </w:pPr>
      <w:r>
        <w:rPr>
          <w:sz w:val="22"/>
          <w:szCs w:val="22"/>
          <w:u w:color="000000"/>
        </w:rPr>
        <w:t>History of TBL</w:t>
      </w:r>
      <w:r>
        <w:rPr>
          <w:sz w:val="22"/>
          <w:szCs w:val="22"/>
        </w:rPr>
        <w:t xml:space="preserve"> </w:t>
      </w:r>
    </w:p>
    <w:tbl>
      <w:tblPr>
        <w:tblStyle w:val="40"/>
        <w:tblW w:w="9309" w:type="dxa"/>
        <w:tblInd w:w="432" w:type="dxa"/>
        <w:tblLayout w:type="autofit"/>
        <w:tblCellMar>
          <w:top w:w="0" w:type="dxa"/>
          <w:left w:w="108" w:type="dxa"/>
          <w:bottom w:w="0" w:type="dxa"/>
          <w:right w:w="6" w:type="dxa"/>
        </w:tblCellMar>
      </w:tblPr>
      <w:tblGrid>
        <w:gridCol w:w="2873"/>
        <w:gridCol w:w="6436"/>
      </w:tblGrid>
      <w:tr w14:paraId="24ABEFDA">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474620A5">
            <w:pPr>
              <w:spacing w:after="0" w:line="259" w:lineRule="auto"/>
              <w:ind w:left="0" w:firstLine="0"/>
              <w:jc w:val="left"/>
              <w:rPr>
                <w:sz w:val="22"/>
                <w:szCs w:val="22"/>
              </w:rPr>
            </w:pPr>
            <w:r>
              <w:rPr>
                <w:b/>
                <w:sz w:val="22"/>
                <w:szCs w:val="22"/>
              </w:rPr>
              <w:t xml:space="preserve">Date </w:t>
            </w:r>
            <w:r>
              <w:rPr>
                <w:sz w:val="22"/>
                <w:szCs w:val="22"/>
              </w:rPr>
              <w:t xml:space="preserve"> </w:t>
            </w:r>
          </w:p>
        </w:tc>
        <w:tc>
          <w:tcPr>
            <w:tcW w:w="6436" w:type="dxa"/>
            <w:tcBorders>
              <w:top w:val="single" w:color="000000" w:sz="4" w:space="0"/>
              <w:left w:val="single" w:color="000000" w:sz="4" w:space="0"/>
              <w:bottom w:val="single" w:color="000000" w:sz="4" w:space="0"/>
              <w:right w:val="single" w:color="000000" w:sz="4" w:space="0"/>
            </w:tcBorders>
          </w:tcPr>
          <w:p w14:paraId="685F2218">
            <w:pPr>
              <w:spacing w:after="0" w:line="259" w:lineRule="auto"/>
              <w:ind w:left="0" w:firstLine="0"/>
              <w:jc w:val="left"/>
              <w:rPr>
                <w:sz w:val="22"/>
                <w:szCs w:val="22"/>
              </w:rPr>
            </w:pPr>
            <w:r>
              <w:rPr>
                <w:b/>
                <w:sz w:val="22"/>
                <w:szCs w:val="22"/>
              </w:rPr>
              <w:t xml:space="preserve">Particulars/Events </w:t>
            </w:r>
            <w:r>
              <w:rPr>
                <w:sz w:val="22"/>
                <w:szCs w:val="22"/>
              </w:rPr>
              <w:t xml:space="preserve"> </w:t>
            </w:r>
          </w:p>
        </w:tc>
      </w:tr>
      <w:tr w14:paraId="249C81E6">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731D3EB5">
            <w:pPr>
              <w:spacing w:after="0" w:line="259" w:lineRule="auto"/>
              <w:ind w:left="0" w:firstLine="0"/>
              <w:jc w:val="left"/>
              <w:rPr>
                <w:sz w:val="22"/>
                <w:szCs w:val="22"/>
              </w:rPr>
            </w:pPr>
            <w:r>
              <w:rPr>
                <w:sz w:val="22"/>
                <w:szCs w:val="22"/>
              </w:rPr>
              <w:t xml:space="preserve">1987  </w:t>
            </w:r>
          </w:p>
        </w:tc>
        <w:tc>
          <w:tcPr>
            <w:tcW w:w="6436" w:type="dxa"/>
            <w:tcBorders>
              <w:top w:val="single" w:color="000000" w:sz="4" w:space="0"/>
              <w:left w:val="single" w:color="000000" w:sz="4" w:space="0"/>
              <w:bottom w:val="single" w:color="000000" w:sz="4" w:space="0"/>
              <w:right w:val="single" w:color="000000" w:sz="4" w:space="0"/>
            </w:tcBorders>
          </w:tcPr>
          <w:p w14:paraId="43FB8EA7">
            <w:pPr>
              <w:spacing w:after="0" w:line="259" w:lineRule="auto"/>
              <w:ind w:left="0" w:firstLine="0"/>
              <w:jc w:val="left"/>
              <w:rPr>
                <w:sz w:val="22"/>
                <w:szCs w:val="22"/>
              </w:rPr>
            </w:pPr>
            <w:r>
              <w:rPr>
                <w:sz w:val="22"/>
                <w:szCs w:val="22"/>
              </w:rPr>
              <w:t xml:space="preserve">Idea  </w:t>
            </w:r>
          </w:p>
        </w:tc>
      </w:tr>
      <w:tr w14:paraId="0446BAF7">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2330173E">
            <w:pPr>
              <w:spacing w:after="0" w:line="259" w:lineRule="auto"/>
              <w:ind w:left="0" w:firstLine="0"/>
              <w:jc w:val="left"/>
              <w:rPr>
                <w:sz w:val="22"/>
                <w:szCs w:val="22"/>
              </w:rPr>
            </w:pPr>
            <w:r>
              <w:rPr>
                <w:sz w:val="22"/>
                <w:szCs w:val="22"/>
              </w:rPr>
              <w:t xml:space="preserve">1994  </w:t>
            </w:r>
          </w:p>
        </w:tc>
        <w:tc>
          <w:tcPr>
            <w:tcW w:w="6436" w:type="dxa"/>
            <w:tcBorders>
              <w:top w:val="single" w:color="000000" w:sz="4" w:space="0"/>
              <w:left w:val="single" w:color="000000" w:sz="4" w:space="0"/>
              <w:bottom w:val="single" w:color="000000" w:sz="4" w:space="0"/>
              <w:right w:val="single" w:color="000000" w:sz="4" w:space="0"/>
            </w:tcBorders>
          </w:tcPr>
          <w:p w14:paraId="06F87254">
            <w:pPr>
              <w:spacing w:after="0" w:line="259" w:lineRule="auto"/>
              <w:ind w:left="0" w:firstLine="0"/>
              <w:jc w:val="left"/>
              <w:rPr>
                <w:sz w:val="22"/>
                <w:szCs w:val="22"/>
              </w:rPr>
            </w:pPr>
            <w:r>
              <w:rPr>
                <w:sz w:val="22"/>
                <w:szCs w:val="22"/>
              </w:rPr>
              <w:t xml:space="preserve">Foreign Investment  </w:t>
            </w:r>
          </w:p>
        </w:tc>
      </w:tr>
      <w:tr w14:paraId="1D40526C">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287F3CEB">
            <w:pPr>
              <w:spacing w:after="0" w:line="259" w:lineRule="auto"/>
              <w:ind w:left="0" w:firstLine="0"/>
              <w:jc w:val="left"/>
              <w:rPr>
                <w:sz w:val="22"/>
                <w:szCs w:val="22"/>
              </w:rPr>
            </w:pPr>
            <w:r>
              <w:rPr>
                <w:sz w:val="22"/>
                <w:szCs w:val="22"/>
              </w:rPr>
              <w:t xml:space="preserve">1996  </w:t>
            </w:r>
          </w:p>
        </w:tc>
        <w:tc>
          <w:tcPr>
            <w:tcW w:w="6436" w:type="dxa"/>
            <w:tcBorders>
              <w:top w:val="single" w:color="000000" w:sz="4" w:space="0"/>
              <w:left w:val="single" w:color="000000" w:sz="4" w:space="0"/>
              <w:bottom w:val="single" w:color="000000" w:sz="4" w:space="0"/>
              <w:right w:val="single" w:color="000000" w:sz="4" w:space="0"/>
            </w:tcBorders>
          </w:tcPr>
          <w:p w14:paraId="3450DD23">
            <w:pPr>
              <w:spacing w:after="0" w:line="259" w:lineRule="auto"/>
              <w:ind w:left="0" w:firstLine="0"/>
              <w:jc w:val="left"/>
              <w:rPr>
                <w:sz w:val="22"/>
                <w:szCs w:val="22"/>
              </w:rPr>
            </w:pPr>
            <w:r>
              <w:rPr>
                <w:sz w:val="22"/>
                <w:szCs w:val="22"/>
              </w:rPr>
              <w:t xml:space="preserve">Bangladesh Malaysia Trust Bank’s MOU  </w:t>
            </w:r>
          </w:p>
        </w:tc>
      </w:tr>
      <w:tr w14:paraId="2A78CA6B">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47A6B062">
            <w:pPr>
              <w:spacing w:after="0" w:line="259" w:lineRule="auto"/>
              <w:ind w:left="0" w:firstLine="0"/>
              <w:jc w:val="left"/>
              <w:rPr>
                <w:sz w:val="22"/>
                <w:szCs w:val="22"/>
              </w:rPr>
            </w:pPr>
            <w:r>
              <w:rPr>
                <w:sz w:val="22"/>
                <w:szCs w:val="22"/>
              </w:rPr>
              <w:t xml:space="preserve">17 June 1999  </w:t>
            </w:r>
          </w:p>
        </w:tc>
        <w:tc>
          <w:tcPr>
            <w:tcW w:w="6436" w:type="dxa"/>
            <w:tcBorders>
              <w:top w:val="single" w:color="000000" w:sz="4" w:space="0"/>
              <w:left w:val="single" w:color="000000" w:sz="4" w:space="0"/>
              <w:bottom w:val="single" w:color="000000" w:sz="4" w:space="0"/>
              <w:right w:val="single" w:color="000000" w:sz="4" w:space="0"/>
            </w:tcBorders>
          </w:tcPr>
          <w:p w14:paraId="60C96D73">
            <w:pPr>
              <w:spacing w:after="0" w:line="259" w:lineRule="auto"/>
              <w:ind w:left="0" w:firstLine="0"/>
              <w:jc w:val="left"/>
              <w:rPr>
                <w:sz w:val="22"/>
                <w:szCs w:val="22"/>
              </w:rPr>
            </w:pPr>
            <w:r>
              <w:rPr>
                <w:sz w:val="22"/>
                <w:szCs w:val="22"/>
              </w:rPr>
              <w:t xml:space="preserve">Date of Incorporation  </w:t>
            </w:r>
          </w:p>
        </w:tc>
      </w:tr>
      <w:tr w14:paraId="0EC64FEA">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76FA2516">
            <w:pPr>
              <w:spacing w:after="0" w:line="259" w:lineRule="auto"/>
              <w:ind w:left="0" w:firstLine="0"/>
              <w:jc w:val="left"/>
              <w:rPr>
                <w:sz w:val="22"/>
                <w:szCs w:val="22"/>
              </w:rPr>
            </w:pPr>
            <w:r>
              <w:rPr>
                <w:sz w:val="22"/>
                <w:szCs w:val="22"/>
              </w:rPr>
              <w:t xml:space="preserve">17 June 1999  </w:t>
            </w:r>
          </w:p>
        </w:tc>
        <w:tc>
          <w:tcPr>
            <w:tcW w:w="6436" w:type="dxa"/>
            <w:tcBorders>
              <w:top w:val="single" w:color="000000" w:sz="4" w:space="0"/>
              <w:left w:val="single" w:color="000000" w:sz="4" w:space="0"/>
              <w:bottom w:val="single" w:color="000000" w:sz="4" w:space="0"/>
              <w:right w:val="single" w:color="000000" w:sz="4" w:space="0"/>
            </w:tcBorders>
          </w:tcPr>
          <w:p w14:paraId="756DC25D">
            <w:pPr>
              <w:spacing w:after="0" w:line="259" w:lineRule="auto"/>
              <w:ind w:left="0" w:firstLine="0"/>
              <w:jc w:val="left"/>
              <w:rPr>
                <w:sz w:val="22"/>
                <w:szCs w:val="22"/>
              </w:rPr>
            </w:pPr>
            <w:r>
              <w:rPr>
                <w:sz w:val="22"/>
                <w:szCs w:val="22"/>
              </w:rPr>
              <w:t xml:space="preserve">Certificate of Commencement of Business Received  </w:t>
            </w:r>
          </w:p>
        </w:tc>
      </w:tr>
      <w:tr w14:paraId="4CEB58DE">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68F48DA9">
            <w:pPr>
              <w:spacing w:after="0" w:line="259" w:lineRule="auto"/>
              <w:ind w:left="0" w:firstLine="0"/>
              <w:jc w:val="left"/>
              <w:rPr>
                <w:sz w:val="22"/>
                <w:szCs w:val="22"/>
              </w:rPr>
            </w:pPr>
            <w:r>
              <w:rPr>
                <w:sz w:val="22"/>
                <w:szCs w:val="22"/>
              </w:rPr>
              <w:t xml:space="preserve">15 July 1999  </w:t>
            </w:r>
          </w:p>
        </w:tc>
        <w:tc>
          <w:tcPr>
            <w:tcW w:w="6436" w:type="dxa"/>
            <w:tcBorders>
              <w:top w:val="single" w:color="000000" w:sz="4" w:space="0"/>
              <w:left w:val="single" w:color="000000" w:sz="4" w:space="0"/>
              <w:bottom w:val="single" w:color="000000" w:sz="4" w:space="0"/>
              <w:right w:val="single" w:color="000000" w:sz="4" w:space="0"/>
            </w:tcBorders>
          </w:tcPr>
          <w:p w14:paraId="08EB7B71">
            <w:pPr>
              <w:spacing w:after="0" w:line="259" w:lineRule="auto"/>
              <w:ind w:left="0" w:firstLine="0"/>
              <w:jc w:val="left"/>
              <w:rPr>
                <w:sz w:val="22"/>
                <w:szCs w:val="22"/>
              </w:rPr>
            </w:pPr>
            <w:r>
              <w:rPr>
                <w:sz w:val="22"/>
                <w:szCs w:val="22"/>
              </w:rPr>
              <w:t xml:space="preserve">Banking License Received  </w:t>
            </w:r>
          </w:p>
        </w:tc>
      </w:tr>
      <w:tr w14:paraId="77F2FF2E">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7BBD2D0A">
            <w:pPr>
              <w:spacing w:after="0" w:line="259" w:lineRule="auto"/>
              <w:ind w:left="0" w:firstLine="0"/>
              <w:jc w:val="left"/>
              <w:rPr>
                <w:sz w:val="22"/>
                <w:szCs w:val="22"/>
              </w:rPr>
            </w:pPr>
            <w:r>
              <w:rPr>
                <w:sz w:val="22"/>
                <w:szCs w:val="22"/>
              </w:rPr>
              <w:t xml:space="preserve">17 July 1999  </w:t>
            </w:r>
          </w:p>
        </w:tc>
        <w:tc>
          <w:tcPr>
            <w:tcW w:w="6436" w:type="dxa"/>
            <w:tcBorders>
              <w:top w:val="single" w:color="000000" w:sz="4" w:space="0"/>
              <w:left w:val="single" w:color="000000" w:sz="4" w:space="0"/>
              <w:bottom w:val="single" w:color="000000" w:sz="4" w:space="0"/>
              <w:right w:val="single" w:color="000000" w:sz="4" w:space="0"/>
            </w:tcBorders>
          </w:tcPr>
          <w:p w14:paraId="2375C428">
            <w:pPr>
              <w:spacing w:after="0" w:line="259" w:lineRule="auto"/>
              <w:ind w:left="0" w:firstLine="0"/>
              <w:jc w:val="left"/>
              <w:rPr>
                <w:sz w:val="22"/>
                <w:szCs w:val="22"/>
              </w:rPr>
            </w:pPr>
            <w:r>
              <w:rPr>
                <w:sz w:val="22"/>
                <w:szCs w:val="22"/>
              </w:rPr>
              <w:t xml:space="preserve">Cert of Incorporation  </w:t>
            </w:r>
          </w:p>
        </w:tc>
      </w:tr>
      <w:tr w14:paraId="71724D82">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403480F2">
            <w:pPr>
              <w:spacing w:after="0" w:line="259" w:lineRule="auto"/>
              <w:ind w:left="0" w:firstLine="0"/>
              <w:jc w:val="left"/>
              <w:rPr>
                <w:sz w:val="22"/>
                <w:szCs w:val="22"/>
              </w:rPr>
            </w:pPr>
            <w:r>
              <w:rPr>
                <w:sz w:val="22"/>
                <w:szCs w:val="22"/>
              </w:rPr>
              <w:t xml:space="preserve">05 August 1999  </w:t>
            </w:r>
          </w:p>
        </w:tc>
        <w:tc>
          <w:tcPr>
            <w:tcW w:w="6436" w:type="dxa"/>
            <w:tcBorders>
              <w:top w:val="single" w:color="000000" w:sz="4" w:space="0"/>
              <w:left w:val="single" w:color="000000" w:sz="4" w:space="0"/>
              <w:bottom w:val="single" w:color="000000" w:sz="4" w:space="0"/>
              <w:right w:val="single" w:color="000000" w:sz="4" w:space="0"/>
            </w:tcBorders>
          </w:tcPr>
          <w:p w14:paraId="394399DC">
            <w:pPr>
              <w:spacing w:after="0" w:line="259" w:lineRule="auto"/>
              <w:ind w:left="0" w:firstLine="0"/>
              <w:jc w:val="left"/>
              <w:rPr>
                <w:sz w:val="22"/>
                <w:szCs w:val="22"/>
              </w:rPr>
            </w:pPr>
            <w:r>
              <w:rPr>
                <w:sz w:val="22"/>
                <w:szCs w:val="22"/>
              </w:rPr>
              <w:t xml:space="preserve">First Branch License Received  </w:t>
            </w:r>
          </w:p>
        </w:tc>
      </w:tr>
      <w:tr w14:paraId="6CF7E0F2">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49146418">
            <w:pPr>
              <w:spacing w:after="0" w:line="259" w:lineRule="auto"/>
              <w:ind w:left="0" w:firstLine="0"/>
              <w:jc w:val="left"/>
              <w:rPr>
                <w:sz w:val="22"/>
                <w:szCs w:val="22"/>
              </w:rPr>
            </w:pPr>
            <w:r>
              <w:rPr>
                <w:sz w:val="22"/>
                <w:szCs w:val="22"/>
              </w:rPr>
              <w:t xml:space="preserve">21 October 1999  </w:t>
            </w:r>
          </w:p>
        </w:tc>
        <w:tc>
          <w:tcPr>
            <w:tcW w:w="6436" w:type="dxa"/>
            <w:tcBorders>
              <w:top w:val="single" w:color="000000" w:sz="4" w:space="0"/>
              <w:left w:val="single" w:color="000000" w:sz="4" w:space="0"/>
              <w:bottom w:val="single" w:color="000000" w:sz="4" w:space="0"/>
              <w:right w:val="single" w:color="000000" w:sz="4" w:space="0"/>
            </w:tcBorders>
          </w:tcPr>
          <w:p w14:paraId="2E50CDE7">
            <w:pPr>
              <w:spacing w:after="0" w:line="259" w:lineRule="auto"/>
              <w:ind w:left="0" w:firstLine="0"/>
              <w:jc w:val="left"/>
              <w:rPr>
                <w:sz w:val="22"/>
                <w:szCs w:val="22"/>
              </w:rPr>
            </w:pPr>
            <w:r>
              <w:rPr>
                <w:sz w:val="22"/>
                <w:szCs w:val="22"/>
              </w:rPr>
              <w:t xml:space="preserve">Inauguration of Head Office of TBL  </w:t>
            </w:r>
          </w:p>
        </w:tc>
      </w:tr>
      <w:tr w14:paraId="7B1F448C">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7C7D8F6F">
            <w:pPr>
              <w:spacing w:after="0" w:line="259" w:lineRule="auto"/>
              <w:ind w:left="0" w:firstLine="0"/>
              <w:jc w:val="left"/>
              <w:rPr>
                <w:sz w:val="22"/>
                <w:szCs w:val="22"/>
              </w:rPr>
            </w:pPr>
            <w:r>
              <w:rPr>
                <w:sz w:val="22"/>
                <w:szCs w:val="22"/>
              </w:rPr>
              <w:t xml:space="preserve">29 November 1999  </w:t>
            </w:r>
          </w:p>
        </w:tc>
        <w:tc>
          <w:tcPr>
            <w:tcW w:w="6436" w:type="dxa"/>
            <w:tcBorders>
              <w:top w:val="single" w:color="000000" w:sz="4" w:space="0"/>
              <w:left w:val="single" w:color="000000" w:sz="4" w:space="0"/>
              <w:bottom w:val="single" w:color="000000" w:sz="4" w:space="0"/>
              <w:right w:val="single" w:color="000000" w:sz="4" w:space="0"/>
            </w:tcBorders>
          </w:tcPr>
          <w:p w14:paraId="77F48856">
            <w:pPr>
              <w:spacing w:after="0" w:line="259" w:lineRule="auto"/>
              <w:ind w:left="0" w:firstLine="0"/>
              <w:jc w:val="left"/>
              <w:rPr>
                <w:sz w:val="22"/>
                <w:szCs w:val="22"/>
              </w:rPr>
            </w:pPr>
            <w:r>
              <w:rPr>
                <w:sz w:val="22"/>
                <w:szCs w:val="22"/>
              </w:rPr>
              <w:t xml:space="preserve">Formal Inauguration  </w:t>
            </w:r>
          </w:p>
        </w:tc>
      </w:tr>
      <w:tr w14:paraId="768D3C01">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7995B20E">
            <w:pPr>
              <w:spacing w:after="0" w:line="259" w:lineRule="auto"/>
              <w:ind w:left="0" w:firstLine="0"/>
              <w:jc w:val="left"/>
              <w:rPr>
                <w:sz w:val="22"/>
                <w:szCs w:val="22"/>
              </w:rPr>
            </w:pPr>
            <w:r>
              <w:rPr>
                <w:sz w:val="22"/>
                <w:szCs w:val="22"/>
              </w:rPr>
              <w:t xml:space="preserve">2001  </w:t>
            </w:r>
          </w:p>
        </w:tc>
        <w:tc>
          <w:tcPr>
            <w:tcW w:w="6436" w:type="dxa"/>
            <w:tcBorders>
              <w:top w:val="single" w:color="000000" w:sz="4" w:space="0"/>
              <w:left w:val="single" w:color="000000" w:sz="4" w:space="0"/>
              <w:bottom w:val="single" w:color="000000" w:sz="4" w:space="0"/>
              <w:right w:val="single" w:color="000000" w:sz="4" w:space="0"/>
            </w:tcBorders>
          </w:tcPr>
          <w:p w14:paraId="7EDCC562">
            <w:pPr>
              <w:spacing w:after="0" w:line="259" w:lineRule="auto"/>
              <w:ind w:left="0" w:firstLine="0"/>
              <w:jc w:val="left"/>
              <w:rPr>
                <w:sz w:val="22"/>
                <w:szCs w:val="22"/>
              </w:rPr>
            </w:pPr>
            <w:r>
              <w:rPr>
                <w:sz w:val="22"/>
                <w:szCs w:val="22"/>
              </w:rPr>
              <w:t xml:space="preserve">Auto Banking  </w:t>
            </w:r>
          </w:p>
        </w:tc>
      </w:tr>
      <w:tr w14:paraId="2E8FAC69">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2343F8DD">
            <w:pPr>
              <w:spacing w:after="0" w:line="259" w:lineRule="auto"/>
              <w:ind w:left="0" w:firstLine="0"/>
              <w:jc w:val="left"/>
              <w:rPr>
                <w:sz w:val="22"/>
                <w:szCs w:val="22"/>
              </w:rPr>
            </w:pPr>
            <w:r>
              <w:rPr>
                <w:sz w:val="22"/>
                <w:szCs w:val="22"/>
              </w:rPr>
              <w:t xml:space="preserve">2005  </w:t>
            </w:r>
          </w:p>
        </w:tc>
        <w:tc>
          <w:tcPr>
            <w:tcW w:w="6436" w:type="dxa"/>
            <w:tcBorders>
              <w:top w:val="single" w:color="000000" w:sz="4" w:space="0"/>
              <w:left w:val="single" w:color="000000" w:sz="4" w:space="0"/>
              <w:bottom w:val="single" w:color="000000" w:sz="4" w:space="0"/>
              <w:right w:val="single" w:color="000000" w:sz="4" w:space="0"/>
            </w:tcBorders>
          </w:tcPr>
          <w:p w14:paraId="01AEEB90">
            <w:pPr>
              <w:spacing w:after="0" w:line="259" w:lineRule="auto"/>
              <w:ind w:left="0" w:firstLine="0"/>
              <w:jc w:val="left"/>
              <w:rPr>
                <w:sz w:val="22"/>
                <w:szCs w:val="22"/>
              </w:rPr>
            </w:pPr>
            <w:r>
              <w:rPr>
                <w:sz w:val="22"/>
                <w:szCs w:val="22"/>
              </w:rPr>
              <w:t xml:space="preserve">ATM  </w:t>
            </w:r>
          </w:p>
        </w:tc>
      </w:tr>
      <w:tr w14:paraId="6495450C">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58D5FB5B">
            <w:pPr>
              <w:spacing w:after="0" w:line="259" w:lineRule="auto"/>
              <w:ind w:left="0" w:firstLine="0"/>
              <w:jc w:val="left"/>
              <w:rPr>
                <w:sz w:val="22"/>
                <w:szCs w:val="22"/>
              </w:rPr>
            </w:pPr>
            <w:r>
              <w:rPr>
                <w:sz w:val="22"/>
                <w:szCs w:val="22"/>
              </w:rPr>
              <w:t xml:space="preserve">2006  </w:t>
            </w:r>
          </w:p>
        </w:tc>
        <w:tc>
          <w:tcPr>
            <w:tcW w:w="6436" w:type="dxa"/>
            <w:tcBorders>
              <w:top w:val="single" w:color="000000" w:sz="4" w:space="0"/>
              <w:left w:val="single" w:color="000000" w:sz="4" w:space="0"/>
              <w:bottom w:val="single" w:color="000000" w:sz="4" w:space="0"/>
              <w:right w:val="single" w:color="000000" w:sz="4" w:space="0"/>
            </w:tcBorders>
          </w:tcPr>
          <w:p w14:paraId="2418C048">
            <w:pPr>
              <w:spacing w:after="0" w:line="259" w:lineRule="auto"/>
              <w:ind w:left="0" w:firstLine="0"/>
              <w:jc w:val="left"/>
              <w:rPr>
                <w:sz w:val="22"/>
                <w:szCs w:val="22"/>
              </w:rPr>
            </w:pPr>
            <w:r>
              <w:rPr>
                <w:sz w:val="22"/>
                <w:szCs w:val="22"/>
              </w:rPr>
              <w:t xml:space="preserve">Changed Name &amp; Logo, Joint Stock, Retail Banking  </w:t>
            </w:r>
          </w:p>
        </w:tc>
      </w:tr>
      <w:tr w14:paraId="104703D7">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4D86D4B8">
            <w:pPr>
              <w:spacing w:after="0" w:line="259" w:lineRule="auto"/>
              <w:ind w:left="0" w:firstLine="0"/>
              <w:jc w:val="left"/>
              <w:rPr>
                <w:sz w:val="22"/>
                <w:szCs w:val="22"/>
              </w:rPr>
            </w:pPr>
            <w:r>
              <w:rPr>
                <w:sz w:val="22"/>
                <w:szCs w:val="22"/>
              </w:rPr>
              <w:t xml:space="preserve">January 2007  </w:t>
            </w:r>
          </w:p>
        </w:tc>
        <w:tc>
          <w:tcPr>
            <w:tcW w:w="6436" w:type="dxa"/>
            <w:tcBorders>
              <w:top w:val="single" w:color="000000" w:sz="4" w:space="0"/>
              <w:left w:val="single" w:color="000000" w:sz="4" w:space="0"/>
              <w:bottom w:val="single" w:color="000000" w:sz="4" w:space="0"/>
              <w:right w:val="single" w:color="000000" w:sz="4" w:space="0"/>
            </w:tcBorders>
          </w:tcPr>
          <w:p w14:paraId="489B7E3F">
            <w:pPr>
              <w:spacing w:after="0" w:line="259" w:lineRule="auto"/>
              <w:ind w:left="0" w:firstLine="0"/>
              <w:jc w:val="left"/>
              <w:rPr>
                <w:sz w:val="22"/>
                <w:szCs w:val="22"/>
              </w:rPr>
            </w:pPr>
            <w:r>
              <w:rPr>
                <w:sz w:val="22"/>
                <w:szCs w:val="22"/>
              </w:rPr>
              <w:t xml:space="preserve">Online Banking Operations Across all the Branches  </w:t>
            </w:r>
          </w:p>
        </w:tc>
      </w:tr>
      <w:tr w14:paraId="76A9FC5B">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0F6B177D">
            <w:pPr>
              <w:spacing w:after="0" w:line="259" w:lineRule="auto"/>
              <w:ind w:left="0" w:firstLine="0"/>
              <w:jc w:val="left"/>
              <w:rPr>
                <w:sz w:val="22"/>
                <w:szCs w:val="22"/>
              </w:rPr>
            </w:pPr>
            <w:r>
              <w:rPr>
                <w:sz w:val="22"/>
                <w:szCs w:val="22"/>
              </w:rPr>
              <w:t xml:space="preserve">17 May 2007  </w:t>
            </w:r>
          </w:p>
        </w:tc>
        <w:tc>
          <w:tcPr>
            <w:tcW w:w="6436" w:type="dxa"/>
            <w:tcBorders>
              <w:top w:val="single" w:color="000000" w:sz="4" w:space="0"/>
              <w:left w:val="single" w:color="000000" w:sz="4" w:space="0"/>
              <w:bottom w:val="single" w:color="000000" w:sz="4" w:space="0"/>
              <w:right w:val="single" w:color="000000" w:sz="4" w:space="0"/>
            </w:tcBorders>
          </w:tcPr>
          <w:p w14:paraId="1A70DBB9">
            <w:pPr>
              <w:spacing w:after="0" w:line="259" w:lineRule="auto"/>
              <w:ind w:left="0" w:firstLine="0"/>
              <w:jc w:val="left"/>
              <w:rPr>
                <w:sz w:val="22"/>
                <w:szCs w:val="22"/>
              </w:rPr>
            </w:pPr>
            <w:r>
              <w:rPr>
                <w:sz w:val="22"/>
                <w:szCs w:val="22"/>
              </w:rPr>
              <w:t xml:space="preserve">Publication of Prospectus for IPO  </w:t>
            </w:r>
          </w:p>
        </w:tc>
      </w:tr>
      <w:tr w14:paraId="370E8FCA">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72431914">
            <w:pPr>
              <w:spacing w:after="0" w:line="259" w:lineRule="auto"/>
              <w:ind w:left="0" w:firstLine="0"/>
              <w:jc w:val="left"/>
              <w:rPr>
                <w:sz w:val="22"/>
                <w:szCs w:val="22"/>
              </w:rPr>
            </w:pPr>
            <w:r>
              <w:rPr>
                <w:sz w:val="22"/>
                <w:szCs w:val="22"/>
              </w:rPr>
              <w:t xml:space="preserve">15 July 2007  </w:t>
            </w:r>
          </w:p>
        </w:tc>
        <w:tc>
          <w:tcPr>
            <w:tcW w:w="6436" w:type="dxa"/>
            <w:tcBorders>
              <w:top w:val="single" w:color="000000" w:sz="4" w:space="0"/>
              <w:left w:val="single" w:color="000000" w:sz="4" w:space="0"/>
              <w:bottom w:val="single" w:color="000000" w:sz="4" w:space="0"/>
              <w:right w:val="single" w:color="000000" w:sz="4" w:space="0"/>
            </w:tcBorders>
          </w:tcPr>
          <w:p w14:paraId="1326155F">
            <w:pPr>
              <w:spacing w:after="0" w:line="259" w:lineRule="auto"/>
              <w:ind w:left="0" w:firstLine="0"/>
              <w:jc w:val="left"/>
              <w:rPr>
                <w:sz w:val="22"/>
                <w:szCs w:val="22"/>
              </w:rPr>
            </w:pPr>
            <w:r>
              <w:rPr>
                <w:sz w:val="22"/>
                <w:szCs w:val="22"/>
              </w:rPr>
              <w:t xml:space="preserve">Subscription Opening for IPO  </w:t>
            </w:r>
          </w:p>
        </w:tc>
      </w:tr>
      <w:tr w14:paraId="727DB54B">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44AF0DA7">
            <w:pPr>
              <w:spacing w:after="0" w:line="259" w:lineRule="auto"/>
              <w:ind w:left="0" w:firstLine="0"/>
              <w:jc w:val="left"/>
              <w:rPr>
                <w:sz w:val="22"/>
                <w:szCs w:val="22"/>
              </w:rPr>
            </w:pPr>
            <w:r>
              <w:rPr>
                <w:sz w:val="22"/>
                <w:szCs w:val="22"/>
              </w:rPr>
              <w:t xml:space="preserve">19 July 2007  </w:t>
            </w:r>
          </w:p>
        </w:tc>
        <w:tc>
          <w:tcPr>
            <w:tcW w:w="6436" w:type="dxa"/>
            <w:tcBorders>
              <w:top w:val="single" w:color="000000" w:sz="4" w:space="0"/>
              <w:left w:val="single" w:color="000000" w:sz="4" w:space="0"/>
              <w:bottom w:val="single" w:color="000000" w:sz="4" w:space="0"/>
              <w:right w:val="single" w:color="000000" w:sz="4" w:space="0"/>
            </w:tcBorders>
          </w:tcPr>
          <w:p w14:paraId="0AAB8E45">
            <w:pPr>
              <w:spacing w:after="0" w:line="259" w:lineRule="auto"/>
              <w:ind w:left="0" w:firstLine="0"/>
              <w:jc w:val="left"/>
              <w:rPr>
                <w:sz w:val="22"/>
                <w:szCs w:val="22"/>
              </w:rPr>
            </w:pPr>
            <w:r>
              <w:rPr>
                <w:sz w:val="22"/>
                <w:szCs w:val="22"/>
              </w:rPr>
              <w:t xml:space="preserve">Subscription Closing for IPO  </w:t>
            </w:r>
          </w:p>
        </w:tc>
      </w:tr>
      <w:tr w14:paraId="20349E5B">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5BA10258">
            <w:pPr>
              <w:spacing w:after="0" w:line="259" w:lineRule="auto"/>
              <w:ind w:left="0" w:firstLine="0"/>
              <w:jc w:val="left"/>
              <w:rPr>
                <w:sz w:val="22"/>
                <w:szCs w:val="22"/>
              </w:rPr>
            </w:pPr>
            <w:r>
              <w:rPr>
                <w:sz w:val="22"/>
                <w:szCs w:val="22"/>
              </w:rPr>
              <w:t xml:space="preserve">27 August 2007  </w:t>
            </w:r>
          </w:p>
        </w:tc>
        <w:tc>
          <w:tcPr>
            <w:tcW w:w="6436" w:type="dxa"/>
            <w:tcBorders>
              <w:top w:val="single" w:color="000000" w:sz="4" w:space="0"/>
              <w:left w:val="single" w:color="000000" w:sz="4" w:space="0"/>
              <w:bottom w:val="single" w:color="000000" w:sz="4" w:space="0"/>
              <w:right w:val="single" w:color="000000" w:sz="4" w:space="0"/>
            </w:tcBorders>
          </w:tcPr>
          <w:p w14:paraId="4AE3CCCC">
            <w:pPr>
              <w:spacing w:after="0" w:line="259" w:lineRule="auto"/>
              <w:ind w:left="0" w:firstLine="0"/>
              <w:jc w:val="left"/>
              <w:rPr>
                <w:sz w:val="22"/>
                <w:szCs w:val="22"/>
              </w:rPr>
            </w:pPr>
            <w:r>
              <w:rPr>
                <w:sz w:val="22"/>
                <w:szCs w:val="22"/>
              </w:rPr>
              <w:t xml:space="preserve">Launching Event of TBL Debit &amp; Credit Card (VISA)  </w:t>
            </w:r>
          </w:p>
        </w:tc>
      </w:tr>
      <w:tr w14:paraId="4CD467F9">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1DABC048">
            <w:pPr>
              <w:spacing w:after="0" w:line="259" w:lineRule="auto"/>
              <w:ind w:left="0" w:firstLine="0"/>
              <w:jc w:val="left"/>
              <w:rPr>
                <w:sz w:val="22"/>
                <w:szCs w:val="22"/>
              </w:rPr>
            </w:pPr>
            <w:r>
              <w:rPr>
                <w:sz w:val="22"/>
                <w:szCs w:val="22"/>
              </w:rPr>
              <w:t xml:space="preserve">24 September 2007  </w:t>
            </w:r>
          </w:p>
        </w:tc>
        <w:tc>
          <w:tcPr>
            <w:tcW w:w="6436" w:type="dxa"/>
            <w:tcBorders>
              <w:top w:val="single" w:color="000000" w:sz="4" w:space="0"/>
              <w:left w:val="single" w:color="000000" w:sz="4" w:space="0"/>
              <w:bottom w:val="single" w:color="000000" w:sz="4" w:space="0"/>
              <w:right w:val="single" w:color="000000" w:sz="4" w:space="0"/>
            </w:tcBorders>
          </w:tcPr>
          <w:p w14:paraId="60FC5EF9">
            <w:pPr>
              <w:spacing w:after="0" w:line="259" w:lineRule="auto"/>
              <w:ind w:left="0" w:firstLine="0"/>
              <w:jc w:val="left"/>
              <w:rPr>
                <w:sz w:val="22"/>
                <w:szCs w:val="22"/>
              </w:rPr>
            </w:pPr>
            <w:r>
              <w:rPr>
                <w:sz w:val="22"/>
                <w:szCs w:val="22"/>
              </w:rPr>
              <w:t xml:space="preserve">Listed with Chattogram Stock Exchange Ltd. (CSE)  </w:t>
            </w:r>
          </w:p>
        </w:tc>
      </w:tr>
      <w:tr w14:paraId="05E52D2A">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0BA59C6B">
            <w:pPr>
              <w:spacing w:after="0" w:line="259" w:lineRule="auto"/>
              <w:ind w:left="0" w:firstLine="0"/>
              <w:jc w:val="left"/>
              <w:rPr>
                <w:sz w:val="22"/>
                <w:szCs w:val="22"/>
              </w:rPr>
            </w:pPr>
            <w:r>
              <w:rPr>
                <w:sz w:val="22"/>
                <w:szCs w:val="22"/>
              </w:rPr>
              <w:t xml:space="preserve">25 September 2007  </w:t>
            </w:r>
          </w:p>
        </w:tc>
        <w:tc>
          <w:tcPr>
            <w:tcW w:w="6436" w:type="dxa"/>
            <w:tcBorders>
              <w:top w:val="single" w:color="000000" w:sz="4" w:space="0"/>
              <w:left w:val="single" w:color="000000" w:sz="4" w:space="0"/>
              <w:bottom w:val="single" w:color="000000" w:sz="4" w:space="0"/>
              <w:right w:val="single" w:color="000000" w:sz="4" w:space="0"/>
            </w:tcBorders>
          </w:tcPr>
          <w:p w14:paraId="6B6E69FE">
            <w:pPr>
              <w:spacing w:after="0" w:line="259" w:lineRule="auto"/>
              <w:ind w:left="0" w:firstLine="0"/>
              <w:jc w:val="left"/>
              <w:rPr>
                <w:sz w:val="22"/>
                <w:szCs w:val="22"/>
              </w:rPr>
            </w:pPr>
            <w:r>
              <w:rPr>
                <w:sz w:val="22"/>
                <w:szCs w:val="22"/>
              </w:rPr>
              <w:t xml:space="preserve">Listed with Dhaka Stock Exchange Ltd. (DSE)  </w:t>
            </w:r>
          </w:p>
        </w:tc>
      </w:tr>
      <w:tr w14:paraId="62E5D079">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44024959">
            <w:pPr>
              <w:spacing w:after="0" w:line="259" w:lineRule="auto"/>
              <w:ind w:left="0" w:firstLine="0"/>
              <w:jc w:val="left"/>
              <w:rPr>
                <w:sz w:val="22"/>
                <w:szCs w:val="22"/>
              </w:rPr>
            </w:pPr>
            <w:r>
              <w:rPr>
                <w:sz w:val="22"/>
                <w:szCs w:val="22"/>
              </w:rPr>
              <w:t xml:space="preserve">01 October 2007  </w:t>
            </w:r>
          </w:p>
        </w:tc>
        <w:tc>
          <w:tcPr>
            <w:tcW w:w="6436" w:type="dxa"/>
            <w:tcBorders>
              <w:top w:val="single" w:color="000000" w:sz="4" w:space="0"/>
              <w:left w:val="single" w:color="000000" w:sz="4" w:space="0"/>
              <w:bottom w:val="single" w:color="000000" w:sz="4" w:space="0"/>
              <w:right w:val="single" w:color="000000" w:sz="4" w:space="0"/>
            </w:tcBorders>
          </w:tcPr>
          <w:p w14:paraId="26C4B1CD">
            <w:pPr>
              <w:spacing w:after="0" w:line="259" w:lineRule="auto"/>
              <w:ind w:left="0" w:firstLine="0"/>
              <w:jc w:val="left"/>
              <w:rPr>
                <w:sz w:val="22"/>
                <w:szCs w:val="22"/>
              </w:rPr>
            </w:pPr>
            <w:r>
              <w:rPr>
                <w:sz w:val="22"/>
                <w:szCs w:val="22"/>
              </w:rPr>
              <w:t xml:space="preserve">Commencement of Trading of Shares at DSE and CSE  </w:t>
            </w:r>
          </w:p>
        </w:tc>
      </w:tr>
      <w:tr w14:paraId="1D0B1004">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257BAB58">
            <w:pPr>
              <w:spacing w:after="0" w:line="259" w:lineRule="auto"/>
              <w:ind w:left="0" w:firstLine="0"/>
              <w:jc w:val="left"/>
              <w:rPr>
                <w:sz w:val="22"/>
                <w:szCs w:val="22"/>
              </w:rPr>
            </w:pPr>
            <w:r>
              <w:rPr>
                <w:sz w:val="22"/>
                <w:szCs w:val="22"/>
              </w:rPr>
              <w:t xml:space="preserve">02 July 2008  </w:t>
            </w:r>
          </w:p>
        </w:tc>
        <w:tc>
          <w:tcPr>
            <w:tcW w:w="6436" w:type="dxa"/>
            <w:tcBorders>
              <w:top w:val="single" w:color="000000" w:sz="4" w:space="0"/>
              <w:left w:val="single" w:color="000000" w:sz="4" w:space="0"/>
              <w:bottom w:val="single" w:color="000000" w:sz="4" w:space="0"/>
              <w:right w:val="single" w:color="000000" w:sz="4" w:space="0"/>
            </w:tcBorders>
          </w:tcPr>
          <w:p w14:paraId="14690C57">
            <w:pPr>
              <w:spacing w:after="0" w:line="259" w:lineRule="auto"/>
              <w:ind w:left="0" w:firstLine="0"/>
              <w:jc w:val="left"/>
              <w:rPr>
                <w:sz w:val="22"/>
                <w:szCs w:val="22"/>
              </w:rPr>
            </w:pPr>
            <w:r>
              <w:rPr>
                <w:sz w:val="22"/>
                <w:szCs w:val="22"/>
              </w:rPr>
              <w:t xml:space="preserve">Launching Event of Trust Islamic Banking  </w:t>
            </w:r>
          </w:p>
        </w:tc>
      </w:tr>
      <w:tr w14:paraId="2C3A387A">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4C723BF3">
            <w:pPr>
              <w:spacing w:after="0" w:line="259" w:lineRule="auto"/>
              <w:ind w:left="0" w:firstLine="0"/>
              <w:jc w:val="left"/>
              <w:rPr>
                <w:sz w:val="22"/>
                <w:szCs w:val="22"/>
              </w:rPr>
            </w:pPr>
            <w:r>
              <w:rPr>
                <w:sz w:val="22"/>
                <w:szCs w:val="22"/>
              </w:rPr>
              <w:t xml:space="preserve">31 May 2009  </w:t>
            </w:r>
          </w:p>
        </w:tc>
        <w:tc>
          <w:tcPr>
            <w:tcW w:w="6436" w:type="dxa"/>
            <w:tcBorders>
              <w:top w:val="single" w:color="000000" w:sz="4" w:space="0"/>
              <w:left w:val="single" w:color="000000" w:sz="4" w:space="0"/>
              <w:bottom w:val="single" w:color="000000" w:sz="4" w:space="0"/>
              <w:right w:val="single" w:color="000000" w:sz="4" w:space="0"/>
            </w:tcBorders>
          </w:tcPr>
          <w:p w14:paraId="5572B297">
            <w:pPr>
              <w:spacing w:after="0" w:line="259" w:lineRule="auto"/>
              <w:ind w:left="0" w:firstLine="0"/>
              <w:jc w:val="left"/>
              <w:rPr>
                <w:sz w:val="22"/>
                <w:szCs w:val="22"/>
              </w:rPr>
            </w:pPr>
            <w:r>
              <w:rPr>
                <w:sz w:val="22"/>
                <w:szCs w:val="22"/>
              </w:rPr>
              <w:t xml:space="preserve">Authorized Share Capital Increased to BDT 500 Crore  </w:t>
            </w:r>
          </w:p>
        </w:tc>
      </w:tr>
      <w:tr w14:paraId="1D63B89C">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50957031">
            <w:pPr>
              <w:spacing w:after="0" w:line="259" w:lineRule="auto"/>
              <w:ind w:left="0" w:firstLine="0"/>
              <w:jc w:val="left"/>
              <w:rPr>
                <w:sz w:val="22"/>
                <w:szCs w:val="22"/>
              </w:rPr>
            </w:pPr>
            <w:r>
              <w:rPr>
                <w:sz w:val="22"/>
                <w:szCs w:val="22"/>
              </w:rPr>
              <w:t xml:space="preserve">27 January 2010  </w:t>
            </w:r>
          </w:p>
        </w:tc>
        <w:tc>
          <w:tcPr>
            <w:tcW w:w="6436" w:type="dxa"/>
            <w:tcBorders>
              <w:top w:val="single" w:color="000000" w:sz="4" w:space="0"/>
              <w:left w:val="single" w:color="000000" w:sz="4" w:space="0"/>
              <w:bottom w:val="single" w:color="000000" w:sz="4" w:space="0"/>
              <w:right w:val="single" w:color="000000" w:sz="4" w:space="0"/>
            </w:tcBorders>
          </w:tcPr>
          <w:p w14:paraId="0FFDF9C5">
            <w:pPr>
              <w:spacing w:after="0" w:line="259" w:lineRule="auto"/>
              <w:ind w:left="0" w:firstLine="0"/>
              <w:jc w:val="left"/>
              <w:rPr>
                <w:sz w:val="22"/>
                <w:szCs w:val="22"/>
              </w:rPr>
            </w:pPr>
            <w:r>
              <w:rPr>
                <w:sz w:val="22"/>
                <w:szCs w:val="22"/>
              </w:rPr>
              <w:t xml:space="preserve">TBL Mutual Fund Trading Started  </w:t>
            </w:r>
          </w:p>
        </w:tc>
      </w:tr>
      <w:tr w14:paraId="11316669">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15ADFB70">
            <w:pPr>
              <w:spacing w:after="0" w:line="259" w:lineRule="auto"/>
              <w:ind w:left="0" w:firstLine="0"/>
              <w:jc w:val="left"/>
              <w:rPr>
                <w:sz w:val="22"/>
                <w:szCs w:val="22"/>
              </w:rPr>
            </w:pPr>
            <w:r>
              <w:rPr>
                <w:sz w:val="22"/>
                <w:szCs w:val="22"/>
              </w:rPr>
              <w:t xml:space="preserve">31 August 2010  </w:t>
            </w:r>
          </w:p>
        </w:tc>
        <w:tc>
          <w:tcPr>
            <w:tcW w:w="6436" w:type="dxa"/>
            <w:tcBorders>
              <w:top w:val="single" w:color="000000" w:sz="4" w:space="0"/>
              <w:left w:val="single" w:color="000000" w:sz="4" w:space="0"/>
              <w:bottom w:val="single" w:color="000000" w:sz="4" w:space="0"/>
              <w:right w:val="single" w:color="000000" w:sz="4" w:space="0"/>
            </w:tcBorders>
          </w:tcPr>
          <w:p w14:paraId="4E93A518">
            <w:pPr>
              <w:spacing w:after="0" w:line="259" w:lineRule="auto"/>
              <w:ind w:left="0" w:firstLine="0"/>
              <w:jc w:val="left"/>
              <w:rPr>
                <w:sz w:val="22"/>
                <w:szCs w:val="22"/>
              </w:rPr>
            </w:pPr>
            <w:r>
              <w:rPr>
                <w:sz w:val="22"/>
                <w:szCs w:val="22"/>
              </w:rPr>
              <w:t xml:space="preserve">Launching of Trust Bank Mobile Money (TBMM)  </w:t>
            </w:r>
          </w:p>
        </w:tc>
      </w:tr>
      <w:tr w14:paraId="021CCD1A">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2F3271B5">
            <w:pPr>
              <w:spacing w:after="0" w:line="259" w:lineRule="auto"/>
              <w:ind w:left="0" w:firstLine="0"/>
              <w:jc w:val="left"/>
              <w:rPr>
                <w:sz w:val="22"/>
                <w:szCs w:val="22"/>
              </w:rPr>
            </w:pPr>
            <w:r>
              <w:rPr>
                <w:sz w:val="22"/>
                <w:szCs w:val="22"/>
              </w:rPr>
              <w:t xml:space="preserve">09 September 2010  </w:t>
            </w:r>
          </w:p>
        </w:tc>
        <w:tc>
          <w:tcPr>
            <w:tcW w:w="6436" w:type="dxa"/>
            <w:tcBorders>
              <w:top w:val="single" w:color="000000" w:sz="4" w:space="0"/>
              <w:left w:val="single" w:color="000000" w:sz="4" w:space="0"/>
              <w:bottom w:val="single" w:color="000000" w:sz="4" w:space="0"/>
              <w:right w:val="single" w:color="000000" w:sz="4" w:space="0"/>
            </w:tcBorders>
          </w:tcPr>
          <w:p w14:paraId="3D4102FF">
            <w:pPr>
              <w:spacing w:after="0" w:line="259" w:lineRule="auto"/>
              <w:ind w:left="0" w:firstLine="0"/>
              <w:jc w:val="left"/>
              <w:rPr>
                <w:sz w:val="22"/>
                <w:szCs w:val="22"/>
              </w:rPr>
            </w:pPr>
            <w:r>
              <w:rPr>
                <w:sz w:val="22"/>
                <w:szCs w:val="22"/>
              </w:rPr>
              <w:t xml:space="preserve">Formation of Trust Bank Investment Limited (TBIL)  </w:t>
            </w:r>
          </w:p>
        </w:tc>
      </w:tr>
      <w:tr w14:paraId="6CE98E15">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25F51778">
            <w:pPr>
              <w:spacing w:after="0" w:line="259" w:lineRule="auto"/>
              <w:ind w:left="0" w:firstLine="0"/>
              <w:jc w:val="left"/>
              <w:rPr>
                <w:sz w:val="22"/>
                <w:szCs w:val="22"/>
              </w:rPr>
            </w:pPr>
            <w:r>
              <w:rPr>
                <w:sz w:val="22"/>
                <w:szCs w:val="22"/>
              </w:rPr>
              <w:t xml:space="preserve">14 November 2010  </w:t>
            </w:r>
          </w:p>
        </w:tc>
        <w:tc>
          <w:tcPr>
            <w:tcW w:w="6436" w:type="dxa"/>
            <w:tcBorders>
              <w:top w:val="single" w:color="000000" w:sz="4" w:space="0"/>
              <w:left w:val="single" w:color="000000" w:sz="4" w:space="0"/>
              <w:bottom w:val="single" w:color="000000" w:sz="4" w:space="0"/>
              <w:right w:val="single" w:color="000000" w:sz="4" w:space="0"/>
            </w:tcBorders>
          </w:tcPr>
          <w:p w14:paraId="469212D7">
            <w:pPr>
              <w:spacing w:after="0" w:line="259" w:lineRule="auto"/>
              <w:ind w:left="0" w:firstLine="0"/>
              <w:jc w:val="left"/>
              <w:rPr>
                <w:sz w:val="22"/>
                <w:szCs w:val="22"/>
              </w:rPr>
            </w:pPr>
            <w:r>
              <w:rPr>
                <w:sz w:val="22"/>
                <w:szCs w:val="22"/>
              </w:rPr>
              <w:t xml:space="preserve">Commencement of Operation of TBIL  </w:t>
            </w:r>
          </w:p>
        </w:tc>
      </w:tr>
      <w:tr w14:paraId="76E541AF">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56FC9C83">
            <w:pPr>
              <w:spacing w:after="0" w:line="259" w:lineRule="auto"/>
              <w:ind w:left="0" w:firstLine="0"/>
              <w:jc w:val="left"/>
              <w:rPr>
                <w:sz w:val="22"/>
                <w:szCs w:val="22"/>
              </w:rPr>
            </w:pPr>
            <w:r>
              <w:rPr>
                <w:sz w:val="22"/>
                <w:szCs w:val="22"/>
              </w:rPr>
              <w:t xml:space="preserve">06 June 2012  </w:t>
            </w:r>
          </w:p>
        </w:tc>
        <w:tc>
          <w:tcPr>
            <w:tcW w:w="6436" w:type="dxa"/>
            <w:tcBorders>
              <w:top w:val="single" w:color="000000" w:sz="4" w:space="0"/>
              <w:left w:val="single" w:color="000000" w:sz="4" w:space="0"/>
              <w:bottom w:val="single" w:color="000000" w:sz="4" w:space="0"/>
              <w:right w:val="single" w:color="000000" w:sz="4" w:space="0"/>
            </w:tcBorders>
          </w:tcPr>
          <w:p w14:paraId="340D222F">
            <w:pPr>
              <w:spacing w:after="0" w:line="259" w:lineRule="auto"/>
              <w:ind w:left="0" w:firstLine="0"/>
              <w:jc w:val="left"/>
              <w:rPr>
                <w:sz w:val="22"/>
                <w:szCs w:val="22"/>
              </w:rPr>
            </w:pPr>
            <w:r>
              <w:rPr>
                <w:sz w:val="22"/>
                <w:szCs w:val="22"/>
              </w:rPr>
              <w:t xml:space="preserve">Authorized Share Capital Increased to BDT 1,000 Crore  </w:t>
            </w:r>
          </w:p>
        </w:tc>
      </w:tr>
      <w:tr w14:paraId="0EB6BD8C">
        <w:tblPrEx>
          <w:tblCellMar>
            <w:top w:w="0" w:type="dxa"/>
            <w:left w:w="108" w:type="dxa"/>
            <w:bottom w:w="0" w:type="dxa"/>
            <w:right w:w="6" w:type="dxa"/>
          </w:tblCellMar>
        </w:tblPrEx>
        <w:trPr>
          <w:trHeight w:val="540" w:hRule="atLeast"/>
        </w:trPr>
        <w:tc>
          <w:tcPr>
            <w:tcW w:w="2873" w:type="dxa"/>
            <w:tcBorders>
              <w:top w:val="single" w:color="000000" w:sz="4" w:space="0"/>
              <w:left w:val="single" w:color="000000" w:sz="4" w:space="0"/>
              <w:bottom w:val="single" w:color="000000" w:sz="4" w:space="0"/>
              <w:right w:val="single" w:color="000000" w:sz="4" w:space="0"/>
            </w:tcBorders>
          </w:tcPr>
          <w:p w14:paraId="5415C3E5">
            <w:pPr>
              <w:spacing w:after="0" w:line="259" w:lineRule="auto"/>
              <w:ind w:left="0" w:firstLine="0"/>
              <w:jc w:val="left"/>
              <w:rPr>
                <w:sz w:val="22"/>
                <w:szCs w:val="22"/>
              </w:rPr>
            </w:pPr>
            <w:r>
              <w:rPr>
                <w:sz w:val="22"/>
                <w:szCs w:val="22"/>
              </w:rPr>
              <w:t xml:space="preserve">28 November 2012  </w:t>
            </w:r>
          </w:p>
        </w:tc>
        <w:tc>
          <w:tcPr>
            <w:tcW w:w="6436" w:type="dxa"/>
            <w:tcBorders>
              <w:top w:val="single" w:color="000000" w:sz="4" w:space="0"/>
              <w:left w:val="single" w:color="000000" w:sz="4" w:space="0"/>
              <w:bottom w:val="single" w:color="000000" w:sz="4" w:space="0"/>
              <w:right w:val="single" w:color="000000" w:sz="4" w:space="0"/>
            </w:tcBorders>
          </w:tcPr>
          <w:p w14:paraId="620902A1">
            <w:pPr>
              <w:spacing w:after="0" w:line="259" w:lineRule="auto"/>
              <w:ind w:left="0" w:firstLine="0"/>
              <w:jc w:val="left"/>
              <w:rPr>
                <w:sz w:val="22"/>
                <w:szCs w:val="22"/>
              </w:rPr>
            </w:pPr>
            <w:r>
              <w:rPr>
                <w:sz w:val="22"/>
                <w:szCs w:val="22"/>
              </w:rPr>
              <w:t xml:space="preserve">Allotment of 1 Share (Membership) of DSE to Trust Bank Securities Limited (TBSL)  </w:t>
            </w:r>
          </w:p>
        </w:tc>
      </w:tr>
      <w:tr w14:paraId="0386EA2F">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13925C49">
            <w:pPr>
              <w:spacing w:after="0" w:line="259" w:lineRule="auto"/>
              <w:ind w:left="0" w:firstLine="0"/>
              <w:jc w:val="left"/>
              <w:rPr>
                <w:sz w:val="22"/>
                <w:szCs w:val="22"/>
              </w:rPr>
            </w:pPr>
            <w:r>
              <w:rPr>
                <w:sz w:val="22"/>
                <w:szCs w:val="22"/>
              </w:rPr>
              <w:t xml:space="preserve">26 September 2013  </w:t>
            </w:r>
          </w:p>
        </w:tc>
        <w:tc>
          <w:tcPr>
            <w:tcW w:w="6436" w:type="dxa"/>
            <w:tcBorders>
              <w:top w:val="single" w:color="000000" w:sz="4" w:space="0"/>
              <w:left w:val="single" w:color="000000" w:sz="4" w:space="0"/>
              <w:bottom w:val="single" w:color="000000" w:sz="4" w:space="0"/>
              <w:right w:val="single" w:color="000000" w:sz="4" w:space="0"/>
            </w:tcBorders>
          </w:tcPr>
          <w:p w14:paraId="70EB0760">
            <w:pPr>
              <w:spacing w:after="0" w:line="259" w:lineRule="auto"/>
              <w:ind w:left="0" w:firstLine="0"/>
              <w:jc w:val="left"/>
              <w:rPr>
                <w:sz w:val="22"/>
                <w:szCs w:val="22"/>
              </w:rPr>
            </w:pPr>
            <w:r>
              <w:rPr>
                <w:sz w:val="22"/>
                <w:szCs w:val="22"/>
              </w:rPr>
              <w:t xml:space="preserve">Inception of Business Operation of TBSL  </w:t>
            </w:r>
          </w:p>
        </w:tc>
      </w:tr>
      <w:tr w14:paraId="3F11A157">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69D2CDBC">
            <w:pPr>
              <w:spacing w:after="0" w:line="259" w:lineRule="auto"/>
              <w:ind w:left="0" w:firstLine="0"/>
              <w:jc w:val="left"/>
              <w:rPr>
                <w:sz w:val="22"/>
                <w:szCs w:val="22"/>
              </w:rPr>
            </w:pPr>
            <w:r>
              <w:rPr>
                <w:sz w:val="22"/>
                <w:szCs w:val="22"/>
              </w:rPr>
              <w:t xml:space="preserve">01 November 2014  </w:t>
            </w:r>
          </w:p>
        </w:tc>
        <w:tc>
          <w:tcPr>
            <w:tcW w:w="6436" w:type="dxa"/>
            <w:tcBorders>
              <w:top w:val="single" w:color="000000" w:sz="4" w:space="0"/>
              <w:left w:val="single" w:color="000000" w:sz="4" w:space="0"/>
              <w:bottom w:val="single" w:color="000000" w:sz="4" w:space="0"/>
              <w:right w:val="single" w:color="000000" w:sz="4" w:space="0"/>
            </w:tcBorders>
          </w:tcPr>
          <w:p w14:paraId="572B9C22">
            <w:pPr>
              <w:spacing w:after="0" w:line="259" w:lineRule="auto"/>
              <w:ind w:left="0" w:firstLine="0"/>
              <w:jc w:val="left"/>
              <w:rPr>
                <w:sz w:val="22"/>
                <w:szCs w:val="22"/>
              </w:rPr>
            </w:pPr>
            <w:r>
              <w:rPr>
                <w:sz w:val="22"/>
                <w:szCs w:val="22"/>
              </w:rPr>
              <w:t xml:space="preserve">Launching of Call Centre  </w:t>
            </w:r>
          </w:p>
        </w:tc>
      </w:tr>
      <w:tr w14:paraId="0E03C314">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22674A0B">
            <w:pPr>
              <w:spacing w:after="0" w:line="259" w:lineRule="auto"/>
              <w:ind w:left="0" w:firstLine="0"/>
              <w:jc w:val="left"/>
              <w:rPr>
                <w:sz w:val="22"/>
                <w:szCs w:val="22"/>
              </w:rPr>
            </w:pPr>
            <w:r>
              <w:rPr>
                <w:sz w:val="22"/>
                <w:szCs w:val="22"/>
              </w:rPr>
              <w:t xml:space="preserve">08 December 2014  </w:t>
            </w:r>
          </w:p>
        </w:tc>
        <w:tc>
          <w:tcPr>
            <w:tcW w:w="6436" w:type="dxa"/>
            <w:tcBorders>
              <w:top w:val="single" w:color="000000" w:sz="4" w:space="0"/>
              <w:left w:val="single" w:color="000000" w:sz="4" w:space="0"/>
              <w:bottom w:val="single" w:color="000000" w:sz="4" w:space="0"/>
              <w:right w:val="single" w:color="000000" w:sz="4" w:space="0"/>
            </w:tcBorders>
          </w:tcPr>
          <w:p w14:paraId="6F904DC0">
            <w:pPr>
              <w:spacing w:after="0" w:line="259" w:lineRule="auto"/>
              <w:ind w:left="0" w:firstLine="0"/>
              <w:jc w:val="left"/>
              <w:rPr>
                <w:sz w:val="22"/>
                <w:szCs w:val="22"/>
              </w:rPr>
            </w:pPr>
            <w:r>
              <w:rPr>
                <w:sz w:val="22"/>
                <w:szCs w:val="22"/>
              </w:rPr>
              <w:t xml:space="preserve">Commencement of iBanking Service  </w:t>
            </w:r>
          </w:p>
        </w:tc>
      </w:tr>
      <w:tr w14:paraId="7020FB7C">
        <w:tblPrEx>
          <w:tblCellMar>
            <w:top w:w="0" w:type="dxa"/>
            <w:left w:w="108" w:type="dxa"/>
            <w:bottom w:w="0" w:type="dxa"/>
            <w:right w:w="6" w:type="dxa"/>
          </w:tblCellMar>
        </w:tblPrEx>
        <w:trPr>
          <w:trHeight w:val="619" w:hRule="atLeast"/>
        </w:trPr>
        <w:tc>
          <w:tcPr>
            <w:tcW w:w="2873" w:type="dxa"/>
            <w:tcBorders>
              <w:top w:val="single" w:color="000000" w:sz="4" w:space="0"/>
              <w:left w:val="single" w:color="000000" w:sz="4" w:space="0"/>
              <w:bottom w:val="single" w:color="000000" w:sz="4" w:space="0"/>
              <w:right w:val="single" w:color="000000" w:sz="4" w:space="0"/>
            </w:tcBorders>
          </w:tcPr>
          <w:p w14:paraId="415F815A">
            <w:pPr>
              <w:spacing w:after="0" w:line="259" w:lineRule="auto"/>
              <w:ind w:left="0" w:firstLine="0"/>
              <w:jc w:val="left"/>
              <w:rPr>
                <w:sz w:val="22"/>
                <w:szCs w:val="22"/>
              </w:rPr>
            </w:pPr>
            <w:r>
              <w:rPr>
                <w:sz w:val="22"/>
                <w:szCs w:val="22"/>
              </w:rPr>
              <w:t xml:space="preserve">30 August 2015  </w:t>
            </w:r>
          </w:p>
        </w:tc>
        <w:tc>
          <w:tcPr>
            <w:tcW w:w="6436" w:type="dxa"/>
            <w:tcBorders>
              <w:top w:val="single" w:color="000000" w:sz="4" w:space="0"/>
              <w:left w:val="single" w:color="000000" w:sz="4" w:space="0"/>
              <w:bottom w:val="single" w:color="000000" w:sz="4" w:space="0"/>
              <w:right w:val="single" w:color="000000" w:sz="4" w:space="0"/>
            </w:tcBorders>
          </w:tcPr>
          <w:p w14:paraId="07F21E2F">
            <w:pPr>
              <w:spacing w:after="0" w:line="259" w:lineRule="auto"/>
              <w:ind w:left="1827" w:firstLine="0"/>
              <w:jc w:val="left"/>
              <w:rPr>
                <w:sz w:val="22"/>
                <w:szCs w:val="22"/>
              </w:rPr>
            </w:pPr>
            <w:r>
              <w:rPr>
                <w:sz w:val="22"/>
                <w:szCs w:val="22"/>
              </w:rPr>
              <w:t>th</w:t>
            </w:r>
          </w:p>
          <w:p w14:paraId="6E7CA54C">
            <w:pPr>
              <w:spacing w:after="0" w:line="259" w:lineRule="auto"/>
              <w:ind w:left="0" w:firstLine="0"/>
              <w:jc w:val="left"/>
              <w:rPr>
                <w:sz w:val="22"/>
                <w:szCs w:val="22"/>
              </w:rPr>
            </w:pPr>
            <w:r>
              <w:rPr>
                <w:sz w:val="22"/>
                <w:szCs w:val="22"/>
              </w:rPr>
              <w:t xml:space="preserve">Inauguration of 100 Branch at Mohammadpur, Dhaka </w:t>
            </w:r>
          </w:p>
          <w:p w14:paraId="3EDE459A">
            <w:pPr>
              <w:spacing w:after="0" w:line="259" w:lineRule="auto"/>
              <w:ind w:left="0" w:firstLine="0"/>
              <w:jc w:val="left"/>
              <w:rPr>
                <w:sz w:val="22"/>
                <w:szCs w:val="22"/>
              </w:rPr>
            </w:pPr>
            <w:r>
              <w:rPr>
                <w:sz w:val="22"/>
                <w:szCs w:val="22"/>
              </w:rPr>
              <w:t>(</w:t>
            </w:r>
            <w:r>
              <w:rPr>
                <w:b/>
                <w:sz w:val="22"/>
                <w:szCs w:val="22"/>
              </w:rPr>
              <w:t xml:space="preserve">Centennial Branch) </w:t>
            </w:r>
            <w:r>
              <w:rPr>
                <w:sz w:val="22"/>
                <w:szCs w:val="22"/>
              </w:rPr>
              <w:t xml:space="preserve"> </w:t>
            </w:r>
          </w:p>
        </w:tc>
      </w:tr>
      <w:tr w14:paraId="404EFF57">
        <w:tblPrEx>
          <w:tblCellMar>
            <w:top w:w="0" w:type="dxa"/>
            <w:left w:w="108" w:type="dxa"/>
            <w:bottom w:w="0" w:type="dxa"/>
            <w:right w:w="6" w:type="dxa"/>
          </w:tblCellMar>
        </w:tblPrEx>
        <w:trPr>
          <w:trHeight w:val="619" w:hRule="atLeast"/>
        </w:trPr>
        <w:tc>
          <w:tcPr>
            <w:tcW w:w="2873" w:type="dxa"/>
            <w:tcBorders>
              <w:top w:val="single" w:color="000000" w:sz="4" w:space="0"/>
              <w:left w:val="single" w:color="000000" w:sz="4" w:space="0"/>
              <w:bottom w:val="single" w:color="000000" w:sz="4" w:space="0"/>
              <w:right w:val="single" w:color="000000" w:sz="4" w:space="0"/>
            </w:tcBorders>
          </w:tcPr>
          <w:p w14:paraId="3C5CBC62">
            <w:pPr>
              <w:spacing w:after="0" w:line="259" w:lineRule="auto"/>
              <w:ind w:left="0" w:firstLine="0"/>
              <w:jc w:val="left"/>
              <w:rPr>
                <w:sz w:val="22"/>
                <w:szCs w:val="22"/>
              </w:rPr>
            </w:pPr>
            <w:r>
              <w:rPr>
                <w:sz w:val="22"/>
                <w:szCs w:val="22"/>
              </w:rPr>
              <w:t xml:space="preserve">08 June 2017  </w:t>
            </w:r>
          </w:p>
        </w:tc>
        <w:tc>
          <w:tcPr>
            <w:tcW w:w="6436" w:type="dxa"/>
            <w:tcBorders>
              <w:top w:val="single" w:color="000000" w:sz="4" w:space="0"/>
              <w:left w:val="single" w:color="000000" w:sz="4" w:space="0"/>
              <w:bottom w:val="single" w:color="000000" w:sz="4" w:space="0"/>
              <w:right w:val="single" w:color="000000" w:sz="4" w:space="0"/>
            </w:tcBorders>
          </w:tcPr>
          <w:p w14:paraId="4CB3CAA7">
            <w:pPr>
              <w:spacing w:after="0" w:line="259" w:lineRule="auto"/>
              <w:ind w:left="1827" w:firstLine="0"/>
              <w:jc w:val="left"/>
              <w:rPr>
                <w:sz w:val="22"/>
                <w:szCs w:val="22"/>
              </w:rPr>
            </w:pPr>
            <w:r>
              <w:rPr>
                <w:sz w:val="22"/>
                <w:szCs w:val="22"/>
              </w:rPr>
              <w:t>th</w:t>
            </w:r>
          </w:p>
          <w:p w14:paraId="28723459">
            <w:pPr>
              <w:spacing w:after="0" w:line="259" w:lineRule="auto"/>
              <w:ind w:left="0" w:firstLine="0"/>
              <w:jc w:val="left"/>
              <w:rPr>
                <w:sz w:val="22"/>
                <w:szCs w:val="22"/>
              </w:rPr>
            </w:pPr>
            <w:r>
              <w:rPr>
                <w:sz w:val="22"/>
                <w:szCs w:val="22"/>
              </w:rPr>
              <w:t xml:space="preserve">Inauguration of 200 ATM Booth at Jibtoli Army Camp, Kaptai, Rangamati </w:t>
            </w:r>
          </w:p>
        </w:tc>
      </w:tr>
      <w:tr w14:paraId="7ADFE816">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31A6919C">
            <w:pPr>
              <w:spacing w:after="0" w:line="259" w:lineRule="auto"/>
              <w:ind w:left="0" w:firstLine="0"/>
              <w:jc w:val="left"/>
              <w:rPr>
                <w:sz w:val="22"/>
                <w:szCs w:val="22"/>
              </w:rPr>
            </w:pPr>
            <w:r>
              <w:rPr>
                <w:sz w:val="22"/>
                <w:szCs w:val="22"/>
              </w:rPr>
              <w:t xml:space="preserve">01 April 2018  </w:t>
            </w:r>
          </w:p>
        </w:tc>
        <w:tc>
          <w:tcPr>
            <w:tcW w:w="6436" w:type="dxa"/>
            <w:tcBorders>
              <w:top w:val="single" w:color="000000" w:sz="4" w:space="0"/>
              <w:left w:val="single" w:color="000000" w:sz="4" w:space="0"/>
              <w:bottom w:val="single" w:color="000000" w:sz="4" w:space="0"/>
              <w:right w:val="single" w:color="000000" w:sz="4" w:space="0"/>
            </w:tcBorders>
          </w:tcPr>
          <w:p w14:paraId="5E2CE1D1">
            <w:pPr>
              <w:spacing w:after="0" w:line="259" w:lineRule="auto"/>
              <w:ind w:left="0" w:firstLine="0"/>
              <w:jc w:val="left"/>
              <w:rPr>
                <w:sz w:val="22"/>
                <w:szCs w:val="22"/>
              </w:rPr>
            </w:pPr>
            <w:r>
              <w:rPr>
                <w:sz w:val="22"/>
                <w:szCs w:val="22"/>
              </w:rPr>
              <w:t xml:space="preserve">t-cash Launching  </w:t>
            </w:r>
          </w:p>
        </w:tc>
      </w:tr>
      <w:tr w14:paraId="519C877B">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5701DF55">
            <w:pPr>
              <w:spacing w:after="0" w:line="259" w:lineRule="auto"/>
              <w:ind w:left="0" w:firstLine="0"/>
              <w:jc w:val="left"/>
              <w:rPr>
                <w:sz w:val="22"/>
                <w:szCs w:val="22"/>
              </w:rPr>
            </w:pPr>
            <w:r>
              <w:rPr>
                <w:b/>
                <w:sz w:val="22"/>
                <w:szCs w:val="22"/>
              </w:rPr>
              <w:t xml:space="preserve">Date </w:t>
            </w:r>
            <w:r>
              <w:rPr>
                <w:sz w:val="22"/>
                <w:szCs w:val="22"/>
              </w:rPr>
              <w:t xml:space="preserve"> </w:t>
            </w:r>
          </w:p>
        </w:tc>
        <w:tc>
          <w:tcPr>
            <w:tcW w:w="6436" w:type="dxa"/>
            <w:tcBorders>
              <w:top w:val="single" w:color="000000" w:sz="4" w:space="0"/>
              <w:left w:val="single" w:color="000000" w:sz="4" w:space="0"/>
              <w:bottom w:val="single" w:color="000000" w:sz="4" w:space="0"/>
              <w:right w:val="single" w:color="000000" w:sz="4" w:space="0"/>
            </w:tcBorders>
          </w:tcPr>
          <w:p w14:paraId="7DE1919F">
            <w:pPr>
              <w:spacing w:after="0" w:line="259" w:lineRule="auto"/>
              <w:ind w:left="0" w:firstLine="0"/>
              <w:jc w:val="left"/>
              <w:rPr>
                <w:sz w:val="22"/>
                <w:szCs w:val="22"/>
              </w:rPr>
            </w:pPr>
            <w:r>
              <w:rPr>
                <w:b/>
                <w:sz w:val="22"/>
                <w:szCs w:val="22"/>
              </w:rPr>
              <w:t xml:space="preserve">Particulars/Events </w:t>
            </w:r>
            <w:r>
              <w:rPr>
                <w:sz w:val="22"/>
                <w:szCs w:val="22"/>
              </w:rPr>
              <w:t xml:space="preserve"> </w:t>
            </w:r>
          </w:p>
        </w:tc>
      </w:tr>
      <w:tr w14:paraId="1645F58D">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7AD79A09">
            <w:pPr>
              <w:spacing w:after="0" w:line="259" w:lineRule="auto"/>
              <w:ind w:left="0" w:firstLine="0"/>
              <w:jc w:val="left"/>
              <w:rPr>
                <w:sz w:val="22"/>
                <w:szCs w:val="22"/>
              </w:rPr>
            </w:pPr>
            <w:r>
              <w:rPr>
                <w:sz w:val="22"/>
                <w:szCs w:val="22"/>
              </w:rPr>
              <w:t xml:space="preserve">01 July 2018 </w:t>
            </w:r>
          </w:p>
        </w:tc>
        <w:tc>
          <w:tcPr>
            <w:tcW w:w="6436" w:type="dxa"/>
            <w:tcBorders>
              <w:top w:val="single" w:color="000000" w:sz="4" w:space="0"/>
              <w:left w:val="single" w:color="000000" w:sz="4" w:space="0"/>
              <w:bottom w:val="single" w:color="000000" w:sz="4" w:space="0"/>
              <w:right w:val="single" w:color="000000" w:sz="4" w:space="0"/>
            </w:tcBorders>
          </w:tcPr>
          <w:p w14:paraId="3C3D49D3">
            <w:pPr>
              <w:spacing w:after="0" w:line="259" w:lineRule="auto"/>
              <w:ind w:left="0" w:firstLine="0"/>
              <w:jc w:val="left"/>
              <w:rPr>
                <w:sz w:val="22"/>
                <w:szCs w:val="22"/>
              </w:rPr>
            </w:pPr>
            <w:r>
              <w:rPr>
                <w:sz w:val="22"/>
                <w:szCs w:val="22"/>
              </w:rPr>
              <w:t xml:space="preserve">Relocation of Gulshan Corporate Branch  </w:t>
            </w:r>
          </w:p>
        </w:tc>
      </w:tr>
      <w:tr w14:paraId="6CD66991">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14E9EA28">
            <w:pPr>
              <w:spacing w:after="0" w:line="259" w:lineRule="auto"/>
              <w:ind w:left="0" w:firstLine="0"/>
              <w:jc w:val="left"/>
              <w:rPr>
                <w:sz w:val="22"/>
                <w:szCs w:val="22"/>
              </w:rPr>
            </w:pPr>
            <w:r>
              <w:rPr>
                <w:sz w:val="22"/>
                <w:szCs w:val="22"/>
              </w:rPr>
              <w:t xml:space="preserve">01 July 2018 </w:t>
            </w:r>
          </w:p>
        </w:tc>
        <w:tc>
          <w:tcPr>
            <w:tcW w:w="6436" w:type="dxa"/>
            <w:tcBorders>
              <w:top w:val="single" w:color="000000" w:sz="4" w:space="0"/>
              <w:left w:val="single" w:color="000000" w:sz="4" w:space="0"/>
              <w:bottom w:val="single" w:color="000000" w:sz="4" w:space="0"/>
              <w:right w:val="single" w:color="000000" w:sz="4" w:space="0"/>
            </w:tcBorders>
          </w:tcPr>
          <w:p w14:paraId="6CC8C264">
            <w:pPr>
              <w:spacing w:after="0" w:line="259" w:lineRule="auto"/>
              <w:ind w:left="0" w:firstLine="0"/>
              <w:jc w:val="left"/>
              <w:rPr>
                <w:sz w:val="22"/>
                <w:szCs w:val="22"/>
              </w:rPr>
            </w:pPr>
            <w:r>
              <w:rPr>
                <w:sz w:val="22"/>
                <w:szCs w:val="22"/>
              </w:rPr>
              <w:t xml:space="preserve">Commencement of Retail Finance Center (RFC)  </w:t>
            </w:r>
          </w:p>
        </w:tc>
      </w:tr>
      <w:tr w14:paraId="491CC2EE">
        <w:tblPrEx>
          <w:tblCellMar>
            <w:top w:w="0" w:type="dxa"/>
            <w:left w:w="108" w:type="dxa"/>
            <w:bottom w:w="0" w:type="dxa"/>
            <w:right w:w="6" w:type="dxa"/>
          </w:tblCellMar>
        </w:tblPrEx>
        <w:trPr>
          <w:trHeight w:val="620" w:hRule="atLeast"/>
        </w:trPr>
        <w:tc>
          <w:tcPr>
            <w:tcW w:w="2873" w:type="dxa"/>
            <w:tcBorders>
              <w:top w:val="single" w:color="000000" w:sz="4" w:space="0"/>
              <w:left w:val="single" w:color="000000" w:sz="4" w:space="0"/>
              <w:bottom w:val="single" w:color="000000" w:sz="4" w:space="0"/>
              <w:right w:val="single" w:color="000000" w:sz="4" w:space="0"/>
            </w:tcBorders>
          </w:tcPr>
          <w:p w14:paraId="789CC799">
            <w:pPr>
              <w:spacing w:after="0" w:line="259" w:lineRule="auto"/>
              <w:ind w:left="0" w:firstLine="0"/>
              <w:jc w:val="left"/>
              <w:rPr>
                <w:sz w:val="22"/>
                <w:szCs w:val="22"/>
              </w:rPr>
            </w:pPr>
            <w:r>
              <w:rPr>
                <w:sz w:val="22"/>
                <w:szCs w:val="22"/>
              </w:rPr>
              <w:t xml:space="preserve">24 February 2019  </w:t>
            </w:r>
          </w:p>
        </w:tc>
        <w:tc>
          <w:tcPr>
            <w:tcW w:w="6436" w:type="dxa"/>
            <w:tcBorders>
              <w:top w:val="single" w:color="000000" w:sz="4" w:space="0"/>
              <w:left w:val="single" w:color="000000" w:sz="4" w:space="0"/>
              <w:bottom w:val="single" w:color="000000" w:sz="4" w:space="0"/>
              <w:right w:val="single" w:color="000000" w:sz="4" w:space="0"/>
            </w:tcBorders>
          </w:tcPr>
          <w:p w14:paraId="31A23663">
            <w:pPr>
              <w:spacing w:after="0" w:line="259" w:lineRule="auto"/>
              <w:ind w:left="1827" w:firstLine="0"/>
              <w:jc w:val="left"/>
              <w:rPr>
                <w:sz w:val="22"/>
                <w:szCs w:val="22"/>
              </w:rPr>
            </w:pPr>
            <w:r>
              <w:rPr>
                <w:sz w:val="22"/>
                <w:szCs w:val="22"/>
              </w:rPr>
              <w:t>th</w:t>
            </w:r>
          </w:p>
          <w:p w14:paraId="370D4CE8">
            <w:pPr>
              <w:spacing w:after="0" w:line="259" w:lineRule="auto"/>
              <w:ind w:left="0" w:firstLine="0"/>
              <w:jc w:val="left"/>
              <w:rPr>
                <w:sz w:val="22"/>
                <w:szCs w:val="22"/>
              </w:rPr>
            </w:pPr>
            <w:r>
              <w:rPr>
                <w:sz w:val="22"/>
                <w:szCs w:val="22"/>
              </w:rPr>
              <w:t>Inauguration of 111 Branch at Barisal, Dhaka (</w:t>
            </w:r>
            <w:r>
              <w:rPr>
                <w:b/>
                <w:sz w:val="22"/>
                <w:szCs w:val="22"/>
              </w:rPr>
              <w:t xml:space="preserve">Sheikh Hasina </w:t>
            </w:r>
          </w:p>
          <w:p w14:paraId="144C2B10">
            <w:pPr>
              <w:spacing w:after="0" w:line="259" w:lineRule="auto"/>
              <w:ind w:left="0" w:firstLine="0"/>
              <w:jc w:val="left"/>
              <w:rPr>
                <w:sz w:val="22"/>
                <w:szCs w:val="22"/>
              </w:rPr>
            </w:pPr>
            <w:r>
              <w:rPr>
                <w:b/>
                <w:sz w:val="22"/>
                <w:szCs w:val="22"/>
              </w:rPr>
              <w:t xml:space="preserve">Cantonment Branch) </w:t>
            </w:r>
            <w:r>
              <w:rPr>
                <w:sz w:val="22"/>
                <w:szCs w:val="22"/>
              </w:rPr>
              <w:t xml:space="preserve"> </w:t>
            </w:r>
          </w:p>
        </w:tc>
      </w:tr>
      <w:tr w14:paraId="650921E9">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6F6EEE30">
            <w:pPr>
              <w:spacing w:after="0" w:line="259" w:lineRule="auto"/>
              <w:ind w:left="0" w:firstLine="0"/>
              <w:jc w:val="left"/>
              <w:rPr>
                <w:sz w:val="22"/>
                <w:szCs w:val="22"/>
              </w:rPr>
            </w:pPr>
            <w:r>
              <w:rPr>
                <w:sz w:val="22"/>
                <w:szCs w:val="22"/>
              </w:rPr>
              <w:t xml:space="preserve">01 September 2019  </w:t>
            </w:r>
          </w:p>
        </w:tc>
        <w:tc>
          <w:tcPr>
            <w:tcW w:w="6436" w:type="dxa"/>
            <w:tcBorders>
              <w:top w:val="single" w:color="000000" w:sz="4" w:space="0"/>
              <w:left w:val="single" w:color="000000" w:sz="4" w:space="0"/>
              <w:bottom w:val="single" w:color="000000" w:sz="4" w:space="0"/>
              <w:right w:val="single" w:color="000000" w:sz="4" w:space="0"/>
            </w:tcBorders>
          </w:tcPr>
          <w:p w14:paraId="0DB49D74">
            <w:pPr>
              <w:spacing w:after="0" w:line="259" w:lineRule="auto"/>
              <w:ind w:left="0" w:firstLine="0"/>
              <w:jc w:val="left"/>
              <w:rPr>
                <w:sz w:val="22"/>
                <w:szCs w:val="22"/>
              </w:rPr>
            </w:pPr>
            <w:r>
              <w:rPr>
                <w:sz w:val="22"/>
                <w:szCs w:val="22"/>
              </w:rPr>
              <w:t>Inauguration of 112</w:t>
            </w:r>
            <w:r>
              <w:rPr>
                <w:sz w:val="22"/>
                <w:szCs w:val="22"/>
                <w:vertAlign w:val="superscript"/>
              </w:rPr>
              <w:t>th</w:t>
            </w:r>
            <w:r>
              <w:rPr>
                <w:sz w:val="22"/>
                <w:szCs w:val="22"/>
              </w:rPr>
              <w:t>Branch at Mirpur, Dhaka (</w:t>
            </w:r>
            <w:r>
              <w:rPr>
                <w:b/>
                <w:sz w:val="22"/>
                <w:szCs w:val="22"/>
              </w:rPr>
              <w:t>Mirpur DOHS</w:t>
            </w:r>
            <w:r>
              <w:rPr>
                <w:sz w:val="22"/>
                <w:szCs w:val="22"/>
              </w:rPr>
              <w:t xml:space="preserve"> Br.) </w:t>
            </w:r>
          </w:p>
        </w:tc>
      </w:tr>
      <w:tr w14:paraId="249E0D9C">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2A66DF62">
            <w:pPr>
              <w:spacing w:after="0" w:line="259" w:lineRule="auto"/>
              <w:ind w:left="0" w:firstLine="0"/>
              <w:jc w:val="left"/>
              <w:rPr>
                <w:sz w:val="22"/>
                <w:szCs w:val="22"/>
              </w:rPr>
            </w:pPr>
            <w:r>
              <w:rPr>
                <w:sz w:val="22"/>
                <w:szCs w:val="22"/>
              </w:rPr>
              <w:t xml:space="preserve">31 October 2021  </w:t>
            </w:r>
          </w:p>
        </w:tc>
        <w:tc>
          <w:tcPr>
            <w:tcW w:w="6436" w:type="dxa"/>
            <w:tcBorders>
              <w:top w:val="single" w:color="000000" w:sz="4" w:space="0"/>
              <w:left w:val="single" w:color="000000" w:sz="4" w:space="0"/>
              <w:bottom w:val="single" w:color="000000" w:sz="4" w:space="0"/>
              <w:right w:val="single" w:color="000000" w:sz="4" w:space="0"/>
            </w:tcBorders>
          </w:tcPr>
          <w:p w14:paraId="4794701E">
            <w:pPr>
              <w:spacing w:after="0" w:line="259" w:lineRule="auto"/>
              <w:ind w:left="0" w:firstLine="0"/>
              <w:jc w:val="left"/>
              <w:rPr>
                <w:sz w:val="22"/>
                <w:szCs w:val="22"/>
              </w:rPr>
            </w:pPr>
            <w:r>
              <w:rPr>
                <w:sz w:val="22"/>
                <w:szCs w:val="22"/>
              </w:rPr>
              <w:t xml:space="preserve">Opening of </w:t>
            </w:r>
            <w:r>
              <w:rPr>
                <w:b/>
                <w:sz w:val="22"/>
                <w:szCs w:val="22"/>
              </w:rPr>
              <w:t xml:space="preserve">Matikata Sub-Branch </w:t>
            </w:r>
            <w:r>
              <w:rPr>
                <w:sz w:val="22"/>
                <w:szCs w:val="22"/>
              </w:rPr>
              <w:t xml:space="preserve">under Principal Branch  </w:t>
            </w:r>
          </w:p>
        </w:tc>
      </w:tr>
      <w:tr w14:paraId="6A3E6C78">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5E7CE3ED">
            <w:pPr>
              <w:spacing w:after="0" w:line="259" w:lineRule="auto"/>
              <w:ind w:left="0" w:firstLine="0"/>
              <w:jc w:val="left"/>
              <w:rPr>
                <w:sz w:val="22"/>
                <w:szCs w:val="22"/>
              </w:rPr>
            </w:pPr>
            <w:r>
              <w:rPr>
                <w:sz w:val="22"/>
                <w:szCs w:val="22"/>
              </w:rPr>
              <w:t xml:space="preserve">01November 2021  </w:t>
            </w:r>
          </w:p>
        </w:tc>
        <w:tc>
          <w:tcPr>
            <w:tcW w:w="6436" w:type="dxa"/>
            <w:tcBorders>
              <w:top w:val="single" w:color="000000" w:sz="4" w:space="0"/>
              <w:left w:val="single" w:color="000000" w:sz="4" w:space="0"/>
              <w:bottom w:val="single" w:color="000000" w:sz="4" w:space="0"/>
              <w:right w:val="single" w:color="000000" w:sz="4" w:space="0"/>
            </w:tcBorders>
          </w:tcPr>
          <w:p w14:paraId="7840D529">
            <w:pPr>
              <w:spacing w:after="0" w:line="259" w:lineRule="auto"/>
              <w:ind w:left="0" w:firstLine="0"/>
              <w:jc w:val="left"/>
              <w:rPr>
                <w:sz w:val="22"/>
                <w:szCs w:val="22"/>
              </w:rPr>
            </w:pPr>
            <w:r>
              <w:rPr>
                <w:sz w:val="22"/>
                <w:szCs w:val="22"/>
              </w:rPr>
              <w:t xml:space="preserve">Opening of </w:t>
            </w:r>
            <w:r>
              <w:rPr>
                <w:b/>
                <w:sz w:val="22"/>
                <w:szCs w:val="22"/>
              </w:rPr>
              <w:t xml:space="preserve">Khulshi Sub-Branch </w:t>
            </w:r>
            <w:r>
              <w:rPr>
                <w:sz w:val="22"/>
                <w:szCs w:val="22"/>
              </w:rPr>
              <w:t xml:space="preserve">under CDA Avenue Branch  </w:t>
            </w:r>
          </w:p>
        </w:tc>
      </w:tr>
      <w:tr w14:paraId="7B17A6A1">
        <w:tblPrEx>
          <w:tblCellMar>
            <w:top w:w="0" w:type="dxa"/>
            <w:left w:w="108" w:type="dxa"/>
            <w:bottom w:w="0" w:type="dxa"/>
            <w:right w:w="6" w:type="dxa"/>
          </w:tblCellMar>
        </w:tblPrEx>
        <w:trPr>
          <w:trHeight w:val="274" w:hRule="atLeast"/>
        </w:trPr>
        <w:tc>
          <w:tcPr>
            <w:tcW w:w="2873" w:type="dxa"/>
            <w:tcBorders>
              <w:top w:val="single" w:color="000000" w:sz="4" w:space="0"/>
              <w:left w:val="single" w:color="000000" w:sz="4" w:space="0"/>
              <w:bottom w:val="single" w:color="000000" w:sz="4" w:space="0"/>
              <w:right w:val="single" w:color="000000" w:sz="4" w:space="0"/>
            </w:tcBorders>
          </w:tcPr>
          <w:p w14:paraId="77D42B0E">
            <w:pPr>
              <w:spacing w:after="0" w:line="259" w:lineRule="auto"/>
              <w:ind w:left="0" w:firstLine="0"/>
              <w:jc w:val="left"/>
              <w:rPr>
                <w:sz w:val="22"/>
                <w:szCs w:val="22"/>
              </w:rPr>
            </w:pPr>
            <w:r>
              <w:rPr>
                <w:sz w:val="22"/>
                <w:szCs w:val="22"/>
              </w:rPr>
              <w:t xml:space="preserve">02 November 2021  </w:t>
            </w:r>
          </w:p>
        </w:tc>
        <w:tc>
          <w:tcPr>
            <w:tcW w:w="6436" w:type="dxa"/>
            <w:tcBorders>
              <w:top w:val="single" w:color="000000" w:sz="4" w:space="0"/>
              <w:left w:val="single" w:color="000000" w:sz="4" w:space="0"/>
              <w:bottom w:val="single" w:color="000000" w:sz="4" w:space="0"/>
              <w:right w:val="single" w:color="000000" w:sz="4" w:space="0"/>
            </w:tcBorders>
          </w:tcPr>
          <w:p w14:paraId="2184B4C5">
            <w:pPr>
              <w:spacing w:after="0" w:line="259" w:lineRule="auto"/>
              <w:ind w:left="0" w:firstLine="0"/>
              <w:jc w:val="left"/>
              <w:rPr>
                <w:sz w:val="22"/>
                <w:szCs w:val="22"/>
              </w:rPr>
            </w:pPr>
            <w:r>
              <w:rPr>
                <w:sz w:val="22"/>
                <w:szCs w:val="22"/>
              </w:rPr>
              <w:t xml:space="preserve">Opening of </w:t>
            </w:r>
            <w:r>
              <w:rPr>
                <w:b/>
                <w:sz w:val="22"/>
                <w:szCs w:val="22"/>
              </w:rPr>
              <w:t xml:space="preserve">Chondipul Sub-Branch </w:t>
            </w:r>
            <w:r>
              <w:rPr>
                <w:sz w:val="22"/>
                <w:szCs w:val="22"/>
              </w:rPr>
              <w:t xml:space="preserve">under Sylhet Corporate Br.  </w:t>
            </w:r>
          </w:p>
        </w:tc>
      </w:tr>
      <w:tr w14:paraId="4A92BE83">
        <w:tblPrEx>
          <w:tblCellMar>
            <w:top w:w="0" w:type="dxa"/>
            <w:left w:w="108" w:type="dxa"/>
            <w:bottom w:w="0" w:type="dxa"/>
            <w:right w:w="6" w:type="dxa"/>
          </w:tblCellMar>
        </w:tblPrEx>
        <w:trPr>
          <w:trHeight w:val="276" w:hRule="atLeast"/>
        </w:trPr>
        <w:tc>
          <w:tcPr>
            <w:tcW w:w="2873" w:type="dxa"/>
            <w:tcBorders>
              <w:top w:val="single" w:color="000000" w:sz="4" w:space="0"/>
              <w:left w:val="single" w:color="000000" w:sz="4" w:space="0"/>
              <w:bottom w:val="single" w:color="000000" w:sz="4" w:space="0"/>
              <w:right w:val="single" w:color="000000" w:sz="4" w:space="0"/>
            </w:tcBorders>
          </w:tcPr>
          <w:p w14:paraId="5560701D">
            <w:pPr>
              <w:spacing w:after="0" w:line="259" w:lineRule="auto"/>
              <w:ind w:left="0" w:firstLine="0"/>
              <w:jc w:val="left"/>
              <w:rPr>
                <w:sz w:val="22"/>
                <w:szCs w:val="22"/>
              </w:rPr>
            </w:pPr>
            <w:r>
              <w:rPr>
                <w:sz w:val="22"/>
                <w:szCs w:val="22"/>
              </w:rPr>
              <w:t xml:space="preserve">16 January 2022 </w:t>
            </w:r>
          </w:p>
        </w:tc>
        <w:tc>
          <w:tcPr>
            <w:tcW w:w="6436" w:type="dxa"/>
            <w:tcBorders>
              <w:top w:val="single" w:color="000000" w:sz="4" w:space="0"/>
              <w:left w:val="single" w:color="000000" w:sz="4" w:space="0"/>
              <w:bottom w:val="single" w:color="000000" w:sz="4" w:space="0"/>
              <w:right w:val="single" w:color="000000" w:sz="4" w:space="0"/>
            </w:tcBorders>
          </w:tcPr>
          <w:p w14:paraId="6FB9EBAA">
            <w:pPr>
              <w:spacing w:after="0" w:line="259" w:lineRule="auto"/>
              <w:ind w:left="0" w:firstLine="0"/>
              <w:jc w:val="left"/>
              <w:rPr>
                <w:sz w:val="22"/>
                <w:szCs w:val="22"/>
              </w:rPr>
            </w:pPr>
            <w:r>
              <w:rPr>
                <w:sz w:val="22"/>
                <w:szCs w:val="22"/>
              </w:rPr>
              <w:t xml:space="preserve">Relocation of Gulshan Corporate Branch  </w:t>
            </w:r>
          </w:p>
        </w:tc>
      </w:tr>
    </w:tbl>
    <w:p w14:paraId="3B9D1F9D">
      <w:pPr>
        <w:spacing w:after="18" w:line="259" w:lineRule="auto"/>
        <w:ind w:left="0" w:firstLine="0"/>
        <w:jc w:val="left"/>
        <w:rPr>
          <w:b/>
          <w:sz w:val="22"/>
          <w:szCs w:val="22"/>
        </w:rPr>
      </w:pPr>
    </w:p>
    <w:p w14:paraId="2679F14A">
      <w:pPr>
        <w:spacing w:after="0" w:line="259" w:lineRule="auto"/>
        <w:ind w:right="0"/>
        <w:jc w:val="left"/>
        <w:rPr>
          <w:b/>
          <w:sz w:val="22"/>
          <w:szCs w:val="22"/>
        </w:rPr>
      </w:pPr>
    </w:p>
    <w:p w14:paraId="09C48F4D">
      <w:pPr>
        <w:spacing w:after="0" w:line="259" w:lineRule="auto"/>
        <w:ind w:right="0"/>
        <w:jc w:val="left"/>
        <w:rPr>
          <w:b/>
          <w:sz w:val="22"/>
          <w:szCs w:val="22"/>
        </w:rPr>
      </w:pPr>
    </w:p>
    <w:p w14:paraId="0482CD3B">
      <w:pPr>
        <w:spacing w:after="0" w:line="259" w:lineRule="auto"/>
        <w:ind w:right="0"/>
        <w:jc w:val="left"/>
        <w:rPr>
          <w:b/>
          <w:sz w:val="22"/>
          <w:szCs w:val="22"/>
        </w:rPr>
      </w:pPr>
    </w:p>
    <w:p w14:paraId="3414CD1C">
      <w:pPr>
        <w:spacing w:after="0" w:line="259" w:lineRule="auto"/>
        <w:ind w:right="0"/>
        <w:jc w:val="left"/>
        <w:rPr>
          <w:b/>
          <w:sz w:val="22"/>
          <w:szCs w:val="22"/>
        </w:rPr>
      </w:pPr>
    </w:p>
    <w:p w14:paraId="29BD60E3">
      <w:pPr>
        <w:spacing w:after="0" w:line="259" w:lineRule="auto"/>
        <w:ind w:right="0"/>
        <w:jc w:val="left"/>
        <w:rPr>
          <w:b/>
          <w:sz w:val="22"/>
          <w:szCs w:val="22"/>
        </w:rPr>
      </w:pPr>
    </w:p>
    <w:p w14:paraId="21313B39">
      <w:pPr>
        <w:spacing w:after="0" w:line="259" w:lineRule="auto"/>
        <w:ind w:right="0"/>
        <w:jc w:val="left"/>
        <w:rPr>
          <w:b/>
          <w:sz w:val="22"/>
          <w:szCs w:val="22"/>
        </w:rPr>
      </w:pPr>
    </w:p>
    <w:p w14:paraId="3E9BA485">
      <w:pPr>
        <w:spacing w:after="0" w:line="259" w:lineRule="auto"/>
        <w:ind w:right="0"/>
        <w:jc w:val="left"/>
        <w:rPr>
          <w:sz w:val="22"/>
          <w:szCs w:val="22"/>
        </w:rPr>
      </w:pPr>
      <w:r>
        <w:rPr>
          <w:b/>
          <w:sz w:val="22"/>
          <w:szCs w:val="22"/>
        </w:rPr>
        <w:t xml:space="preserve">Vision: </w:t>
      </w:r>
    </w:p>
    <w:p w14:paraId="2BB7E2E3">
      <w:pPr>
        <w:pStyle w:val="35"/>
        <w:numPr>
          <w:ilvl w:val="0"/>
          <w:numId w:val="3"/>
        </w:numPr>
        <w:ind w:right="875"/>
        <w:rPr>
          <w:sz w:val="22"/>
          <w:szCs w:val="22"/>
        </w:rPr>
      </w:pPr>
      <w:r>
        <w:rPr>
          <w:sz w:val="22"/>
          <w:szCs w:val="22"/>
        </w:rPr>
        <w:t>Build a long-term sustainable financial institution through financial inclusion</w:t>
      </w:r>
      <w:r>
        <w:rPr>
          <w:b/>
          <w:sz w:val="22"/>
          <w:szCs w:val="22"/>
        </w:rPr>
        <w:t xml:space="preserve"> </w:t>
      </w:r>
    </w:p>
    <w:p w14:paraId="74035782">
      <w:pPr>
        <w:pStyle w:val="35"/>
        <w:numPr>
          <w:ilvl w:val="0"/>
          <w:numId w:val="3"/>
        </w:numPr>
        <w:ind w:right="875"/>
        <w:rPr>
          <w:sz w:val="22"/>
          <w:szCs w:val="22"/>
        </w:rPr>
      </w:pPr>
      <w:r>
        <w:rPr>
          <w:bCs/>
          <w:sz w:val="22"/>
          <w:szCs w:val="22"/>
        </w:rPr>
        <w:t>Deliver optimum value to all stakeholders with the highest level of compliance</w:t>
      </w:r>
      <w:r>
        <w:rPr>
          <w:sz w:val="22"/>
          <w:szCs w:val="22"/>
        </w:rPr>
        <w:t xml:space="preserve">. </w:t>
      </w:r>
    </w:p>
    <w:p w14:paraId="3F410439">
      <w:pPr>
        <w:spacing w:after="98" w:line="259" w:lineRule="auto"/>
        <w:ind w:left="812" w:firstLine="0"/>
        <w:jc w:val="left"/>
        <w:rPr>
          <w:sz w:val="22"/>
          <w:szCs w:val="22"/>
        </w:rPr>
      </w:pPr>
      <w:r>
        <w:rPr>
          <w:b/>
          <w:sz w:val="22"/>
          <w:szCs w:val="22"/>
        </w:rPr>
        <w:t xml:space="preserve"> </w:t>
      </w:r>
    </w:p>
    <w:p w14:paraId="61346015">
      <w:pPr>
        <w:spacing w:after="0" w:line="259" w:lineRule="auto"/>
        <w:jc w:val="left"/>
        <w:rPr>
          <w:b/>
          <w:sz w:val="22"/>
          <w:szCs w:val="22"/>
        </w:rPr>
      </w:pPr>
    </w:p>
    <w:p w14:paraId="3C4BCB0F">
      <w:pPr>
        <w:spacing w:after="0" w:line="259" w:lineRule="auto"/>
        <w:jc w:val="left"/>
        <w:rPr>
          <w:sz w:val="22"/>
          <w:szCs w:val="22"/>
        </w:rPr>
      </w:pPr>
      <w:r>
        <w:rPr>
          <w:b/>
          <w:sz w:val="22"/>
          <w:szCs w:val="22"/>
        </w:rPr>
        <w:t xml:space="preserve">Mission: </w:t>
      </w:r>
    </w:p>
    <w:p w14:paraId="42B9DBCF">
      <w:pPr>
        <w:numPr>
          <w:ilvl w:val="0"/>
          <w:numId w:val="4"/>
        </w:numPr>
        <w:spacing w:after="15" w:line="247" w:lineRule="auto"/>
        <w:ind w:left="811" w:right="14" w:hanging="362"/>
        <w:rPr>
          <w:sz w:val="22"/>
          <w:szCs w:val="22"/>
        </w:rPr>
      </w:pPr>
      <w:r>
        <w:rPr>
          <w:sz w:val="22"/>
          <w:szCs w:val="22"/>
        </w:rPr>
        <w:t xml:space="preserve">Long Term Sustainable Growth- diversified business with robust risk management </w:t>
      </w:r>
    </w:p>
    <w:p w14:paraId="6F327A79">
      <w:pPr>
        <w:numPr>
          <w:ilvl w:val="0"/>
          <w:numId w:val="4"/>
        </w:numPr>
        <w:spacing w:after="16" w:line="248" w:lineRule="auto"/>
        <w:ind w:left="811" w:right="14" w:hanging="362"/>
        <w:rPr>
          <w:sz w:val="22"/>
          <w:szCs w:val="22"/>
        </w:rPr>
      </w:pPr>
      <w:r>
        <w:rPr>
          <w:sz w:val="22"/>
          <w:szCs w:val="22"/>
        </w:rPr>
        <w:t xml:space="preserve">Financial Inclusion-bring unbanked population into banking network through low cost and technology-based service delivery. </w:t>
      </w:r>
    </w:p>
    <w:p w14:paraId="7E9171D5">
      <w:pPr>
        <w:numPr>
          <w:ilvl w:val="0"/>
          <w:numId w:val="4"/>
        </w:numPr>
        <w:spacing w:after="15" w:line="247" w:lineRule="auto"/>
        <w:ind w:left="811" w:right="14" w:hanging="362"/>
        <w:rPr>
          <w:sz w:val="22"/>
          <w:szCs w:val="22"/>
        </w:rPr>
      </w:pPr>
      <w:r>
        <w:rPr>
          <w:sz w:val="22"/>
          <w:szCs w:val="22"/>
        </w:rPr>
        <w:t xml:space="preserve">Accountable to all stakeholders-customers, shareholders, employees &amp; regulators </w:t>
      </w:r>
    </w:p>
    <w:p w14:paraId="2CC8FE94">
      <w:pPr>
        <w:numPr>
          <w:ilvl w:val="0"/>
          <w:numId w:val="4"/>
        </w:numPr>
        <w:spacing w:after="15" w:line="247" w:lineRule="auto"/>
        <w:ind w:left="811" w:right="14" w:hanging="362"/>
        <w:rPr>
          <w:sz w:val="22"/>
          <w:szCs w:val="22"/>
        </w:rPr>
      </w:pPr>
      <w:r>
        <w:rPr>
          <w:sz w:val="22"/>
          <w:szCs w:val="22"/>
        </w:rPr>
        <w:t xml:space="preserve">Highest level of compliance and transparency at all levels of operation </w:t>
      </w:r>
    </w:p>
    <w:p w14:paraId="4E416A66">
      <w:pPr>
        <w:spacing w:after="18" w:line="259" w:lineRule="auto"/>
        <w:ind w:left="540" w:firstLine="0"/>
        <w:jc w:val="left"/>
        <w:rPr>
          <w:sz w:val="22"/>
          <w:szCs w:val="22"/>
        </w:rPr>
      </w:pPr>
    </w:p>
    <w:p w14:paraId="3613BE9C">
      <w:pPr>
        <w:ind w:left="-5" w:right="47"/>
        <w:jc w:val="left"/>
        <w:rPr>
          <w:sz w:val="22"/>
          <w:szCs w:val="22"/>
        </w:rPr>
      </w:pPr>
    </w:p>
    <w:p w14:paraId="65A36C7B">
      <w:pPr>
        <w:ind w:left="-5" w:right="47"/>
        <w:jc w:val="left"/>
        <w:rPr>
          <w:b/>
          <w:bCs/>
          <w:sz w:val="22"/>
          <w:szCs w:val="22"/>
        </w:rPr>
      </w:pPr>
      <w:r>
        <w:rPr>
          <w:b/>
          <w:bCs/>
          <w:sz w:val="22"/>
          <w:szCs w:val="22"/>
        </w:rPr>
        <w:t>The Core Values of Trust Bank:</w:t>
      </w:r>
    </w:p>
    <w:p w14:paraId="23435D52">
      <w:pPr>
        <w:ind w:left="-5" w:right="47"/>
        <w:jc w:val="left"/>
        <w:rPr>
          <w:b/>
          <w:bCs/>
          <w:sz w:val="22"/>
          <w:szCs w:val="22"/>
        </w:rPr>
      </w:pPr>
    </w:p>
    <w:p w14:paraId="4985A8DD">
      <w:pPr>
        <w:numPr>
          <w:ilvl w:val="0"/>
          <w:numId w:val="5"/>
        </w:numPr>
        <w:spacing w:after="0" w:line="364" w:lineRule="auto"/>
        <w:ind w:right="47" w:hanging="420"/>
        <w:rPr>
          <w:sz w:val="22"/>
          <w:szCs w:val="22"/>
        </w:rPr>
      </w:pPr>
      <w:r>
        <w:rPr>
          <w:b/>
          <w:bCs/>
          <w:sz w:val="22"/>
          <w:szCs w:val="22"/>
        </w:rPr>
        <w:t>Fair</w:t>
      </w:r>
      <w:r>
        <w:rPr>
          <w:sz w:val="22"/>
          <w:szCs w:val="22"/>
        </w:rPr>
        <w:t>: Trust Bank treats both their employee and clients with respect. It always tries their best to always be fair and transparent.</w:t>
      </w:r>
    </w:p>
    <w:p w14:paraId="27ABFBA1">
      <w:pPr>
        <w:numPr>
          <w:ilvl w:val="0"/>
          <w:numId w:val="5"/>
        </w:numPr>
        <w:spacing w:after="0" w:line="364" w:lineRule="auto"/>
        <w:ind w:right="47" w:hanging="420"/>
        <w:rPr>
          <w:sz w:val="22"/>
          <w:szCs w:val="22"/>
        </w:rPr>
      </w:pPr>
      <w:r>
        <w:rPr>
          <w:b/>
          <w:bCs/>
          <w:sz w:val="22"/>
          <w:szCs w:val="22"/>
        </w:rPr>
        <w:t>Dependable</w:t>
      </w:r>
      <w:r>
        <w:rPr>
          <w:sz w:val="22"/>
          <w:szCs w:val="22"/>
        </w:rPr>
        <w:t>: Trust Bank is loyal to its customers, it always works for what is right and goes above and beyond to fulfill its commitments.</w:t>
      </w:r>
    </w:p>
    <w:p w14:paraId="0BE1250F">
      <w:pPr>
        <w:numPr>
          <w:ilvl w:val="0"/>
          <w:numId w:val="5"/>
        </w:numPr>
        <w:spacing w:after="2" w:line="362" w:lineRule="auto"/>
        <w:ind w:right="47" w:hanging="420"/>
        <w:rPr>
          <w:sz w:val="22"/>
          <w:szCs w:val="22"/>
        </w:rPr>
      </w:pPr>
      <w:r>
        <w:rPr>
          <w:b/>
          <w:bCs/>
          <w:sz w:val="22"/>
          <w:szCs w:val="22"/>
        </w:rPr>
        <w:t>Reliable</w:t>
      </w:r>
      <w:r>
        <w:rPr>
          <w:sz w:val="22"/>
          <w:szCs w:val="22"/>
        </w:rPr>
        <w:t>: Trust Bank believes in consistency and transparency and maintain a solid and healthy corporate relationship with customers. Their main business structure is built on the customers trust.</w:t>
      </w:r>
    </w:p>
    <w:p w14:paraId="5757748F">
      <w:pPr>
        <w:numPr>
          <w:ilvl w:val="0"/>
          <w:numId w:val="5"/>
        </w:numPr>
        <w:spacing w:after="3" w:line="363" w:lineRule="auto"/>
        <w:ind w:right="47" w:hanging="420"/>
        <w:rPr>
          <w:sz w:val="22"/>
          <w:szCs w:val="22"/>
        </w:rPr>
      </w:pPr>
      <w:r>
        <w:rPr>
          <w:b/>
          <w:bCs/>
          <w:sz w:val="22"/>
          <w:szCs w:val="22"/>
        </w:rPr>
        <w:t>Professional</w:t>
      </w:r>
      <w:r>
        <w:rPr>
          <w:sz w:val="22"/>
          <w:szCs w:val="22"/>
        </w:rPr>
        <w:t xml:space="preserve">: In terms of Professionalism, they always ensure to maintain the highest possible standard and provide solutions to all the businesses in a way that exceeds their expectations. </w:t>
      </w:r>
    </w:p>
    <w:p w14:paraId="511F700F">
      <w:pPr>
        <w:numPr>
          <w:ilvl w:val="0"/>
          <w:numId w:val="5"/>
        </w:numPr>
        <w:spacing w:after="4" w:line="362" w:lineRule="auto"/>
        <w:ind w:right="47" w:hanging="420"/>
        <w:rPr>
          <w:sz w:val="22"/>
          <w:szCs w:val="22"/>
        </w:rPr>
      </w:pPr>
      <w:r>
        <w:rPr>
          <w:b/>
          <w:bCs/>
          <w:sz w:val="22"/>
          <w:szCs w:val="22"/>
        </w:rPr>
        <w:t>Dynamic</w:t>
      </w:r>
      <w:r>
        <w:rPr>
          <w:sz w:val="22"/>
          <w:szCs w:val="22"/>
        </w:rPr>
        <w:t xml:space="preserve">: Trust bank always finds a way to be more innovative and unique to give proper solution the problems of their valuable clients. </w:t>
      </w:r>
    </w:p>
    <w:p w14:paraId="3E1ACEAF">
      <w:pPr>
        <w:numPr>
          <w:ilvl w:val="0"/>
          <w:numId w:val="5"/>
        </w:numPr>
        <w:spacing w:after="451" w:line="362" w:lineRule="auto"/>
        <w:ind w:right="47" w:hanging="420"/>
        <w:rPr>
          <w:sz w:val="22"/>
          <w:szCs w:val="22"/>
        </w:rPr>
      </w:pPr>
      <w:r>
        <w:rPr>
          <w:b/>
          <w:bCs/>
          <w:sz w:val="22"/>
          <w:szCs w:val="22"/>
        </w:rPr>
        <w:t>Trustworthy</w:t>
      </w:r>
      <w:r>
        <w:rPr>
          <w:sz w:val="22"/>
          <w:szCs w:val="22"/>
        </w:rPr>
        <w:t xml:space="preserve">: Trust Bank always believes in integrity. They always maintain their code of conduct and give solutions that is practically doable and achievable. </w:t>
      </w:r>
    </w:p>
    <w:p w14:paraId="03FC8E20">
      <w:pPr>
        <w:spacing w:after="0" w:line="259" w:lineRule="auto"/>
        <w:ind w:left="185"/>
        <w:jc w:val="left"/>
        <w:rPr>
          <w:sz w:val="22"/>
          <w:szCs w:val="22"/>
        </w:rPr>
      </w:pPr>
      <w:r>
        <w:rPr>
          <w:b/>
          <w:sz w:val="22"/>
          <w:szCs w:val="22"/>
        </w:rPr>
        <w:t xml:space="preserve">Code of Conduct: </w:t>
      </w:r>
    </w:p>
    <w:p w14:paraId="0EFD53ED">
      <w:pPr>
        <w:numPr>
          <w:ilvl w:val="0"/>
          <w:numId w:val="6"/>
        </w:numPr>
        <w:spacing w:after="15" w:line="247" w:lineRule="auto"/>
        <w:ind w:right="14" w:hanging="466"/>
        <w:rPr>
          <w:sz w:val="22"/>
          <w:szCs w:val="22"/>
        </w:rPr>
      </w:pPr>
      <w:r>
        <w:rPr>
          <w:sz w:val="22"/>
          <w:szCs w:val="22"/>
        </w:rPr>
        <w:t xml:space="preserve">No employee can involve or take part in any political movement or activities. </w:t>
      </w:r>
    </w:p>
    <w:p w14:paraId="278961CC">
      <w:pPr>
        <w:numPr>
          <w:ilvl w:val="0"/>
          <w:numId w:val="6"/>
        </w:numPr>
        <w:spacing w:after="15" w:line="247" w:lineRule="auto"/>
        <w:ind w:right="14" w:hanging="466"/>
        <w:rPr>
          <w:sz w:val="22"/>
          <w:szCs w:val="22"/>
        </w:rPr>
      </w:pPr>
      <w:r>
        <w:rPr>
          <w:sz w:val="22"/>
          <w:szCs w:val="22"/>
        </w:rPr>
        <w:t xml:space="preserve">No employee shall make any personal representation to any Director other than the Managing Director (that also through proper channel). </w:t>
      </w:r>
    </w:p>
    <w:p w14:paraId="7ABBCADC">
      <w:pPr>
        <w:numPr>
          <w:ilvl w:val="0"/>
          <w:numId w:val="6"/>
        </w:numPr>
        <w:spacing w:after="15" w:line="247" w:lineRule="auto"/>
        <w:ind w:right="14" w:hanging="466"/>
        <w:rPr>
          <w:sz w:val="22"/>
          <w:szCs w:val="22"/>
        </w:rPr>
      </w:pPr>
      <w:r>
        <w:rPr>
          <w:sz w:val="22"/>
          <w:szCs w:val="22"/>
        </w:rPr>
        <w:t xml:space="preserve">Shall not involve in money lending or borrowing </w:t>
      </w:r>
    </w:p>
    <w:p w14:paraId="5C799983">
      <w:pPr>
        <w:numPr>
          <w:ilvl w:val="0"/>
          <w:numId w:val="6"/>
        </w:numPr>
        <w:spacing w:after="15" w:line="247" w:lineRule="auto"/>
        <w:ind w:right="14" w:hanging="466"/>
        <w:rPr>
          <w:sz w:val="22"/>
          <w:szCs w:val="22"/>
        </w:rPr>
      </w:pPr>
      <w:r>
        <w:rPr>
          <w:rFonts w:eastAsia="Arial"/>
          <w:sz w:val="22"/>
          <w:szCs w:val="22"/>
        </w:rPr>
        <w:t xml:space="preserve"> </w:t>
      </w:r>
      <w:r>
        <w:rPr>
          <w:sz w:val="22"/>
          <w:szCs w:val="22"/>
        </w:rPr>
        <w:t xml:space="preserve">Shall not engage in formation or management of any Joint Stock Company or business or agent ship. </w:t>
      </w:r>
    </w:p>
    <w:p w14:paraId="2D6A5802">
      <w:pPr>
        <w:numPr>
          <w:ilvl w:val="0"/>
          <w:numId w:val="6"/>
        </w:numPr>
        <w:spacing w:after="15" w:line="247" w:lineRule="auto"/>
        <w:ind w:right="14" w:hanging="466"/>
        <w:rPr>
          <w:sz w:val="22"/>
          <w:szCs w:val="22"/>
        </w:rPr>
      </w:pPr>
      <w:r>
        <w:rPr>
          <w:sz w:val="22"/>
          <w:szCs w:val="22"/>
        </w:rPr>
        <w:t xml:space="preserve">While working for the company, employees can never look for new jobs without prior approval. </w:t>
      </w:r>
    </w:p>
    <w:p w14:paraId="20A868EA">
      <w:pPr>
        <w:spacing w:after="15" w:line="247" w:lineRule="auto"/>
        <w:ind w:left="992" w:right="14" w:firstLine="0"/>
        <w:rPr>
          <w:sz w:val="22"/>
          <w:szCs w:val="22"/>
        </w:rPr>
      </w:pPr>
    </w:p>
    <w:p w14:paraId="50AC146D">
      <w:pPr>
        <w:spacing w:after="15" w:line="247" w:lineRule="auto"/>
        <w:ind w:left="0" w:right="14" w:firstLine="0"/>
        <w:rPr>
          <w:b/>
          <w:sz w:val="22"/>
          <w:szCs w:val="22"/>
        </w:rPr>
      </w:pPr>
      <w:r>
        <w:rPr>
          <w:b/>
          <w:sz w:val="22"/>
          <w:szCs w:val="22"/>
        </w:rPr>
        <w:t>Board of Director of TBL:</w:t>
      </w:r>
    </w:p>
    <w:p w14:paraId="6107B899">
      <w:pPr>
        <w:rPr>
          <w:sz w:val="22"/>
          <w:szCs w:val="22"/>
        </w:rPr>
      </w:pPr>
      <w:r>
        <w:rPr>
          <w:sz w:val="22"/>
          <w:szCs w:val="22"/>
        </w:rPr>
        <w:t xml:space="preserve">At Trust Bank Plc, the Board of Directors are the top priority when it comes to the authority in directing and supervising the bank's complete operations. They developed crucial and strict regulations and guidelines to guarantee the bank operates its daily operations efficiently, securely, and more effectively. Their role involves ensuring that all business operations are operated in the right manner and that the bank’s executives are making the best possible decision. They ensure the bank is effectively managed and adheres to sound governance, which involves being truthful, accountable, and open to all. In general, the Board makes sure that Trust Bank Plc remains structured, prosperous, and reputable among all. </w:t>
      </w:r>
    </w:p>
    <w:p w14:paraId="270801A0">
      <w:pPr>
        <w:rPr>
          <w:sz w:val="22"/>
          <w:szCs w:val="22"/>
        </w:rPr>
      </w:pPr>
    </w:p>
    <w:p w14:paraId="1F8AE368">
      <w:pPr>
        <w:rPr>
          <w:b/>
          <w:bCs/>
          <w:sz w:val="22"/>
          <w:szCs w:val="22"/>
        </w:rPr>
      </w:pPr>
      <w:r>
        <w:rPr>
          <w:b/>
          <w:bCs/>
          <w:sz w:val="22"/>
          <w:szCs w:val="22"/>
        </w:rPr>
        <w:t>Directors of The Corporation</w:t>
      </w:r>
    </w:p>
    <w:tbl>
      <w:tblPr>
        <w:tblStyle w:val="40"/>
        <w:tblW w:w="8522" w:type="dxa"/>
        <w:tblInd w:w="-108" w:type="dxa"/>
        <w:tblLayout w:type="autofit"/>
        <w:tblCellMar>
          <w:top w:w="14" w:type="dxa"/>
          <w:left w:w="108" w:type="dxa"/>
          <w:bottom w:w="0" w:type="dxa"/>
          <w:right w:w="115" w:type="dxa"/>
        </w:tblCellMar>
      </w:tblPr>
      <w:tblGrid>
        <w:gridCol w:w="4261"/>
        <w:gridCol w:w="4261"/>
      </w:tblGrid>
      <w:tr w14:paraId="2242A2F6">
        <w:tblPrEx>
          <w:tblCellMar>
            <w:top w:w="14" w:type="dxa"/>
            <w:left w:w="108" w:type="dxa"/>
            <w:bottom w:w="0" w:type="dxa"/>
            <w:right w:w="115" w:type="dxa"/>
          </w:tblCellMar>
        </w:tblPrEx>
        <w:trPr>
          <w:trHeight w:val="836" w:hRule="atLeast"/>
        </w:trPr>
        <w:tc>
          <w:tcPr>
            <w:tcW w:w="4261" w:type="dxa"/>
            <w:tcBorders>
              <w:top w:val="single" w:color="000000" w:sz="4" w:space="0"/>
              <w:left w:val="single" w:color="000000" w:sz="4" w:space="0"/>
              <w:bottom w:val="single" w:color="000000" w:sz="4" w:space="0"/>
              <w:right w:val="single" w:color="000000" w:sz="4" w:space="0"/>
            </w:tcBorders>
            <w:shd w:val="clear" w:color="auto" w:fill="E7E6E6"/>
          </w:tcPr>
          <w:p w14:paraId="2E42D610">
            <w:pPr>
              <w:spacing w:after="0" w:line="259" w:lineRule="auto"/>
              <w:ind w:left="0" w:right="0" w:firstLine="0"/>
              <w:jc w:val="left"/>
              <w:rPr>
                <w:sz w:val="22"/>
                <w:szCs w:val="22"/>
              </w:rPr>
            </w:pPr>
            <w:r>
              <w:rPr>
                <w:b/>
                <w:sz w:val="22"/>
                <w:szCs w:val="22"/>
              </w:rPr>
              <w:t>General Waker-Uz-Zaman,</w:t>
            </w:r>
          </w:p>
          <w:p w14:paraId="551AF003">
            <w:pPr>
              <w:spacing w:after="0" w:line="259" w:lineRule="auto"/>
              <w:ind w:left="0" w:right="0" w:firstLine="0"/>
              <w:jc w:val="left"/>
              <w:rPr>
                <w:sz w:val="22"/>
                <w:szCs w:val="22"/>
              </w:rPr>
            </w:pPr>
            <w:r>
              <w:rPr>
                <w:sz w:val="22"/>
                <w:szCs w:val="22"/>
              </w:rPr>
              <w:t>OSP, SGP, psc</w:t>
            </w:r>
          </w:p>
          <w:p w14:paraId="057698E2">
            <w:pPr>
              <w:spacing w:after="0" w:line="259" w:lineRule="auto"/>
              <w:ind w:left="0" w:right="0" w:firstLine="0"/>
              <w:jc w:val="left"/>
              <w:rPr>
                <w:sz w:val="22"/>
                <w:szCs w:val="22"/>
              </w:rPr>
            </w:pPr>
            <w:r>
              <w:rPr>
                <w:sz w:val="22"/>
                <w:szCs w:val="22"/>
              </w:rPr>
              <w:t>Chief of Army Staff</w:t>
            </w:r>
          </w:p>
        </w:tc>
        <w:tc>
          <w:tcPr>
            <w:tcW w:w="4261"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31D3B7E5">
            <w:pPr>
              <w:spacing w:after="0" w:line="259" w:lineRule="auto"/>
              <w:ind w:left="7" w:right="0" w:firstLine="0"/>
              <w:jc w:val="center"/>
              <w:rPr>
                <w:sz w:val="22"/>
                <w:szCs w:val="22"/>
              </w:rPr>
            </w:pPr>
            <w:r>
              <w:rPr>
                <w:sz w:val="22"/>
                <w:szCs w:val="22"/>
              </w:rPr>
              <w:t>Chairman</w:t>
            </w:r>
          </w:p>
        </w:tc>
      </w:tr>
      <w:tr w14:paraId="5EC89519">
        <w:tblPrEx>
          <w:tblCellMar>
            <w:top w:w="14" w:type="dxa"/>
            <w:left w:w="108" w:type="dxa"/>
            <w:bottom w:w="0" w:type="dxa"/>
            <w:right w:w="115" w:type="dxa"/>
          </w:tblCellMar>
        </w:tblPrEx>
        <w:trPr>
          <w:trHeight w:val="564" w:hRule="atLeast"/>
        </w:trPr>
        <w:tc>
          <w:tcPr>
            <w:tcW w:w="4261" w:type="dxa"/>
            <w:tcBorders>
              <w:top w:val="single" w:color="000000" w:sz="4" w:space="0"/>
              <w:left w:val="single" w:color="000000" w:sz="4" w:space="0"/>
              <w:bottom w:val="single" w:color="000000" w:sz="4" w:space="0"/>
              <w:right w:val="single" w:color="000000" w:sz="4" w:space="0"/>
            </w:tcBorders>
          </w:tcPr>
          <w:p w14:paraId="717277E1">
            <w:pPr>
              <w:spacing w:after="0" w:line="259" w:lineRule="auto"/>
              <w:ind w:left="0" w:right="0" w:firstLine="0"/>
              <w:jc w:val="left"/>
              <w:rPr>
                <w:sz w:val="22"/>
                <w:szCs w:val="22"/>
              </w:rPr>
            </w:pPr>
            <w:r>
              <w:rPr>
                <w:b/>
                <w:sz w:val="22"/>
                <w:szCs w:val="22"/>
              </w:rPr>
              <w:t>Maj Gen Md Jubayer Salehin</w:t>
            </w:r>
          </w:p>
          <w:p w14:paraId="4F6DDBA3">
            <w:pPr>
              <w:spacing w:after="0" w:line="259" w:lineRule="auto"/>
              <w:ind w:left="0" w:right="0" w:firstLine="0"/>
              <w:jc w:val="left"/>
              <w:rPr>
                <w:sz w:val="22"/>
                <w:szCs w:val="22"/>
              </w:rPr>
            </w:pPr>
            <w:r>
              <w:rPr>
                <w:sz w:val="22"/>
                <w:szCs w:val="22"/>
              </w:rPr>
              <w:t>SUP, ndu, psc,</w:t>
            </w:r>
          </w:p>
        </w:tc>
        <w:tc>
          <w:tcPr>
            <w:tcW w:w="4261" w:type="dxa"/>
            <w:tcBorders>
              <w:top w:val="single" w:color="000000" w:sz="4" w:space="0"/>
              <w:left w:val="single" w:color="000000" w:sz="4" w:space="0"/>
              <w:bottom w:val="single" w:color="000000" w:sz="4" w:space="0"/>
              <w:right w:val="single" w:color="000000" w:sz="4" w:space="0"/>
            </w:tcBorders>
          </w:tcPr>
          <w:p w14:paraId="448FE171">
            <w:pPr>
              <w:spacing w:after="0" w:line="259" w:lineRule="auto"/>
              <w:ind w:left="7" w:right="0" w:firstLine="0"/>
              <w:jc w:val="center"/>
              <w:rPr>
                <w:sz w:val="22"/>
                <w:szCs w:val="22"/>
              </w:rPr>
            </w:pPr>
            <w:r>
              <w:rPr>
                <w:sz w:val="22"/>
                <w:szCs w:val="22"/>
              </w:rPr>
              <w:t>Vice Chairman</w:t>
            </w:r>
          </w:p>
        </w:tc>
      </w:tr>
      <w:tr w14:paraId="01219238">
        <w:tblPrEx>
          <w:tblCellMar>
            <w:top w:w="14" w:type="dxa"/>
            <w:left w:w="108" w:type="dxa"/>
            <w:bottom w:w="0" w:type="dxa"/>
            <w:right w:w="115" w:type="dxa"/>
          </w:tblCellMar>
        </w:tblPrEx>
        <w:trPr>
          <w:trHeight w:val="560" w:hRule="atLeast"/>
        </w:trPr>
        <w:tc>
          <w:tcPr>
            <w:tcW w:w="4261" w:type="dxa"/>
            <w:tcBorders>
              <w:top w:val="single" w:color="000000" w:sz="4" w:space="0"/>
              <w:left w:val="single" w:color="000000" w:sz="4" w:space="0"/>
              <w:bottom w:val="single" w:color="000000" w:sz="4" w:space="0"/>
              <w:right w:val="single" w:color="000000" w:sz="4" w:space="0"/>
            </w:tcBorders>
            <w:shd w:val="clear" w:color="auto" w:fill="E7E6E6"/>
          </w:tcPr>
          <w:p w14:paraId="500CD33F">
            <w:pPr>
              <w:spacing w:after="0" w:line="259" w:lineRule="auto"/>
              <w:ind w:left="0" w:right="860" w:firstLine="0"/>
              <w:jc w:val="left"/>
              <w:rPr>
                <w:sz w:val="22"/>
                <w:szCs w:val="22"/>
              </w:rPr>
            </w:pPr>
            <w:r>
              <w:rPr>
                <w:b/>
                <w:sz w:val="22"/>
                <w:szCs w:val="22"/>
              </w:rPr>
              <w:t xml:space="preserve">Brig Gen S M Zia-Ul-Azim </w:t>
            </w:r>
            <w:r>
              <w:rPr>
                <w:sz w:val="22"/>
                <w:szCs w:val="22"/>
              </w:rPr>
              <w:t>ndc, afwc, psc</w:t>
            </w:r>
          </w:p>
        </w:tc>
        <w:tc>
          <w:tcPr>
            <w:tcW w:w="4261" w:type="dxa"/>
            <w:tcBorders>
              <w:top w:val="single" w:color="000000" w:sz="4" w:space="0"/>
              <w:left w:val="single" w:color="000000" w:sz="4" w:space="0"/>
              <w:bottom w:val="single" w:color="000000" w:sz="4" w:space="0"/>
              <w:right w:val="single" w:color="000000" w:sz="4" w:space="0"/>
            </w:tcBorders>
            <w:shd w:val="clear" w:color="auto" w:fill="E7E6E6"/>
          </w:tcPr>
          <w:p w14:paraId="1710F8B2">
            <w:pPr>
              <w:spacing w:after="0" w:line="259" w:lineRule="auto"/>
              <w:ind w:left="5" w:right="0" w:firstLine="0"/>
              <w:jc w:val="center"/>
              <w:rPr>
                <w:sz w:val="22"/>
                <w:szCs w:val="22"/>
              </w:rPr>
            </w:pPr>
            <w:r>
              <w:rPr>
                <w:sz w:val="22"/>
                <w:szCs w:val="22"/>
              </w:rPr>
              <w:t>Director</w:t>
            </w:r>
          </w:p>
        </w:tc>
      </w:tr>
      <w:tr w14:paraId="3319C67B">
        <w:tblPrEx>
          <w:tblCellMar>
            <w:top w:w="14" w:type="dxa"/>
            <w:left w:w="108" w:type="dxa"/>
            <w:bottom w:w="0" w:type="dxa"/>
            <w:right w:w="115" w:type="dxa"/>
          </w:tblCellMar>
        </w:tblPrEx>
        <w:trPr>
          <w:trHeight w:val="564" w:hRule="atLeast"/>
        </w:trPr>
        <w:tc>
          <w:tcPr>
            <w:tcW w:w="4261" w:type="dxa"/>
            <w:tcBorders>
              <w:top w:val="single" w:color="000000" w:sz="4" w:space="0"/>
              <w:left w:val="single" w:color="000000" w:sz="4" w:space="0"/>
              <w:bottom w:val="single" w:color="000000" w:sz="4" w:space="0"/>
              <w:right w:val="single" w:color="000000" w:sz="4" w:space="0"/>
            </w:tcBorders>
          </w:tcPr>
          <w:p w14:paraId="7FF321BE">
            <w:pPr>
              <w:spacing w:after="0" w:line="259" w:lineRule="auto"/>
              <w:ind w:left="0" w:right="40" w:firstLine="0"/>
              <w:jc w:val="left"/>
              <w:rPr>
                <w:sz w:val="22"/>
                <w:szCs w:val="22"/>
              </w:rPr>
            </w:pPr>
            <w:r>
              <w:rPr>
                <w:b/>
                <w:sz w:val="22"/>
                <w:szCs w:val="22"/>
              </w:rPr>
              <w:t xml:space="preserve">Brig Gen Md Kaisar Hasan Malik </w:t>
            </w:r>
            <w:r>
              <w:rPr>
                <w:sz w:val="22"/>
                <w:szCs w:val="22"/>
              </w:rPr>
              <w:t>SGP, ndc, psc</w:t>
            </w:r>
          </w:p>
        </w:tc>
        <w:tc>
          <w:tcPr>
            <w:tcW w:w="4261" w:type="dxa"/>
            <w:tcBorders>
              <w:top w:val="single" w:color="000000" w:sz="4" w:space="0"/>
              <w:left w:val="single" w:color="000000" w:sz="4" w:space="0"/>
              <w:bottom w:val="single" w:color="000000" w:sz="4" w:space="0"/>
              <w:right w:val="single" w:color="000000" w:sz="4" w:space="0"/>
            </w:tcBorders>
          </w:tcPr>
          <w:p w14:paraId="2D626718">
            <w:pPr>
              <w:spacing w:after="0" w:line="259" w:lineRule="auto"/>
              <w:ind w:left="5" w:right="0" w:firstLine="0"/>
              <w:jc w:val="center"/>
              <w:rPr>
                <w:sz w:val="22"/>
                <w:szCs w:val="22"/>
              </w:rPr>
            </w:pPr>
            <w:r>
              <w:rPr>
                <w:sz w:val="22"/>
                <w:szCs w:val="22"/>
              </w:rPr>
              <w:t>Director</w:t>
            </w:r>
          </w:p>
        </w:tc>
      </w:tr>
      <w:tr w14:paraId="6475E0F8">
        <w:tblPrEx>
          <w:tblCellMar>
            <w:top w:w="14" w:type="dxa"/>
            <w:left w:w="108" w:type="dxa"/>
            <w:bottom w:w="0" w:type="dxa"/>
            <w:right w:w="115" w:type="dxa"/>
          </w:tblCellMar>
        </w:tblPrEx>
        <w:trPr>
          <w:trHeight w:val="836" w:hRule="atLeast"/>
        </w:trPr>
        <w:tc>
          <w:tcPr>
            <w:tcW w:w="4261" w:type="dxa"/>
            <w:tcBorders>
              <w:top w:val="single" w:color="000000" w:sz="4" w:space="0"/>
              <w:left w:val="single" w:color="000000" w:sz="4" w:space="0"/>
              <w:bottom w:val="single" w:color="000000" w:sz="4" w:space="0"/>
              <w:right w:val="single" w:color="000000" w:sz="4" w:space="0"/>
            </w:tcBorders>
            <w:shd w:val="clear" w:color="auto" w:fill="E7E6E6"/>
          </w:tcPr>
          <w:p w14:paraId="7EE03073">
            <w:pPr>
              <w:spacing w:after="0" w:line="259" w:lineRule="auto"/>
              <w:ind w:left="0" w:right="0" w:firstLine="0"/>
              <w:jc w:val="left"/>
              <w:rPr>
                <w:sz w:val="22"/>
                <w:szCs w:val="22"/>
              </w:rPr>
            </w:pPr>
            <w:r>
              <w:rPr>
                <w:b/>
                <w:sz w:val="22"/>
                <w:szCs w:val="22"/>
              </w:rPr>
              <w:t>Brig Gen Mohammad Moazzem</w:t>
            </w:r>
          </w:p>
          <w:p w14:paraId="79AFAED3">
            <w:pPr>
              <w:spacing w:after="0" w:line="259" w:lineRule="auto"/>
              <w:ind w:left="0" w:right="0" w:firstLine="0"/>
              <w:jc w:val="left"/>
              <w:rPr>
                <w:sz w:val="22"/>
                <w:szCs w:val="22"/>
              </w:rPr>
            </w:pPr>
            <w:r>
              <w:rPr>
                <w:b/>
                <w:sz w:val="22"/>
                <w:szCs w:val="22"/>
              </w:rPr>
              <w:t>Hossain</w:t>
            </w:r>
          </w:p>
          <w:p w14:paraId="63D2C904">
            <w:pPr>
              <w:spacing w:after="0" w:line="259" w:lineRule="auto"/>
              <w:ind w:left="0" w:right="0" w:firstLine="0"/>
              <w:jc w:val="left"/>
              <w:rPr>
                <w:sz w:val="22"/>
                <w:szCs w:val="22"/>
              </w:rPr>
            </w:pPr>
            <w:r>
              <w:rPr>
                <w:sz w:val="22"/>
                <w:szCs w:val="22"/>
              </w:rPr>
              <w:t>ndc, afwc, psc, G, MPhil</w:t>
            </w:r>
          </w:p>
        </w:tc>
        <w:tc>
          <w:tcPr>
            <w:tcW w:w="4261" w:type="dxa"/>
            <w:tcBorders>
              <w:top w:val="single" w:color="000000" w:sz="4" w:space="0"/>
              <w:left w:val="single" w:color="000000" w:sz="4" w:space="0"/>
              <w:bottom w:val="single" w:color="000000" w:sz="4" w:space="0"/>
              <w:right w:val="single" w:color="000000" w:sz="4" w:space="0"/>
            </w:tcBorders>
            <w:shd w:val="clear" w:color="auto" w:fill="E7E6E6"/>
          </w:tcPr>
          <w:p w14:paraId="28767BBE">
            <w:pPr>
              <w:spacing w:after="0" w:line="259" w:lineRule="auto"/>
              <w:ind w:left="5" w:right="0" w:firstLine="0"/>
              <w:jc w:val="center"/>
              <w:rPr>
                <w:sz w:val="22"/>
                <w:szCs w:val="22"/>
              </w:rPr>
            </w:pPr>
            <w:r>
              <w:rPr>
                <w:sz w:val="22"/>
                <w:szCs w:val="22"/>
              </w:rPr>
              <w:t>Director</w:t>
            </w:r>
          </w:p>
        </w:tc>
      </w:tr>
      <w:tr w14:paraId="3B3963E7">
        <w:tblPrEx>
          <w:tblCellMar>
            <w:top w:w="14" w:type="dxa"/>
            <w:left w:w="108" w:type="dxa"/>
            <w:bottom w:w="0" w:type="dxa"/>
            <w:right w:w="115" w:type="dxa"/>
          </w:tblCellMar>
        </w:tblPrEx>
        <w:trPr>
          <w:trHeight w:val="840" w:hRule="atLeast"/>
        </w:trPr>
        <w:tc>
          <w:tcPr>
            <w:tcW w:w="4261" w:type="dxa"/>
            <w:tcBorders>
              <w:top w:val="single" w:color="000000" w:sz="4" w:space="0"/>
              <w:left w:val="single" w:color="000000" w:sz="4" w:space="0"/>
              <w:bottom w:val="single" w:color="000000" w:sz="4" w:space="0"/>
              <w:right w:val="single" w:color="000000" w:sz="4" w:space="0"/>
            </w:tcBorders>
          </w:tcPr>
          <w:p w14:paraId="194465BC">
            <w:pPr>
              <w:spacing w:after="0" w:line="259" w:lineRule="auto"/>
              <w:ind w:left="0" w:right="77" w:firstLine="0"/>
              <w:jc w:val="left"/>
              <w:rPr>
                <w:sz w:val="22"/>
                <w:szCs w:val="22"/>
              </w:rPr>
            </w:pPr>
            <w:r>
              <w:rPr>
                <w:b/>
                <w:sz w:val="22"/>
                <w:szCs w:val="22"/>
              </w:rPr>
              <w:t xml:space="preserve">Brig Gen Md Nishatul Islam Khan </w:t>
            </w:r>
            <w:r>
              <w:rPr>
                <w:sz w:val="22"/>
                <w:szCs w:val="22"/>
              </w:rPr>
              <w:t>ndc, afwc, psc</w:t>
            </w:r>
          </w:p>
        </w:tc>
        <w:tc>
          <w:tcPr>
            <w:tcW w:w="4261" w:type="dxa"/>
            <w:tcBorders>
              <w:top w:val="single" w:color="000000" w:sz="4" w:space="0"/>
              <w:left w:val="single" w:color="000000" w:sz="4" w:space="0"/>
              <w:bottom w:val="single" w:color="000000" w:sz="4" w:space="0"/>
              <w:right w:val="single" w:color="000000" w:sz="4" w:space="0"/>
            </w:tcBorders>
          </w:tcPr>
          <w:p w14:paraId="6FFF9664">
            <w:pPr>
              <w:spacing w:after="0" w:line="259" w:lineRule="auto"/>
              <w:ind w:left="5" w:right="0" w:firstLine="0"/>
              <w:jc w:val="center"/>
              <w:rPr>
                <w:sz w:val="22"/>
                <w:szCs w:val="22"/>
              </w:rPr>
            </w:pPr>
            <w:r>
              <w:rPr>
                <w:sz w:val="22"/>
                <w:szCs w:val="22"/>
              </w:rPr>
              <w:t>Director</w:t>
            </w:r>
          </w:p>
        </w:tc>
      </w:tr>
      <w:tr w14:paraId="4E5EACE9">
        <w:tblPrEx>
          <w:tblCellMar>
            <w:top w:w="14" w:type="dxa"/>
            <w:left w:w="108" w:type="dxa"/>
            <w:bottom w:w="0" w:type="dxa"/>
            <w:right w:w="115" w:type="dxa"/>
          </w:tblCellMar>
        </w:tblPrEx>
        <w:trPr>
          <w:trHeight w:val="560" w:hRule="atLeast"/>
        </w:trPr>
        <w:tc>
          <w:tcPr>
            <w:tcW w:w="4261" w:type="dxa"/>
            <w:tcBorders>
              <w:top w:val="single" w:color="000000" w:sz="4" w:space="0"/>
              <w:left w:val="single" w:color="000000" w:sz="4" w:space="0"/>
              <w:bottom w:val="single" w:color="000000" w:sz="4" w:space="0"/>
              <w:right w:val="single" w:color="000000" w:sz="4" w:space="0"/>
            </w:tcBorders>
            <w:shd w:val="clear" w:color="auto" w:fill="E7E6E6"/>
          </w:tcPr>
          <w:p w14:paraId="23BA6C36">
            <w:pPr>
              <w:spacing w:after="0" w:line="259" w:lineRule="auto"/>
              <w:ind w:left="0" w:right="620" w:firstLine="0"/>
              <w:jc w:val="left"/>
              <w:rPr>
                <w:sz w:val="22"/>
                <w:szCs w:val="22"/>
              </w:rPr>
            </w:pPr>
            <w:r>
              <w:rPr>
                <w:b/>
                <w:sz w:val="22"/>
                <w:szCs w:val="22"/>
              </w:rPr>
              <w:t xml:space="preserve">Brig Gen Md Munirul Islam </w:t>
            </w:r>
            <w:r>
              <w:rPr>
                <w:sz w:val="22"/>
                <w:szCs w:val="22"/>
              </w:rPr>
              <w:t>SGP, psc, Ph.D</w:t>
            </w:r>
          </w:p>
        </w:tc>
        <w:tc>
          <w:tcPr>
            <w:tcW w:w="4261" w:type="dxa"/>
            <w:tcBorders>
              <w:top w:val="single" w:color="000000" w:sz="4" w:space="0"/>
              <w:left w:val="single" w:color="000000" w:sz="4" w:space="0"/>
              <w:bottom w:val="single" w:color="000000" w:sz="4" w:space="0"/>
              <w:right w:val="single" w:color="000000" w:sz="4" w:space="0"/>
            </w:tcBorders>
            <w:shd w:val="clear" w:color="auto" w:fill="E7E6E6"/>
          </w:tcPr>
          <w:p w14:paraId="41D61E8C">
            <w:pPr>
              <w:spacing w:after="0" w:line="259" w:lineRule="auto"/>
              <w:ind w:left="5" w:right="0" w:firstLine="0"/>
              <w:jc w:val="center"/>
              <w:rPr>
                <w:sz w:val="22"/>
                <w:szCs w:val="22"/>
              </w:rPr>
            </w:pPr>
            <w:r>
              <w:rPr>
                <w:sz w:val="22"/>
                <w:szCs w:val="22"/>
              </w:rPr>
              <w:t>Director</w:t>
            </w:r>
          </w:p>
        </w:tc>
      </w:tr>
      <w:tr w14:paraId="469213CA">
        <w:tblPrEx>
          <w:tblCellMar>
            <w:top w:w="14" w:type="dxa"/>
            <w:left w:w="108" w:type="dxa"/>
            <w:bottom w:w="0" w:type="dxa"/>
            <w:right w:w="115" w:type="dxa"/>
          </w:tblCellMar>
        </w:tblPrEx>
        <w:trPr>
          <w:trHeight w:val="564" w:hRule="atLeast"/>
        </w:trPr>
        <w:tc>
          <w:tcPr>
            <w:tcW w:w="4261" w:type="dxa"/>
            <w:tcBorders>
              <w:top w:val="single" w:color="000000" w:sz="4" w:space="0"/>
              <w:left w:val="single" w:color="000000" w:sz="4" w:space="0"/>
              <w:bottom w:val="single" w:color="000000" w:sz="4" w:space="0"/>
              <w:right w:val="single" w:color="000000" w:sz="4" w:space="0"/>
            </w:tcBorders>
          </w:tcPr>
          <w:p w14:paraId="211C4E7F">
            <w:pPr>
              <w:spacing w:after="0" w:line="259" w:lineRule="auto"/>
              <w:ind w:left="0" w:right="579" w:firstLine="0"/>
              <w:jc w:val="left"/>
              <w:rPr>
                <w:sz w:val="22"/>
                <w:szCs w:val="22"/>
              </w:rPr>
            </w:pPr>
            <w:r>
              <w:rPr>
                <w:b/>
                <w:sz w:val="22"/>
                <w:szCs w:val="22"/>
              </w:rPr>
              <w:t xml:space="preserve">Brig Gen Md Sajjad Hossain </w:t>
            </w:r>
            <w:r>
              <w:rPr>
                <w:sz w:val="22"/>
                <w:szCs w:val="22"/>
              </w:rPr>
              <w:t>SUP, ndc, afwc, psc</w:t>
            </w:r>
          </w:p>
        </w:tc>
        <w:tc>
          <w:tcPr>
            <w:tcW w:w="4261" w:type="dxa"/>
            <w:tcBorders>
              <w:top w:val="single" w:color="000000" w:sz="4" w:space="0"/>
              <w:left w:val="single" w:color="000000" w:sz="4" w:space="0"/>
              <w:bottom w:val="single" w:color="000000" w:sz="4" w:space="0"/>
              <w:right w:val="single" w:color="000000" w:sz="4" w:space="0"/>
            </w:tcBorders>
          </w:tcPr>
          <w:p w14:paraId="55FC2E89">
            <w:pPr>
              <w:spacing w:after="0" w:line="259" w:lineRule="auto"/>
              <w:ind w:left="5" w:right="0" w:firstLine="0"/>
              <w:jc w:val="center"/>
              <w:rPr>
                <w:sz w:val="22"/>
                <w:szCs w:val="22"/>
              </w:rPr>
            </w:pPr>
            <w:r>
              <w:rPr>
                <w:sz w:val="22"/>
                <w:szCs w:val="22"/>
              </w:rPr>
              <w:t>Director</w:t>
            </w:r>
          </w:p>
        </w:tc>
      </w:tr>
      <w:tr w14:paraId="76D99774">
        <w:tblPrEx>
          <w:tblCellMar>
            <w:top w:w="14" w:type="dxa"/>
            <w:left w:w="108" w:type="dxa"/>
            <w:bottom w:w="0" w:type="dxa"/>
            <w:right w:w="115" w:type="dxa"/>
          </w:tblCellMar>
        </w:tblPrEx>
        <w:trPr>
          <w:trHeight w:val="560" w:hRule="atLeast"/>
        </w:trPr>
        <w:tc>
          <w:tcPr>
            <w:tcW w:w="4261" w:type="dxa"/>
            <w:tcBorders>
              <w:top w:val="single" w:color="000000" w:sz="4" w:space="0"/>
              <w:left w:val="single" w:color="000000" w:sz="4" w:space="0"/>
              <w:bottom w:val="single" w:color="000000" w:sz="4" w:space="0"/>
              <w:right w:val="single" w:color="000000" w:sz="4" w:space="0"/>
            </w:tcBorders>
            <w:shd w:val="clear" w:color="auto" w:fill="E7E6E6"/>
          </w:tcPr>
          <w:p w14:paraId="6D0DF3F0">
            <w:pPr>
              <w:spacing w:after="0" w:line="259" w:lineRule="auto"/>
              <w:ind w:left="0" w:right="0" w:firstLine="0"/>
              <w:jc w:val="left"/>
              <w:rPr>
                <w:sz w:val="22"/>
                <w:szCs w:val="22"/>
              </w:rPr>
            </w:pPr>
            <w:r>
              <w:rPr>
                <w:b/>
                <w:sz w:val="22"/>
                <w:szCs w:val="22"/>
              </w:rPr>
              <w:t xml:space="preserve">Brig Gen Rakibul Karim Chowdhury </w:t>
            </w:r>
            <w:r>
              <w:rPr>
                <w:sz w:val="22"/>
                <w:szCs w:val="22"/>
              </w:rPr>
              <w:t>ndc, afwc, psc</w:t>
            </w:r>
          </w:p>
        </w:tc>
        <w:tc>
          <w:tcPr>
            <w:tcW w:w="4261" w:type="dxa"/>
            <w:tcBorders>
              <w:top w:val="single" w:color="000000" w:sz="4" w:space="0"/>
              <w:left w:val="single" w:color="000000" w:sz="4" w:space="0"/>
              <w:bottom w:val="single" w:color="000000" w:sz="4" w:space="0"/>
              <w:right w:val="single" w:color="000000" w:sz="4" w:space="0"/>
            </w:tcBorders>
            <w:shd w:val="clear" w:color="auto" w:fill="E7E6E6"/>
          </w:tcPr>
          <w:p w14:paraId="4B5429EF">
            <w:pPr>
              <w:spacing w:after="0" w:line="259" w:lineRule="auto"/>
              <w:ind w:left="5" w:right="0" w:firstLine="0"/>
              <w:jc w:val="center"/>
              <w:rPr>
                <w:sz w:val="22"/>
                <w:szCs w:val="22"/>
              </w:rPr>
            </w:pPr>
            <w:r>
              <w:rPr>
                <w:sz w:val="22"/>
                <w:szCs w:val="22"/>
              </w:rPr>
              <w:t>Director</w:t>
            </w:r>
          </w:p>
        </w:tc>
      </w:tr>
      <w:tr w14:paraId="58CE2EC0">
        <w:tblPrEx>
          <w:tblCellMar>
            <w:top w:w="14" w:type="dxa"/>
            <w:left w:w="108" w:type="dxa"/>
            <w:bottom w:w="0" w:type="dxa"/>
            <w:right w:w="115" w:type="dxa"/>
          </w:tblCellMar>
        </w:tblPrEx>
        <w:trPr>
          <w:trHeight w:val="564" w:hRule="atLeast"/>
        </w:trPr>
        <w:tc>
          <w:tcPr>
            <w:tcW w:w="4261" w:type="dxa"/>
            <w:tcBorders>
              <w:top w:val="single" w:color="000000" w:sz="4" w:space="0"/>
              <w:left w:val="single" w:color="000000" w:sz="4" w:space="0"/>
              <w:bottom w:val="single" w:color="000000" w:sz="4" w:space="0"/>
              <w:right w:val="single" w:color="000000" w:sz="4" w:space="0"/>
            </w:tcBorders>
          </w:tcPr>
          <w:p w14:paraId="149430FC">
            <w:pPr>
              <w:spacing w:after="0" w:line="259" w:lineRule="auto"/>
              <w:ind w:left="0" w:right="0" w:firstLine="0"/>
              <w:jc w:val="left"/>
              <w:rPr>
                <w:sz w:val="22"/>
                <w:szCs w:val="22"/>
              </w:rPr>
            </w:pPr>
            <w:r>
              <w:rPr>
                <w:b/>
                <w:sz w:val="22"/>
                <w:szCs w:val="22"/>
              </w:rPr>
              <w:t>Mr. Anisuddin Ahmed Khan</w:t>
            </w:r>
          </w:p>
        </w:tc>
        <w:tc>
          <w:tcPr>
            <w:tcW w:w="4261" w:type="dxa"/>
            <w:tcBorders>
              <w:top w:val="single" w:color="000000" w:sz="4" w:space="0"/>
              <w:left w:val="single" w:color="000000" w:sz="4" w:space="0"/>
              <w:bottom w:val="single" w:color="000000" w:sz="4" w:space="0"/>
              <w:right w:val="single" w:color="000000" w:sz="4" w:space="0"/>
            </w:tcBorders>
          </w:tcPr>
          <w:p w14:paraId="1427E022">
            <w:pPr>
              <w:spacing w:after="0" w:line="259" w:lineRule="auto"/>
              <w:ind w:left="7" w:right="0" w:firstLine="0"/>
              <w:jc w:val="center"/>
              <w:rPr>
                <w:sz w:val="22"/>
                <w:szCs w:val="22"/>
              </w:rPr>
            </w:pPr>
            <w:r>
              <w:rPr>
                <w:sz w:val="22"/>
                <w:szCs w:val="22"/>
              </w:rPr>
              <w:t>Independent Director</w:t>
            </w:r>
          </w:p>
        </w:tc>
      </w:tr>
      <w:tr w14:paraId="34CDEEA6">
        <w:tblPrEx>
          <w:tblCellMar>
            <w:top w:w="14" w:type="dxa"/>
            <w:left w:w="108" w:type="dxa"/>
            <w:bottom w:w="0" w:type="dxa"/>
            <w:right w:w="115" w:type="dxa"/>
          </w:tblCellMar>
        </w:tblPrEx>
        <w:trPr>
          <w:trHeight w:val="560" w:hRule="atLeast"/>
        </w:trPr>
        <w:tc>
          <w:tcPr>
            <w:tcW w:w="4261" w:type="dxa"/>
            <w:tcBorders>
              <w:top w:val="single" w:color="000000" w:sz="4" w:space="0"/>
              <w:left w:val="single" w:color="000000" w:sz="4" w:space="0"/>
              <w:bottom w:val="single" w:color="000000" w:sz="4" w:space="0"/>
              <w:right w:val="single" w:color="000000" w:sz="4" w:space="0"/>
            </w:tcBorders>
            <w:shd w:val="clear" w:color="auto" w:fill="E7E6E6"/>
          </w:tcPr>
          <w:p w14:paraId="78E450A4">
            <w:pPr>
              <w:spacing w:after="0" w:line="259" w:lineRule="auto"/>
              <w:ind w:left="0" w:right="0" w:firstLine="0"/>
              <w:jc w:val="left"/>
              <w:rPr>
                <w:sz w:val="22"/>
                <w:szCs w:val="22"/>
              </w:rPr>
            </w:pPr>
            <w:r>
              <w:rPr>
                <w:b/>
                <w:sz w:val="22"/>
                <w:szCs w:val="22"/>
              </w:rPr>
              <w:t>Nusrat Khan</w:t>
            </w:r>
          </w:p>
        </w:tc>
        <w:tc>
          <w:tcPr>
            <w:tcW w:w="4261" w:type="dxa"/>
            <w:tcBorders>
              <w:top w:val="single" w:color="000000" w:sz="4" w:space="0"/>
              <w:left w:val="single" w:color="000000" w:sz="4" w:space="0"/>
              <w:bottom w:val="single" w:color="000000" w:sz="4" w:space="0"/>
              <w:right w:val="single" w:color="000000" w:sz="4" w:space="0"/>
            </w:tcBorders>
            <w:shd w:val="clear" w:color="auto" w:fill="E7E6E6"/>
          </w:tcPr>
          <w:p w14:paraId="69F69C10">
            <w:pPr>
              <w:spacing w:after="0" w:line="259" w:lineRule="auto"/>
              <w:ind w:left="7" w:right="0" w:firstLine="0"/>
              <w:jc w:val="center"/>
              <w:rPr>
                <w:sz w:val="22"/>
                <w:szCs w:val="22"/>
              </w:rPr>
            </w:pPr>
            <w:r>
              <w:rPr>
                <w:sz w:val="22"/>
                <w:szCs w:val="22"/>
              </w:rPr>
              <w:t>Independent Director</w:t>
            </w:r>
          </w:p>
        </w:tc>
      </w:tr>
      <w:tr w14:paraId="50DED5F9">
        <w:tblPrEx>
          <w:tblCellMar>
            <w:top w:w="14" w:type="dxa"/>
            <w:left w:w="108" w:type="dxa"/>
            <w:bottom w:w="0" w:type="dxa"/>
            <w:right w:w="115" w:type="dxa"/>
          </w:tblCellMar>
        </w:tblPrEx>
        <w:trPr>
          <w:trHeight w:val="564" w:hRule="atLeast"/>
        </w:trPr>
        <w:tc>
          <w:tcPr>
            <w:tcW w:w="4261" w:type="dxa"/>
            <w:tcBorders>
              <w:top w:val="single" w:color="000000" w:sz="4" w:space="0"/>
              <w:left w:val="single" w:color="000000" w:sz="4" w:space="0"/>
              <w:bottom w:val="single" w:color="000000" w:sz="4" w:space="0"/>
              <w:right w:val="single" w:color="000000" w:sz="4" w:space="0"/>
            </w:tcBorders>
          </w:tcPr>
          <w:p w14:paraId="5B49322A">
            <w:pPr>
              <w:spacing w:after="0" w:line="259" w:lineRule="auto"/>
              <w:ind w:left="0" w:right="0" w:firstLine="0"/>
              <w:jc w:val="left"/>
              <w:rPr>
                <w:sz w:val="22"/>
                <w:szCs w:val="22"/>
              </w:rPr>
            </w:pPr>
            <w:r>
              <w:rPr>
                <w:b/>
                <w:sz w:val="22"/>
                <w:szCs w:val="22"/>
              </w:rPr>
              <w:t>Ahsan Zaman Chowdhury</w:t>
            </w:r>
          </w:p>
        </w:tc>
        <w:tc>
          <w:tcPr>
            <w:tcW w:w="4261" w:type="dxa"/>
            <w:tcBorders>
              <w:top w:val="single" w:color="000000" w:sz="4" w:space="0"/>
              <w:left w:val="single" w:color="000000" w:sz="4" w:space="0"/>
              <w:bottom w:val="single" w:color="000000" w:sz="4" w:space="0"/>
              <w:right w:val="single" w:color="000000" w:sz="4" w:space="0"/>
            </w:tcBorders>
          </w:tcPr>
          <w:p w14:paraId="221669A0">
            <w:pPr>
              <w:spacing w:after="0" w:line="259" w:lineRule="auto"/>
              <w:ind w:left="7" w:right="0" w:firstLine="0"/>
              <w:jc w:val="center"/>
              <w:rPr>
                <w:sz w:val="22"/>
                <w:szCs w:val="22"/>
              </w:rPr>
            </w:pPr>
            <w:r>
              <w:rPr>
                <w:sz w:val="22"/>
                <w:szCs w:val="22"/>
              </w:rPr>
              <w:t>Managing Director</w:t>
            </w:r>
          </w:p>
        </w:tc>
      </w:tr>
    </w:tbl>
    <w:p w14:paraId="154E3A6E">
      <w:pPr>
        <w:rPr>
          <w:sz w:val="22"/>
          <w:szCs w:val="22"/>
        </w:rPr>
      </w:pPr>
    </w:p>
    <w:p w14:paraId="023EFEA8">
      <w:pPr>
        <w:spacing w:after="15" w:line="247" w:lineRule="auto"/>
        <w:ind w:left="0" w:right="14" w:firstLine="0"/>
        <w:rPr>
          <w:sz w:val="22"/>
          <w:szCs w:val="22"/>
        </w:rPr>
      </w:pPr>
    </w:p>
    <w:p w14:paraId="089AA75E">
      <w:pPr>
        <w:pStyle w:val="35"/>
        <w:spacing w:after="0" w:line="259" w:lineRule="auto"/>
        <w:ind w:left="992" w:right="0" w:firstLine="0"/>
        <w:jc w:val="center"/>
        <w:rPr>
          <w:b/>
          <w:sz w:val="22"/>
          <w:szCs w:val="22"/>
        </w:rPr>
      </w:pPr>
    </w:p>
    <w:p w14:paraId="769EA216">
      <w:pPr>
        <w:pStyle w:val="35"/>
        <w:spacing w:after="0" w:line="259" w:lineRule="auto"/>
        <w:ind w:left="992" w:right="0" w:firstLine="0"/>
        <w:jc w:val="center"/>
        <w:rPr>
          <w:b/>
          <w:sz w:val="22"/>
          <w:szCs w:val="22"/>
        </w:rPr>
      </w:pPr>
    </w:p>
    <w:p w14:paraId="7724B84A">
      <w:pPr>
        <w:pStyle w:val="35"/>
        <w:spacing w:after="0" w:line="259" w:lineRule="auto"/>
        <w:ind w:left="992" w:right="0" w:firstLine="0"/>
        <w:jc w:val="center"/>
        <w:rPr>
          <w:b/>
          <w:sz w:val="22"/>
          <w:szCs w:val="22"/>
        </w:rPr>
      </w:pPr>
    </w:p>
    <w:p w14:paraId="76628B40">
      <w:pPr>
        <w:pStyle w:val="35"/>
        <w:spacing w:after="0" w:line="259" w:lineRule="auto"/>
        <w:ind w:left="992" w:right="0" w:firstLine="0"/>
        <w:jc w:val="center"/>
        <w:rPr>
          <w:b/>
          <w:sz w:val="22"/>
          <w:szCs w:val="22"/>
        </w:rPr>
      </w:pPr>
    </w:p>
    <w:p w14:paraId="343163AE">
      <w:pPr>
        <w:pStyle w:val="35"/>
        <w:spacing w:after="0" w:line="259" w:lineRule="auto"/>
        <w:ind w:left="992" w:right="0" w:firstLine="0"/>
        <w:jc w:val="center"/>
        <w:rPr>
          <w:b/>
          <w:sz w:val="22"/>
          <w:szCs w:val="22"/>
        </w:rPr>
      </w:pPr>
    </w:p>
    <w:p w14:paraId="0DA333DF">
      <w:pPr>
        <w:pStyle w:val="35"/>
        <w:spacing w:after="0" w:line="259" w:lineRule="auto"/>
        <w:ind w:left="992" w:right="0" w:firstLine="0"/>
        <w:jc w:val="center"/>
        <w:rPr>
          <w:b/>
          <w:sz w:val="22"/>
          <w:szCs w:val="22"/>
        </w:rPr>
      </w:pPr>
    </w:p>
    <w:p w14:paraId="136ECEF4">
      <w:pPr>
        <w:pStyle w:val="35"/>
        <w:spacing w:after="0" w:line="259" w:lineRule="auto"/>
        <w:ind w:left="992" w:right="0" w:firstLine="0"/>
        <w:jc w:val="center"/>
        <w:rPr>
          <w:b/>
          <w:sz w:val="22"/>
          <w:szCs w:val="22"/>
        </w:rPr>
      </w:pPr>
    </w:p>
    <w:p w14:paraId="108EC6C5">
      <w:pPr>
        <w:pStyle w:val="35"/>
        <w:spacing w:after="0" w:line="259" w:lineRule="auto"/>
        <w:ind w:left="992" w:right="0" w:firstLine="0"/>
        <w:jc w:val="center"/>
        <w:rPr>
          <w:b/>
          <w:sz w:val="22"/>
          <w:szCs w:val="22"/>
        </w:rPr>
      </w:pPr>
    </w:p>
    <w:p w14:paraId="5F8489C7">
      <w:pPr>
        <w:pStyle w:val="35"/>
        <w:spacing w:after="0" w:line="259" w:lineRule="auto"/>
        <w:ind w:left="992" w:right="0" w:firstLine="0"/>
        <w:jc w:val="center"/>
        <w:rPr>
          <w:b/>
          <w:sz w:val="22"/>
          <w:szCs w:val="22"/>
        </w:rPr>
      </w:pPr>
    </w:p>
    <w:p w14:paraId="63765BA9">
      <w:pPr>
        <w:pStyle w:val="35"/>
        <w:spacing w:after="0" w:line="259" w:lineRule="auto"/>
        <w:ind w:left="992" w:right="0" w:firstLine="0"/>
        <w:jc w:val="center"/>
        <w:rPr>
          <w:b/>
          <w:sz w:val="22"/>
          <w:szCs w:val="22"/>
        </w:rPr>
      </w:pPr>
    </w:p>
    <w:p w14:paraId="04ACAE35">
      <w:pPr>
        <w:pStyle w:val="35"/>
        <w:spacing w:after="0" w:line="259" w:lineRule="auto"/>
        <w:ind w:left="992" w:right="0" w:firstLine="0"/>
        <w:jc w:val="center"/>
        <w:rPr>
          <w:b/>
          <w:sz w:val="22"/>
          <w:szCs w:val="22"/>
        </w:rPr>
      </w:pPr>
    </w:p>
    <w:p w14:paraId="29273A8A">
      <w:pPr>
        <w:pStyle w:val="35"/>
        <w:spacing w:after="0" w:line="259" w:lineRule="auto"/>
        <w:ind w:left="992" w:right="0" w:firstLine="0"/>
        <w:jc w:val="center"/>
        <w:rPr>
          <w:sz w:val="22"/>
          <w:szCs w:val="22"/>
        </w:rPr>
      </w:pPr>
      <w:r>
        <w:rPr>
          <w:b/>
          <w:sz w:val="22"/>
          <w:szCs w:val="22"/>
        </w:rPr>
        <w:t>Name of Chairman according to Tenor</w:t>
      </w:r>
    </w:p>
    <w:p w14:paraId="60FD9553">
      <w:pPr>
        <w:pStyle w:val="35"/>
        <w:spacing w:after="0" w:line="259" w:lineRule="auto"/>
        <w:ind w:left="992" w:firstLine="0"/>
        <w:rPr>
          <w:sz w:val="22"/>
          <w:szCs w:val="22"/>
        </w:rPr>
      </w:pPr>
      <w:r>
        <w:rPr>
          <w:b/>
          <w:sz w:val="22"/>
          <w:szCs w:val="22"/>
        </w:rPr>
        <w:t xml:space="preserve"> </w:t>
      </w:r>
    </w:p>
    <w:tbl>
      <w:tblPr>
        <w:tblStyle w:val="40"/>
        <w:tblW w:w="9309" w:type="dxa"/>
        <w:tblInd w:w="-5" w:type="dxa"/>
        <w:tblLayout w:type="autofit"/>
        <w:tblCellMar>
          <w:top w:w="7" w:type="dxa"/>
          <w:left w:w="108" w:type="dxa"/>
          <w:bottom w:w="0" w:type="dxa"/>
          <w:right w:w="77" w:type="dxa"/>
        </w:tblCellMar>
      </w:tblPr>
      <w:tblGrid>
        <w:gridCol w:w="545"/>
        <w:gridCol w:w="6087"/>
        <w:gridCol w:w="1359"/>
        <w:gridCol w:w="1318"/>
      </w:tblGrid>
      <w:tr w14:paraId="2AF69238">
        <w:tblPrEx>
          <w:tblCellMar>
            <w:top w:w="7" w:type="dxa"/>
            <w:left w:w="108" w:type="dxa"/>
            <w:bottom w:w="0" w:type="dxa"/>
            <w:right w:w="77" w:type="dxa"/>
          </w:tblCellMar>
        </w:tblPrEx>
        <w:trPr>
          <w:trHeight w:val="286" w:hRule="atLeast"/>
        </w:trPr>
        <w:tc>
          <w:tcPr>
            <w:tcW w:w="545" w:type="dxa"/>
            <w:tcBorders>
              <w:top w:val="single" w:color="000000" w:sz="4" w:space="0"/>
              <w:left w:val="single" w:color="000000" w:sz="4" w:space="0"/>
              <w:bottom w:val="single" w:color="000000" w:sz="4" w:space="0"/>
              <w:right w:val="single" w:color="000000" w:sz="4" w:space="0"/>
            </w:tcBorders>
          </w:tcPr>
          <w:p w14:paraId="7B567F25">
            <w:pPr>
              <w:spacing w:after="0" w:line="259" w:lineRule="auto"/>
              <w:ind w:left="0" w:firstLine="0"/>
              <w:jc w:val="left"/>
              <w:rPr>
                <w:sz w:val="22"/>
                <w:szCs w:val="22"/>
              </w:rPr>
            </w:pPr>
            <w:r>
              <w:rPr>
                <w:b/>
                <w:sz w:val="22"/>
                <w:szCs w:val="22"/>
              </w:rPr>
              <w:t>Sl</w:t>
            </w:r>
            <w:r>
              <w:rPr>
                <w:sz w:val="22"/>
                <w:szCs w:val="22"/>
              </w:rPr>
              <w:t xml:space="preserve"> </w:t>
            </w:r>
          </w:p>
        </w:tc>
        <w:tc>
          <w:tcPr>
            <w:tcW w:w="6087" w:type="dxa"/>
            <w:tcBorders>
              <w:top w:val="single" w:color="000000" w:sz="4" w:space="0"/>
              <w:left w:val="single" w:color="000000" w:sz="4" w:space="0"/>
              <w:bottom w:val="single" w:color="000000" w:sz="4" w:space="0"/>
              <w:right w:val="single" w:color="000000" w:sz="4" w:space="0"/>
            </w:tcBorders>
          </w:tcPr>
          <w:p w14:paraId="4058A128">
            <w:pPr>
              <w:spacing w:after="0" w:line="259" w:lineRule="auto"/>
              <w:ind w:left="0" w:firstLine="0"/>
              <w:jc w:val="left"/>
              <w:rPr>
                <w:sz w:val="22"/>
                <w:szCs w:val="22"/>
              </w:rPr>
            </w:pPr>
            <w:r>
              <w:rPr>
                <w:b/>
                <w:sz w:val="22"/>
                <w:szCs w:val="22"/>
              </w:rPr>
              <w:t xml:space="preserve">Name </w:t>
            </w:r>
            <w:r>
              <w:rPr>
                <w:sz w:val="22"/>
                <w:szCs w:val="22"/>
              </w:rPr>
              <w:t xml:space="preserve"> </w:t>
            </w:r>
          </w:p>
        </w:tc>
        <w:tc>
          <w:tcPr>
            <w:tcW w:w="1359" w:type="dxa"/>
            <w:tcBorders>
              <w:top w:val="single" w:color="000000" w:sz="4" w:space="0"/>
              <w:left w:val="single" w:color="000000" w:sz="4" w:space="0"/>
              <w:bottom w:val="single" w:color="000000" w:sz="4" w:space="0"/>
              <w:right w:val="single" w:color="000000" w:sz="4" w:space="0"/>
            </w:tcBorders>
          </w:tcPr>
          <w:p w14:paraId="232B58F8">
            <w:pPr>
              <w:spacing w:after="0" w:line="259" w:lineRule="auto"/>
              <w:ind w:left="0" w:right="35" w:firstLine="0"/>
              <w:jc w:val="center"/>
              <w:rPr>
                <w:sz w:val="22"/>
                <w:szCs w:val="22"/>
              </w:rPr>
            </w:pPr>
            <w:r>
              <w:rPr>
                <w:b/>
                <w:sz w:val="22"/>
                <w:szCs w:val="22"/>
              </w:rPr>
              <w:t>From</w:t>
            </w:r>
            <w:r>
              <w:rPr>
                <w:sz w:val="22"/>
                <w:szCs w:val="22"/>
              </w:rPr>
              <w:t xml:space="preserve"> </w:t>
            </w:r>
          </w:p>
        </w:tc>
        <w:tc>
          <w:tcPr>
            <w:tcW w:w="1318" w:type="dxa"/>
            <w:tcBorders>
              <w:top w:val="single" w:color="000000" w:sz="4" w:space="0"/>
              <w:left w:val="single" w:color="000000" w:sz="4" w:space="0"/>
              <w:bottom w:val="single" w:color="000000" w:sz="4" w:space="0"/>
              <w:right w:val="single" w:color="000000" w:sz="4" w:space="0"/>
            </w:tcBorders>
          </w:tcPr>
          <w:p w14:paraId="5100E8FA">
            <w:pPr>
              <w:spacing w:after="0" w:line="259" w:lineRule="auto"/>
              <w:ind w:left="0" w:right="36" w:firstLine="0"/>
              <w:jc w:val="center"/>
              <w:rPr>
                <w:sz w:val="22"/>
                <w:szCs w:val="22"/>
              </w:rPr>
            </w:pPr>
            <w:r>
              <w:rPr>
                <w:b/>
                <w:sz w:val="22"/>
                <w:szCs w:val="22"/>
              </w:rPr>
              <w:t>To</w:t>
            </w:r>
            <w:r>
              <w:rPr>
                <w:sz w:val="22"/>
                <w:szCs w:val="22"/>
              </w:rPr>
              <w:t xml:space="preserve"> </w:t>
            </w:r>
          </w:p>
        </w:tc>
      </w:tr>
      <w:tr w14:paraId="1546EB96">
        <w:tblPrEx>
          <w:tblCellMar>
            <w:top w:w="7" w:type="dxa"/>
            <w:left w:w="108" w:type="dxa"/>
            <w:bottom w:w="0" w:type="dxa"/>
            <w:right w:w="77" w:type="dxa"/>
          </w:tblCellMar>
        </w:tblPrEx>
        <w:trPr>
          <w:trHeight w:val="286" w:hRule="atLeast"/>
        </w:trPr>
        <w:tc>
          <w:tcPr>
            <w:tcW w:w="545" w:type="dxa"/>
            <w:tcBorders>
              <w:top w:val="single" w:color="000000" w:sz="4" w:space="0"/>
              <w:left w:val="single" w:color="000000" w:sz="4" w:space="0"/>
              <w:bottom w:val="single" w:color="000000" w:sz="4" w:space="0"/>
              <w:right w:val="single" w:color="000000" w:sz="4" w:space="0"/>
            </w:tcBorders>
          </w:tcPr>
          <w:p w14:paraId="50542830">
            <w:pPr>
              <w:spacing w:after="0" w:line="259" w:lineRule="auto"/>
              <w:ind w:left="0" w:firstLine="0"/>
              <w:jc w:val="left"/>
              <w:rPr>
                <w:sz w:val="22"/>
                <w:szCs w:val="22"/>
              </w:rPr>
            </w:pPr>
            <w:r>
              <w:rPr>
                <w:sz w:val="22"/>
                <w:szCs w:val="22"/>
              </w:rPr>
              <w:t xml:space="preserve">01  </w:t>
            </w:r>
          </w:p>
        </w:tc>
        <w:tc>
          <w:tcPr>
            <w:tcW w:w="6087" w:type="dxa"/>
            <w:tcBorders>
              <w:top w:val="single" w:color="000000" w:sz="4" w:space="0"/>
              <w:left w:val="single" w:color="000000" w:sz="4" w:space="0"/>
              <w:bottom w:val="single" w:color="000000" w:sz="4" w:space="0"/>
              <w:right w:val="single" w:color="000000" w:sz="4" w:space="0"/>
            </w:tcBorders>
          </w:tcPr>
          <w:p w14:paraId="47969BF8">
            <w:pPr>
              <w:spacing w:after="0" w:line="259" w:lineRule="auto"/>
              <w:ind w:left="0" w:firstLine="0"/>
              <w:jc w:val="left"/>
              <w:rPr>
                <w:sz w:val="22"/>
                <w:szCs w:val="22"/>
              </w:rPr>
            </w:pPr>
            <w:r>
              <w:rPr>
                <w:b/>
                <w:sz w:val="22"/>
                <w:szCs w:val="22"/>
              </w:rPr>
              <w:t xml:space="preserve">Lt Gen M Mustafizur Rahman, </w:t>
            </w:r>
            <w:r>
              <w:rPr>
                <w:sz w:val="22"/>
                <w:szCs w:val="22"/>
              </w:rPr>
              <w:t xml:space="preserve">BB, ndc, psc,  </w:t>
            </w:r>
          </w:p>
        </w:tc>
        <w:tc>
          <w:tcPr>
            <w:tcW w:w="1359" w:type="dxa"/>
            <w:tcBorders>
              <w:top w:val="single" w:color="000000" w:sz="4" w:space="0"/>
              <w:left w:val="single" w:color="000000" w:sz="4" w:space="0"/>
              <w:bottom w:val="single" w:color="000000" w:sz="4" w:space="0"/>
              <w:right w:val="single" w:color="000000" w:sz="4" w:space="0"/>
            </w:tcBorders>
          </w:tcPr>
          <w:p w14:paraId="77EA4D76">
            <w:pPr>
              <w:spacing w:after="0" w:line="259" w:lineRule="auto"/>
              <w:ind w:left="61" w:firstLine="0"/>
              <w:jc w:val="left"/>
              <w:rPr>
                <w:sz w:val="22"/>
                <w:szCs w:val="22"/>
              </w:rPr>
            </w:pPr>
            <w:r>
              <w:rPr>
                <w:sz w:val="22"/>
                <w:szCs w:val="22"/>
              </w:rPr>
              <w:t xml:space="preserve">24 Dec 1997 </w:t>
            </w:r>
          </w:p>
        </w:tc>
        <w:tc>
          <w:tcPr>
            <w:tcW w:w="1318" w:type="dxa"/>
            <w:tcBorders>
              <w:top w:val="single" w:color="000000" w:sz="4" w:space="0"/>
              <w:left w:val="single" w:color="000000" w:sz="4" w:space="0"/>
              <w:bottom w:val="single" w:color="000000" w:sz="4" w:space="0"/>
              <w:right w:val="single" w:color="000000" w:sz="4" w:space="0"/>
            </w:tcBorders>
          </w:tcPr>
          <w:p w14:paraId="72AA95EF">
            <w:pPr>
              <w:spacing w:after="0" w:line="259" w:lineRule="auto"/>
              <w:ind w:left="38" w:firstLine="0"/>
              <w:jc w:val="left"/>
              <w:rPr>
                <w:sz w:val="22"/>
                <w:szCs w:val="22"/>
              </w:rPr>
            </w:pPr>
            <w:r>
              <w:rPr>
                <w:sz w:val="22"/>
                <w:szCs w:val="22"/>
              </w:rPr>
              <w:t xml:space="preserve">23 Dec 2000 </w:t>
            </w:r>
          </w:p>
        </w:tc>
      </w:tr>
      <w:tr w14:paraId="25CF86E7">
        <w:tblPrEx>
          <w:tblCellMar>
            <w:top w:w="7" w:type="dxa"/>
            <w:left w:w="108" w:type="dxa"/>
            <w:bottom w:w="0" w:type="dxa"/>
            <w:right w:w="77" w:type="dxa"/>
          </w:tblCellMar>
        </w:tblPrEx>
        <w:trPr>
          <w:trHeight w:val="286" w:hRule="atLeast"/>
        </w:trPr>
        <w:tc>
          <w:tcPr>
            <w:tcW w:w="545" w:type="dxa"/>
            <w:tcBorders>
              <w:top w:val="single" w:color="000000" w:sz="4" w:space="0"/>
              <w:left w:val="single" w:color="000000" w:sz="4" w:space="0"/>
              <w:bottom w:val="single" w:color="000000" w:sz="4" w:space="0"/>
              <w:right w:val="single" w:color="000000" w:sz="4" w:space="0"/>
            </w:tcBorders>
          </w:tcPr>
          <w:p w14:paraId="5CC89369">
            <w:pPr>
              <w:spacing w:after="0" w:line="259" w:lineRule="auto"/>
              <w:ind w:left="0" w:firstLine="0"/>
              <w:jc w:val="left"/>
              <w:rPr>
                <w:sz w:val="22"/>
                <w:szCs w:val="22"/>
              </w:rPr>
            </w:pPr>
            <w:r>
              <w:rPr>
                <w:sz w:val="22"/>
                <w:szCs w:val="22"/>
              </w:rPr>
              <w:t xml:space="preserve">02  </w:t>
            </w:r>
          </w:p>
        </w:tc>
        <w:tc>
          <w:tcPr>
            <w:tcW w:w="6087" w:type="dxa"/>
            <w:tcBorders>
              <w:top w:val="single" w:color="000000" w:sz="4" w:space="0"/>
              <w:left w:val="single" w:color="000000" w:sz="4" w:space="0"/>
              <w:bottom w:val="single" w:color="000000" w:sz="4" w:space="0"/>
              <w:right w:val="single" w:color="000000" w:sz="4" w:space="0"/>
            </w:tcBorders>
          </w:tcPr>
          <w:p w14:paraId="15CC0CA5">
            <w:pPr>
              <w:spacing w:after="0" w:line="259" w:lineRule="auto"/>
              <w:ind w:left="0" w:firstLine="0"/>
              <w:jc w:val="left"/>
              <w:rPr>
                <w:sz w:val="22"/>
                <w:szCs w:val="22"/>
              </w:rPr>
            </w:pPr>
            <w:r>
              <w:rPr>
                <w:b/>
                <w:sz w:val="22"/>
                <w:szCs w:val="22"/>
              </w:rPr>
              <w:t xml:space="preserve">Lt Gen M Harun-Ar-Rashid, </w:t>
            </w:r>
            <w:r>
              <w:rPr>
                <w:sz w:val="22"/>
                <w:szCs w:val="22"/>
              </w:rPr>
              <w:t xml:space="preserve">BP, rcds, psc </w:t>
            </w:r>
          </w:p>
        </w:tc>
        <w:tc>
          <w:tcPr>
            <w:tcW w:w="1359" w:type="dxa"/>
            <w:tcBorders>
              <w:top w:val="single" w:color="000000" w:sz="4" w:space="0"/>
              <w:left w:val="single" w:color="000000" w:sz="4" w:space="0"/>
              <w:bottom w:val="single" w:color="000000" w:sz="4" w:space="0"/>
              <w:right w:val="single" w:color="000000" w:sz="4" w:space="0"/>
            </w:tcBorders>
          </w:tcPr>
          <w:p w14:paraId="500DE630">
            <w:pPr>
              <w:spacing w:after="0" w:line="259" w:lineRule="auto"/>
              <w:ind w:left="61" w:firstLine="0"/>
              <w:jc w:val="left"/>
              <w:rPr>
                <w:sz w:val="22"/>
                <w:szCs w:val="22"/>
              </w:rPr>
            </w:pPr>
            <w:r>
              <w:rPr>
                <w:sz w:val="22"/>
                <w:szCs w:val="22"/>
              </w:rPr>
              <w:t xml:space="preserve">24 Dec 2000 </w:t>
            </w:r>
          </w:p>
        </w:tc>
        <w:tc>
          <w:tcPr>
            <w:tcW w:w="1318" w:type="dxa"/>
            <w:tcBorders>
              <w:top w:val="single" w:color="000000" w:sz="4" w:space="0"/>
              <w:left w:val="single" w:color="000000" w:sz="4" w:space="0"/>
              <w:bottom w:val="single" w:color="000000" w:sz="4" w:space="0"/>
              <w:right w:val="single" w:color="000000" w:sz="4" w:space="0"/>
            </w:tcBorders>
          </w:tcPr>
          <w:p w14:paraId="4044ADE2">
            <w:pPr>
              <w:spacing w:after="0" w:line="259" w:lineRule="auto"/>
              <w:jc w:val="left"/>
              <w:rPr>
                <w:sz w:val="22"/>
                <w:szCs w:val="22"/>
              </w:rPr>
            </w:pPr>
            <w:r>
              <w:rPr>
                <w:sz w:val="22"/>
                <w:szCs w:val="22"/>
              </w:rPr>
              <w:t xml:space="preserve">15 June 2002 </w:t>
            </w:r>
          </w:p>
        </w:tc>
      </w:tr>
      <w:tr w14:paraId="1C3D1AA8">
        <w:tblPrEx>
          <w:tblCellMar>
            <w:top w:w="7" w:type="dxa"/>
            <w:left w:w="108" w:type="dxa"/>
            <w:bottom w:w="0" w:type="dxa"/>
            <w:right w:w="77" w:type="dxa"/>
          </w:tblCellMar>
        </w:tblPrEx>
        <w:trPr>
          <w:trHeight w:val="288" w:hRule="atLeast"/>
        </w:trPr>
        <w:tc>
          <w:tcPr>
            <w:tcW w:w="545" w:type="dxa"/>
            <w:tcBorders>
              <w:top w:val="single" w:color="000000" w:sz="4" w:space="0"/>
              <w:left w:val="single" w:color="000000" w:sz="4" w:space="0"/>
              <w:bottom w:val="single" w:color="000000" w:sz="4" w:space="0"/>
              <w:right w:val="single" w:color="000000" w:sz="4" w:space="0"/>
            </w:tcBorders>
          </w:tcPr>
          <w:p w14:paraId="2577108E">
            <w:pPr>
              <w:spacing w:after="0" w:line="259" w:lineRule="auto"/>
              <w:ind w:left="0" w:firstLine="0"/>
              <w:jc w:val="left"/>
              <w:rPr>
                <w:sz w:val="22"/>
                <w:szCs w:val="22"/>
              </w:rPr>
            </w:pPr>
            <w:r>
              <w:rPr>
                <w:sz w:val="22"/>
                <w:szCs w:val="22"/>
              </w:rPr>
              <w:t xml:space="preserve">03  </w:t>
            </w:r>
          </w:p>
        </w:tc>
        <w:tc>
          <w:tcPr>
            <w:tcW w:w="6087" w:type="dxa"/>
            <w:tcBorders>
              <w:top w:val="single" w:color="000000" w:sz="4" w:space="0"/>
              <w:left w:val="single" w:color="000000" w:sz="4" w:space="0"/>
              <w:bottom w:val="single" w:color="000000" w:sz="4" w:space="0"/>
              <w:right w:val="single" w:color="000000" w:sz="4" w:space="0"/>
            </w:tcBorders>
          </w:tcPr>
          <w:p w14:paraId="63C2D9BF">
            <w:pPr>
              <w:spacing w:after="0" w:line="259" w:lineRule="auto"/>
              <w:ind w:left="0" w:firstLine="0"/>
              <w:jc w:val="left"/>
              <w:rPr>
                <w:sz w:val="22"/>
                <w:szCs w:val="22"/>
              </w:rPr>
            </w:pPr>
            <w:r>
              <w:rPr>
                <w:b/>
                <w:sz w:val="22"/>
                <w:szCs w:val="22"/>
              </w:rPr>
              <w:t>Lt Gen Hasan Mashhud Chowdhury</w:t>
            </w:r>
            <w:r>
              <w:rPr>
                <w:sz w:val="22"/>
                <w:szCs w:val="22"/>
              </w:rPr>
              <w:t xml:space="preserve">, awc, psc </w:t>
            </w:r>
          </w:p>
        </w:tc>
        <w:tc>
          <w:tcPr>
            <w:tcW w:w="1359" w:type="dxa"/>
            <w:tcBorders>
              <w:top w:val="single" w:color="000000" w:sz="4" w:space="0"/>
              <w:left w:val="single" w:color="000000" w:sz="4" w:space="0"/>
              <w:bottom w:val="single" w:color="000000" w:sz="4" w:space="0"/>
              <w:right w:val="single" w:color="000000" w:sz="4" w:space="0"/>
            </w:tcBorders>
          </w:tcPr>
          <w:p w14:paraId="45285D23">
            <w:pPr>
              <w:spacing w:after="0" w:line="259" w:lineRule="auto"/>
              <w:ind w:left="39" w:firstLine="0"/>
              <w:jc w:val="left"/>
              <w:rPr>
                <w:sz w:val="22"/>
                <w:szCs w:val="22"/>
              </w:rPr>
            </w:pPr>
            <w:r>
              <w:rPr>
                <w:sz w:val="22"/>
                <w:szCs w:val="22"/>
              </w:rPr>
              <w:t xml:space="preserve">16 June 2002 </w:t>
            </w:r>
          </w:p>
        </w:tc>
        <w:tc>
          <w:tcPr>
            <w:tcW w:w="1318" w:type="dxa"/>
            <w:tcBorders>
              <w:top w:val="single" w:color="000000" w:sz="4" w:space="0"/>
              <w:left w:val="single" w:color="000000" w:sz="4" w:space="0"/>
              <w:bottom w:val="single" w:color="000000" w:sz="4" w:space="0"/>
              <w:right w:val="single" w:color="000000" w:sz="4" w:space="0"/>
            </w:tcBorders>
          </w:tcPr>
          <w:p w14:paraId="3889DF02">
            <w:pPr>
              <w:spacing w:after="0" w:line="259" w:lineRule="auto"/>
              <w:jc w:val="left"/>
              <w:rPr>
                <w:sz w:val="22"/>
                <w:szCs w:val="22"/>
              </w:rPr>
            </w:pPr>
            <w:r>
              <w:rPr>
                <w:sz w:val="22"/>
                <w:szCs w:val="22"/>
              </w:rPr>
              <w:t xml:space="preserve">15 June 2005 </w:t>
            </w:r>
          </w:p>
        </w:tc>
      </w:tr>
      <w:tr w14:paraId="131EBDA5">
        <w:tblPrEx>
          <w:tblCellMar>
            <w:top w:w="7" w:type="dxa"/>
            <w:left w:w="108" w:type="dxa"/>
            <w:bottom w:w="0" w:type="dxa"/>
            <w:right w:w="77" w:type="dxa"/>
          </w:tblCellMar>
        </w:tblPrEx>
        <w:trPr>
          <w:trHeight w:val="286" w:hRule="atLeast"/>
        </w:trPr>
        <w:tc>
          <w:tcPr>
            <w:tcW w:w="545" w:type="dxa"/>
            <w:tcBorders>
              <w:top w:val="single" w:color="000000" w:sz="4" w:space="0"/>
              <w:left w:val="single" w:color="000000" w:sz="4" w:space="0"/>
              <w:bottom w:val="single" w:color="000000" w:sz="4" w:space="0"/>
              <w:right w:val="single" w:color="000000" w:sz="4" w:space="0"/>
            </w:tcBorders>
          </w:tcPr>
          <w:p w14:paraId="6F346B15">
            <w:pPr>
              <w:spacing w:after="0" w:line="259" w:lineRule="auto"/>
              <w:ind w:left="0" w:firstLine="0"/>
              <w:jc w:val="left"/>
              <w:rPr>
                <w:sz w:val="22"/>
                <w:szCs w:val="22"/>
              </w:rPr>
            </w:pPr>
            <w:r>
              <w:rPr>
                <w:sz w:val="22"/>
                <w:szCs w:val="22"/>
              </w:rPr>
              <w:t xml:space="preserve">04  </w:t>
            </w:r>
          </w:p>
        </w:tc>
        <w:tc>
          <w:tcPr>
            <w:tcW w:w="6087" w:type="dxa"/>
            <w:tcBorders>
              <w:top w:val="single" w:color="000000" w:sz="4" w:space="0"/>
              <w:left w:val="single" w:color="000000" w:sz="4" w:space="0"/>
              <w:bottom w:val="single" w:color="000000" w:sz="4" w:space="0"/>
              <w:right w:val="single" w:color="000000" w:sz="4" w:space="0"/>
            </w:tcBorders>
          </w:tcPr>
          <w:p w14:paraId="48FCEC7B">
            <w:pPr>
              <w:spacing w:after="0" w:line="259" w:lineRule="auto"/>
              <w:ind w:left="0" w:firstLine="0"/>
              <w:jc w:val="left"/>
              <w:rPr>
                <w:sz w:val="22"/>
                <w:szCs w:val="22"/>
              </w:rPr>
            </w:pPr>
            <w:r>
              <w:rPr>
                <w:b/>
                <w:sz w:val="22"/>
                <w:szCs w:val="22"/>
              </w:rPr>
              <w:t xml:space="preserve">General Moeen U Ahmed, </w:t>
            </w:r>
            <w:r>
              <w:rPr>
                <w:sz w:val="22"/>
                <w:szCs w:val="22"/>
              </w:rPr>
              <w:t xml:space="preserve">ndc, psc </w:t>
            </w:r>
          </w:p>
        </w:tc>
        <w:tc>
          <w:tcPr>
            <w:tcW w:w="1359" w:type="dxa"/>
            <w:tcBorders>
              <w:top w:val="single" w:color="000000" w:sz="4" w:space="0"/>
              <w:left w:val="single" w:color="000000" w:sz="4" w:space="0"/>
              <w:bottom w:val="single" w:color="000000" w:sz="4" w:space="0"/>
              <w:right w:val="single" w:color="000000" w:sz="4" w:space="0"/>
            </w:tcBorders>
          </w:tcPr>
          <w:p w14:paraId="2A08FB3C">
            <w:pPr>
              <w:spacing w:after="0" w:line="259" w:lineRule="auto"/>
              <w:ind w:left="39" w:firstLine="0"/>
              <w:jc w:val="left"/>
              <w:rPr>
                <w:sz w:val="22"/>
                <w:szCs w:val="22"/>
              </w:rPr>
            </w:pPr>
            <w:r>
              <w:rPr>
                <w:sz w:val="22"/>
                <w:szCs w:val="22"/>
              </w:rPr>
              <w:t xml:space="preserve">16 June 2005 </w:t>
            </w:r>
          </w:p>
        </w:tc>
        <w:tc>
          <w:tcPr>
            <w:tcW w:w="1318" w:type="dxa"/>
            <w:tcBorders>
              <w:top w:val="single" w:color="000000" w:sz="4" w:space="0"/>
              <w:left w:val="single" w:color="000000" w:sz="4" w:space="0"/>
              <w:bottom w:val="single" w:color="000000" w:sz="4" w:space="0"/>
              <w:right w:val="single" w:color="000000" w:sz="4" w:space="0"/>
            </w:tcBorders>
          </w:tcPr>
          <w:p w14:paraId="359AEA64">
            <w:pPr>
              <w:spacing w:after="0" w:line="259" w:lineRule="auto"/>
              <w:jc w:val="left"/>
              <w:rPr>
                <w:sz w:val="22"/>
                <w:szCs w:val="22"/>
              </w:rPr>
            </w:pPr>
            <w:r>
              <w:rPr>
                <w:sz w:val="22"/>
                <w:szCs w:val="22"/>
              </w:rPr>
              <w:t xml:space="preserve">15 June 2009 </w:t>
            </w:r>
          </w:p>
        </w:tc>
      </w:tr>
      <w:tr w14:paraId="727B2401">
        <w:tblPrEx>
          <w:tblCellMar>
            <w:top w:w="7" w:type="dxa"/>
            <w:left w:w="108" w:type="dxa"/>
            <w:bottom w:w="0" w:type="dxa"/>
            <w:right w:w="77" w:type="dxa"/>
          </w:tblCellMar>
        </w:tblPrEx>
        <w:trPr>
          <w:trHeight w:val="286" w:hRule="atLeast"/>
        </w:trPr>
        <w:tc>
          <w:tcPr>
            <w:tcW w:w="545" w:type="dxa"/>
            <w:tcBorders>
              <w:top w:val="single" w:color="000000" w:sz="4" w:space="0"/>
              <w:left w:val="single" w:color="000000" w:sz="4" w:space="0"/>
              <w:bottom w:val="single" w:color="000000" w:sz="4" w:space="0"/>
              <w:right w:val="single" w:color="000000" w:sz="4" w:space="0"/>
            </w:tcBorders>
          </w:tcPr>
          <w:p w14:paraId="1D5E2914">
            <w:pPr>
              <w:spacing w:after="0" w:line="259" w:lineRule="auto"/>
              <w:ind w:left="0" w:firstLine="0"/>
              <w:jc w:val="left"/>
              <w:rPr>
                <w:sz w:val="22"/>
                <w:szCs w:val="22"/>
              </w:rPr>
            </w:pPr>
            <w:r>
              <w:rPr>
                <w:sz w:val="22"/>
                <w:szCs w:val="22"/>
              </w:rPr>
              <w:t xml:space="preserve">05  </w:t>
            </w:r>
          </w:p>
        </w:tc>
        <w:tc>
          <w:tcPr>
            <w:tcW w:w="6087" w:type="dxa"/>
            <w:tcBorders>
              <w:top w:val="single" w:color="000000" w:sz="4" w:space="0"/>
              <w:left w:val="single" w:color="000000" w:sz="4" w:space="0"/>
              <w:bottom w:val="single" w:color="000000" w:sz="4" w:space="0"/>
              <w:right w:val="single" w:color="000000" w:sz="4" w:space="0"/>
            </w:tcBorders>
          </w:tcPr>
          <w:p w14:paraId="405A9857">
            <w:pPr>
              <w:spacing w:after="0" w:line="259" w:lineRule="auto"/>
              <w:ind w:left="0" w:firstLine="0"/>
              <w:jc w:val="left"/>
              <w:rPr>
                <w:sz w:val="22"/>
                <w:szCs w:val="22"/>
              </w:rPr>
            </w:pPr>
            <w:r>
              <w:rPr>
                <w:b/>
                <w:sz w:val="22"/>
                <w:szCs w:val="22"/>
              </w:rPr>
              <w:t xml:space="preserve">General Md Abdul Mubeen, </w:t>
            </w:r>
            <w:r>
              <w:rPr>
                <w:sz w:val="22"/>
                <w:szCs w:val="22"/>
              </w:rPr>
              <w:t xml:space="preserve">ndc, psc </w:t>
            </w:r>
          </w:p>
        </w:tc>
        <w:tc>
          <w:tcPr>
            <w:tcW w:w="1359" w:type="dxa"/>
            <w:tcBorders>
              <w:top w:val="single" w:color="000000" w:sz="4" w:space="0"/>
              <w:left w:val="single" w:color="000000" w:sz="4" w:space="0"/>
              <w:bottom w:val="single" w:color="000000" w:sz="4" w:space="0"/>
              <w:right w:val="single" w:color="000000" w:sz="4" w:space="0"/>
            </w:tcBorders>
          </w:tcPr>
          <w:p w14:paraId="6E9324A8">
            <w:pPr>
              <w:spacing w:after="0" w:line="259" w:lineRule="auto"/>
              <w:ind w:left="39" w:firstLine="0"/>
              <w:jc w:val="left"/>
              <w:rPr>
                <w:sz w:val="22"/>
                <w:szCs w:val="22"/>
              </w:rPr>
            </w:pPr>
            <w:r>
              <w:rPr>
                <w:sz w:val="22"/>
                <w:szCs w:val="22"/>
              </w:rPr>
              <w:t xml:space="preserve">16 June 2009 </w:t>
            </w:r>
          </w:p>
        </w:tc>
        <w:tc>
          <w:tcPr>
            <w:tcW w:w="1318" w:type="dxa"/>
            <w:tcBorders>
              <w:top w:val="single" w:color="000000" w:sz="4" w:space="0"/>
              <w:left w:val="single" w:color="000000" w:sz="4" w:space="0"/>
              <w:bottom w:val="single" w:color="000000" w:sz="4" w:space="0"/>
              <w:right w:val="single" w:color="000000" w:sz="4" w:space="0"/>
            </w:tcBorders>
          </w:tcPr>
          <w:p w14:paraId="1DF2462E">
            <w:pPr>
              <w:spacing w:after="0" w:line="259" w:lineRule="auto"/>
              <w:jc w:val="left"/>
              <w:rPr>
                <w:sz w:val="22"/>
                <w:szCs w:val="22"/>
              </w:rPr>
            </w:pPr>
            <w:r>
              <w:rPr>
                <w:sz w:val="22"/>
                <w:szCs w:val="22"/>
              </w:rPr>
              <w:t xml:space="preserve">25 June 2012 </w:t>
            </w:r>
          </w:p>
        </w:tc>
      </w:tr>
      <w:tr w14:paraId="13AE5E19">
        <w:tblPrEx>
          <w:tblCellMar>
            <w:top w:w="7" w:type="dxa"/>
            <w:left w:w="108" w:type="dxa"/>
            <w:bottom w:w="0" w:type="dxa"/>
            <w:right w:w="77" w:type="dxa"/>
          </w:tblCellMar>
        </w:tblPrEx>
        <w:trPr>
          <w:trHeight w:val="286" w:hRule="atLeast"/>
        </w:trPr>
        <w:tc>
          <w:tcPr>
            <w:tcW w:w="545" w:type="dxa"/>
            <w:tcBorders>
              <w:top w:val="single" w:color="000000" w:sz="4" w:space="0"/>
              <w:left w:val="single" w:color="000000" w:sz="4" w:space="0"/>
              <w:bottom w:val="single" w:color="000000" w:sz="4" w:space="0"/>
              <w:right w:val="single" w:color="000000" w:sz="4" w:space="0"/>
            </w:tcBorders>
          </w:tcPr>
          <w:p w14:paraId="79213DA2">
            <w:pPr>
              <w:spacing w:after="0" w:line="259" w:lineRule="auto"/>
              <w:ind w:left="0" w:firstLine="0"/>
              <w:jc w:val="left"/>
              <w:rPr>
                <w:sz w:val="22"/>
                <w:szCs w:val="22"/>
              </w:rPr>
            </w:pPr>
            <w:r>
              <w:rPr>
                <w:sz w:val="22"/>
                <w:szCs w:val="22"/>
              </w:rPr>
              <w:t xml:space="preserve">06  </w:t>
            </w:r>
          </w:p>
        </w:tc>
        <w:tc>
          <w:tcPr>
            <w:tcW w:w="6087" w:type="dxa"/>
            <w:tcBorders>
              <w:top w:val="single" w:color="000000" w:sz="4" w:space="0"/>
              <w:left w:val="single" w:color="000000" w:sz="4" w:space="0"/>
              <w:bottom w:val="single" w:color="000000" w:sz="4" w:space="0"/>
              <w:right w:val="single" w:color="000000" w:sz="4" w:space="0"/>
            </w:tcBorders>
          </w:tcPr>
          <w:p w14:paraId="0B46790C">
            <w:pPr>
              <w:spacing w:after="0" w:line="259" w:lineRule="auto"/>
              <w:ind w:left="0" w:firstLine="0"/>
              <w:jc w:val="left"/>
              <w:rPr>
                <w:sz w:val="22"/>
                <w:szCs w:val="22"/>
              </w:rPr>
            </w:pPr>
            <w:r>
              <w:rPr>
                <w:b/>
                <w:sz w:val="22"/>
                <w:szCs w:val="22"/>
              </w:rPr>
              <w:t xml:space="preserve">General Iqbal Karim Bhuiyan, </w:t>
            </w:r>
            <w:r>
              <w:rPr>
                <w:sz w:val="22"/>
                <w:szCs w:val="22"/>
              </w:rPr>
              <w:t xml:space="preserve">SBP, psc </w:t>
            </w:r>
          </w:p>
        </w:tc>
        <w:tc>
          <w:tcPr>
            <w:tcW w:w="1359" w:type="dxa"/>
            <w:tcBorders>
              <w:top w:val="single" w:color="000000" w:sz="4" w:space="0"/>
              <w:left w:val="single" w:color="000000" w:sz="4" w:space="0"/>
              <w:bottom w:val="single" w:color="000000" w:sz="4" w:space="0"/>
              <w:right w:val="single" w:color="000000" w:sz="4" w:space="0"/>
            </w:tcBorders>
          </w:tcPr>
          <w:p w14:paraId="299E8B51">
            <w:pPr>
              <w:spacing w:after="0" w:line="259" w:lineRule="auto"/>
              <w:ind w:left="39" w:firstLine="0"/>
              <w:jc w:val="left"/>
              <w:rPr>
                <w:sz w:val="22"/>
                <w:szCs w:val="22"/>
              </w:rPr>
            </w:pPr>
            <w:r>
              <w:rPr>
                <w:sz w:val="22"/>
                <w:szCs w:val="22"/>
              </w:rPr>
              <w:t xml:space="preserve">26 June 2012 </w:t>
            </w:r>
          </w:p>
        </w:tc>
        <w:tc>
          <w:tcPr>
            <w:tcW w:w="1318" w:type="dxa"/>
            <w:tcBorders>
              <w:top w:val="single" w:color="000000" w:sz="4" w:space="0"/>
              <w:left w:val="single" w:color="000000" w:sz="4" w:space="0"/>
              <w:bottom w:val="single" w:color="000000" w:sz="4" w:space="0"/>
              <w:right w:val="single" w:color="000000" w:sz="4" w:space="0"/>
            </w:tcBorders>
          </w:tcPr>
          <w:p w14:paraId="4253609E">
            <w:pPr>
              <w:spacing w:after="0" w:line="259" w:lineRule="auto"/>
              <w:jc w:val="left"/>
              <w:rPr>
                <w:sz w:val="22"/>
                <w:szCs w:val="22"/>
              </w:rPr>
            </w:pPr>
            <w:r>
              <w:rPr>
                <w:sz w:val="22"/>
                <w:szCs w:val="22"/>
              </w:rPr>
              <w:t xml:space="preserve">25 June 2015 </w:t>
            </w:r>
          </w:p>
        </w:tc>
      </w:tr>
      <w:tr w14:paraId="515C71E4">
        <w:tblPrEx>
          <w:tblCellMar>
            <w:top w:w="7" w:type="dxa"/>
            <w:left w:w="108" w:type="dxa"/>
            <w:bottom w:w="0" w:type="dxa"/>
            <w:right w:w="77" w:type="dxa"/>
          </w:tblCellMar>
        </w:tblPrEx>
        <w:trPr>
          <w:trHeight w:val="286" w:hRule="atLeast"/>
        </w:trPr>
        <w:tc>
          <w:tcPr>
            <w:tcW w:w="545" w:type="dxa"/>
            <w:tcBorders>
              <w:top w:val="single" w:color="000000" w:sz="4" w:space="0"/>
              <w:left w:val="single" w:color="000000" w:sz="4" w:space="0"/>
              <w:bottom w:val="single" w:color="000000" w:sz="4" w:space="0"/>
              <w:right w:val="single" w:color="000000" w:sz="4" w:space="0"/>
            </w:tcBorders>
          </w:tcPr>
          <w:p w14:paraId="235CB09D">
            <w:pPr>
              <w:spacing w:after="0" w:line="259" w:lineRule="auto"/>
              <w:ind w:left="0" w:firstLine="0"/>
              <w:jc w:val="left"/>
              <w:rPr>
                <w:sz w:val="22"/>
                <w:szCs w:val="22"/>
              </w:rPr>
            </w:pPr>
            <w:r>
              <w:rPr>
                <w:sz w:val="22"/>
                <w:szCs w:val="22"/>
              </w:rPr>
              <w:t xml:space="preserve">07  </w:t>
            </w:r>
          </w:p>
        </w:tc>
        <w:tc>
          <w:tcPr>
            <w:tcW w:w="6087" w:type="dxa"/>
            <w:tcBorders>
              <w:top w:val="single" w:color="000000" w:sz="4" w:space="0"/>
              <w:left w:val="single" w:color="000000" w:sz="4" w:space="0"/>
              <w:bottom w:val="single" w:color="000000" w:sz="4" w:space="0"/>
              <w:right w:val="single" w:color="000000" w:sz="4" w:space="0"/>
            </w:tcBorders>
          </w:tcPr>
          <w:p w14:paraId="35F02E1C">
            <w:pPr>
              <w:spacing w:after="0" w:line="259" w:lineRule="auto"/>
              <w:ind w:left="0" w:firstLine="0"/>
              <w:rPr>
                <w:sz w:val="22"/>
                <w:szCs w:val="22"/>
              </w:rPr>
            </w:pPr>
            <w:r>
              <w:rPr>
                <w:b/>
                <w:sz w:val="22"/>
                <w:szCs w:val="22"/>
              </w:rPr>
              <w:t xml:space="preserve">General Abu Belal Muhammad ShafiulHuq, </w:t>
            </w:r>
            <w:r>
              <w:rPr>
                <w:sz w:val="22"/>
                <w:szCs w:val="22"/>
              </w:rPr>
              <w:t xml:space="preserve">SBP, ndc, psc </w:t>
            </w:r>
          </w:p>
        </w:tc>
        <w:tc>
          <w:tcPr>
            <w:tcW w:w="1359" w:type="dxa"/>
            <w:tcBorders>
              <w:top w:val="single" w:color="000000" w:sz="4" w:space="0"/>
              <w:left w:val="single" w:color="000000" w:sz="4" w:space="0"/>
              <w:bottom w:val="single" w:color="000000" w:sz="4" w:space="0"/>
              <w:right w:val="single" w:color="000000" w:sz="4" w:space="0"/>
            </w:tcBorders>
          </w:tcPr>
          <w:p w14:paraId="5A25AF0E">
            <w:pPr>
              <w:spacing w:after="0" w:line="259" w:lineRule="auto"/>
              <w:ind w:left="39" w:firstLine="0"/>
              <w:jc w:val="left"/>
              <w:rPr>
                <w:sz w:val="22"/>
                <w:szCs w:val="22"/>
              </w:rPr>
            </w:pPr>
            <w:r>
              <w:rPr>
                <w:sz w:val="22"/>
                <w:szCs w:val="22"/>
              </w:rPr>
              <w:t xml:space="preserve">26 June 2015 </w:t>
            </w:r>
          </w:p>
        </w:tc>
        <w:tc>
          <w:tcPr>
            <w:tcW w:w="1318" w:type="dxa"/>
            <w:tcBorders>
              <w:top w:val="single" w:color="000000" w:sz="4" w:space="0"/>
              <w:left w:val="single" w:color="000000" w:sz="4" w:space="0"/>
              <w:bottom w:val="single" w:color="000000" w:sz="4" w:space="0"/>
              <w:right w:val="single" w:color="000000" w:sz="4" w:space="0"/>
            </w:tcBorders>
          </w:tcPr>
          <w:p w14:paraId="72B97F7A">
            <w:pPr>
              <w:spacing w:after="0" w:line="259" w:lineRule="auto"/>
              <w:jc w:val="left"/>
              <w:rPr>
                <w:sz w:val="22"/>
                <w:szCs w:val="22"/>
              </w:rPr>
            </w:pPr>
            <w:r>
              <w:rPr>
                <w:sz w:val="22"/>
                <w:szCs w:val="22"/>
              </w:rPr>
              <w:t xml:space="preserve">25 June 2018 </w:t>
            </w:r>
          </w:p>
        </w:tc>
      </w:tr>
      <w:tr w14:paraId="33EA1F1C">
        <w:tblPrEx>
          <w:tblCellMar>
            <w:top w:w="7" w:type="dxa"/>
            <w:left w:w="108" w:type="dxa"/>
            <w:bottom w:w="0" w:type="dxa"/>
            <w:right w:w="77" w:type="dxa"/>
          </w:tblCellMar>
        </w:tblPrEx>
        <w:trPr>
          <w:trHeight w:val="286" w:hRule="atLeast"/>
        </w:trPr>
        <w:tc>
          <w:tcPr>
            <w:tcW w:w="545" w:type="dxa"/>
            <w:tcBorders>
              <w:top w:val="single" w:color="000000" w:sz="4" w:space="0"/>
              <w:left w:val="single" w:color="000000" w:sz="4" w:space="0"/>
              <w:bottom w:val="single" w:color="000000" w:sz="4" w:space="0"/>
              <w:right w:val="single" w:color="000000" w:sz="4" w:space="0"/>
            </w:tcBorders>
          </w:tcPr>
          <w:p w14:paraId="628A1A5B">
            <w:pPr>
              <w:spacing w:after="0" w:line="259" w:lineRule="auto"/>
              <w:ind w:left="0" w:firstLine="0"/>
              <w:jc w:val="left"/>
              <w:rPr>
                <w:sz w:val="22"/>
                <w:szCs w:val="22"/>
              </w:rPr>
            </w:pPr>
            <w:r>
              <w:rPr>
                <w:sz w:val="22"/>
                <w:szCs w:val="22"/>
              </w:rPr>
              <w:t xml:space="preserve">08  </w:t>
            </w:r>
          </w:p>
        </w:tc>
        <w:tc>
          <w:tcPr>
            <w:tcW w:w="6087" w:type="dxa"/>
            <w:tcBorders>
              <w:top w:val="single" w:color="000000" w:sz="4" w:space="0"/>
              <w:left w:val="single" w:color="000000" w:sz="4" w:space="0"/>
              <w:bottom w:val="single" w:color="000000" w:sz="4" w:space="0"/>
              <w:right w:val="single" w:color="000000" w:sz="4" w:space="0"/>
            </w:tcBorders>
          </w:tcPr>
          <w:p w14:paraId="67220FCA">
            <w:pPr>
              <w:spacing w:after="0" w:line="259" w:lineRule="auto"/>
              <w:ind w:left="0" w:firstLine="0"/>
              <w:jc w:val="left"/>
              <w:rPr>
                <w:sz w:val="22"/>
                <w:szCs w:val="22"/>
              </w:rPr>
            </w:pPr>
            <w:r>
              <w:rPr>
                <w:b/>
                <w:sz w:val="22"/>
                <w:szCs w:val="22"/>
              </w:rPr>
              <w:t xml:space="preserve">General Aziz Ahmed, </w:t>
            </w:r>
            <w:r>
              <w:rPr>
                <w:sz w:val="22"/>
                <w:szCs w:val="22"/>
              </w:rPr>
              <w:t xml:space="preserve">BGBM, PBGM, BGBMS, psc, G  </w:t>
            </w:r>
          </w:p>
        </w:tc>
        <w:tc>
          <w:tcPr>
            <w:tcW w:w="1359" w:type="dxa"/>
            <w:tcBorders>
              <w:top w:val="single" w:color="000000" w:sz="4" w:space="0"/>
              <w:left w:val="single" w:color="000000" w:sz="4" w:space="0"/>
              <w:bottom w:val="single" w:color="000000" w:sz="4" w:space="0"/>
              <w:right w:val="single" w:color="000000" w:sz="4" w:space="0"/>
            </w:tcBorders>
          </w:tcPr>
          <w:p w14:paraId="20C4A674">
            <w:pPr>
              <w:spacing w:after="0" w:line="259" w:lineRule="auto"/>
              <w:ind w:left="39" w:firstLine="0"/>
              <w:jc w:val="left"/>
              <w:rPr>
                <w:sz w:val="22"/>
                <w:szCs w:val="22"/>
              </w:rPr>
            </w:pPr>
            <w:r>
              <w:rPr>
                <w:sz w:val="22"/>
                <w:szCs w:val="22"/>
              </w:rPr>
              <w:t xml:space="preserve">26 June 2018 </w:t>
            </w:r>
          </w:p>
        </w:tc>
        <w:tc>
          <w:tcPr>
            <w:tcW w:w="1318" w:type="dxa"/>
            <w:tcBorders>
              <w:top w:val="single" w:color="000000" w:sz="4" w:space="0"/>
              <w:left w:val="single" w:color="000000" w:sz="4" w:space="0"/>
              <w:bottom w:val="single" w:color="000000" w:sz="4" w:space="0"/>
              <w:right w:val="single" w:color="000000" w:sz="4" w:space="0"/>
            </w:tcBorders>
          </w:tcPr>
          <w:p w14:paraId="33328376">
            <w:pPr>
              <w:spacing w:after="0" w:line="259" w:lineRule="auto"/>
              <w:jc w:val="left"/>
              <w:rPr>
                <w:sz w:val="22"/>
                <w:szCs w:val="22"/>
              </w:rPr>
            </w:pPr>
            <w:r>
              <w:rPr>
                <w:sz w:val="22"/>
                <w:szCs w:val="22"/>
              </w:rPr>
              <w:t xml:space="preserve">24 June 2021 </w:t>
            </w:r>
          </w:p>
        </w:tc>
      </w:tr>
      <w:tr w14:paraId="1B382452">
        <w:tblPrEx>
          <w:tblCellMar>
            <w:top w:w="7" w:type="dxa"/>
            <w:left w:w="108" w:type="dxa"/>
            <w:bottom w:w="0" w:type="dxa"/>
            <w:right w:w="77" w:type="dxa"/>
          </w:tblCellMar>
        </w:tblPrEx>
        <w:trPr>
          <w:trHeight w:val="286" w:hRule="atLeast"/>
        </w:trPr>
        <w:tc>
          <w:tcPr>
            <w:tcW w:w="545" w:type="dxa"/>
            <w:tcBorders>
              <w:top w:val="single" w:color="000000" w:sz="4" w:space="0"/>
              <w:left w:val="single" w:color="000000" w:sz="4" w:space="0"/>
              <w:bottom w:val="single" w:color="000000" w:sz="4" w:space="0"/>
              <w:right w:val="single" w:color="000000" w:sz="4" w:space="0"/>
            </w:tcBorders>
          </w:tcPr>
          <w:p w14:paraId="37B83576">
            <w:pPr>
              <w:spacing w:after="0" w:line="259" w:lineRule="auto"/>
              <w:ind w:left="0" w:firstLine="0"/>
              <w:jc w:val="left"/>
              <w:rPr>
                <w:sz w:val="22"/>
                <w:szCs w:val="22"/>
              </w:rPr>
            </w:pPr>
            <w:r>
              <w:rPr>
                <w:sz w:val="22"/>
                <w:szCs w:val="22"/>
              </w:rPr>
              <w:t xml:space="preserve">09 </w:t>
            </w:r>
          </w:p>
        </w:tc>
        <w:tc>
          <w:tcPr>
            <w:tcW w:w="6087" w:type="dxa"/>
            <w:tcBorders>
              <w:top w:val="single" w:color="000000" w:sz="4" w:space="0"/>
              <w:left w:val="single" w:color="000000" w:sz="4" w:space="0"/>
              <w:bottom w:val="single" w:color="000000" w:sz="4" w:space="0"/>
              <w:right w:val="single" w:color="000000" w:sz="4" w:space="0"/>
            </w:tcBorders>
          </w:tcPr>
          <w:p w14:paraId="30E7C3DD">
            <w:pPr>
              <w:spacing w:after="0" w:line="259" w:lineRule="auto"/>
              <w:ind w:left="0" w:firstLine="0"/>
              <w:jc w:val="left"/>
              <w:rPr>
                <w:b/>
                <w:sz w:val="22"/>
                <w:szCs w:val="22"/>
              </w:rPr>
            </w:pPr>
            <w:r>
              <w:rPr>
                <w:b/>
                <w:sz w:val="22"/>
                <w:szCs w:val="22"/>
              </w:rPr>
              <w:t xml:space="preserve">General S M Shafiuddin Ahmed, </w:t>
            </w:r>
            <w:r>
              <w:rPr>
                <w:sz w:val="22"/>
                <w:szCs w:val="22"/>
              </w:rPr>
              <w:t xml:space="preserve">OSP, ndu, psc </w:t>
            </w:r>
          </w:p>
        </w:tc>
        <w:tc>
          <w:tcPr>
            <w:tcW w:w="1359" w:type="dxa"/>
            <w:tcBorders>
              <w:top w:val="single" w:color="000000" w:sz="4" w:space="0"/>
              <w:left w:val="single" w:color="000000" w:sz="4" w:space="0"/>
              <w:bottom w:val="single" w:color="000000" w:sz="4" w:space="0"/>
              <w:right w:val="single" w:color="000000" w:sz="4" w:space="0"/>
            </w:tcBorders>
          </w:tcPr>
          <w:p w14:paraId="4651C083">
            <w:pPr>
              <w:spacing w:after="0" w:line="259" w:lineRule="auto"/>
              <w:ind w:left="39" w:firstLine="0"/>
              <w:jc w:val="left"/>
              <w:rPr>
                <w:bCs/>
                <w:sz w:val="22"/>
                <w:szCs w:val="22"/>
              </w:rPr>
            </w:pPr>
            <w:r>
              <w:rPr>
                <w:bCs/>
                <w:sz w:val="22"/>
                <w:szCs w:val="22"/>
              </w:rPr>
              <w:t xml:space="preserve">05 July 2021 </w:t>
            </w:r>
          </w:p>
        </w:tc>
        <w:tc>
          <w:tcPr>
            <w:tcW w:w="1318" w:type="dxa"/>
            <w:tcBorders>
              <w:top w:val="single" w:color="000000" w:sz="4" w:space="0"/>
              <w:left w:val="single" w:color="000000" w:sz="4" w:space="0"/>
              <w:bottom w:val="single" w:color="000000" w:sz="4" w:space="0"/>
              <w:right w:val="single" w:color="000000" w:sz="4" w:space="0"/>
            </w:tcBorders>
          </w:tcPr>
          <w:p w14:paraId="49534984">
            <w:pPr>
              <w:spacing w:after="0" w:line="259" w:lineRule="auto"/>
              <w:jc w:val="left"/>
              <w:rPr>
                <w:bCs/>
                <w:sz w:val="22"/>
                <w:szCs w:val="22"/>
              </w:rPr>
            </w:pPr>
            <w:r>
              <w:rPr>
                <w:bCs/>
                <w:sz w:val="22"/>
                <w:szCs w:val="22"/>
              </w:rPr>
              <w:t>23 june 2024</w:t>
            </w:r>
          </w:p>
        </w:tc>
      </w:tr>
      <w:tr w14:paraId="60A05306">
        <w:tblPrEx>
          <w:tblCellMar>
            <w:top w:w="7" w:type="dxa"/>
            <w:left w:w="108" w:type="dxa"/>
            <w:bottom w:w="0" w:type="dxa"/>
            <w:right w:w="77" w:type="dxa"/>
          </w:tblCellMar>
        </w:tblPrEx>
        <w:trPr>
          <w:trHeight w:val="288" w:hRule="atLeast"/>
        </w:trPr>
        <w:tc>
          <w:tcPr>
            <w:tcW w:w="545" w:type="dxa"/>
            <w:tcBorders>
              <w:top w:val="single" w:color="000000" w:sz="4" w:space="0"/>
              <w:left w:val="single" w:color="000000" w:sz="4" w:space="0"/>
              <w:bottom w:val="single" w:color="000000" w:sz="4" w:space="0"/>
              <w:right w:val="single" w:color="000000" w:sz="4" w:space="0"/>
            </w:tcBorders>
          </w:tcPr>
          <w:p w14:paraId="53D62FAF">
            <w:pPr>
              <w:spacing w:after="0" w:line="259" w:lineRule="auto"/>
              <w:ind w:left="0" w:firstLine="0"/>
              <w:jc w:val="left"/>
              <w:rPr>
                <w:sz w:val="22"/>
                <w:szCs w:val="22"/>
              </w:rPr>
            </w:pPr>
            <w:r>
              <w:rPr>
                <w:sz w:val="22"/>
                <w:szCs w:val="22"/>
              </w:rPr>
              <w:t xml:space="preserve">10 </w:t>
            </w:r>
          </w:p>
        </w:tc>
        <w:tc>
          <w:tcPr>
            <w:tcW w:w="6087" w:type="dxa"/>
            <w:tcBorders>
              <w:top w:val="single" w:color="000000" w:sz="4" w:space="0"/>
              <w:left w:val="single" w:color="000000" w:sz="4" w:space="0"/>
              <w:bottom w:val="single" w:color="000000" w:sz="4" w:space="0"/>
              <w:right w:val="single" w:color="000000" w:sz="4" w:space="0"/>
            </w:tcBorders>
          </w:tcPr>
          <w:p w14:paraId="5AF03ADE">
            <w:pPr>
              <w:spacing w:after="0" w:line="259" w:lineRule="auto"/>
              <w:ind w:left="0" w:firstLine="0"/>
              <w:jc w:val="left"/>
              <w:rPr>
                <w:sz w:val="22"/>
                <w:szCs w:val="22"/>
              </w:rPr>
            </w:pPr>
            <w:r>
              <w:rPr>
                <w:b/>
                <w:sz w:val="22"/>
                <w:szCs w:val="22"/>
              </w:rPr>
              <w:t xml:space="preserve">General Waker-Uz-Zaman, </w:t>
            </w:r>
            <w:r>
              <w:rPr>
                <w:bCs/>
                <w:sz w:val="22"/>
                <w:szCs w:val="22"/>
              </w:rPr>
              <w:t>sbp</w:t>
            </w:r>
            <w:r>
              <w:rPr>
                <w:b/>
                <w:sz w:val="22"/>
                <w:szCs w:val="22"/>
              </w:rPr>
              <w:t xml:space="preserve"> </w:t>
            </w:r>
            <w:r>
              <w:rPr>
                <w:sz w:val="22"/>
                <w:szCs w:val="22"/>
              </w:rPr>
              <w:t xml:space="preserve">OSP, sgp, psc </w:t>
            </w:r>
          </w:p>
        </w:tc>
        <w:tc>
          <w:tcPr>
            <w:tcW w:w="1359" w:type="dxa"/>
            <w:tcBorders>
              <w:top w:val="single" w:color="000000" w:sz="4" w:space="0"/>
              <w:left w:val="single" w:color="000000" w:sz="4" w:space="0"/>
              <w:bottom w:val="single" w:color="000000" w:sz="4" w:space="0"/>
              <w:right w:val="single" w:color="000000" w:sz="4" w:space="0"/>
            </w:tcBorders>
          </w:tcPr>
          <w:p w14:paraId="4D0F3EE0">
            <w:pPr>
              <w:spacing w:after="0" w:line="259" w:lineRule="auto"/>
              <w:jc w:val="left"/>
              <w:rPr>
                <w:bCs/>
                <w:sz w:val="22"/>
                <w:szCs w:val="22"/>
              </w:rPr>
            </w:pPr>
            <w:r>
              <w:rPr>
                <w:bCs/>
                <w:sz w:val="22"/>
                <w:szCs w:val="22"/>
              </w:rPr>
              <w:t xml:space="preserve">24 June 2021 </w:t>
            </w:r>
          </w:p>
        </w:tc>
        <w:tc>
          <w:tcPr>
            <w:tcW w:w="1318" w:type="dxa"/>
            <w:tcBorders>
              <w:top w:val="single" w:color="000000" w:sz="4" w:space="0"/>
              <w:left w:val="single" w:color="000000" w:sz="4" w:space="0"/>
              <w:bottom w:val="single" w:color="000000" w:sz="4" w:space="0"/>
              <w:right w:val="single" w:color="000000" w:sz="4" w:space="0"/>
            </w:tcBorders>
          </w:tcPr>
          <w:p w14:paraId="5CEBE440">
            <w:pPr>
              <w:spacing w:after="0" w:line="259" w:lineRule="auto"/>
              <w:ind w:left="0" w:right="35" w:firstLine="0"/>
              <w:jc w:val="center"/>
              <w:rPr>
                <w:bCs/>
                <w:sz w:val="22"/>
                <w:szCs w:val="22"/>
              </w:rPr>
            </w:pPr>
            <w:r>
              <w:rPr>
                <w:bCs/>
                <w:sz w:val="22"/>
                <w:szCs w:val="22"/>
              </w:rPr>
              <w:t>-------</w:t>
            </w:r>
          </w:p>
        </w:tc>
      </w:tr>
    </w:tbl>
    <w:p w14:paraId="17F3EDF5">
      <w:pPr>
        <w:pStyle w:val="35"/>
        <w:spacing w:after="18" w:line="259" w:lineRule="auto"/>
        <w:ind w:left="992" w:firstLine="0"/>
        <w:jc w:val="left"/>
        <w:rPr>
          <w:b/>
          <w:sz w:val="22"/>
          <w:szCs w:val="22"/>
        </w:rPr>
      </w:pPr>
    </w:p>
    <w:p w14:paraId="095CFC06">
      <w:pPr>
        <w:pStyle w:val="4"/>
        <w:rPr>
          <w:rFonts w:eastAsia="Times New Roman"/>
        </w:rPr>
      </w:pPr>
      <w:bookmarkStart w:id="19" w:name="_Toc204820961"/>
      <w:r>
        <w:rPr>
          <w:rFonts w:eastAsia="Times New Roman"/>
        </w:rPr>
        <w:t>2.1.2 Products and Services of Trust Bank Limited</w:t>
      </w:r>
      <w:bookmarkEnd w:id="19"/>
      <w:r>
        <w:rPr>
          <w:rFonts w:eastAsia="Times New Roman"/>
        </w:rPr>
        <w:t xml:space="preserve"> </w:t>
      </w:r>
    </w:p>
    <w:tbl>
      <w:tblPr>
        <w:tblStyle w:val="40"/>
        <w:tblW w:w="8522" w:type="dxa"/>
        <w:tblInd w:w="-108" w:type="dxa"/>
        <w:tblLayout w:type="autofit"/>
        <w:tblCellMar>
          <w:top w:w="14" w:type="dxa"/>
          <w:left w:w="107" w:type="dxa"/>
          <w:bottom w:w="0" w:type="dxa"/>
          <w:right w:w="115" w:type="dxa"/>
        </w:tblCellMar>
      </w:tblPr>
      <w:tblGrid>
        <w:gridCol w:w="4261"/>
        <w:gridCol w:w="4261"/>
      </w:tblGrid>
      <w:tr w14:paraId="782E2DAF">
        <w:tblPrEx>
          <w:tblCellMar>
            <w:top w:w="14" w:type="dxa"/>
            <w:left w:w="107" w:type="dxa"/>
            <w:bottom w:w="0" w:type="dxa"/>
            <w:right w:w="115" w:type="dxa"/>
          </w:tblCellMar>
        </w:tblPrEx>
        <w:trPr>
          <w:trHeight w:val="9117" w:hRule="atLeast"/>
        </w:trPr>
        <w:tc>
          <w:tcPr>
            <w:tcW w:w="4261" w:type="dxa"/>
            <w:tcBorders>
              <w:top w:val="single" w:color="000000" w:sz="4" w:space="0"/>
              <w:left w:val="single" w:color="000000" w:sz="4" w:space="0"/>
              <w:bottom w:val="single" w:color="000000" w:sz="4" w:space="0"/>
              <w:right w:val="single" w:color="000000" w:sz="4" w:space="0"/>
            </w:tcBorders>
          </w:tcPr>
          <w:p w14:paraId="1D484E68">
            <w:pPr>
              <w:spacing w:after="121" w:line="259" w:lineRule="auto"/>
              <w:ind w:left="1" w:right="0" w:firstLine="0"/>
              <w:jc w:val="left"/>
              <w:rPr>
                <w:sz w:val="22"/>
                <w:szCs w:val="22"/>
              </w:rPr>
            </w:pPr>
            <w:r>
              <w:rPr>
                <w:b/>
                <w:sz w:val="22"/>
                <w:szCs w:val="22"/>
              </w:rPr>
              <w:t>Retail Deposit products</w:t>
            </w:r>
          </w:p>
          <w:p w14:paraId="79F4B129">
            <w:pPr>
              <w:numPr>
                <w:ilvl w:val="0"/>
                <w:numId w:val="7"/>
              </w:numPr>
              <w:spacing w:after="121" w:line="259" w:lineRule="auto"/>
              <w:ind w:right="0" w:hanging="420"/>
              <w:jc w:val="left"/>
              <w:rPr>
                <w:sz w:val="22"/>
                <w:szCs w:val="22"/>
              </w:rPr>
            </w:pPr>
            <w:r>
              <w:rPr>
                <w:sz w:val="22"/>
                <w:szCs w:val="22"/>
              </w:rPr>
              <w:t>Savings Account</w:t>
            </w:r>
          </w:p>
          <w:p w14:paraId="3B3D79BD">
            <w:pPr>
              <w:numPr>
                <w:ilvl w:val="0"/>
                <w:numId w:val="7"/>
              </w:numPr>
              <w:spacing w:after="123" w:line="259" w:lineRule="auto"/>
              <w:ind w:right="0" w:hanging="420"/>
              <w:jc w:val="left"/>
              <w:rPr>
                <w:sz w:val="22"/>
                <w:szCs w:val="22"/>
              </w:rPr>
            </w:pPr>
            <w:r>
              <w:rPr>
                <w:sz w:val="22"/>
                <w:szCs w:val="22"/>
              </w:rPr>
              <w:t>Trust Unfixed Deposits</w:t>
            </w:r>
          </w:p>
          <w:p w14:paraId="40742DA3">
            <w:pPr>
              <w:numPr>
                <w:ilvl w:val="0"/>
                <w:numId w:val="7"/>
              </w:numPr>
              <w:spacing w:after="121" w:line="259" w:lineRule="auto"/>
              <w:ind w:right="0" w:hanging="420"/>
              <w:jc w:val="left"/>
              <w:rPr>
                <w:sz w:val="22"/>
                <w:szCs w:val="22"/>
              </w:rPr>
            </w:pPr>
            <w:r>
              <w:rPr>
                <w:sz w:val="22"/>
                <w:szCs w:val="22"/>
              </w:rPr>
              <w:t>Fixed Deposit Scheme</w:t>
            </w:r>
          </w:p>
          <w:p w14:paraId="4407A839">
            <w:pPr>
              <w:numPr>
                <w:ilvl w:val="0"/>
                <w:numId w:val="7"/>
              </w:numPr>
              <w:spacing w:after="123" w:line="259" w:lineRule="auto"/>
              <w:ind w:right="0" w:hanging="420"/>
              <w:jc w:val="left"/>
              <w:rPr>
                <w:sz w:val="22"/>
                <w:szCs w:val="22"/>
              </w:rPr>
            </w:pPr>
            <w:r>
              <w:rPr>
                <w:sz w:val="22"/>
                <w:szCs w:val="22"/>
              </w:rPr>
              <w:t>Current Account</w:t>
            </w:r>
          </w:p>
          <w:p w14:paraId="74CD5CA9">
            <w:pPr>
              <w:numPr>
                <w:ilvl w:val="0"/>
                <w:numId w:val="7"/>
              </w:numPr>
              <w:spacing w:after="121" w:line="259" w:lineRule="auto"/>
              <w:ind w:right="0" w:hanging="420"/>
              <w:jc w:val="left"/>
              <w:rPr>
                <w:sz w:val="22"/>
                <w:szCs w:val="22"/>
              </w:rPr>
            </w:pPr>
            <w:r>
              <w:rPr>
                <w:sz w:val="22"/>
                <w:szCs w:val="22"/>
              </w:rPr>
              <w:t>Special Notice Deposit 18</w:t>
            </w:r>
          </w:p>
          <w:p w14:paraId="0568A3F4">
            <w:pPr>
              <w:numPr>
                <w:ilvl w:val="0"/>
                <w:numId w:val="7"/>
              </w:numPr>
              <w:spacing w:after="123" w:line="259" w:lineRule="auto"/>
              <w:ind w:right="0" w:hanging="420"/>
              <w:jc w:val="left"/>
              <w:rPr>
                <w:sz w:val="22"/>
                <w:szCs w:val="22"/>
              </w:rPr>
            </w:pPr>
            <w:r>
              <w:rPr>
                <w:sz w:val="22"/>
                <w:szCs w:val="22"/>
              </w:rPr>
              <w:t>Trust Smart Savers Scheme</w:t>
            </w:r>
          </w:p>
          <w:p w14:paraId="1A667221">
            <w:pPr>
              <w:numPr>
                <w:ilvl w:val="0"/>
                <w:numId w:val="7"/>
              </w:numPr>
              <w:spacing w:after="121" w:line="259" w:lineRule="auto"/>
              <w:ind w:right="0" w:hanging="420"/>
              <w:jc w:val="left"/>
              <w:rPr>
                <w:sz w:val="22"/>
                <w:szCs w:val="22"/>
              </w:rPr>
            </w:pPr>
            <w:r>
              <w:rPr>
                <w:sz w:val="22"/>
                <w:szCs w:val="22"/>
              </w:rPr>
              <w:t>Trust Maximill Deposit Account</w:t>
            </w:r>
          </w:p>
          <w:p w14:paraId="67350F16">
            <w:pPr>
              <w:numPr>
                <w:ilvl w:val="0"/>
                <w:numId w:val="7"/>
              </w:numPr>
              <w:spacing w:after="123" w:line="259" w:lineRule="auto"/>
              <w:ind w:right="0" w:hanging="420"/>
              <w:jc w:val="left"/>
              <w:rPr>
                <w:sz w:val="22"/>
                <w:szCs w:val="22"/>
              </w:rPr>
            </w:pPr>
            <w:r>
              <w:rPr>
                <w:sz w:val="22"/>
                <w:szCs w:val="22"/>
              </w:rPr>
              <w:t>Lakhopoti Scheme</w:t>
            </w:r>
          </w:p>
          <w:p w14:paraId="7990BA8C">
            <w:pPr>
              <w:numPr>
                <w:ilvl w:val="0"/>
                <w:numId w:val="7"/>
              </w:numPr>
              <w:spacing w:after="121" w:line="259" w:lineRule="auto"/>
              <w:ind w:right="0" w:hanging="420"/>
              <w:jc w:val="left"/>
              <w:rPr>
                <w:sz w:val="22"/>
                <w:szCs w:val="22"/>
              </w:rPr>
            </w:pPr>
            <w:r>
              <w:rPr>
                <w:sz w:val="22"/>
                <w:szCs w:val="22"/>
              </w:rPr>
              <w:t>Trust Assurance Deposit Scheme</w:t>
            </w:r>
          </w:p>
          <w:p w14:paraId="40517ADB">
            <w:pPr>
              <w:numPr>
                <w:ilvl w:val="0"/>
                <w:numId w:val="7"/>
              </w:numPr>
              <w:spacing w:after="123" w:line="259" w:lineRule="auto"/>
              <w:ind w:right="0" w:hanging="420"/>
              <w:jc w:val="left"/>
              <w:rPr>
                <w:sz w:val="22"/>
                <w:szCs w:val="22"/>
              </w:rPr>
            </w:pPr>
            <w:r>
              <w:rPr>
                <w:sz w:val="22"/>
                <w:szCs w:val="22"/>
              </w:rPr>
              <w:t>Trust Money Double Scheme</w:t>
            </w:r>
          </w:p>
          <w:p w14:paraId="10E2EFEA">
            <w:pPr>
              <w:numPr>
                <w:ilvl w:val="0"/>
                <w:numId w:val="7"/>
              </w:numPr>
              <w:spacing w:after="121" w:line="259" w:lineRule="auto"/>
              <w:ind w:right="0" w:hanging="420"/>
              <w:jc w:val="left"/>
              <w:rPr>
                <w:sz w:val="22"/>
                <w:szCs w:val="22"/>
              </w:rPr>
            </w:pPr>
            <w:r>
              <w:rPr>
                <w:sz w:val="22"/>
                <w:szCs w:val="22"/>
              </w:rPr>
              <w:t>Trust Echo</w:t>
            </w:r>
          </w:p>
          <w:p w14:paraId="6D1A9B01">
            <w:pPr>
              <w:numPr>
                <w:ilvl w:val="0"/>
                <w:numId w:val="7"/>
              </w:numPr>
              <w:spacing w:after="123" w:line="259" w:lineRule="auto"/>
              <w:ind w:right="0" w:hanging="420"/>
              <w:jc w:val="left"/>
              <w:rPr>
                <w:sz w:val="22"/>
                <w:szCs w:val="22"/>
              </w:rPr>
            </w:pPr>
            <w:r>
              <w:rPr>
                <w:sz w:val="22"/>
                <w:szCs w:val="22"/>
              </w:rPr>
              <w:t>Trust Jhinuk</w:t>
            </w:r>
          </w:p>
          <w:p w14:paraId="30B95BA4">
            <w:pPr>
              <w:numPr>
                <w:ilvl w:val="0"/>
                <w:numId w:val="7"/>
              </w:numPr>
              <w:spacing w:after="121" w:line="259" w:lineRule="auto"/>
              <w:ind w:right="0" w:hanging="420"/>
              <w:jc w:val="left"/>
              <w:rPr>
                <w:sz w:val="22"/>
                <w:szCs w:val="22"/>
              </w:rPr>
            </w:pPr>
            <w:r>
              <w:rPr>
                <w:sz w:val="22"/>
                <w:szCs w:val="22"/>
              </w:rPr>
              <w:t>Trust Kotipoti Scheme</w:t>
            </w:r>
          </w:p>
          <w:p w14:paraId="51FD7A2B">
            <w:pPr>
              <w:numPr>
                <w:ilvl w:val="0"/>
                <w:numId w:val="7"/>
              </w:numPr>
              <w:spacing w:after="123" w:line="259" w:lineRule="auto"/>
              <w:ind w:right="0" w:hanging="420"/>
              <w:jc w:val="left"/>
              <w:rPr>
                <w:sz w:val="22"/>
                <w:szCs w:val="22"/>
              </w:rPr>
            </w:pPr>
            <w:r>
              <w:rPr>
                <w:sz w:val="22"/>
                <w:szCs w:val="22"/>
              </w:rPr>
              <w:t>Trust Kotipoti Plus</w:t>
            </w:r>
          </w:p>
          <w:p w14:paraId="0444AA6D">
            <w:pPr>
              <w:numPr>
                <w:ilvl w:val="0"/>
                <w:numId w:val="7"/>
              </w:numPr>
              <w:spacing w:after="121" w:line="259" w:lineRule="auto"/>
              <w:ind w:right="0" w:hanging="420"/>
              <w:jc w:val="left"/>
              <w:rPr>
                <w:sz w:val="22"/>
                <w:szCs w:val="22"/>
              </w:rPr>
            </w:pPr>
            <w:r>
              <w:rPr>
                <w:sz w:val="22"/>
                <w:szCs w:val="22"/>
              </w:rPr>
              <w:t>Trust Porua Account</w:t>
            </w:r>
          </w:p>
          <w:p w14:paraId="594AD32A">
            <w:pPr>
              <w:numPr>
                <w:ilvl w:val="0"/>
                <w:numId w:val="7"/>
              </w:numPr>
              <w:spacing w:after="123" w:line="259" w:lineRule="auto"/>
              <w:ind w:right="0" w:hanging="420"/>
              <w:jc w:val="left"/>
              <w:rPr>
                <w:sz w:val="22"/>
                <w:szCs w:val="22"/>
              </w:rPr>
            </w:pPr>
            <w:r>
              <w:rPr>
                <w:sz w:val="22"/>
                <w:szCs w:val="22"/>
              </w:rPr>
              <w:t>Trust Shohopathi Account</w:t>
            </w:r>
          </w:p>
          <w:p w14:paraId="2693DB9C">
            <w:pPr>
              <w:numPr>
                <w:ilvl w:val="0"/>
                <w:numId w:val="7"/>
              </w:numPr>
              <w:spacing w:after="121" w:line="259" w:lineRule="auto"/>
              <w:ind w:right="0" w:hanging="420"/>
              <w:jc w:val="left"/>
              <w:rPr>
                <w:sz w:val="22"/>
                <w:szCs w:val="22"/>
              </w:rPr>
            </w:pPr>
            <w:r>
              <w:rPr>
                <w:sz w:val="22"/>
                <w:szCs w:val="22"/>
              </w:rPr>
              <w:t>Trust Student DPS</w:t>
            </w:r>
          </w:p>
          <w:p w14:paraId="115CB1FD">
            <w:pPr>
              <w:numPr>
                <w:ilvl w:val="0"/>
                <w:numId w:val="7"/>
              </w:numPr>
              <w:spacing w:after="123" w:line="259" w:lineRule="auto"/>
              <w:ind w:right="0" w:hanging="420"/>
              <w:jc w:val="left"/>
              <w:rPr>
                <w:sz w:val="22"/>
                <w:szCs w:val="22"/>
              </w:rPr>
            </w:pPr>
            <w:r>
              <w:rPr>
                <w:sz w:val="22"/>
                <w:szCs w:val="22"/>
              </w:rPr>
              <w:t>Trust Youth Account</w:t>
            </w:r>
          </w:p>
          <w:p w14:paraId="2C24E0DF">
            <w:pPr>
              <w:numPr>
                <w:ilvl w:val="0"/>
                <w:numId w:val="7"/>
              </w:numPr>
              <w:spacing w:after="121" w:line="259" w:lineRule="auto"/>
              <w:ind w:right="0" w:hanging="420"/>
              <w:jc w:val="left"/>
              <w:rPr>
                <w:sz w:val="22"/>
                <w:szCs w:val="22"/>
              </w:rPr>
            </w:pPr>
            <w:r>
              <w:rPr>
                <w:sz w:val="22"/>
                <w:szCs w:val="22"/>
              </w:rPr>
              <w:t>Trust Payroll Account</w:t>
            </w:r>
          </w:p>
          <w:p w14:paraId="1DD39A10">
            <w:pPr>
              <w:numPr>
                <w:ilvl w:val="0"/>
                <w:numId w:val="7"/>
              </w:numPr>
              <w:spacing w:after="123" w:line="259" w:lineRule="auto"/>
              <w:ind w:right="0" w:hanging="420"/>
              <w:jc w:val="left"/>
              <w:rPr>
                <w:sz w:val="22"/>
                <w:szCs w:val="22"/>
              </w:rPr>
            </w:pPr>
            <w:r>
              <w:rPr>
                <w:sz w:val="22"/>
                <w:szCs w:val="22"/>
              </w:rPr>
              <w:t>Trust Sristi</w:t>
            </w:r>
          </w:p>
          <w:p w14:paraId="59CA237D">
            <w:pPr>
              <w:numPr>
                <w:ilvl w:val="0"/>
                <w:numId w:val="7"/>
              </w:numPr>
              <w:spacing w:after="0" w:line="259" w:lineRule="auto"/>
              <w:ind w:right="0" w:hanging="420"/>
              <w:jc w:val="left"/>
              <w:rPr>
                <w:sz w:val="22"/>
                <w:szCs w:val="22"/>
              </w:rPr>
            </w:pPr>
            <w:r>
              <w:rPr>
                <w:sz w:val="22"/>
                <w:szCs w:val="22"/>
              </w:rPr>
              <w:t>Trust Seniors Account</w:t>
            </w:r>
          </w:p>
        </w:tc>
        <w:tc>
          <w:tcPr>
            <w:tcW w:w="4261" w:type="dxa"/>
            <w:tcBorders>
              <w:top w:val="single" w:color="000000" w:sz="4" w:space="0"/>
              <w:left w:val="single" w:color="000000" w:sz="4" w:space="0"/>
              <w:bottom w:val="single" w:color="000000" w:sz="4" w:space="0"/>
              <w:right w:val="single" w:color="000000" w:sz="4" w:space="0"/>
            </w:tcBorders>
          </w:tcPr>
          <w:p w14:paraId="3AC05DC8">
            <w:pPr>
              <w:spacing w:after="121" w:line="259" w:lineRule="auto"/>
              <w:ind w:left="0" w:right="0" w:firstLine="0"/>
              <w:jc w:val="left"/>
              <w:rPr>
                <w:sz w:val="22"/>
                <w:szCs w:val="22"/>
              </w:rPr>
            </w:pPr>
            <w:r>
              <w:rPr>
                <w:b/>
                <w:sz w:val="22"/>
                <w:szCs w:val="22"/>
              </w:rPr>
              <w:t>Retail Loan Products</w:t>
            </w:r>
          </w:p>
          <w:p w14:paraId="00DAA6AA">
            <w:pPr>
              <w:numPr>
                <w:ilvl w:val="0"/>
                <w:numId w:val="8"/>
              </w:numPr>
              <w:spacing w:after="121" w:line="259" w:lineRule="auto"/>
              <w:ind w:right="0" w:hanging="420"/>
              <w:jc w:val="left"/>
              <w:rPr>
                <w:sz w:val="22"/>
                <w:szCs w:val="22"/>
              </w:rPr>
            </w:pPr>
            <w:r>
              <w:rPr>
                <w:sz w:val="22"/>
                <w:szCs w:val="22"/>
              </w:rPr>
              <w:t>Apon Nibash Loan</w:t>
            </w:r>
          </w:p>
          <w:p w14:paraId="5F38758A">
            <w:pPr>
              <w:numPr>
                <w:ilvl w:val="0"/>
                <w:numId w:val="8"/>
              </w:numPr>
              <w:spacing w:after="123" w:line="259" w:lineRule="auto"/>
              <w:ind w:right="0" w:hanging="420"/>
              <w:jc w:val="left"/>
              <w:rPr>
                <w:sz w:val="22"/>
                <w:szCs w:val="22"/>
              </w:rPr>
            </w:pPr>
            <w:r>
              <w:rPr>
                <w:sz w:val="22"/>
                <w:szCs w:val="22"/>
              </w:rPr>
              <w:t>Car Loan</w:t>
            </w:r>
          </w:p>
          <w:p w14:paraId="1402084D">
            <w:pPr>
              <w:numPr>
                <w:ilvl w:val="0"/>
                <w:numId w:val="8"/>
              </w:numPr>
              <w:spacing w:after="121" w:line="259" w:lineRule="auto"/>
              <w:ind w:right="0" w:hanging="420"/>
              <w:jc w:val="left"/>
              <w:rPr>
                <w:sz w:val="22"/>
                <w:szCs w:val="22"/>
              </w:rPr>
            </w:pPr>
            <w:r>
              <w:rPr>
                <w:sz w:val="22"/>
                <w:szCs w:val="22"/>
              </w:rPr>
              <w:t>Doctor’s Loan</w:t>
            </w:r>
          </w:p>
          <w:p w14:paraId="2D0536C2">
            <w:pPr>
              <w:numPr>
                <w:ilvl w:val="0"/>
                <w:numId w:val="8"/>
              </w:numPr>
              <w:spacing w:after="123" w:line="259" w:lineRule="auto"/>
              <w:ind w:right="0" w:hanging="420"/>
              <w:jc w:val="left"/>
              <w:rPr>
                <w:sz w:val="22"/>
                <w:szCs w:val="22"/>
              </w:rPr>
            </w:pPr>
            <w:r>
              <w:rPr>
                <w:sz w:val="22"/>
                <w:szCs w:val="22"/>
              </w:rPr>
              <w:t>Loan Against Salary</w:t>
            </w:r>
          </w:p>
          <w:p w14:paraId="3C128093">
            <w:pPr>
              <w:numPr>
                <w:ilvl w:val="0"/>
                <w:numId w:val="8"/>
              </w:numPr>
              <w:spacing w:after="121" w:line="259" w:lineRule="auto"/>
              <w:ind w:right="0" w:hanging="420"/>
              <w:jc w:val="left"/>
              <w:rPr>
                <w:sz w:val="22"/>
                <w:szCs w:val="22"/>
              </w:rPr>
            </w:pPr>
            <w:r>
              <w:rPr>
                <w:sz w:val="22"/>
                <w:szCs w:val="22"/>
              </w:rPr>
              <w:t>Personal Loan</w:t>
            </w:r>
          </w:p>
          <w:p w14:paraId="2CDB67E9">
            <w:pPr>
              <w:numPr>
                <w:ilvl w:val="0"/>
                <w:numId w:val="8"/>
              </w:numPr>
              <w:spacing w:after="0" w:line="259" w:lineRule="auto"/>
              <w:ind w:right="0" w:hanging="420"/>
              <w:jc w:val="left"/>
              <w:rPr>
                <w:sz w:val="22"/>
                <w:szCs w:val="22"/>
              </w:rPr>
            </w:pPr>
            <w:r>
              <w:rPr>
                <w:sz w:val="22"/>
                <w:szCs w:val="22"/>
              </w:rPr>
              <w:t>Student loan</w:t>
            </w:r>
          </w:p>
        </w:tc>
      </w:tr>
      <w:tr w14:paraId="17B5A63D">
        <w:tblPrEx>
          <w:tblCellMar>
            <w:top w:w="14" w:type="dxa"/>
            <w:left w:w="107" w:type="dxa"/>
            <w:bottom w:w="0" w:type="dxa"/>
            <w:right w:w="115" w:type="dxa"/>
          </w:tblCellMar>
        </w:tblPrEx>
        <w:trPr>
          <w:trHeight w:val="2080" w:hRule="atLeast"/>
        </w:trPr>
        <w:tc>
          <w:tcPr>
            <w:tcW w:w="4261" w:type="dxa"/>
            <w:tcBorders>
              <w:top w:val="single" w:color="000000" w:sz="4" w:space="0"/>
              <w:left w:val="single" w:color="000000" w:sz="4" w:space="0"/>
              <w:bottom w:val="single" w:color="000000" w:sz="4" w:space="0"/>
              <w:right w:val="nil"/>
            </w:tcBorders>
          </w:tcPr>
          <w:p w14:paraId="1E9B7CD3">
            <w:pPr>
              <w:spacing w:after="122" w:line="259" w:lineRule="auto"/>
              <w:ind w:left="1" w:right="0" w:firstLine="0"/>
              <w:jc w:val="left"/>
              <w:rPr>
                <w:sz w:val="22"/>
                <w:szCs w:val="22"/>
              </w:rPr>
            </w:pPr>
            <w:r>
              <w:rPr>
                <w:b/>
                <w:sz w:val="22"/>
                <w:szCs w:val="22"/>
              </w:rPr>
              <w:t>SME Banking Products</w:t>
            </w:r>
          </w:p>
          <w:p w14:paraId="4E107402">
            <w:pPr>
              <w:pStyle w:val="35"/>
              <w:numPr>
                <w:ilvl w:val="0"/>
                <w:numId w:val="9"/>
              </w:numPr>
              <w:spacing w:after="127" w:line="259" w:lineRule="auto"/>
              <w:ind w:right="0"/>
              <w:jc w:val="left"/>
              <w:rPr>
                <w:sz w:val="22"/>
                <w:szCs w:val="22"/>
              </w:rPr>
            </w:pPr>
            <w:r>
              <w:rPr>
                <w:sz w:val="22"/>
                <w:szCs w:val="22"/>
              </w:rPr>
              <w:t>Agriculture Loans</w:t>
            </w:r>
          </w:p>
          <w:p w14:paraId="683F43E5">
            <w:pPr>
              <w:pStyle w:val="35"/>
              <w:numPr>
                <w:ilvl w:val="0"/>
                <w:numId w:val="9"/>
              </w:numPr>
              <w:spacing w:after="126" w:line="259" w:lineRule="auto"/>
              <w:ind w:right="0"/>
              <w:jc w:val="left"/>
              <w:rPr>
                <w:sz w:val="22"/>
                <w:szCs w:val="22"/>
              </w:rPr>
            </w:pPr>
            <w:r>
              <w:rPr>
                <w:sz w:val="22"/>
                <w:szCs w:val="22"/>
              </w:rPr>
              <w:t>Engineering loan</w:t>
            </w:r>
          </w:p>
          <w:p w14:paraId="5E1C99DB">
            <w:pPr>
              <w:pStyle w:val="35"/>
              <w:numPr>
                <w:ilvl w:val="0"/>
                <w:numId w:val="9"/>
              </w:numPr>
              <w:spacing w:after="124" w:line="259" w:lineRule="auto"/>
              <w:ind w:right="0"/>
              <w:jc w:val="left"/>
              <w:rPr>
                <w:sz w:val="22"/>
                <w:szCs w:val="22"/>
              </w:rPr>
            </w:pPr>
            <w:r>
              <w:rPr>
                <w:sz w:val="22"/>
                <w:szCs w:val="22"/>
              </w:rPr>
              <w:t>Entrepreneur loans</w:t>
            </w:r>
          </w:p>
          <w:p w14:paraId="0A475575">
            <w:pPr>
              <w:pStyle w:val="35"/>
              <w:numPr>
                <w:ilvl w:val="0"/>
                <w:numId w:val="9"/>
              </w:numPr>
              <w:spacing w:after="0" w:line="259" w:lineRule="auto"/>
              <w:ind w:right="0"/>
              <w:jc w:val="left"/>
              <w:rPr>
                <w:sz w:val="22"/>
                <w:szCs w:val="22"/>
              </w:rPr>
            </w:pPr>
            <w:r>
              <w:rPr>
                <w:sz w:val="22"/>
                <w:szCs w:val="22"/>
              </w:rPr>
              <w:t>Women Entrepreneur Loans</w:t>
            </w:r>
          </w:p>
        </w:tc>
        <w:tc>
          <w:tcPr>
            <w:tcW w:w="4261" w:type="dxa"/>
            <w:tcBorders>
              <w:top w:val="single" w:color="000000" w:sz="4" w:space="0"/>
              <w:left w:val="nil"/>
              <w:bottom w:val="single" w:color="000000" w:sz="4" w:space="0"/>
              <w:right w:val="single" w:color="000000" w:sz="4" w:space="0"/>
            </w:tcBorders>
          </w:tcPr>
          <w:p w14:paraId="6DA61662">
            <w:pPr>
              <w:spacing w:after="160" w:line="259" w:lineRule="auto"/>
              <w:ind w:left="0" w:right="0" w:firstLine="0"/>
              <w:jc w:val="left"/>
              <w:rPr>
                <w:sz w:val="22"/>
                <w:szCs w:val="22"/>
              </w:rPr>
            </w:pPr>
          </w:p>
        </w:tc>
      </w:tr>
      <w:tr w14:paraId="291E6DE8">
        <w:tblPrEx>
          <w:tblCellMar>
            <w:top w:w="14" w:type="dxa"/>
            <w:left w:w="107" w:type="dxa"/>
            <w:bottom w:w="0" w:type="dxa"/>
            <w:right w:w="115" w:type="dxa"/>
          </w:tblCellMar>
        </w:tblPrEx>
        <w:trPr>
          <w:trHeight w:val="836" w:hRule="atLeast"/>
        </w:trPr>
        <w:tc>
          <w:tcPr>
            <w:tcW w:w="4261" w:type="dxa"/>
            <w:tcBorders>
              <w:top w:val="single" w:color="000000" w:sz="4" w:space="0"/>
              <w:left w:val="single" w:color="000000" w:sz="4" w:space="0"/>
              <w:bottom w:val="single" w:color="000000" w:sz="4" w:space="0"/>
              <w:right w:val="single" w:color="000000" w:sz="4" w:space="0"/>
            </w:tcBorders>
          </w:tcPr>
          <w:p w14:paraId="2EB736B9">
            <w:pPr>
              <w:spacing w:after="123" w:line="259" w:lineRule="auto"/>
              <w:ind w:left="1" w:right="0" w:firstLine="0"/>
              <w:jc w:val="left"/>
              <w:rPr>
                <w:sz w:val="22"/>
                <w:szCs w:val="22"/>
              </w:rPr>
            </w:pPr>
            <w:r>
              <w:rPr>
                <w:b/>
                <w:sz w:val="22"/>
                <w:szCs w:val="22"/>
              </w:rPr>
              <w:t>TBL Debit Cards:</w:t>
            </w:r>
          </w:p>
          <w:p w14:paraId="45BB1266">
            <w:pPr>
              <w:pStyle w:val="35"/>
              <w:numPr>
                <w:ilvl w:val="0"/>
                <w:numId w:val="10"/>
              </w:numPr>
              <w:spacing w:after="0" w:line="259" w:lineRule="auto"/>
              <w:ind w:right="0"/>
              <w:jc w:val="left"/>
              <w:rPr>
                <w:sz w:val="22"/>
                <w:szCs w:val="22"/>
              </w:rPr>
            </w:pPr>
            <w:r>
              <w:rPr>
                <w:sz w:val="22"/>
                <w:szCs w:val="22"/>
              </w:rPr>
              <w:t>Visa Platinum Debit Cards</w:t>
            </w:r>
          </w:p>
        </w:tc>
        <w:tc>
          <w:tcPr>
            <w:tcW w:w="4261" w:type="dxa"/>
            <w:tcBorders>
              <w:top w:val="single" w:color="000000" w:sz="4" w:space="0"/>
              <w:left w:val="single" w:color="000000" w:sz="4" w:space="0"/>
              <w:bottom w:val="single" w:color="000000" w:sz="4" w:space="0"/>
              <w:right w:val="single" w:color="000000" w:sz="4" w:space="0"/>
            </w:tcBorders>
          </w:tcPr>
          <w:p w14:paraId="34BDBFED">
            <w:pPr>
              <w:spacing w:after="126" w:line="259" w:lineRule="auto"/>
              <w:ind w:left="0" w:right="0" w:firstLine="0"/>
              <w:jc w:val="left"/>
              <w:rPr>
                <w:sz w:val="22"/>
                <w:szCs w:val="22"/>
              </w:rPr>
            </w:pPr>
            <w:r>
              <w:rPr>
                <w:b/>
                <w:sz w:val="22"/>
                <w:szCs w:val="22"/>
              </w:rPr>
              <w:t>TBL Credit Cards:</w:t>
            </w:r>
          </w:p>
          <w:p w14:paraId="6E78BE03">
            <w:pPr>
              <w:pStyle w:val="35"/>
              <w:numPr>
                <w:ilvl w:val="0"/>
                <w:numId w:val="10"/>
              </w:numPr>
              <w:spacing w:after="0" w:line="259" w:lineRule="auto"/>
              <w:ind w:right="0"/>
              <w:jc w:val="left"/>
              <w:rPr>
                <w:sz w:val="22"/>
                <w:szCs w:val="22"/>
              </w:rPr>
            </w:pPr>
            <w:r>
              <w:rPr>
                <w:sz w:val="22"/>
                <w:szCs w:val="22"/>
              </w:rPr>
              <w:t>Signature Card</w:t>
            </w:r>
          </w:p>
        </w:tc>
      </w:tr>
      <w:tr w14:paraId="55887107">
        <w:tblPrEx>
          <w:tblCellMar>
            <w:top w:w="14" w:type="dxa"/>
            <w:left w:w="107" w:type="dxa"/>
            <w:bottom w:w="0" w:type="dxa"/>
            <w:right w:w="115" w:type="dxa"/>
          </w:tblCellMar>
        </w:tblPrEx>
        <w:trPr>
          <w:trHeight w:val="1252" w:hRule="atLeast"/>
        </w:trPr>
        <w:tc>
          <w:tcPr>
            <w:tcW w:w="4261" w:type="dxa"/>
            <w:tcBorders>
              <w:top w:val="single" w:color="000000" w:sz="4" w:space="0"/>
              <w:left w:val="single" w:color="000000" w:sz="4" w:space="0"/>
              <w:bottom w:val="single" w:color="000000" w:sz="4" w:space="0"/>
              <w:right w:val="single" w:color="000000" w:sz="4" w:space="0"/>
            </w:tcBorders>
          </w:tcPr>
          <w:p w14:paraId="0F6B17A7">
            <w:pPr>
              <w:spacing w:after="160" w:line="259" w:lineRule="auto"/>
              <w:ind w:left="0" w:right="0" w:firstLine="0"/>
              <w:jc w:val="left"/>
              <w:rPr>
                <w:sz w:val="22"/>
                <w:szCs w:val="22"/>
              </w:rPr>
            </w:pPr>
          </w:p>
        </w:tc>
        <w:tc>
          <w:tcPr>
            <w:tcW w:w="4261" w:type="dxa"/>
            <w:tcBorders>
              <w:top w:val="single" w:color="000000" w:sz="4" w:space="0"/>
              <w:left w:val="single" w:color="000000" w:sz="4" w:space="0"/>
              <w:bottom w:val="single" w:color="000000" w:sz="4" w:space="0"/>
              <w:right w:val="single" w:color="000000" w:sz="4" w:space="0"/>
            </w:tcBorders>
          </w:tcPr>
          <w:p w14:paraId="1A772841">
            <w:pPr>
              <w:pStyle w:val="35"/>
              <w:numPr>
                <w:ilvl w:val="0"/>
                <w:numId w:val="10"/>
              </w:numPr>
              <w:spacing w:after="125" w:line="259" w:lineRule="auto"/>
              <w:ind w:right="0"/>
              <w:jc w:val="left"/>
              <w:rPr>
                <w:sz w:val="22"/>
                <w:szCs w:val="22"/>
              </w:rPr>
            </w:pPr>
            <w:r>
              <w:rPr>
                <w:rFonts w:eastAsia="Calibri"/>
                <w:sz w:val="22"/>
                <w:szCs w:val="22"/>
              </w:rPr>
              <w:t xml:space="preserve"> </w:t>
            </w:r>
            <w:r>
              <w:rPr>
                <w:sz w:val="22"/>
                <w:szCs w:val="22"/>
              </w:rPr>
              <w:t>Platinum Card</w:t>
            </w:r>
          </w:p>
          <w:p w14:paraId="684FFD22">
            <w:pPr>
              <w:pStyle w:val="35"/>
              <w:numPr>
                <w:ilvl w:val="0"/>
                <w:numId w:val="10"/>
              </w:numPr>
              <w:spacing w:after="125" w:line="259" w:lineRule="auto"/>
              <w:ind w:right="0"/>
              <w:jc w:val="left"/>
              <w:rPr>
                <w:sz w:val="22"/>
                <w:szCs w:val="22"/>
              </w:rPr>
            </w:pPr>
            <w:r>
              <w:rPr>
                <w:rFonts w:eastAsia="Calibri"/>
                <w:sz w:val="22"/>
                <w:szCs w:val="22"/>
              </w:rPr>
              <w:t xml:space="preserve"> </w:t>
            </w:r>
            <w:r>
              <w:rPr>
                <w:sz w:val="22"/>
                <w:szCs w:val="22"/>
              </w:rPr>
              <w:t>Visa International Classic</w:t>
            </w:r>
          </w:p>
          <w:p w14:paraId="5FAEF20B">
            <w:pPr>
              <w:pStyle w:val="35"/>
              <w:numPr>
                <w:ilvl w:val="0"/>
                <w:numId w:val="10"/>
              </w:numPr>
              <w:spacing w:after="0" w:line="259" w:lineRule="auto"/>
              <w:ind w:right="0"/>
              <w:jc w:val="left"/>
              <w:rPr>
                <w:sz w:val="22"/>
                <w:szCs w:val="22"/>
              </w:rPr>
            </w:pPr>
            <w:r>
              <w:rPr>
                <w:rFonts w:eastAsia="Calibri"/>
                <w:sz w:val="22"/>
                <w:szCs w:val="22"/>
              </w:rPr>
              <w:t xml:space="preserve"> </w:t>
            </w:r>
            <w:r>
              <w:rPr>
                <w:sz w:val="22"/>
                <w:szCs w:val="22"/>
              </w:rPr>
              <w:t>Visa International Gold</w:t>
            </w:r>
          </w:p>
        </w:tc>
      </w:tr>
      <w:tr w14:paraId="32BD843D">
        <w:tblPrEx>
          <w:tblCellMar>
            <w:top w:w="14" w:type="dxa"/>
            <w:left w:w="107" w:type="dxa"/>
            <w:bottom w:w="0" w:type="dxa"/>
            <w:right w:w="115" w:type="dxa"/>
          </w:tblCellMar>
        </w:tblPrEx>
        <w:trPr>
          <w:trHeight w:val="4564" w:hRule="atLeast"/>
        </w:trPr>
        <w:tc>
          <w:tcPr>
            <w:tcW w:w="8522" w:type="dxa"/>
            <w:gridSpan w:val="2"/>
            <w:tcBorders>
              <w:top w:val="single" w:color="000000" w:sz="4" w:space="0"/>
              <w:left w:val="single" w:color="000000" w:sz="4" w:space="0"/>
              <w:bottom w:val="single" w:color="000000" w:sz="4" w:space="0"/>
              <w:right w:val="single" w:color="000000" w:sz="4" w:space="0"/>
            </w:tcBorders>
          </w:tcPr>
          <w:p w14:paraId="6E64FBFF">
            <w:pPr>
              <w:spacing w:after="123" w:line="259" w:lineRule="auto"/>
              <w:ind w:left="1" w:right="0" w:firstLine="0"/>
              <w:jc w:val="left"/>
              <w:rPr>
                <w:sz w:val="22"/>
                <w:szCs w:val="22"/>
              </w:rPr>
            </w:pPr>
            <w:r>
              <w:rPr>
                <w:b/>
                <w:sz w:val="22"/>
                <w:szCs w:val="22"/>
              </w:rPr>
              <w:t>Islamic Banking</w:t>
            </w:r>
            <w:r>
              <w:rPr>
                <w:sz w:val="22"/>
                <w:szCs w:val="22"/>
              </w:rPr>
              <w:t>:</w:t>
            </w:r>
          </w:p>
          <w:p w14:paraId="33245967">
            <w:pPr>
              <w:pStyle w:val="35"/>
              <w:numPr>
                <w:ilvl w:val="0"/>
                <w:numId w:val="11"/>
              </w:numPr>
              <w:spacing w:after="125" w:line="259" w:lineRule="auto"/>
              <w:ind w:right="0"/>
              <w:jc w:val="left"/>
              <w:rPr>
                <w:sz w:val="22"/>
                <w:szCs w:val="22"/>
              </w:rPr>
            </w:pPr>
            <w:r>
              <w:rPr>
                <w:sz w:val="22"/>
                <w:szCs w:val="22"/>
              </w:rPr>
              <w:t>Al-Wadiah Current Account</w:t>
            </w:r>
          </w:p>
          <w:p w14:paraId="14869053">
            <w:pPr>
              <w:pStyle w:val="35"/>
              <w:numPr>
                <w:ilvl w:val="0"/>
                <w:numId w:val="11"/>
              </w:numPr>
              <w:spacing w:after="123" w:line="259" w:lineRule="auto"/>
              <w:ind w:right="0"/>
              <w:jc w:val="left"/>
              <w:rPr>
                <w:sz w:val="22"/>
                <w:szCs w:val="22"/>
              </w:rPr>
            </w:pPr>
            <w:r>
              <w:rPr>
                <w:sz w:val="22"/>
                <w:szCs w:val="22"/>
              </w:rPr>
              <w:t>Mudaraba Savings Account</w:t>
            </w:r>
          </w:p>
          <w:p w14:paraId="095B73B5">
            <w:pPr>
              <w:pStyle w:val="35"/>
              <w:numPr>
                <w:ilvl w:val="0"/>
                <w:numId w:val="11"/>
              </w:numPr>
              <w:spacing w:after="124" w:line="259" w:lineRule="auto"/>
              <w:ind w:right="0"/>
              <w:jc w:val="left"/>
              <w:rPr>
                <w:sz w:val="22"/>
                <w:szCs w:val="22"/>
              </w:rPr>
            </w:pPr>
            <w:r>
              <w:rPr>
                <w:sz w:val="22"/>
                <w:szCs w:val="22"/>
              </w:rPr>
              <w:t>Mudaraba Short Notice Deposit</w:t>
            </w:r>
          </w:p>
          <w:p w14:paraId="14729909">
            <w:pPr>
              <w:pStyle w:val="35"/>
              <w:numPr>
                <w:ilvl w:val="0"/>
                <w:numId w:val="11"/>
              </w:numPr>
              <w:spacing w:after="125" w:line="259" w:lineRule="auto"/>
              <w:ind w:right="0"/>
              <w:jc w:val="left"/>
              <w:rPr>
                <w:sz w:val="22"/>
                <w:szCs w:val="22"/>
              </w:rPr>
            </w:pPr>
            <w:r>
              <w:rPr>
                <w:sz w:val="22"/>
                <w:szCs w:val="22"/>
              </w:rPr>
              <w:t>TBL Employee Mudaraba Salary Account</w:t>
            </w:r>
          </w:p>
          <w:p w14:paraId="0B659D2E">
            <w:pPr>
              <w:pStyle w:val="35"/>
              <w:numPr>
                <w:ilvl w:val="0"/>
                <w:numId w:val="11"/>
              </w:numPr>
              <w:spacing w:after="124" w:line="259" w:lineRule="auto"/>
              <w:ind w:right="0"/>
              <w:jc w:val="left"/>
              <w:rPr>
                <w:sz w:val="22"/>
                <w:szCs w:val="22"/>
              </w:rPr>
            </w:pPr>
            <w:r>
              <w:rPr>
                <w:sz w:val="22"/>
                <w:szCs w:val="22"/>
              </w:rPr>
              <w:t>TIB Payroll Account</w:t>
            </w:r>
          </w:p>
          <w:p w14:paraId="544B95F2">
            <w:pPr>
              <w:pStyle w:val="35"/>
              <w:numPr>
                <w:ilvl w:val="0"/>
                <w:numId w:val="11"/>
              </w:numPr>
              <w:spacing w:after="125" w:line="259" w:lineRule="auto"/>
              <w:ind w:right="0"/>
              <w:jc w:val="left"/>
              <w:rPr>
                <w:sz w:val="22"/>
                <w:szCs w:val="22"/>
              </w:rPr>
            </w:pPr>
            <w:r>
              <w:rPr>
                <w:sz w:val="22"/>
                <w:szCs w:val="22"/>
              </w:rPr>
              <w:t>Provident Fund Account (TIB Payroll)</w:t>
            </w:r>
          </w:p>
          <w:p w14:paraId="72C45381">
            <w:pPr>
              <w:pStyle w:val="35"/>
              <w:numPr>
                <w:ilvl w:val="0"/>
                <w:numId w:val="11"/>
              </w:numPr>
              <w:spacing w:after="124" w:line="259" w:lineRule="auto"/>
              <w:ind w:right="0"/>
              <w:jc w:val="left"/>
              <w:rPr>
                <w:sz w:val="22"/>
                <w:szCs w:val="22"/>
              </w:rPr>
            </w:pPr>
            <w:r>
              <w:rPr>
                <w:sz w:val="22"/>
                <w:szCs w:val="22"/>
              </w:rPr>
              <w:t>10 Taka Farmers MSA</w:t>
            </w:r>
          </w:p>
          <w:p w14:paraId="70C47FF6">
            <w:pPr>
              <w:pStyle w:val="35"/>
              <w:numPr>
                <w:ilvl w:val="0"/>
                <w:numId w:val="11"/>
              </w:numPr>
              <w:spacing w:after="122" w:line="259" w:lineRule="auto"/>
              <w:ind w:right="0"/>
              <w:jc w:val="left"/>
              <w:rPr>
                <w:sz w:val="22"/>
                <w:szCs w:val="22"/>
              </w:rPr>
            </w:pPr>
            <w:r>
              <w:rPr>
                <w:sz w:val="22"/>
                <w:szCs w:val="22"/>
              </w:rPr>
              <w:t>Mudaraba Seniors Deposit Account</w:t>
            </w:r>
          </w:p>
          <w:p w14:paraId="3D6DE333">
            <w:pPr>
              <w:pStyle w:val="35"/>
              <w:numPr>
                <w:ilvl w:val="0"/>
                <w:numId w:val="11"/>
              </w:numPr>
              <w:spacing w:after="128" w:line="259" w:lineRule="auto"/>
              <w:ind w:right="0"/>
              <w:jc w:val="left"/>
              <w:rPr>
                <w:sz w:val="22"/>
                <w:szCs w:val="22"/>
              </w:rPr>
            </w:pPr>
            <w:r>
              <w:rPr>
                <w:sz w:val="22"/>
                <w:szCs w:val="22"/>
              </w:rPr>
              <w:t>Defence Personnel Mudaraba Salary Account</w:t>
            </w:r>
          </w:p>
          <w:p w14:paraId="3BB1E57B">
            <w:pPr>
              <w:pStyle w:val="35"/>
              <w:numPr>
                <w:ilvl w:val="0"/>
                <w:numId w:val="11"/>
              </w:numPr>
              <w:spacing w:after="0" w:line="259" w:lineRule="auto"/>
              <w:ind w:right="0"/>
              <w:jc w:val="left"/>
              <w:rPr>
                <w:sz w:val="22"/>
                <w:szCs w:val="22"/>
              </w:rPr>
            </w:pPr>
            <w:r>
              <w:rPr>
                <w:sz w:val="22"/>
                <w:szCs w:val="22"/>
              </w:rPr>
              <w:t>Quard Facility</w:t>
            </w:r>
          </w:p>
        </w:tc>
      </w:tr>
      <w:tr w14:paraId="2C8C8650">
        <w:tblPrEx>
          <w:tblCellMar>
            <w:top w:w="14" w:type="dxa"/>
            <w:left w:w="107" w:type="dxa"/>
            <w:bottom w:w="0" w:type="dxa"/>
            <w:right w:w="115" w:type="dxa"/>
          </w:tblCellMar>
        </w:tblPrEx>
        <w:trPr>
          <w:trHeight w:val="2079" w:hRule="atLeast"/>
        </w:trPr>
        <w:tc>
          <w:tcPr>
            <w:tcW w:w="8522" w:type="dxa"/>
            <w:gridSpan w:val="2"/>
            <w:tcBorders>
              <w:top w:val="single" w:color="000000" w:sz="4" w:space="0"/>
              <w:left w:val="single" w:color="000000" w:sz="4" w:space="0"/>
              <w:bottom w:val="single" w:color="000000" w:sz="4" w:space="0"/>
              <w:right w:val="single" w:color="000000" w:sz="4" w:space="0"/>
            </w:tcBorders>
          </w:tcPr>
          <w:p w14:paraId="2B86E8DC">
            <w:pPr>
              <w:spacing w:after="124" w:line="259" w:lineRule="auto"/>
              <w:ind w:left="1" w:right="0" w:firstLine="0"/>
              <w:jc w:val="left"/>
              <w:rPr>
                <w:sz w:val="22"/>
                <w:szCs w:val="22"/>
              </w:rPr>
            </w:pPr>
            <w:r>
              <w:rPr>
                <w:b/>
                <w:sz w:val="22"/>
                <w:szCs w:val="22"/>
              </w:rPr>
              <w:t>Corporate Banking:</w:t>
            </w:r>
          </w:p>
          <w:p w14:paraId="71A00B72">
            <w:pPr>
              <w:pStyle w:val="35"/>
              <w:numPr>
                <w:ilvl w:val="0"/>
                <w:numId w:val="12"/>
              </w:numPr>
              <w:spacing w:after="126" w:line="259" w:lineRule="auto"/>
              <w:ind w:right="0"/>
              <w:jc w:val="left"/>
              <w:rPr>
                <w:sz w:val="22"/>
                <w:szCs w:val="22"/>
              </w:rPr>
            </w:pPr>
            <w:r>
              <w:rPr>
                <w:sz w:val="22"/>
                <w:szCs w:val="22"/>
              </w:rPr>
              <w:t>Off-Shore Banking</w:t>
            </w:r>
          </w:p>
          <w:p w14:paraId="23E41837">
            <w:pPr>
              <w:pStyle w:val="35"/>
              <w:numPr>
                <w:ilvl w:val="0"/>
                <w:numId w:val="12"/>
              </w:numPr>
              <w:spacing w:after="126" w:line="259" w:lineRule="auto"/>
              <w:ind w:right="0"/>
              <w:jc w:val="left"/>
              <w:rPr>
                <w:sz w:val="22"/>
                <w:szCs w:val="22"/>
              </w:rPr>
            </w:pPr>
            <w:r>
              <w:rPr>
                <w:sz w:val="22"/>
                <w:szCs w:val="22"/>
              </w:rPr>
              <w:t>Working Capital Finance</w:t>
            </w:r>
          </w:p>
          <w:p w14:paraId="0081BCF1">
            <w:pPr>
              <w:pStyle w:val="35"/>
              <w:numPr>
                <w:ilvl w:val="0"/>
                <w:numId w:val="12"/>
              </w:numPr>
              <w:spacing w:after="129" w:line="259" w:lineRule="auto"/>
              <w:ind w:right="0"/>
              <w:jc w:val="left"/>
              <w:rPr>
                <w:sz w:val="22"/>
                <w:szCs w:val="22"/>
              </w:rPr>
            </w:pPr>
            <w:r>
              <w:rPr>
                <w:sz w:val="22"/>
                <w:szCs w:val="22"/>
              </w:rPr>
              <w:t>Term Finance</w:t>
            </w:r>
          </w:p>
          <w:p w14:paraId="0C3A1D8E">
            <w:pPr>
              <w:pStyle w:val="35"/>
              <w:numPr>
                <w:ilvl w:val="0"/>
                <w:numId w:val="12"/>
              </w:numPr>
              <w:spacing w:after="0" w:line="259" w:lineRule="auto"/>
              <w:ind w:right="0"/>
              <w:jc w:val="left"/>
              <w:rPr>
                <w:sz w:val="22"/>
                <w:szCs w:val="22"/>
              </w:rPr>
            </w:pPr>
            <w:r>
              <w:rPr>
                <w:sz w:val="22"/>
                <w:szCs w:val="22"/>
              </w:rPr>
              <w:t>Trade Finance</w:t>
            </w:r>
          </w:p>
        </w:tc>
      </w:tr>
      <w:tr w14:paraId="4D594605">
        <w:tblPrEx>
          <w:tblCellMar>
            <w:top w:w="14" w:type="dxa"/>
            <w:left w:w="107" w:type="dxa"/>
            <w:bottom w:w="0" w:type="dxa"/>
            <w:right w:w="115" w:type="dxa"/>
          </w:tblCellMar>
        </w:tblPrEx>
        <w:trPr>
          <w:trHeight w:val="2494" w:hRule="atLeast"/>
        </w:trPr>
        <w:tc>
          <w:tcPr>
            <w:tcW w:w="8522" w:type="dxa"/>
            <w:gridSpan w:val="2"/>
            <w:tcBorders>
              <w:top w:val="single" w:color="000000" w:sz="4" w:space="0"/>
              <w:left w:val="single" w:color="000000" w:sz="4" w:space="0"/>
              <w:bottom w:val="single" w:color="000000" w:sz="4" w:space="0"/>
              <w:right w:val="single" w:color="000000" w:sz="4" w:space="0"/>
            </w:tcBorders>
          </w:tcPr>
          <w:p w14:paraId="2609731C">
            <w:pPr>
              <w:spacing w:after="122" w:line="259" w:lineRule="auto"/>
              <w:ind w:left="1" w:right="0" w:firstLine="0"/>
              <w:jc w:val="left"/>
              <w:rPr>
                <w:sz w:val="22"/>
                <w:szCs w:val="22"/>
              </w:rPr>
            </w:pPr>
            <w:r>
              <w:rPr>
                <w:b/>
                <w:sz w:val="22"/>
                <w:szCs w:val="22"/>
              </w:rPr>
              <w:t>International Banking:</w:t>
            </w:r>
          </w:p>
          <w:p w14:paraId="5391B24E">
            <w:pPr>
              <w:pStyle w:val="35"/>
              <w:numPr>
                <w:ilvl w:val="0"/>
                <w:numId w:val="13"/>
              </w:numPr>
              <w:spacing w:after="124" w:line="259" w:lineRule="auto"/>
              <w:ind w:right="0"/>
              <w:jc w:val="left"/>
              <w:rPr>
                <w:sz w:val="22"/>
                <w:szCs w:val="22"/>
              </w:rPr>
            </w:pPr>
            <w:r>
              <w:rPr>
                <w:sz w:val="22"/>
                <w:szCs w:val="22"/>
              </w:rPr>
              <w:t>Wage Earner’s Development Bond</w:t>
            </w:r>
          </w:p>
          <w:p w14:paraId="17723437">
            <w:pPr>
              <w:pStyle w:val="35"/>
              <w:numPr>
                <w:ilvl w:val="0"/>
                <w:numId w:val="13"/>
              </w:numPr>
              <w:spacing w:after="125" w:line="259" w:lineRule="auto"/>
              <w:ind w:right="0"/>
              <w:jc w:val="left"/>
              <w:rPr>
                <w:sz w:val="22"/>
                <w:szCs w:val="22"/>
              </w:rPr>
            </w:pPr>
            <w:r>
              <w:rPr>
                <w:sz w:val="22"/>
                <w:szCs w:val="22"/>
              </w:rPr>
              <w:t>US Dollar Premium Bond</w:t>
            </w:r>
          </w:p>
          <w:p w14:paraId="1349E3EC">
            <w:pPr>
              <w:pStyle w:val="35"/>
              <w:numPr>
                <w:ilvl w:val="0"/>
                <w:numId w:val="13"/>
              </w:numPr>
              <w:spacing w:after="123" w:line="259" w:lineRule="auto"/>
              <w:ind w:right="0"/>
              <w:jc w:val="left"/>
              <w:rPr>
                <w:sz w:val="22"/>
                <w:szCs w:val="22"/>
              </w:rPr>
            </w:pPr>
            <w:r>
              <w:rPr>
                <w:sz w:val="22"/>
                <w:szCs w:val="22"/>
              </w:rPr>
              <w:t>US Dollar Investment Bond</w:t>
            </w:r>
          </w:p>
          <w:p w14:paraId="14B98238">
            <w:pPr>
              <w:pStyle w:val="35"/>
              <w:numPr>
                <w:ilvl w:val="0"/>
                <w:numId w:val="13"/>
              </w:numPr>
              <w:spacing w:after="124" w:line="259" w:lineRule="auto"/>
              <w:ind w:right="0"/>
              <w:jc w:val="left"/>
              <w:rPr>
                <w:sz w:val="22"/>
                <w:szCs w:val="22"/>
              </w:rPr>
            </w:pPr>
            <w:r>
              <w:rPr>
                <w:sz w:val="22"/>
                <w:szCs w:val="22"/>
              </w:rPr>
              <w:t>Private Foreign Currency Account</w:t>
            </w:r>
          </w:p>
          <w:p w14:paraId="2BC55BA3">
            <w:pPr>
              <w:pStyle w:val="35"/>
              <w:numPr>
                <w:ilvl w:val="0"/>
                <w:numId w:val="13"/>
              </w:numPr>
              <w:spacing w:after="0" w:line="259" w:lineRule="auto"/>
              <w:ind w:right="0"/>
              <w:jc w:val="left"/>
              <w:rPr>
                <w:sz w:val="22"/>
                <w:szCs w:val="22"/>
              </w:rPr>
            </w:pPr>
            <w:r>
              <w:rPr>
                <w:sz w:val="22"/>
                <w:szCs w:val="22"/>
              </w:rPr>
              <w:t>Non-Resident Foreign Currency Deposit</w:t>
            </w:r>
          </w:p>
        </w:tc>
      </w:tr>
      <w:tr w14:paraId="4CB73E81">
        <w:tblPrEx>
          <w:tblCellMar>
            <w:top w:w="14" w:type="dxa"/>
            <w:left w:w="107" w:type="dxa"/>
            <w:bottom w:w="0" w:type="dxa"/>
            <w:right w:w="115" w:type="dxa"/>
          </w:tblCellMar>
        </w:tblPrEx>
        <w:trPr>
          <w:trHeight w:val="2080" w:hRule="atLeast"/>
        </w:trPr>
        <w:tc>
          <w:tcPr>
            <w:tcW w:w="8522" w:type="dxa"/>
            <w:gridSpan w:val="2"/>
            <w:tcBorders>
              <w:top w:val="single" w:color="000000" w:sz="4" w:space="0"/>
              <w:left w:val="single" w:color="000000" w:sz="4" w:space="0"/>
              <w:bottom w:val="single" w:color="000000" w:sz="4" w:space="0"/>
              <w:right w:val="single" w:color="000000" w:sz="4" w:space="0"/>
            </w:tcBorders>
          </w:tcPr>
          <w:p w14:paraId="74E0046E">
            <w:pPr>
              <w:spacing w:after="122" w:line="259" w:lineRule="auto"/>
              <w:ind w:left="1" w:right="0" w:firstLine="0"/>
              <w:jc w:val="left"/>
              <w:rPr>
                <w:sz w:val="22"/>
                <w:szCs w:val="22"/>
              </w:rPr>
            </w:pPr>
            <w:r>
              <w:rPr>
                <w:b/>
                <w:sz w:val="22"/>
                <w:szCs w:val="22"/>
              </w:rPr>
              <w:t>E-Services:</w:t>
            </w:r>
          </w:p>
          <w:p w14:paraId="5116EF43">
            <w:pPr>
              <w:pStyle w:val="35"/>
              <w:numPr>
                <w:ilvl w:val="0"/>
                <w:numId w:val="14"/>
              </w:numPr>
              <w:spacing w:after="124" w:line="259" w:lineRule="auto"/>
              <w:ind w:right="0"/>
              <w:jc w:val="left"/>
              <w:rPr>
                <w:sz w:val="22"/>
                <w:szCs w:val="22"/>
              </w:rPr>
            </w:pPr>
            <w:r>
              <w:rPr>
                <w:sz w:val="22"/>
                <w:szCs w:val="22"/>
              </w:rPr>
              <w:t>TBL Online Account (eKYC)</w:t>
            </w:r>
          </w:p>
          <w:p w14:paraId="77E5CE8E">
            <w:pPr>
              <w:pStyle w:val="35"/>
              <w:numPr>
                <w:ilvl w:val="0"/>
                <w:numId w:val="14"/>
              </w:numPr>
              <w:spacing w:after="127" w:line="259" w:lineRule="auto"/>
              <w:ind w:right="0"/>
              <w:jc w:val="left"/>
              <w:rPr>
                <w:sz w:val="22"/>
                <w:szCs w:val="22"/>
              </w:rPr>
            </w:pPr>
            <w:r>
              <w:rPr>
                <w:sz w:val="22"/>
                <w:szCs w:val="22"/>
              </w:rPr>
              <w:t>iBanking (Internet Banking)</w:t>
            </w:r>
          </w:p>
          <w:p w14:paraId="46320908">
            <w:pPr>
              <w:pStyle w:val="35"/>
              <w:numPr>
                <w:ilvl w:val="0"/>
                <w:numId w:val="14"/>
              </w:numPr>
              <w:spacing w:after="124" w:line="259" w:lineRule="auto"/>
              <w:ind w:right="0"/>
              <w:jc w:val="left"/>
              <w:rPr>
                <w:sz w:val="22"/>
                <w:szCs w:val="22"/>
              </w:rPr>
            </w:pPr>
            <w:r>
              <w:rPr>
                <w:sz w:val="22"/>
                <w:szCs w:val="22"/>
              </w:rPr>
              <w:t>Trust Money App</w:t>
            </w:r>
          </w:p>
          <w:p w14:paraId="08916408">
            <w:pPr>
              <w:pStyle w:val="35"/>
              <w:numPr>
                <w:ilvl w:val="0"/>
                <w:numId w:val="14"/>
              </w:numPr>
              <w:spacing w:after="0" w:line="259" w:lineRule="auto"/>
              <w:ind w:right="0"/>
              <w:jc w:val="left"/>
              <w:rPr>
                <w:sz w:val="22"/>
                <w:szCs w:val="22"/>
              </w:rPr>
            </w:pPr>
            <w:r>
              <w:rPr>
                <w:sz w:val="22"/>
                <w:szCs w:val="22"/>
              </w:rPr>
              <w:t>Tax Return Document Submit</w:t>
            </w:r>
          </w:p>
        </w:tc>
      </w:tr>
    </w:tbl>
    <w:p w14:paraId="020A7DCF">
      <w:pPr>
        <w:spacing w:after="451" w:line="362" w:lineRule="auto"/>
        <w:ind w:left="-5" w:right="47"/>
        <w:rPr>
          <w:sz w:val="22"/>
          <w:szCs w:val="22"/>
        </w:rPr>
      </w:pPr>
      <w:r>
        <w:rPr>
          <w:sz w:val="22"/>
          <w:szCs w:val="22"/>
        </w:rPr>
        <w:t>These are the most popular products and services of Trust Bank. Apart from this Trust Bank also provides many other different products and services to their customers.</w:t>
      </w:r>
    </w:p>
    <w:p w14:paraId="0AFC5693">
      <w:pPr>
        <w:pStyle w:val="4"/>
      </w:pPr>
      <w:bookmarkStart w:id="20" w:name="_Toc204820962"/>
      <w:r>
        <w:t>2.1.3 Company Operations</w:t>
      </w:r>
      <w:bookmarkEnd w:id="20"/>
    </w:p>
    <w:p w14:paraId="2505304C">
      <w:pPr>
        <w:spacing w:line="363" w:lineRule="auto"/>
        <w:ind w:left="-5" w:right="47"/>
        <w:rPr>
          <w:sz w:val="22"/>
          <w:szCs w:val="22"/>
        </w:rPr>
      </w:pPr>
      <w:r>
        <w:rPr>
          <w:sz w:val="22"/>
          <w:szCs w:val="22"/>
        </w:rPr>
        <w:t>Trust Bank Limited being a financial institution performs variety of customer service activities. It satisfies and validates the financial needs of the vas sectors such as agriculture, industry, trade, communication, etc. It plays a very important role in the process of economic and, social needs. It gives priority providing magnificent customer service to its clients, it always tries hard to meet and exceed customer expectations by offering a wide range of services and ensuring efficient customer service. Here are some common customer service activities that Trust Bank Limited offers:</w:t>
      </w:r>
    </w:p>
    <w:p w14:paraId="531A9911">
      <w:pPr>
        <w:spacing w:after="255"/>
        <w:ind w:left="0" w:right="47" w:firstLine="0"/>
        <w:rPr>
          <w:sz w:val="22"/>
          <w:szCs w:val="22"/>
        </w:rPr>
      </w:pPr>
      <w:r>
        <w:rPr>
          <w:sz w:val="22"/>
          <w:szCs w:val="22"/>
          <w:u w:val="single"/>
        </w:rPr>
        <w:t>Account Opening and Maintenance</w:t>
      </w:r>
      <w:r>
        <w:rPr>
          <w:sz w:val="22"/>
          <w:szCs w:val="22"/>
        </w:rPr>
        <w:t>:</w:t>
      </w:r>
    </w:p>
    <w:p w14:paraId="23CDE842">
      <w:pPr>
        <w:spacing w:after="397" w:line="362" w:lineRule="auto"/>
        <w:ind w:left="-5" w:right="0"/>
        <w:jc w:val="left"/>
        <w:rPr>
          <w:sz w:val="22"/>
          <w:szCs w:val="22"/>
        </w:rPr>
      </w:pPr>
      <w:r>
        <w:rPr>
          <w:sz w:val="22"/>
          <w:szCs w:val="22"/>
        </w:rPr>
        <w:t>Trust Bank Limited helps customers in opening various types of accounts such as savings accounts, current accounts, fixed deposit accounts, etc. They also assist customers with account updates, information changes, and account closures.</w:t>
      </w:r>
    </w:p>
    <w:p w14:paraId="44D120E8">
      <w:pPr>
        <w:spacing w:after="397" w:line="362" w:lineRule="auto"/>
        <w:ind w:left="-5" w:right="0"/>
        <w:jc w:val="left"/>
        <w:rPr>
          <w:sz w:val="22"/>
          <w:szCs w:val="22"/>
        </w:rPr>
      </w:pPr>
      <w:r>
        <w:rPr>
          <w:sz w:val="22"/>
          <w:szCs w:val="22"/>
          <w:u w:val="single"/>
        </w:rPr>
        <w:t>Transaction Services</w:t>
      </w:r>
      <w:r>
        <w:rPr>
          <w:sz w:val="22"/>
          <w:szCs w:val="22"/>
        </w:rPr>
        <w:t>:</w:t>
      </w:r>
    </w:p>
    <w:p w14:paraId="25E83FB2">
      <w:pPr>
        <w:spacing w:after="389" w:line="363" w:lineRule="auto"/>
        <w:ind w:left="-5" w:right="47"/>
        <w:rPr>
          <w:sz w:val="22"/>
          <w:szCs w:val="22"/>
        </w:rPr>
      </w:pPr>
      <w:r>
        <w:rPr>
          <w:sz w:val="22"/>
          <w:szCs w:val="22"/>
        </w:rPr>
        <w:t>Trust Bank Limited offers a variety of Transactional services including fund transfers, bill payments, cheque clearance, and ATM services to their clients. Clients can rely on the Customer Help Desk of the Bank for seeking assistance and get help in this area.</w:t>
      </w:r>
    </w:p>
    <w:p w14:paraId="59E05A37">
      <w:pPr>
        <w:spacing w:after="255"/>
        <w:ind w:right="47"/>
        <w:rPr>
          <w:sz w:val="22"/>
          <w:szCs w:val="22"/>
        </w:rPr>
      </w:pPr>
      <w:r>
        <w:rPr>
          <w:sz w:val="22"/>
          <w:szCs w:val="22"/>
          <w:u w:val="single"/>
        </w:rPr>
        <w:t>Loan and Other Credit Facilities</w:t>
      </w:r>
      <w:r>
        <w:rPr>
          <w:sz w:val="22"/>
          <w:szCs w:val="22"/>
        </w:rPr>
        <w:t>:</w:t>
      </w:r>
    </w:p>
    <w:p w14:paraId="0EF1E5EC">
      <w:pPr>
        <w:spacing w:after="396" w:line="363" w:lineRule="auto"/>
        <w:ind w:left="-15" w:right="47" w:firstLine="0"/>
        <w:rPr>
          <w:sz w:val="22"/>
          <w:szCs w:val="22"/>
        </w:rPr>
      </w:pPr>
      <w:r>
        <w:rPr>
          <w:sz w:val="22"/>
          <w:szCs w:val="22"/>
        </w:rPr>
        <w:t xml:space="preserve"> Instead of offering liquid cash, the bank creates a line of credit and transfers the loan to a business or commercial body from the earned interest. It gives customer support for loan applications, inquiries, and loan disbursement. It helps clients understand loan terms, interest rates, repayment schedules, and other related services. Trust Bank </w:t>
      </w:r>
      <w:r>
        <w:rPr>
          <w:sz w:val="22"/>
          <w:szCs w:val="22"/>
        </w:rPr>
        <w:tab/>
      </w:r>
      <w:r>
        <w:rPr>
          <w:sz w:val="22"/>
          <w:szCs w:val="22"/>
        </w:rPr>
        <w:t>PLC also gives advances in different forms, including an overdraft facility, secured overdraft, cash credit, time loans, bank guarantees, letters of credit, etc. A letter of credit is a financial guarantee that is issued and addressed by the bank which is later used for international trade transactions, it enables the customer to engage in global business by providing a secure payment system. They also provide demand and term loans to all types of clients against proper security.</w:t>
      </w:r>
    </w:p>
    <w:p w14:paraId="079BC0B4">
      <w:pPr>
        <w:spacing w:after="253"/>
        <w:ind w:left="0" w:right="47" w:firstLine="0"/>
        <w:rPr>
          <w:sz w:val="22"/>
          <w:szCs w:val="22"/>
          <w:u w:val="single"/>
        </w:rPr>
      </w:pPr>
    </w:p>
    <w:p w14:paraId="710E3E76">
      <w:pPr>
        <w:spacing w:after="253"/>
        <w:ind w:left="0" w:right="47" w:firstLine="0"/>
        <w:rPr>
          <w:sz w:val="22"/>
          <w:szCs w:val="22"/>
        </w:rPr>
      </w:pPr>
      <w:r>
        <w:rPr>
          <w:sz w:val="22"/>
          <w:szCs w:val="22"/>
          <w:u w:val="single"/>
        </w:rPr>
        <w:t>Dealing in Foreign Exchange</w:t>
      </w:r>
      <w:r>
        <w:rPr>
          <w:sz w:val="22"/>
          <w:szCs w:val="22"/>
        </w:rPr>
        <w:t>:</w:t>
      </w:r>
    </w:p>
    <w:p w14:paraId="4A7F29C1">
      <w:pPr>
        <w:spacing w:line="362" w:lineRule="auto"/>
        <w:ind w:left="-5" w:right="47"/>
        <w:rPr>
          <w:sz w:val="22"/>
          <w:szCs w:val="22"/>
        </w:rPr>
      </w:pPr>
      <w:r>
        <w:rPr>
          <w:sz w:val="22"/>
          <w:szCs w:val="22"/>
        </w:rPr>
        <w:t>Trust Bank offers foreign exchange services to clients who need to exchange one currency with another. It includes buying and selling foreign currencies, giving foreign currency drafts, and facilitating international money transfers. The Bank also helps to provide foreign exchange to individuals and organizations that export or import goods from overseas.</w:t>
      </w:r>
    </w:p>
    <w:p w14:paraId="0B71B8BE">
      <w:pPr>
        <w:spacing w:after="255"/>
        <w:ind w:right="47"/>
        <w:rPr>
          <w:sz w:val="22"/>
          <w:szCs w:val="22"/>
          <w:u w:val="single"/>
        </w:rPr>
      </w:pPr>
      <w:r>
        <w:rPr>
          <w:sz w:val="22"/>
          <w:szCs w:val="22"/>
          <w:u w:val="single"/>
        </w:rPr>
        <w:t>Providing locker facilities:</w:t>
      </w:r>
    </w:p>
    <w:p w14:paraId="24C90C85">
      <w:pPr>
        <w:spacing w:after="391" w:line="363" w:lineRule="auto"/>
        <w:ind w:left="-5" w:right="47"/>
        <w:rPr>
          <w:sz w:val="22"/>
          <w:szCs w:val="22"/>
        </w:rPr>
      </w:pPr>
      <w:r>
        <w:rPr>
          <w:sz w:val="22"/>
          <w:szCs w:val="22"/>
        </w:rPr>
        <w:t>Trust Bank also offers locker facilities to customers who want to store valuable items such as documents, jewelry in order to protect them or other 22 special facility reducing the impending risk of theft or loss, which prevails when kept at home, this service also ensures the safety and convenience of the customer.</w:t>
      </w:r>
    </w:p>
    <w:p w14:paraId="4FF20655">
      <w:pPr>
        <w:spacing w:after="255"/>
        <w:ind w:right="47"/>
        <w:rPr>
          <w:sz w:val="22"/>
          <w:szCs w:val="22"/>
        </w:rPr>
      </w:pPr>
      <w:r>
        <w:rPr>
          <w:sz w:val="22"/>
          <w:szCs w:val="22"/>
          <w:u w:val="single"/>
        </w:rPr>
        <w:t>Exchange of Securities</w:t>
      </w:r>
      <w:r>
        <w:rPr>
          <w:sz w:val="22"/>
          <w:szCs w:val="22"/>
        </w:rPr>
        <w:t>:</w:t>
      </w:r>
    </w:p>
    <w:p w14:paraId="12E9D7AE">
      <w:pPr>
        <w:spacing w:after="395" w:line="363" w:lineRule="auto"/>
        <w:ind w:left="-5" w:right="47"/>
        <w:rPr>
          <w:sz w:val="22"/>
          <w:szCs w:val="22"/>
        </w:rPr>
      </w:pPr>
      <w:r>
        <w:rPr>
          <w:sz w:val="22"/>
          <w:szCs w:val="22"/>
        </w:rPr>
        <w:t>They provide another service activity and it is trading in bonds and securities. Customers can sell or purchase units from the Bank at the same time, which is more convenient than other approaches.</w:t>
      </w:r>
    </w:p>
    <w:p w14:paraId="3003D7CC">
      <w:pPr>
        <w:spacing w:after="255"/>
        <w:ind w:right="47"/>
        <w:rPr>
          <w:sz w:val="22"/>
          <w:szCs w:val="22"/>
        </w:rPr>
      </w:pPr>
      <w:r>
        <w:rPr>
          <w:sz w:val="22"/>
          <w:szCs w:val="22"/>
          <w:u w:val="single"/>
        </w:rPr>
        <w:t>Customer Query Resolution</w:t>
      </w:r>
      <w:r>
        <w:rPr>
          <w:sz w:val="22"/>
          <w:szCs w:val="22"/>
        </w:rPr>
        <w:t>:</w:t>
      </w:r>
    </w:p>
    <w:p w14:paraId="1E7A7FAF">
      <w:pPr>
        <w:spacing w:after="395" w:line="363" w:lineRule="auto"/>
        <w:ind w:left="-5" w:right="47"/>
        <w:rPr>
          <w:sz w:val="22"/>
          <w:szCs w:val="22"/>
        </w:rPr>
      </w:pPr>
      <w:r>
        <w:rPr>
          <w:sz w:val="22"/>
          <w:szCs w:val="22"/>
        </w:rPr>
        <w:t>The General Banking Department of Trust Bank Limited make sure to address customer queries and concerns including issues related to account statements, card-related issues, etc. They always try to provide accurate and timely customer service.</w:t>
      </w:r>
    </w:p>
    <w:p w14:paraId="5C81167E">
      <w:pPr>
        <w:spacing w:after="253"/>
        <w:ind w:right="47"/>
        <w:rPr>
          <w:sz w:val="22"/>
          <w:szCs w:val="22"/>
          <w:u w:val="single"/>
        </w:rPr>
      </w:pPr>
      <w:r>
        <w:rPr>
          <w:sz w:val="22"/>
          <w:szCs w:val="22"/>
          <w:u w:val="single"/>
        </w:rPr>
        <w:t>Complain Handling:</w:t>
      </w:r>
    </w:p>
    <w:p w14:paraId="5F48C945">
      <w:pPr>
        <w:spacing w:after="395" w:line="363" w:lineRule="auto"/>
        <w:ind w:left="-5" w:right="47"/>
        <w:rPr>
          <w:sz w:val="22"/>
          <w:szCs w:val="22"/>
        </w:rPr>
      </w:pPr>
      <w:r>
        <w:rPr>
          <w:sz w:val="22"/>
          <w:szCs w:val="22"/>
        </w:rPr>
        <w:t>Trust Bank Limited handles and solve its client’s complaints very professionally by understanding, acknowledging, assessing, addressing and solving the complaints. It also offers solutions and directs clients to the steps required to solve their problems.</w:t>
      </w:r>
    </w:p>
    <w:p w14:paraId="065E52AF">
      <w:pPr>
        <w:spacing w:after="253"/>
        <w:ind w:left="0" w:right="47" w:firstLine="0"/>
        <w:rPr>
          <w:sz w:val="22"/>
          <w:szCs w:val="22"/>
          <w:u w:val="single"/>
        </w:rPr>
      </w:pPr>
      <w:r>
        <w:rPr>
          <w:sz w:val="22"/>
          <w:szCs w:val="22"/>
          <w:u w:val="single"/>
        </w:rPr>
        <w:t>Agency functions:</w:t>
      </w:r>
    </w:p>
    <w:p w14:paraId="2E774601">
      <w:pPr>
        <w:spacing w:after="253"/>
        <w:ind w:left="0" w:right="47" w:firstLine="0"/>
        <w:rPr>
          <w:sz w:val="22"/>
          <w:szCs w:val="22"/>
        </w:rPr>
      </w:pPr>
      <w:r>
        <w:rPr>
          <w:sz w:val="22"/>
          <w:szCs w:val="22"/>
        </w:rPr>
        <w:t>trust bank offers many financial services to its clients while working as a agency. Some of them are</w:t>
      </w:r>
    </w:p>
    <w:p w14:paraId="0D4FFE0C">
      <w:pPr>
        <w:numPr>
          <w:ilvl w:val="0"/>
          <w:numId w:val="15"/>
        </w:numPr>
        <w:spacing w:after="4" w:line="362" w:lineRule="auto"/>
        <w:ind w:right="47" w:hanging="420"/>
        <w:rPr>
          <w:sz w:val="22"/>
          <w:szCs w:val="22"/>
        </w:rPr>
      </w:pPr>
      <w:r>
        <w:rPr>
          <w:sz w:val="22"/>
          <w:szCs w:val="22"/>
        </w:rPr>
        <w:t>Acting as an administrator, trustee, or executor of customer-owned estate helping customers with tax returns, and other similar features.</w:t>
      </w:r>
    </w:p>
    <w:p w14:paraId="50D1D711">
      <w:pPr>
        <w:numPr>
          <w:ilvl w:val="0"/>
          <w:numId w:val="15"/>
        </w:numPr>
        <w:ind w:right="47" w:hanging="420"/>
        <w:rPr>
          <w:sz w:val="22"/>
          <w:szCs w:val="22"/>
        </w:rPr>
      </w:pPr>
      <w:r>
        <w:rPr>
          <w:sz w:val="22"/>
          <w:szCs w:val="22"/>
        </w:rPr>
        <w:t>Enables to pay premiums, repay loan installments, etc.</w:t>
      </w:r>
    </w:p>
    <w:p w14:paraId="1D3496AC">
      <w:pPr>
        <w:numPr>
          <w:ilvl w:val="0"/>
          <w:numId w:val="15"/>
        </w:numPr>
        <w:spacing w:line="364" w:lineRule="auto"/>
        <w:ind w:right="47" w:hanging="420"/>
        <w:rPr>
          <w:sz w:val="22"/>
          <w:szCs w:val="22"/>
        </w:rPr>
      </w:pPr>
      <w:r>
        <w:rPr>
          <w:sz w:val="22"/>
          <w:szCs w:val="22"/>
        </w:rPr>
        <w:t>Offering a common platform for electronic transactions of funds and processing cheques, drafts, bills, etc.</w:t>
      </w:r>
    </w:p>
    <w:p w14:paraId="09CA1822">
      <w:pPr>
        <w:pStyle w:val="4"/>
      </w:pPr>
      <w:bookmarkStart w:id="21" w:name="_Toc204820963"/>
      <w:r>
        <w:t>2.1.4 SWOT Analysis on Trust Bank Limited</w:t>
      </w:r>
      <w:bookmarkEnd w:id="21"/>
    </w:p>
    <w:p w14:paraId="0BB1D0ED">
      <w:pPr>
        <w:spacing w:after="414" w:line="363" w:lineRule="auto"/>
        <w:ind w:left="-5" w:right="47"/>
        <w:rPr>
          <w:sz w:val="22"/>
          <w:szCs w:val="22"/>
        </w:rPr>
      </w:pPr>
      <w:r>
        <w:rPr>
          <w:sz w:val="22"/>
          <w:szCs w:val="22"/>
        </w:rPr>
        <w:t xml:space="preserve">SWOT analysis is a strategic planning smart tool that helps with a comprehensive overview of the organization's strengths, weaknesses, opportunities, and threats strengths and weaknesses are connected to the organizational internal environment and opportunities and threats are related to the external environment of an organization. By building its strengths and opportunities, Trust Bank can easily overcome its weaknesses and reduce threats to remain a strong and competitive player in the Bangladeshi banking sector. </w:t>
      </w:r>
    </w:p>
    <w:p w14:paraId="3FA8C34E">
      <w:pPr>
        <w:ind w:left="-5" w:right="47"/>
        <w:rPr>
          <w:sz w:val="22"/>
          <w:szCs w:val="22"/>
        </w:rPr>
      </w:pPr>
      <w:r>
        <w:rPr>
          <w:b/>
          <w:bCs/>
          <w:sz w:val="22"/>
          <w:szCs w:val="22"/>
        </w:rPr>
        <w:t>Strengths</w:t>
      </w:r>
      <w:r>
        <w:rPr>
          <w:sz w:val="22"/>
          <w:szCs w:val="22"/>
        </w:rPr>
        <w:t>:</w:t>
      </w:r>
    </w:p>
    <w:p w14:paraId="48594B72">
      <w:pPr>
        <w:numPr>
          <w:ilvl w:val="0"/>
          <w:numId w:val="16"/>
        </w:numPr>
        <w:spacing w:after="3" w:line="363" w:lineRule="auto"/>
        <w:ind w:right="47" w:hanging="420"/>
        <w:rPr>
          <w:sz w:val="22"/>
          <w:szCs w:val="22"/>
        </w:rPr>
      </w:pPr>
      <w:r>
        <w:rPr>
          <w:sz w:val="22"/>
          <w:szCs w:val="22"/>
        </w:rPr>
        <w:t>Strong Brand Reputation: Trust Bank has a good reputation in Bangladesh, particularly in the military community. It's known for its well-organized customer service, ethical practices, and financial stability.</w:t>
      </w:r>
    </w:p>
    <w:p w14:paraId="24B03287">
      <w:pPr>
        <w:numPr>
          <w:ilvl w:val="0"/>
          <w:numId w:val="16"/>
        </w:numPr>
        <w:spacing w:after="0" w:line="363" w:lineRule="auto"/>
        <w:ind w:right="47" w:hanging="420"/>
        <w:rPr>
          <w:sz w:val="22"/>
          <w:szCs w:val="22"/>
        </w:rPr>
      </w:pPr>
      <w:r>
        <w:rPr>
          <w:sz w:val="22"/>
          <w:szCs w:val="22"/>
        </w:rPr>
        <w:t>Skilled workforce: Trust Bank has a skilled workforce that can provide high-quality services to its clients as a result it receives better customer satisfaction and retention.</w:t>
      </w:r>
    </w:p>
    <w:p w14:paraId="168F1DEB">
      <w:pPr>
        <w:numPr>
          <w:ilvl w:val="0"/>
          <w:numId w:val="16"/>
        </w:numPr>
        <w:spacing w:after="0" w:line="363" w:lineRule="auto"/>
        <w:ind w:right="47" w:hanging="420"/>
        <w:rPr>
          <w:sz w:val="22"/>
          <w:szCs w:val="22"/>
        </w:rPr>
      </w:pPr>
      <w:r>
        <w:rPr>
          <w:sz w:val="22"/>
          <w:szCs w:val="22"/>
        </w:rPr>
        <w:t>Extensive Branch Network: With 115 Branches across Bangladesh, Trust Bank offers better usability to its services compared to many other banks. This physical presence makes customer trust stronger and confidently Focus on the Specific Market. The Bank has a specific focus on the military and defense personnel and provides a niche market advantage with their products and services that fulfils their unique needs.</w:t>
      </w:r>
    </w:p>
    <w:p w14:paraId="7A452A21">
      <w:pPr>
        <w:numPr>
          <w:ilvl w:val="0"/>
          <w:numId w:val="16"/>
        </w:numPr>
        <w:spacing w:after="416" w:line="363" w:lineRule="auto"/>
        <w:ind w:right="47" w:hanging="420"/>
        <w:rPr>
          <w:sz w:val="22"/>
          <w:szCs w:val="22"/>
        </w:rPr>
      </w:pPr>
      <w:r>
        <w:rPr>
          <w:sz w:val="22"/>
          <w:szCs w:val="22"/>
        </w:rPr>
        <w:t>Relatively Strong Financial Performance: Trust Bank maintains its profitability and financial stability record, showing a structured HR management and risk management strategies.</w:t>
      </w:r>
    </w:p>
    <w:p w14:paraId="71362CCB">
      <w:pPr>
        <w:numPr>
          <w:ilvl w:val="0"/>
          <w:numId w:val="16"/>
        </w:numPr>
        <w:spacing w:after="416" w:line="363" w:lineRule="auto"/>
        <w:ind w:right="47" w:hanging="420"/>
        <w:rPr>
          <w:sz w:val="22"/>
          <w:szCs w:val="22"/>
        </w:rPr>
      </w:pPr>
      <w:r>
        <w:rPr>
          <w:sz w:val="22"/>
          <w:szCs w:val="22"/>
        </w:rPr>
        <w:t>Diversified Product Portfolio: The Bank offers a several types of deposits (Trust Student DPS, Trust Senior Account, etc.) and loan products (Defense Personnel Special Loan, Loan against Salary, House Building Loan, Car Loan, Any Purpose Loan, SME Loan, and Corporate Loan, etc.) for both individual and corporate clients.</w:t>
      </w:r>
    </w:p>
    <w:p w14:paraId="466168D9">
      <w:pPr>
        <w:numPr>
          <w:ilvl w:val="0"/>
          <w:numId w:val="16"/>
        </w:numPr>
        <w:spacing w:after="408" w:line="363" w:lineRule="auto"/>
        <w:ind w:right="47" w:hanging="420"/>
        <w:rPr>
          <w:sz w:val="22"/>
          <w:szCs w:val="22"/>
        </w:rPr>
      </w:pPr>
      <w:r>
        <w:rPr>
          <w:sz w:val="22"/>
          <w:szCs w:val="22"/>
        </w:rPr>
        <w:t>Advancement of Digital Technologies: Trust Bank has adopted to modern and new digital technology and developed advanced banking systems, for example online and mobile banking, to make sure customer satisfaction and improve operational efficiency.</w:t>
      </w:r>
    </w:p>
    <w:p w14:paraId="22002579">
      <w:pPr>
        <w:ind w:left="-5" w:right="47"/>
        <w:rPr>
          <w:b/>
          <w:bCs/>
          <w:sz w:val="22"/>
          <w:szCs w:val="22"/>
        </w:rPr>
      </w:pPr>
      <w:r>
        <w:rPr>
          <w:b/>
          <w:bCs/>
          <w:sz w:val="22"/>
          <w:szCs w:val="22"/>
        </w:rPr>
        <w:t>Weakness:</w:t>
      </w:r>
    </w:p>
    <w:p w14:paraId="7AAA6839">
      <w:pPr>
        <w:numPr>
          <w:ilvl w:val="0"/>
          <w:numId w:val="16"/>
        </w:numPr>
        <w:spacing w:after="0" w:line="364" w:lineRule="auto"/>
        <w:ind w:right="47" w:hanging="420"/>
        <w:rPr>
          <w:sz w:val="22"/>
          <w:szCs w:val="22"/>
        </w:rPr>
      </w:pPr>
      <w:r>
        <w:rPr>
          <w:sz w:val="22"/>
          <w:szCs w:val="22"/>
        </w:rPr>
        <w:t>Lack of Mobile Money Activities: Mobile money activities have not improved as well as other mobile banking apps such as Bkash, Nagad, etc.</w:t>
      </w:r>
    </w:p>
    <w:p w14:paraId="766D47AB">
      <w:pPr>
        <w:numPr>
          <w:ilvl w:val="0"/>
          <w:numId w:val="16"/>
        </w:numPr>
        <w:spacing w:after="3" w:line="363" w:lineRule="auto"/>
        <w:ind w:right="47" w:hanging="420"/>
        <w:rPr>
          <w:sz w:val="22"/>
          <w:szCs w:val="22"/>
        </w:rPr>
      </w:pPr>
      <w:r>
        <w:rPr>
          <w:sz w:val="22"/>
          <w:szCs w:val="22"/>
        </w:rPr>
        <w:t>Need for more growth in ATM booths: This may affect customer convenience and accessibility to banking services, leading to customer dissatisfaction and loss of huge market share.</w:t>
      </w:r>
    </w:p>
    <w:p w14:paraId="596359CA">
      <w:pPr>
        <w:numPr>
          <w:ilvl w:val="0"/>
          <w:numId w:val="16"/>
        </w:numPr>
        <w:spacing w:after="1" w:line="363" w:lineRule="auto"/>
        <w:ind w:right="47" w:hanging="420"/>
        <w:rPr>
          <w:sz w:val="22"/>
          <w:szCs w:val="22"/>
        </w:rPr>
      </w:pPr>
      <w:r>
        <w:rPr>
          <w:sz w:val="22"/>
          <w:szCs w:val="22"/>
        </w:rPr>
        <w:t>Dependence on head office for complete credit card service: This centralized system may sometimes delay in card processing and limit the bank’s ability to provide timely service and with the customer convenience.</w:t>
      </w:r>
    </w:p>
    <w:p w14:paraId="53787F29">
      <w:pPr>
        <w:numPr>
          <w:ilvl w:val="0"/>
          <w:numId w:val="16"/>
        </w:numPr>
        <w:spacing w:after="414" w:line="363" w:lineRule="auto"/>
        <w:ind w:right="47" w:hanging="420"/>
        <w:rPr>
          <w:sz w:val="22"/>
          <w:szCs w:val="22"/>
        </w:rPr>
      </w:pPr>
      <w:r>
        <w:rPr>
          <w:sz w:val="22"/>
          <w:szCs w:val="22"/>
        </w:rPr>
        <w:t>Inefficient SME loan processing time: SME loan processing time is weaker than other loans provided by Trust Bank, which can make SME clients think that loans will not be provided to them. This slower and weaker SME loan processing can take longer time and it can hinder Trust Bank’s ability to attract and retain SME clients, effecting its market competitiveness.</w:t>
      </w:r>
    </w:p>
    <w:p w14:paraId="50B32D7F">
      <w:pPr>
        <w:ind w:left="-5" w:right="47"/>
        <w:rPr>
          <w:b/>
          <w:bCs/>
          <w:sz w:val="22"/>
          <w:szCs w:val="22"/>
        </w:rPr>
      </w:pPr>
      <w:r>
        <w:rPr>
          <w:b/>
          <w:bCs/>
          <w:sz w:val="22"/>
          <w:szCs w:val="22"/>
        </w:rPr>
        <w:t>Opportunity:</w:t>
      </w:r>
    </w:p>
    <w:p w14:paraId="04E546AB">
      <w:pPr>
        <w:numPr>
          <w:ilvl w:val="0"/>
          <w:numId w:val="16"/>
        </w:numPr>
        <w:spacing w:after="1" w:line="363" w:lineRule="auto"/>
        <w:ind w:right="47" w:hanging="420"/>
        <w:rPr>
          <w:sz w:val="22"/>
          <w:szCs w:val="22"/>
        </w:rPr>
      </w:pPr>
      <w:r>
        <w:rPr>
          <w:sz w:val="22"/>
          <w:szCs w:val="22"/>
        </w:rPr>
        <w:t>Adoption of technological innovation: Trust Bank can use technology to improve its operational efficiency, enhance customer experience, and remain competitive in the market.</w:t>
      </w:r>
    </w:p>
    <w:p w14:paraId="6AD4C651">
      <w:pPr>
        <w:numPr>
          <w:ilvl w:val="0"/>
          <w:numId w:val="16"/>
        </w:numPr>
        <w:spacing w:after="0" w:line="363" w:lineRule="auto"/>
        <w:ind w:right="47" w:hanging="420"/>
        <w:rPr>
          <w:sz w:val="22"/>
          <w:szCs w:val="22"/>
        </w:rPr>
      </w:pPr>
      <w:r>
        <w:rPr>
          <w:sz w:val="22"/>
          <w:szCs w:val="22"/>
        </w:rPr>
        <w:t>Making more partnerships and strategic alliances: Collaborating or establishing business relationship with more institutions can help Trust Bank expand and grow its reach, product offering, and customer base.</w:t>
      </w:r>
    </w:p>
    <w:p w14:paraId="7FC8F41A">
      <w:pPr>
        <w:numPr>
          <w:ilvl w:val="0"/>
          <w:numId w:val="16"/>
        </w:numPr>
        <w:spacing w:after="1" w:line="363" w:lineRule="auto"/>
        <w:ind w:right="47" w:hanging="420"/>
        <w:rPr>
          <w:sz w:val="22"/>
          <w:szCs w:val="22"/>
        </w:rPr>
      </w:pPr>
      <w:r>
        <w:rPr>
          <w:sz w:val="22"/>
          <w:szCs w:val="22"/>
        </w:rPr>
        <w:t>Optimizing more campaigns and promotional activities: Effective promotional activities for deposit and loan products can help Trust Bank attract new clients are retain the currently existing ones.</w:t>
      </w:r>
    </w:p>
    <w:p w14:paraId="5B499230">
      <w:pPr>
        <w:numPr>
          <w:ilvl w:val="0"/>
          <w:numId w:val="16"/>
        </w:numPr>
        <w:spacing w:line="363" w:lineRule="auto"/>
        <w:ind w:right="47" w:hanging="420"/>
        <w:rPr>
          <w:sz w:val="22"/>
          <w:szCs w:val="22"/>
        </w:rPr>
      </w:pPr>
      <w:r>
        <w:rPr>
          <w:sz w:val="22"/>
          <w:szCs w:val="22"/>
        </w:rPr>
        <w:t>Leveraging full participation in investment under the refinance scheme: Participating regularly in the refinance schemes provided by the Bangladesh Bank can provide Trust Bank with additional funding sources to support its lending</w:t>
      </w:r>
    </w:p>
    <w:p w14:paraId="307A284F">
      <w:pPr>
        <w:numPr>
          <w:ilvl w:val="0"/>
          <w:numId w:val="16"/>
        </w:numPr>
        <w:spacing w:after="415" w:line="362" w:lineRule="auto"/>
        <w:ind w:right="47" w:hanging="420"/>
        <w:rPr>
          <w:sz w:val="22"/>
          <w:szCs w:val="22"/>
        </w:rPr>
      </w:pPr>
      <w:r>
        <w:rPr>
          <w:sz w:val="22"/>
          <w:szCs w:val="22"/>
        </w:rPr>
        <w:t>Providing more volume of retail loans: This can bring more revenue streams and attract a larger client base for Trust Bank.</w:t>
      </w:r>
    </w:p>
    <w:p w14:paraId="0E7799AF">
      <w:pPr>
        <w:spacing w:after="112"/>
        <w:ind w:left="-5" w:right="0"/>
        <w:jc w:val="left"/>
        <w:rPr>
          <w:b/>
          <w:sz w:val="22"/>
          <w:szCs w:val="22"/>
        </w:rPr>
      </w:pPr>
    </w:p>
    <w:p w14:paraId="5969359D">
      <w:pPr>
        <w:spacing w:after="112"/>
        <w:ind w:left="-5" w:right="0"/>
        <w:jc w:val="left"/>
        <w:rPr>
          <w:sz w:val="22"/>
          <w:szCs w:val="22"/>
        </w:rPr>
      </w:pPr>
      <w:r>
        <w:rPr>
          <w:b/>
          <w:sz w:val="22"/>
          <w:szCs w:val="22"/>
        </w:rPr>
        <w:t>Threats:</w:t>
      </w:r>
    </w:p>
    <w:p w14:paraId="343ABCD9">
      <w:pPr>
        <w:numPr>
          <w:ilvl w:val="0"/>
          <w:numId w:val="16"/>
        </w:numPr>
        <w:spacing w:after="0" w:line="364" w:lineRule="auto"/>
        <w:ind w:right="47" w:hanging="420"/>
        <w:rPr>
          <w:sz w:val="22"/>
          <w:szCs w:val="22"/>
        </w:rPr>
      </w:pPr>
      <w:r>
        <w:rPr>
          <w:sz w:val="22"/>
          <w:szCs w:val="22"/>
        </w:rPr>
        <w:t>Economic Downturns: This can affect Trust Bank's profitability and stability, leading to potential loan defaults/issues and financial losses.</w:t>
      </w:r>
    </w:p>
    <w:p w14:paraId="4C6BB17D">
      <w:pPr>
        <w:numPr>
          <w:ilvl w:val="0"/>
          <w:numId w:val="16"/>
        </w:numPr>
        <w:spacing w:after="0" w:line="364" w:lineRule="auto"/>
        <w:ind w:right="47" w:hanging="420"/>
        <w:rPr>
          <w:sz w:val="22"/>
          <w:szCs w:val="22"/>
        </w:rPr>
      </w:pPr>
      <w:r>
        <w:rPr>
          <w:sz w:val="22"/>
          <w:szCs w:val="22"/>
        </w:rPr>
        <w:t>Cyber-Security Changes: Cyber-security Changes can pose a threat to sensitive client’s data and can result in financial and reputational damages/hazards to Trust Bank.</w:t>
      </w:r>
    </w:p>
    <w:p w14:paraId="334FCE19">
      <w:pPr>
        <w:numPr>
          <w:ilvl w:val="0"/>
          <w:numId w:val="16"/>
        </w:numPr>
        <w:spacing w:line="364" w:lineRule="auto"/>
        <w:ind w:right="47" w:hanging="420"/>
        <w:rPr>
          <w:sz w:val="22"/>
          <w:szCs w:val="22"/>
        </w:rPr>
      </w:pPr>
      <w:r>
        <w:rPr>
          <w:sz w:val="22"/>
          <w:szCs w:val="22"/>
        </w:rPr>
        <w:t>Regulatory Changes: Regulatory Changes can affect Trust Bank’s operations and require expensive compliance measure.</w:t>
      </w:r>
    </w:p>
    <w:p w14:paraId="7D5560BF">
      <w:pPr>
        <w:pStyle w:val="3"/>
        <w:rPr>
          <w:rFonts w:ascii="Times New Roman" w:hAnsi="Times New Roman" w:eastAsia="Times New Roman" w:cs="Times New Roman"/>
        </w:rPr>
      </w:pPr>
      <w:bookmarkStart w:id="22" w:name="_Toc204820964"/>
      <w:r>
        <w:rPr>
          <w:rFonts w:ascii="Times New Roman" w:hAnsi="Times New Roman" w:eastAsia="Times New Roman" w:cs="Times New Roman"/>
        </w:rPr>
        <w:t>2.2 Industry Analysis</w:t>
      </w:r>
      <w:bookmarkEnd w:id="22"/>
    </w:p>
    <w:p w14:paraId="2EA6C714">
      <w:pPr>
        <w:pStyle w:val="4"/>
      </w:pPr>
      <w:bookmarkStart w:id="23" w:name="_Toc204820965"/>
      <w:r>
        <w:t>2.2.1 Specification of the Industry</w:t>
      </w:r>
      <w:bookmarkEnd w:id="23"/>
      <w:r>
        <w:t xml:space="preserve"> </w:t>
      </w:r>
    </w:p>
    <w:p w14:paraId="3F8A1079">
      <w:pPr>
        <w:rPr>
          <w:sz w:val="22"/>
          <w:szCs w:val="22"/>
        </w:rPr>
      </w:pPr>
    </w:p>
    <w:p w14:paraId="3DC7106E">
      <w:pPr>
        <w:rPr>
          <w:sz w:val="22"/>
          <w:szCs w:val="22"/>
        </w:rPr>
      </w:pPr>
      <w:r>
        <w:rPr>
          <w:sz w:val="22"/>
          <w:szCs w:val="22"/>
        </w:rPr>
        <w:t xml:space="preserve">The banking system in Bangladesh is crucial for the entire economy along with providing loans to the people and businesses to provide trade and commerce. Like most sectors, they are always overseen by the pharmaceutical industry in country which is more modern.  </w:t>
      </w:r>
    </w:p>
    <w:p w14:paraId="18CE22CE">
      <w:pPr>
        <w:rPr>
          <w:sz w:val="22"/>
          <w:szCs w:val="22"/>
        </w:rPr>
      </w:pPr>
    </w:p>
    <w:p w14:paraId="371A0052">
      <w:pPr>
        <w:rPr>
          <w:sz w:val="22"/>
          <w:szCs w:val="22"/>
        </w:rPr>
      </w:pPr>
      <w:r>
        <w:rPr>
          <w:sz w:val="22"/>
          <w:szCs w:val="22"/>
        </w:rPr>
        <w:t xml:space="preserve">Trust bank limited has significantly stepped up its current position as an effective and efficient private commercial bank in Bangladesh as they offer retail and corporate banking. The telecommunication sector has vastly transformed banking to mobile and online systems further motivating on time business transactions.  </w:t>
      </w:r>
    </w:p>
    <w:p w14:paraId="7B8B0833">
      <w:pPr>
        <w:rPr>
          <w:sz w:val="22"/>
          <w:szCs w:val="22"/>
        </w:rPr>
      </w:pPr>
    </w:p>
    <w:p w14:paraId="1FC6987F">
      <w:pPr>
        <w:rPr>
          <w:sz w:val="22"/>
          <w:szCs w:val="22"/>
        </w:rPr>
      </w:pPr>
      <w:r>
        <w:rPr>
          <w:sz w:val="22"/>
          <w:szCs w:val="22"/>
        </w:rPr>
        <w:t xml:space="preserve">The innovation in customer services, technology and services put forth by foreign and domestic banks aids further evolve the banking system. Trust Bank Limited in the race to offer the best possible banking services and avail a bigger market share, human resource programs along with modern banking systems.  </w:t>
      </w:r>
    </w:p>
    <w:p w14:paraId="20D4FF4E">
      <w:pPr>
        <w:rPr>
          <w:sz w:val="22"/>
          <w:szCs w:val="22"/>
        </w:rPr>
      </w:pPr>
    </w:p>
    <w:p w14:paraId="26530B89">
      <w:pPr>
        <w:rPr>
          <w:sz w:val="22"/>
          <w:szCs w:val="22"/>
        </w:rPr>
      </w:pPr>
      <w:r>
        <w:rPr>
          <w:sz w:val="22"/>
          <w:szCs w:val="22"/>
        </w:rPr>
        <w:t>The revolutionary mobile banking changed the traditional banking systems allowing for easier, quicker and more convenient transactions. Trust bank limited gives tremendous effort everyday featuring banking products and enabling customers to get the systems along with high speed.</w:t>
      </w:r>
    </w:p>
    <w:p w14:paraId="6FB0B93D">
      <w:pPr>
        <w:pStyle w:val="4"/>
      </w:pPr>
      <w:bookmarkStart w:id="24" w:name="_Toc204820966"/>
      <w:r>
        <w:t>2.2.2 Size, Trend, and Maturity of the Industry</w:t>
      </w:r>
      <w:bookmarkEnd w:id="24"/>
    </w:p>
    <w:p w14:paraId="47BE7748">
      <w:pPr>
        <w:ind w:left="0" w:firstLine="0"/>
        <w:jc w:val="left"/>
        <w:rPr>
          <w:b/>
          <w:bCs/>
          <w:sz w:val="22"/>
          <w:szCs w:val="22"/>
        </w:rPr>
      </w:pPr>
      <w:r>
        <w:rPr>
          <w:b/>
          <w:bCs/>
          <w:sz w:val="22"/>
          <w:szCs w:val="22"/>
        </w:rPr>
        <w:t>Size</w:t>
      </w:r>
    </w:p>
    <w:p w14:paraId="69FE88E2">
      <w:pPr>
        <w:ind w:left="0" w:firstLine="0"/>
        <w:jc w:val="left"/>
        <w:rPr>
          <w:sz w:val="22"/>
          <w:szCs w:val="22"/>
        </w:rPr>
      </w:pPr>
      <w:r>
        <w:rPr>
          <w:sz w:val="22"/>
          <w:szCs w:val="22"/>
        </w:rPr>
        <w:t>Over the past years, Bangladesh's banking sector has grown significantly in size. Bangladesh Bank's most recent reports show, there are more than 60 banks in the nation. These banks have thousands of branches that serve millions of customers every single day. The industry is expanding rapidly which is an indication of rising economic growth of Bangladesh and public confidence</w:t>
      </w:r>
      <w:r>
        <w:rPr>
          <w:sz w:val="22"/>
          <w:szCs w:val="22"/>
        </w:rPr>
        <w:br w:type="textWrapping"/>
      </w:r>
      <w:r>
        <w:rPr>
          <w:sz w:val="22"/>
          <w:szCs w:val="22"/>
        </w:rPr>
        <w:br w:type="textWrapping"/>
      </w:r>
      <w:r>
        <w:rPr>
          <w:b/>
          <w:bCs/>
          <w:sz w:val="22"/>
          <w:szCs w:val="22"/>
        </w:rPr>
        <w:t>Trends</w:t>
      </w:r>
    </w:p>
    <w:p w14:paraId="5FA1DAF1">
      <w:pPr>
        <w:ind w:left="0" w:firstLine="0"/>
        <w:jc w:val="left"/>
        <w:rPr>
          <w:sz w:val="22"/>
          <w:szCs w:val="22"/>
        </w:rPr>
      </w:pPr>
      <w:r>
        <w:rPr>
          <w:sz w:val="22"/>
          <w:szCs w:val="22"/>
        </w:rPr>
        <w:t>The recent changes in the industry include the introduction of green banking, the expansion of digital and mobile banking, the use of artificial intelligence for risk management and customer service, and a stronger focus on financial inclusion. Banks are increasingly using ATMs, internet banking, and mobile apps to offer 24/7 customer support. Fintech collaborations are also helping banks reach unbanked individuals in semi-urban and rural locations.</w:t>
      </w:r>
    </w:p>
    <w:p w14:paraId="0FF8CB8B">
      <w:pPr>
        <w:ind w:left="0" w:firstLine="0"/>
        <w:jc w:val="left"/>
        <w:rPr>
          <w:b/>
          <w:bCs/>
          <w:sz w:val="22"/>
          <w:szCs w:val="22"/>
        </w:rPr>
      </w:pPr>
    </w:p>
    <w:p w14:paraId="57614819">
      <w:pPr>
        <w:ind w:left="0" w:firstLine="0"/>
        <w:jc w:val="left"/>
        <w:rPr>
          <w:b/>
          <w:bCs/>
          <w:sz w:val="22"/>
          <w:szCs w:val="22"/>
        </w:rPr>
      </w:pPr>
      <w:r>
        <w:rPr>
          <w:b/>
          <w:bCs/>
          <w:sz w:val="22"/>
          <w:szCs w:val="22"/>
        </w:rPr>
        <w:t>Maturity</w:t>
      </w:r>
    </w:p>
    <w:p w14:paraId="59DE4DB9">
      <w:pPr>
        <w:jc w:val="left"/>
        <w:rPr>
          <w:sz w:val="22"/>
          <w:szCs w:val="22"/>
        </w:rPr>
      </w:pPr>
      <w:r>
        <w:rPr>
          <w:sz w:val="22"/>
          <w:szCs w:val="22"/>
        </w:rPr>
        <w:t xml:space="preserve">The banking sector still has a long way, specifically in terms of national financial inclusion and digitization, even though it is developing in small cities. Many people in village areas still depends on unofficial and unorthodox banking channels or do not have any access at all. In addition to that, the sector is still facing difficulties with non-performing loans (NPLs), risk management programs in particular financial institutions, and a shortage of qualified personnel for modern banking technologies. </w:t>
      </w:r>
      <w:r>
        <w:rPr>
          <w:sz w:val="22"/>
          <w:szCs w:val="22"/>
        </w:rPr>
        <w:br w:type="textWrapping"/>
      </w:r>
      <w:r>
        <w:rPr>
          <w:sz w:val="22"/>
          <w:szCs w:val="22"/>
        </w:rPr>
        <w:t>Nevertheless, the industry is moving slowly but steadily toward maturity based on the continuous vast changes, growing private sector involvement, and investments in digital transformation. The banking system in its own has also developed strength by the implementation of Basel III guidelines, better corporate governance, and increased risk-based supervision.</w:t>
      </w:r>
    </w:p>
    <w:p w14:paraId="40249D0C">
      <w:pPr>
        <w:pStyle w:val="4"/>
      </w:pPr>
      <w:bookmarkStart w:id="25" w:name="_Toc204820967"/>
      <w:r>
        <w:t>2.2.3 Industry SWOT Analysis</w:t>
      </w:r>
      <w:bookmarkEnd w:id="25"/>
    </w:p>
    <w:p w14:paraId="651D9AA8">
      <w:pPr>
        <w:rPr>
          <w:sz w:val="22"/>
          <w:szCs w:val="22"/>
        </w:rPr>
      </w:pPr>
      <w:r>
        <w:rPr>
          <w:sz w:val="22"/>
          <w:szCs w:val="22"/>
        </w:rPr>
        <w:t>In detailed SWOT (Strengths, Weaknesses, Opportunities, and Threats) analysis of the banking industry in Bangladesh is given below:</w:t>
      </w:r>
    </w:p>
    <w:p w14:paraId="43F1B33E">
      <w:pPr>
        <w:rPr>
          <w:b/>
          <w:bCs/>
          <w:sz w:val="22"/>
          <w:szCs w:val="22"/>
        </w:rPr>
      </w:pPr>
      <w:r>
        <w:rPr>
          <w:sz w:val="22"/>
          <w:szCs w:val="22"/>
        </w:rPr>
        <w:t xml:space="preserve"> </w:t>
      </w:r>
      <w:r>
        <w:rPr>
          <w:b/>
          <w:bCs/>
          <w:sz w:val="22"/>
          <w:szCs w:val="22"/>
        </w:rPr>
        <w:t>Strengths</w:t>
      </w:r>
    </w:p>
    <w:p w14:paraId="14FF82B7">
      <w:pPr>
        <w:rPr>
          <w:sz w:val="22"/>
          <w:szCs w:val="22"/>
        </w:rPr>
      </w:pPr>
      <w:r>
        <w:rPr>
          <w:sz w:val="22"/>
          <w:szCs w:val="22"/>
        </w:rPr>
        <w:t xml:space="preserve"> Regulatory Oversight: Bangladesh Bank portrays an active and important role assuring the stability and transparency of the sector.</w:t>
      </w:r>
    </w:p>
    <w:p w14:paraId="0C93CB0E">
      <w:pPr>
        <w:rPr>
          <w:sz w:val="22"/>
          <w:szCs w:val="22"/>
        </w:rPr>
      </w:pPr>
      <w:r>
        <w:rPr>
          <w:sz w:val="22"/>
          <w:szCs w:val="22"/>
        </w:rPr>
        <w:t xml:space="preserve"> Growing Digital Infrastructure: vast use of the internet and smartphone penetration is helping banks towards achieving success in digital sector. </w:t>
      </w:r>
    </w:p>
    <w:p w14:paraId="68D4C342">
      <w:pPr>
        <w:rPr>
          <w:sz w:val="22"/>
          <w:szCs w:val="22"/>
        </w:rPr>
      </w:pPr>
      <w:r>
        <w:rPr>
          <w:sz w:val="22"/>
          <w:szCs w:val="22"/>
        </w:rPr>
        <w:t>Wide Network Coverage: Thousands of bank branches and ATM booths all over the country.</w:t>
      </w:r>
    </w:p>
    <w:p w14:paraId="63283A91">
      <w:pPr>
        <w:rPr>
          <w:sz w:val="22"/>
          <w:szCs w:val="22"/>
        </w:rPr>
      </w:pPr>
      <w:r>
        <w:rPr>
          <w:sz w:val="22"/>
          <w:szCs w:val="22"/>
        </w:rPr>
        <w:t xml:space="preserve">  Public Trust: People usually trust bank services in general due to strict rules and regulations. </w:t>
      </w:r>
    </w:p>
    <w:p w14:paraId="774FE0AB">
      <w:pPr>
        <w:rPr>
          <w:b/>
          <w:bCs/>
          <w:sz w:val="22"/>
          <w:szCs w:val="22"/>
        </w:rPr>
      </w:pPr>
      <w:r>
        <w:rPr>
          <w:b/>
          <w:bCs/>
          <w:sz w:val="22"/>
          <w:szCs w:val="22"/>
        </w:rPr>
        <w:t>Weaknesses</w:t>
      </w:r>
    </w:p>
    <w:p w14:paraId="3B796A87">
      <w:pPr>
        <w:rPr>
          <w:sz w:val="22"/>
          <w:szCs w:val="22"/>
        </w:rPr>
      </w:pPr>
      <w:r>
        <w:rPr>
          <w:sz w:val="22"/>
          <w:szCs w:val="22"/>
        </w:rPr>
        <w:t xml:space="preserve"> High Non-Performing Loans (NPL): Some banks may struggle with collecting loans they provided to their clients, which impacts overall profitability. </w:t>
      </w:r>
    </w:p>
    <w:p w14:paraId="38B3FDB7">
      <w:pPr>
        <w:rPr>
          <w:sz w:val="22"/>
          <w:szCs w:val="22"/>
        </w:rPr>
      </w:pPr>
      <w:r>
        <w:rPr>
          <w:sz w:val="22"/>
          <w:szCs w:val="22"/>
        </w:rPr>
        <w:t xml:space="preserve">Limited Financial Literacy: A large percentage of the population still lacks understanding of the very basic banking services. </w:t>
      </w:r>
    </w:p>
    <w:p w14:paraId="1B2E0600">
      <w:pPr>
        <w:rPr>
          <w:sz w:val="22"/>
          <w:szCs w:val="22"/>
        </w:rPr>
      </w:pPr>
      <w:r>
        <w:rPr>
          <w:sz w:val="22"/>
          <w:szCs w:val="22"/>
        </w:rPr>
        <w:t xml:space="preserve">Uneven Service Distribution: Urban-centric banking services; village areas are not taken care of yet. </w:t>
      </w:r>
    </w:p>
    <w:p w14:paraId="50F626B1">
      <w:pPr>
        <w:rPr>
          <w:sz w:val="22"/>
          <w:szCs w:val="22"/>
        </w:rPr>
      </w:pPr>
      <w:r>
        <w:rPr>
          <w:sz w:val="22"/>
          <w:szCs w:val="22"/>
        </w:rPr>
        <w:t>Traditional Work Culture: adopting new technologies and modern HR practices is still a challenge in some institutions.</w:t>
      </w:r>
    </w:p>
    <w:p w14:paraId="769416B5">
      <w:pPr>
        <w:rPr>
          <w:b/>
          <w:bCs/>
          <w:sz w:val="22"/>
          <w:szCs w:val="22"/>
        </w:rPr>
      </w:pPr>
      <w:r>
        <w:rPr>
          <w:b/>
          <w:bCs/>
          <w:sz w:val="22"/>
          <w:szCs w:val="22"/>
        </w:rPr>
        <w:t xml:space="preserve">Opportunities </w:t>
      </w:r>
    </w:p>
    <w:p w14:paraId="61FF50D8">
      <w:pPr>
        <w:rPr>
          <w:sz w:val="22"/>
          <w:szCs w:val="22"/>
        </w:rPr>
      </w:pPr>
      <w:r>
        <w:rPr>
          <w:sz w:val="22"/>
          <w:szCs w:val="22"/>
        </w:rPr>
        <w:t xml:space="preserve">Financial Inclusion: Significant potential to reach village, underdeveloped and underserved populations through digital banking and agent banking. </w:t>
      </w:r>
    </w:p>
    <w:p w14:paraId="32481E11">
      <w:pPr>
        <w:ind w:left="0" w:firstLine="0"/>
        <w:rPr>
          <w:sz w:val="22"/>
          <w:szCs w:val="22"/>
        </w:rPr>
      </w:pPr>
      <w:r>
        <w:rPr>
          <w:sz w:val="22"/>
          <w:szCs w:val="22"/>
        </w:rPr>
        <w:t xml:space="preserve">FinTech Integration:  Various opportunities to develop business relationship with financial technology companies for creative and innovative solutions. </w:t>
      </w:r>
    </w:p>
    <w:p w14:paraId="786414D6">
      <w:pPr>
        <w:ind w:left="0" w:firstLine="0"/>
        <w:rPr>
          <w:sz w:val="22"/>
          <w:szCs w:val="22"/>
        </w:rPr>
      </w:pPr>
      <w:r>
        <w:rPr>
          <w:sz w:val="22"/>
          <w:szCs w:val="22"/>
        </w:rPr>
        <w:t>SME Financing: Expansion in Small and Medium Enterprises (SME) financing can boost up economic growth and bank revenues.</w:t>
      </w:r>
    </w:p>
    <w:p w14:paraId="3DA5A4C0">
      <w:pPr>
        <w:ind w:left="0" w:firstLine="0"/>
        <w:rPr>
          <w:sz w:val="22"/>
          <w:szCs w:val="22"/>
        </w:rPr>
      </w:pPr>
      <w:r>
        <w:rPr>
          <w:sz w:val="22"/>
          <w:szCs w:val="22"/>
        </w:rPr>
        <w:t xml:space="preserve">Green and Islamic Banking: Growing demand for environmentally responsible and Shariah. </w:t>
      </w:r>
    </w:p>
    <w:p w14:paraId="1D449445">
      <w:pPr>
        <w:ind w:left="0" w:firstLine="0"/>
        <w:rPr>
          <w:b/>
          <w:bCs/>
          <w:sz w:val="22"/>
          <w:szCs w:val="22"/>
        </w:rPr>
      </w:pPr>
    </w:p>
    <w:p w14:paraId="5B70C2F2">
      <w:pPr>
        <w:ind w:left="0" w:firstLine="0"/>
        <w:rPr>
          <w:sz w:val="22"/>
          <w:szCs w:val="22"/>
        </w:rPr>
      </w:pPr>
      <w:r>
        <w:rPr>
          <w:b/>
          <w:bCs/>
          <w:sz w:val="22"/>
          <w:szCs w:val="22"/>
        </w:rPr>
        <w:t>Threats</w:t>
      </w:r>
    </w:p>
    <w:p w14:paraId="2EF85962">
      <w:pPr>
        <w:ind w:left="0" w:firstLine="0"/>
        <w:rPr>
          <w:sz w:val="22"/>
          <w:szCs w:val="22"/>
        </w:rPr>
      </w:pPr>
      <w:r>
        <w:rPr>
          <w:sz w:val="22"/>
          <w:szCs w:val="22"/>
        </w:rPr>
        <w:t>Economic Volatility: Inflation, currency depreciation, and global economic hazards can impact the banking sector’s performance.</w:t>
      </w:r>
    </w:p>
    <w:p w14:paraId="01B40F92">
      <w:pPr>
        <w:ind w:left="0" w:firstLine="0"/>
        <w:rPr>
          <w:sz w:val="22"/>
          <w:szCs w:val="22"/>
        </w:rPr>
      </w:pPr>
      <w:r>
        <w:rPr>
          <w:sz w:val="22"/>
          <w:szCs w:val="22"/>
        </w:rPr>
        <w:t xml:space="preserve"> Cybersecurity Risks: As banks are mostly online based nowadays, they face growing threats from cyberattacks and might be hacked easily. </w:t>
      </w:r>
    </w:p>
    <w:p w14:paraId="08FDE3D6">
      <w:pPr>
        <w:ind w:left="0" w:firstLine="0"/>
        <w:rPr>
          <w:sz w:val="22"/>
          <w:szCs w:val="22"/>
        </w:rPr>
      </w:pPr>
      <w:r>
        <w:rPr>
          <w:sz w:val="22"/>
          <w:szCs w:val="22"/>
        </w:rPr>
        <w:t xml:space="preserve">Intense Competition: Availability of many commercial banks leads to price wars and reduced margins. </w:t>
      </w:r>
    </w:p>
    <w:p w14:paraId="1817CBBC">
      <w:pPr>
        <w:ind w:left="0" w:firstLine="0"/>
        <w:rPr>
          <w:sz w:val="22"/>
          <w:szCs w:val="22"/>
        </w:rPr>
      </w:pPr>
      <w:r>
        <w:rPr>
          <w:sz w:val="22"/>
          <w:szCs w:val="22"/>
        </w:rPr>
        <w:t>Regulatory Burden: Compliance with evolving local and international regulations increases overall operational costs.</w:t>
      </w:r>
    </w:p>
    <w:p w14:paraId="38944CB0">
      <w:pPr>
        <w:ind w:left="0" w:firstLine="0"/>
        <w:rPr>
          <w:sz w:val="22"/>
          <w:szCs w:val="22"/>
        </w:rPr>
      </w:pPr>
      <w:r>
        <w:rPr>
          <w:b/>
          <w:bCs/>
          <w:sz w:val="22"/>
          <w:szCs w:val="22"/>
        </w:rPr>
        <w:t>External Factors to Consider</w:t>
      </w:r>
    </w:p>
    <w:p w14:paraId="2B81A643">
      <w:pPr>
        <w:ind w:left="0" w:firstLine="0"/>
        <w:rPr>
          <w:sz w:val="22"/>
          <w:szCs w:val="22"/>
        </w:rPr>
      </w:pPr>
      <w:r>
        <w:rPr>
          <w:sz w:val="22"/>
          <w:szCs w:val="22"/>
        </w:rPr>
        <w:t>Economic Factors: Inflation rate, GDP growth, remittance flows, and employment levels impacts the banking sector’s growth.</w:t>
      </w:r>
    </w:p>
    <w:p w14:paraId="6F80F24D">
      <w:pPr>
        <w:ind w:left="0" w:firstLine="0"/>
        <w:rPr>
          <w:sz w:val="22"/>
          <w:szCs w:val="22"/>
        </w:rPr>
      </w:pPr>
      <w:r>
        <w:rPr>
          <w:sz w:val="22"/>
          <w:szCs w:val="22"/>
        </w:rPr>
        <w:t xml:space="preserve">Technological Factors: Adoption of automation, blockchain, and artificial intelligence can reshape and reformulate the banking landscape. </w:t>
      </w:r>
    </w:p>
    <w:p w14:paraId="76210EB6">
      <w:pPr>
        <w:ind w:left="0" w:firstLine="0"/>
        <w:rPr>
          <w:sz w:val="22"/>
          <w:szCs w:val="22"/>
        </w:rPr>
      </w:pPr>
      <w:r>
        <w:rPr>
          <w:sz w:val="22"/>
          <w:szCs w:val="22"/>
        </w:rPr>
        <w:t xml:space="preserve">Barriers to Entry: New entrants face high challenges, capital adequacy demands, and brand trust issues. </w:t>
      </w:r>
    </w:p>
    <w:p w14:paraId="647B3DB9">
      <w:pPr>
        <w:ind w:left="0" w:firstLine="0"/>
        <w:rPr>
          <w:sz w:val="22"/>
          <w:szCs w:val="22"/>
        </w:rPr>
      </w:pPr>
      <w:r>
        <w:rPr>
          <w:sz w:val="22"/>
          <w:szCs w:val="22"/>
        </w:rPr>
        <w:t xml:space="preserve">Threat of Substitutes: Mobile financial services like bKash, Rocket, and Nagad are the biggest threats in terms of the competition. </w:t>
      </w:r>
    </w:p>
    <w:p w14:paraId="2B38EE16">
      <w:pPr>
        <w:ind w:left="0" w:firstLine="0"/>
        <w:rPr>
          <w:sz w:val="22"/>
          <w:szCs w:val="22"/>
        </w:rPr>
      </w:pPr>
      <w:r>
        <w:rPr>
          <w:sz w:val="22"/>
          <w:szCs w:val="22"/>
        </w:rPr>
        <w:t xml:space="preserve">Industry Rivalry: related industries existing players remains competitive which creates challenges for the bank. </w:t>
      </w:r>
    </w:p>
    <w:p w14:paraId="3668EB09">
      <w:pPr>
        <w:ind w:left="0" w:firstLine="0"/>
        <w:rPr>
          <w:sz w:val="22"/>
          <w:szCs w:val="22"/>
        </w:rPr>
      </w:pPr>
    </w:p>
    <w:p w14:paraId="758F7E6D">
      <w:pPr>
        <w:spacing w:after="160" w:line="278" w:lineRule="auto"/>
        <w:ind w:left="0" w:right="0" w:firstLine="0"/>
        <w:jc w:val="left"/>
        <w:rPr>
          <w:sz w:val="22"/>
          <w:szCs w:val="22"/>
        </w:rPr>
      </w:pPr>
      <w:r>
        <w:rPr>
          <w:sz w:val="22"/>
          <w:szCs w:val="22"/>
        </w:rPr>
        <w:br w:type="page"/>
      </w:r>
    </w:p>
    <w:p w14:paraId="1CF2253E">
      <w:pPr>
        <w:pStyle w:val="2"/>
        <w:jc w:val="center"/>
        <w:rPr>
          <w:rFonts w:ascii="Times New Roman" w:hAnsi="Times New Roman" w:cs="Times New Roman"/>
          <w:b/>
          <w:bCs/>
          <w:sz w:val="36"/>
          <w:szCs w:val="36"/>
        </w:rPr>
      </w:pPr>
      <w:bookmarkStart w:id="26" w:name="_Toc204820968"/>
      <w:r>
        <w:rPr>
          <w:rFonts w:ascii="Times New Roman" w:hAnsi="Times New Roman" w:cs="Times New Roman"/>
          <w:b/>
          <w:bCs/>
          <w:sz w:val="36"/>
          <w:szCs w:val="36"/>
        </w:rPr>
        <w:t>Chapter 03</w:t>
      </w:r>
      <w:bookmarkEnd w:id="26"/>
    </w:p>
    <w:p w14:paraId="05BD5AE7">
      <w:pPr>
        <w:pStyle w:val="2"/>
        <w:jc w:val="center"/>
        <w:rPr>
          <w:rFonts w:ascii="Times New Roman" w:hAnsi="Times New Roman" w:cs="Times New Roman"/>
          <w:b/>
          <w:bCs/>
          <w:sz w:val="36"/>
          <w:szCs w:val="36"/>
        </w:rPr>
      </w:pPr>
      <w:bookmarkStart w:id="27" w:name="_Toc204820969"/>
      <w:r>
        <w:rPr>
          <w:rFonts w:ascii="Times New Roman" w:hAnsi="Times New Roman" w:cs="Times New Roman"/>
          <w:b/>
          <w:bCs/>
          <w:sz w:val="36"/>
          <w:szCs w:val="36"/>
        </w:rPr>
        <w:t>INTERNSHIP EXPERIENCE</w:t>
      </w:r>
      <w:bookmarkEnd w:id="27"/>
    </w:p>
    <w:p w14:paraId="2FF14101">
      <w:pPr>
        <w:pStyle w:val="3"/>
        <w:rPr>
          <w:rFonts w:ascii="Times New Roman" w:hAnsi="Times New Roman" w:cs="Times New Roman"/>
        </w:rPr>
      </w:pPr>
      <w:bookmarkStart w:id="28" w:name="_Toc204820970"/>
      <w:r>
        <w:rPr>
          <w:rFonts w:ascii="Times New Roman" w:hAnsi="Times New Roman" w:cs="Times New Roman"/>
        </w:rPr>
        <w:t>3.1. Position, Duties, and Responsibilities</w:t>
      </w:r>
      <w:bookmarkEnd w:id="28"/>
    </w:p>
    <w:p w14:paraId="1DC52ABB">
      <w:pPr>
        <w:spacing w:after="452" w:line="363" w:lineRule="auto"/>
        <w:ind w:left="-5" w:right="47"/>
        <w:rPr>
          <w:sz w:val="22"/>
          <w:szCs w:val="22"/>
        </w:rPr>
      </w:pPr>
      <w:r>
        <w:rPr>
          <w:sz w:val="22"/>
          <w:szCs w:val="22"/>
        </w:rPr>
        <w:t xml:space="preserve">I started my internship in TBL as an intern from April 02 to June 02, 2025. I feel really lucky for getting the opportunity to work in a reputed bank like Trust bank PLC. I was placed at the Millennium Branch under the Islamic Banking Department. There I learned more about the banking industry from a insider’s point of view. This internship taught me how the banking industry function, their rules and regulation and the HR structure of the bank. It helped me to prepare myself to work in this industry. </w:t>
      </w:r>
    </w:p>
    <w:p w14:paraId="5656EB43">
      <w:pPr>
        <w:spacing w:after="452" w:line="363" w:lineRule="auto"/>
        <w:ind w:left="-5" w:right="47"/>
        <w:rPr>
          <w:sz w:val="22"/>
          <w:szCs w:val="22"/>
        </w:rPr>
      </w:pPr>
      <w:r>
        <w:rPr>
          <w:sz w:val="22"/>
          <w:szCs w:val="22"/>
        </w:rPr>
        <w:t xml:space="preserve">Throughout my internship, all the employees were very helpful and welcoming towards me. They made time for me from their very busy schedule and taught me the basics of their work. They always answered my questions whenever I faced any difficulty. Their encouragement helped me to work hared to learn better about the bank. </w:t>
      </w:r>
    </w:p>
    <w:p w14:paraId="7633A061">
      <w:pPr>
        <w:spacing w:after="452" w:line="363" w:lineRule="auto"/>
        <w:ind w:left="-5" w:right="47"/>
        <w:rPr>
          <w:sz w:val="22"/>
          <w:szCs w:val="22"/>
        </w:rPr>
      </w:pPr>
      <w:r>
        <w:rPr>
          <w:sz w:val="22"/>
          <w:szCs w:val="22"/>
        </w:rPr>
        <w:t xml:space="preserve">I worked five days a week, from 10:00 a.m. to 6:00 p.m., rotating through several departments to understand better about the overall structure. It also gave me the opportunity to learn about the responsibility of the employees working in the different departments. Me experience while working there will help me when I enter the corporate world.  </w:t>
      </w:r>
    </w:p>
    <w:p w14:paraId="64276D9A">
      <w:pPr>
        <w:pStyle w:val="3"/>
        <w:rPr>
          <w:rFonts w:ascii="Times New Roman" w:hAnsi="Times New Roman" w:cs="Times New Roman"/>
        </w:rPr>
      </w:pPr>
      <w:bookmarkStart w:id="29" w:name="_Toc204820971"/>
      <w:r>
        <w:rPr>
          <w:rFonts w:ascii="Times New Roman" w:hAnsi="Times New Roman" w:cs="Times New Roman"/>
        </w:rPr>
        <w:t xml:space="preserve">3.2 </w:t>
      </w:r>
      <w:r>
        <w:rPr>
          <w:rFonts w:ascii="Times New Roman" w:hAnsi="Times New Roman" w:eastAsia="Times New Roman" w:cs="Times New Roman"/>
        </w:rPr>
        <w:t>Contribution to Departmental Functions</w:t>
      </w:r>
      <w:bookmarkEnd w:id="29"/>
    </w:p>
    <w:p w14:paraId="00EA5765">
      <w:pPr>
        <w:spacing w:after="0" w:line="363" w:lineRule="auto"/>
        <w:ind w:left="0" w:right="47" w:firstLine="0"/>
        <w:rPr>
          <w:sz w:val="22"/>
          <w:szCs w:val="22"/>
        </w:rPr>
      </w:pPr>
      <w:r>
        <w:rPr>
          <w:sz w:val="22"/>
          <w:szCs w:val="22"/>
        </w:rPr>
        <w:t xml:space="preserve">At first, I met Mr. Sha Alam and he introduced me to the branch manager and manager of operation and credit. Then he took me to the Islamic banking section under the supervision of Jakir Ahmed. So, from April 02 to June 02, I started my internship from Islamic banking section. In the Islamic banking department, I did different jobs to understand better different department. </w:t>
      </w:r>
    </w:p>
    <w:p w14:paraId="6235B454">
      <w:pPr>
        <w:spacing w:after="0" w:line="363" w:lineRule="auto"/>
        <w:ind w:left="0" w:right="47" w:firstLine="0"/>
        <w:rPr>
          <w:sz w:val="22"/>
          <w:szCs w:val="22"/>
        </w:rPr>
      </w:pPr>
      <w:r>
        <w:rPr>
          <w:sz w:val="22"/>
          <w:szCs w:val="22"/>
        </w:rPr>
        <w:t xml:space="preserve">I was not assigned for specific work and I did different customer management related jobs. I assisted with various day to day tasks like providing necessary information as per customers need, issuing Cheque Book, account Closing, pay Order Issue, fill up forms for customers and updating forms. During my last week of internship, I learned about the HRM policies. I helped other employees to fill up their leave application. I also helped the HR department to update their leave record and review attendance reports.  </w:t>
      </w:r>
    </w:p>
    <w:p w14:paraId="27D2C57E">
      <w:pPr>
        <w:spacing w:after="2" w:line="362" w:lineRule="auto"/>
        <w:ind w:left="-5" w:right="1542"/>
        <w:jc w:val="left"/>
        <w:rPr>
          <w:sz w:val="22"/>
          <w:szCs w:val="22"/>
        </w:rPr>
      </w:pPr>
      <w:r>
        <w:rPr>
          <w:sz w:val="22"/>
          <w:szCs w:val="22"/>
        </w:rPr>
        <w:t>I also learned about some of the HRM policies at trust bank.</w:t>
      </w:r>
    </w:p>
    <w:p w14:paraId="053B81A5">
      <w:pPr>
        <w:spacing w:after="2" w:line="362" w:lineRule="auto"/>
        <w:ind w:left="-5" w:right="1542"/>
        <w:jc w:val="left"/>
        <w:rPr>
          <w:sz w:val="22"/>
          <w:szCs w:val="22"/>
        </w:rPr>
      </w:pPr>
    </w:p>
    <w:p w14:paraId="445A23EC">
      <w:pPr>
        <w:spacing w:after="2" w:line="362" w:lineRule="auto"/>
        <w:ind w:left="-5" w:right="1542"/>
        <w:jc w:val="left"/>
        <w:rPr>
          <w:sz w:val="22"/>
          <w:szCs w:val="22"/>
        </w:rPr>
      </w:pPr>
      <w:r>
        <w:rPr>
          <w:sz w:val="22"/>
          <w:szCs w:val="22"/>
        </w:rPr>
        <w:t xml:space="preserve"> The policies I learned about are:</w:t>
      </w:r>
    </w:p>
    <w:p w14:paraId="249D9EA8">
      <w:pPr>
        <w:pStyle w:val="35"/>
        <w:numPr>
          <w:ilvl w:val="0"/>
          <w:numId w:val="17"/>
        </w:numPr>
        <w:spacing w:after="2" w:line="362" w:lineRule="auto"/>
        <w:ind w:right="1542"/>
        <w:jc w:val="left"/>
        <w:rPr>
          <w:sz w:val="22"/>
          <w:szCs w:val="22"/>
        </w:rPr>
      </w:pPr>
      <w:r>
        <w:rPr>
          <w:sz w:val="22"/>
          <w:szCs w:val="22"/>
        </w:rPr>
        <w:t xml:space="preserve"> </w:t>
      </w:r>
      <w:bookmarkStart w:id="30" w:name="_Hlk203422925"/>
      <w:r>
        <w:rPr>
          <w:sz w:val="22"/>
          <w:szCs w:val="22"/>
        </w:rPr>
        <w:t xml:space="preserve">Recruitment and Selection Policy </w:t>
      </w:r>
    </w:p>
    <w:p w14:paraId="5F97A6FA">
      <w:pPr>
        <w:pStyle w:val="35"/>
        <w:numPr>
          <w:ilvl w:val="0"/>
          <w:numId w:val="17"/>
        </w:numPr>
        <w:spacing w:after="2" w:line="362" w:lineRule="auto"/>
        <w:ind w:right="1542"/>
        <w:jc w:val="left"/>
        <w:rPr>
          <w:sz w:val="22"/>
          <w:szCs w:val="22"/>
        </w:rPr>
      </w:pPr>
      <w:r>
        <w:rPr>
          <w:sz w:val="22"/>
          <w:szCs w:val="22"/>
        </w:rPr>
        <w:t>Training and Development Policy</w:t>
      </w:r>
    </w:p>
    <w:p w14:paraId="37270A22">
      <w:pPr>
        <w:pStyle w:val="35"/>
        <w:numPr>
          <w:ilvl w:val="0"/>
          <w:numId w:val="17"/>
        </w:numPr>
        <w:spacing w:after="2" w:line="362" w:lineRule="auto"/>
        <w:ind w:right="1542"/>
        <w:jc w:val="left"/>
        <w:rPr>
          <w:sz w:val="22"/>
          <w:szCs w:val="22"/>
        </w:rPr>
      </w:pPr>
      <w:r>
        <w:rPr>
          <w:sz w:val="22"/>
          <w:szCs w:val="22"/>
        </w:rPr>
        <w:t>Performance Management Policy</w:t>
      </w:r>
    </w:p>
    <w:p w14:paraId="2EDA1832">
      <w:pPr>
        <w:pStyle w:val="35"/>
        <w:numPr>
          <w:ilvl w:val="0"/>
          <w:numId w:val="17"/>
        </w:numPr>
        <w:spacing w:after="2" w:line="362" w:lineRule="auto"/>
        <w:ind w:right="1542"/>
        <w:jc w:val="left"/>
        <w:rPr>
          <w:sz w:val="22"/>
          <w:szCs w:val="22"/>
        </w:rPr>
      </w:pPr>
      <w:r>
        <w:rPr>
          <w:sz w:val="22"/>
          <w:szCs w:val="22"/>
        </w:rPr>
        <w:t>Compensation and Benefit Policy</w:t>
      </w:r>
    </w:p>
    <w:p w14:paraId="01CDF8E1">
      <w:pPr>
        <w:pStyle w:val="35"/>
        <w:numPr>
          <w:ilvl w:val="0"/>
          <w:numId w:val="17"/>
        </w:numPr>
        <w:spacing w:after="2" w:line="362" w:lineRule="auto"/>
        <w:ind w:right="1542"/>
        <w:jc w:val="left"/>
        <w:rPr>
          <w:sz w:val="22"/>
          <w:szCs w:val="22"/>
        </w:rPr>
      </w:pPr>
      <w:r>
        <w:rPr>
          <w:sz w:val="22"/>
          <w:szCs w:val="22"/>
        </w:rPr>
        <w:t>Leave Management Policy</w:t>
      </w:r>
    </w:p>
    <w:p w14:paraId="053F688C">
      <w:pPr>
        <w:pStyle w:val="35"/>
        <w:numPr>
          <w:ilvl w:val="0"/>
          <w:numId w:val="17"/>
        </w:numPr>
        <w:spacing w:after="2" w:line="362" w:lineRule="auto"/>
        <w:ind w:right="1542"/>
        <w:jc w:val="left"/>
        <w:rPr>
          <w:sz w:val="22"/>
          <w:szCs w:val="22"/>
        </w:rPr>
      </w:pPr>
      <w:r>
        <w:rPr>
          <w:sz w:val="22"/>
          <w:szCs w:val="22"/>
        </w:rPr>
        <w:t>Attendance and Punctuality</w:t>
      </w:r>
    </w:p>
    <w:bookmarkEnd w:id="30"/>
    <w:p w14:paraId="0F29F7D8">
      <w:pPr>
        <w:pStyle w:val="35"/>
        <w:spacing w:after="2" w:line="362" w:lineRule="auto"/>
        <w:ind w:left="705" w:right="1542" w:firstLine="0"/>
        <w:jc w:val="left"/>
        <w:rPr>
          <w:sz w:val="22"/>
          <w:szCs w:val="22"/>
        </w:rPr>
      </w:pPr>
    </w:p>
    <w:p w14:paraId="73DAF2E2">
      <w:pPr>
        <w:spacing w:after="0" w:line="363" w:lineRule="auto"/>
        <w:ind w:left="0" w:right="47" w:firstLine="0"/>
        <w:rPr>
          <w:sz w:val="22"/>
          <w:szCs w:val="22"/>
        </w:rPr>
      </w:pPr>
    </w:p>
    <w:p w14:paraId="3785A2AB">
      <w:pPr>
        <w:pStyle w:val="3"/>
        <w:rPr>
          <w:rFonts w:ascii="Times New Roman" w:hAnsi="Times New Roman" w:cs="Times New Roman"/>
        </w:rPr>
      </w:pPr>
      <w:bookmarkStart w:id="31" w:name="_Toc204820972"/>
      <w:r>
        <w:rPr>
          <w:rFonts w:ascii="Times New Roman" w:hAnsi="Times New Roman" w:cs="Times New Roman"/>
        </w:rPr>
        <w:t>3.3 New Skill Development</w:t>
      </w:r>
      <w:bookmarkEnd w:id="31"/>
    </w:p>
    <w:p w14:paraId="1CBE5E14">
      <w:pPr>
        <w:spacing w:after="0" w:line="363" w:lineRule="auto"/>
        <w:ind w:left="-5" w:right="47"/>
        <w:rPr>
          <w:sz w:val="22"/>
          <w:szCs w:val="22"/>
        </w:rPr>
      </w:pPr>
      <w:r>
        <w:rPr>
          <w:sz w:val="22"/>
          <w:szCs w:val="22"/>
        </w:rPr>
        <w:t>This internship program helped me to develop may bank related skills. By working in different department, I learned about the importance each department’s role and responsibility. I have learned how each department conduct their daily tasks. With this practical knowledge, I will be able to have a better understanding about this industry. So, from my 3 months internship with Trust bank I have learned-</w:t>
      </w:r>
    </w:p>
    <w:p w14:paraId="4123BE31">
      <w:pPr>
        <w:pStyle w:val="35"/>
        <w:numPr>
          <w:ilvl w:val="0"/>
          <w:numId w:val="18"/>
        </w:numPr>
        <w:ind w:right="47"/>
        <w:rPr>
          <w:sz w:val="22"/>
          <w:szCs w:val="22"/>
        </w:rPr>
      </w:pPr>
      <w:r>
        <w:rPr>
          <w:sz w:val="22"/>
          <w:szCs w:val="22"/>
        </w:rPr>
        <w:t>How I can apply my practical knowledge of this internship program in my corporate life</w:t>
      </w:r>
    </w:p>
    <w:p w14:paraId="04ECEE44">
      <w:pPr>
        <w:pStyle w:val="35"/>
        <w:numPr>
          <w:ilvl w:val="0"/>
          <w:numId w:val="18"/>
        </w:numPr>
        <w:ind w:right="47"/>
        <w:rPr>
          <w:sz w:val="22"/>
          <w:szCs w:val="22"/>
        </w:rPr>
      </w:pPr>
      <w:r>
        <w:rPr>
          <w:sz w:val="22"/>
          <w:szCs w:val="22"/>
        </w:rPr>
        <w:t xml:space="preserve">How to work professionally when I start working in the banking industry </w:t>
      </w:r>
    </w:p>
    <w:p w14:paraId="28970DEF">
      <w:pPr>
        <w:pStyle w:val="35"/>
        <w:numPr>
          <w:ilvl w:val="0"/>
          <w:numId w:val="18"/>
        </w:numPr>
        <w:spacing w:after="564"/>
        <w:ind w:right="47"/>
        <w:rPr>
          <w:sz w:val="22"/>
          <w:szCs w:val="22"/>
        </w:rPr>
      </w:pPr>
      <w:r>
        <w:rPr>
          <w:sz w:val="22"/>
          <w:szCs w:val="22"/>
        </w:rPr>
        <w:t>What I should expect from a corporate work</w:t>
      </w:r>
    </w:p>
    <w:p w14:paraId="34106759">
      <w:pPr>
        <w:pStyle w:val="35"/>
        <w:numPr>
          <w:ilvl w:val="0"/>
          <w:numId w:val="18"/>
        </w:numPr>
        <w:spacing w:after="564"/>
        <w:ind w:right="47"/>
        <w:rPr>
          <w:sz w:val="22"/>
          <w:szCs w:val="22"/>
        </w:rPr>
      </w:pPr>
      <w:r>
        <w:rPr>
          <w:sz w:val="22"/>
          <w:szCs w:val="22"/>
        </w:rPr>
        <w:t xml:space="preserve">How I should communicate with the clients and give them the best solution to meet their requirement. </w:t>
      </w:r>
    </w:p>
    <w:p w14:paraId="36412FDB">
      <w:pPr>
        <w:pStyle w:val="35"/>
        <w:spacing w:after="564"/>
        <w:ind w:right="47" w:firstLine="0"/>
        <w:rPr>
          <w:sz w:val="22"/>
          <w:szCs w:val="22"/>
        </w:rPr>
      </w:pPr>
    </w:p>
    <w:p w14:paraId="6C1DCEB8">
      <w:pPr>
        <w:pStyle w:val="3"/>
        <w:rPr>
          <w:rFonts w:ascii="Times New Roman" w:hAnsi="Times New Roman" w:cs="Times New Roman"/>
        </w:rPr>
      </w:pPr>
      <w:bookmarkStart w:id="32" w:name="_Toc204820973"/>
      <w:r>
        <w:rPr>
          <w:rFonts w:ascii="Times New Roman" w:hAnsi="Times New Roman" w:cs="Times New Roman"/>
        </w:rPr>
        <w:t>3.4 Application of Academic Knowledge</w:t>
      </w:r>
      <w:bookmarkEnd w:id="32"/>
    </w:p>
    <w:p w14:paraId="2B6B620E">
      <w:pPr>
        <w:spacing w:line="363" w:lineRule="auto"/>
        <w:ind w:left="-5" w:right="47"/>
        <w:rPr>
          <w:sz w:val="22"/>
          <w:szCs w:val="22"/>
        </w:rPr>
      </w:pPr>
      <w:r>
        <w:rPr>
          <w:sz w:val="22"/>
          <w:szCs w:val="22"/>
        </w:rPr>
        <w:t xml:space="preserve">Internship is an important part of the BBA program that helps students gain real-life experience in the corporate world. As a student majoring is HR I learned about many theories and concepts related to HR policies and practices over the four years of my BBA program. But I never got the opportunity to experience it in real life. This internship gave me the opportunity to experience exactly that. I got learn how each HR function is executed in real corporations. This experience prepared me better for my future. It developed my problem solving skill, how to handle stress in critical situation and made me more confident. When I enter the corporate world I will be prepared. Will be able to execute me theoretical knowledge more efficiently and effectively. </w:t>
      </w:r>
    </w:p>
    <w:p w14:paraId="283E57F2">
      <w:pPr>
        <w:spacing w:after="452" w:line="363" w:lineRule="auto"/>
        <w:ind w:left="-5" w:right="47"/>
        <w:rPr>
          <w:sz w:val="22"/>
          <w:szCs w:val="22"/>
        </w:rPr>
      </w:pPr>
    </w:p>
    <w:p w14:paraId="1D3B3B5B">
      <w:pPr>
        <w:pStyle w:val="2"/>
        <w:jc w:val="center"/>
        <w:rPr>
          <w:rFonts w:ascii="Times New Roman" w:hAnsi="Times New Roman" w:cs="Times New Roman"/>
          <w:b/>
          <w:bCs/>
        </w:rPr>
      </w:pPr>
      <w:bookmarkStart w:id="33" w:name="_Toc204820974"/>
      <w:r>
        <w:rPr>
          <w:rFonts w:ascii="Times New Roman" w:hAnsi="Times New Roman" w:cs="Times New Roman"/>
          <w:b/>
          <w:bCs/>
        </w:rPr>
        <w:t>Chapter 04</w:t>
      </w:r>
      <w:bookmarkEnd w:id="33"/>
    </w:p>
    <w:p w14:paraId="6A6911CA">
      <w:pPr>
        <w:pStyle w:val="2"/>
        <w:jc w:val="center"/>
        <w:rPr>
          <w:rFonts w:ascii="Times New Roman" w:hAnsi="Times New Roman" w:cs="Times New Roman"/>
          <w:b/>
          <w:bCs/>
        </w:rPr>
      </w:pPr>
      <w:bookmarkStart w:id="34" w:name="_Toc204820975"/>
      <w:r>
        <w:rPr>
          <w:rFonts w:ascii="Times New Roman" w:hAnsi="Times New Roman" w:cs="Times New Roman"/>
          <w:b/>
          <w:bCs/>
        </w:rPr>
        <w:t>HRM PRACTICES</w:t>
      </w:r>
      <w:bookmarkEnd w:id="34"/>
      <w:bookmarkStart w:id="35" w:name="_Hlk203429193"/>
    </w:p>
    <w:bookmarkEnd w:id="35"/>
    <w:p w14:paraId="12EB35DB">
      <w:pPr>
        <w:ind w:left="0" w:firstLine="0"/>
        <w:rPr>
          <w:sz w:val="22"/>
          <w:szCs w:val="22"/>
        </w:rPr>
      </w:pPr>
      <w:r>
        <w:rPr>
          <w:sz w:val="22"/>
          <w:szCs w:val="22"/>
        </w:rPr>
        <w:t xml:space="preserve">Human Resource Management (HRM) plays a very important part for any organization’s stability and success. At trust bank ltd, HR practice are very well designed to align with the bank’s strategic goals so that the employees are well supported, motivated and perform effectively. By maintaining a structured HR policy TBL ensures continuous development on the workforce. This chapter of my report highlights the core HR practices of Trust Bank   limited. </w:t>
      </w:r>
    </w:p>
    <w:p w14:paraId="68E5401A">
      <w:pPr>
        <w:pStyle w:val="3"/>
        <w:rPr>
          <w:rFonts w:ascii="Times New Roman" w:hAnsi="Times New Roman" w:cs="Times New Roman"/>
        </w:rPr>
      </w:pPr>
      <w:bookmarkStart w:id="36" w:name="_Toc204820976"/>
      <w:r>
        <w:rPr>
          <w:rFonts w:ascii="Times New Roman" w:hAnsi="Times New Roman" w:cs="Times New Roman"/>
        </w:rPr>
        <w:t>4.1 Recruitment and Selection Policy</w:t>
      </w:r>
      <w:bookmarkEnd w:id="36"/>
      <w:r>
        <w:rPr>
          <w:rFonts w:ascii="Times New Roman" w:hAnsi="Times New Roman" w:cs="Times New Roman"/>
        </w:rPr>
        <w:t xml:space="preserve"> </w:t>
      </w:r>
    </w:p>
    <w:p w14:paraId="710AEB80">
      <w:pPr>
        <w:spacing w:after="235" w:line="259" w:lineRule="auto"/>
        <w:ind w:left="-5" w:right="9"/>
        <w:rPr>
          <w:sz w:val="22"/>
          <w:szCs w:val="22"/>
        </w:rPr>
      </w:pPr>
      <w:r>
        <w:rPr>
          <w:sz w:val="22"/>
          <w:szCs w:val="22"/>
        </w:rPr>
        <w:t xml:space="preserve">The HR Planning and Recruitment team plays an important role in the recruitment and selection process. They post job vacancy announcements on various platforms, such as </w:t>
      </w:r>
      <w:r>
        <w:rPr>
          <w:b/>
          <w:bCs/>
          <w:sz w:val="22"/>
          <w:szCs w:val="22"/>
        </w:rPr>
        <w:t>bdjobs.com</w:t>
      </w:r>
      <w:r>
        <w:rPr>
          <w:sz w:val="22"/>
          <w:szCs w:val="22"/>
        </w:rPr>
        <w:t xml:space="preserve">, </w:t>
      </w:r>
      <w:r>
        <w:rPr>
          <w:b/>
          <w:bCs/>
          <w:sz w:val="22"/>
          <w:szCs w:val="22"/>
        </w:rPr>
        <w:t>LinkedIn</w:t>
      </w:r>
      <w:r>
        <w:rPr>
          <w:sz w:val="22"/>
          <w:szCs w:val="22"/>
        </w:rPr>
        <w:t xml:space="preserve">, and </w:t>
      </w:r>
      <w:r>
        <w:rPr>
          <w:b/>
          <w:bCs/>
          <w:sz w:val="22"/>
          <w:szCs w:val="22"/>
        </w:rPr>
        <w:t>Facebook</w:t>
      </w:r>
      <w:r>
        <w:rPr>
          <w:sz w:val="22"/>
          <w:szCs w:val="22"/>
        </w:rPr>
        <w:t xml:space="preserve">, to attract potential candidates. The team is responsible for screening CVs, shortlisting qualified applicants, and organizing written tests and interviews as part of the hiring process. They also ensure that candidates have a smooth and positive experience throughout the recruitment journey. The recruitment criteria of Trust Bank PLC are given below. </w:t>
      </w:r>
    </w:p>
    <w:p w14:paraId="2C8BE946">
      <w:pPr>
        <w:rPr>
          <w:sz w:val="22"/>
          <w:szCs w:val="22"/>
        </w:rPr>
      </w:pPr>
      <w:r>
        <w:rPr>
          <w:sz w:val="22"/>
          <w:szCs w:val="22"/>
        </w:rPr>
        <w:t>The HR Planning and Resources team plays a key role in making sure the employee selection process is fair, effective, and well-organized. They collaborate with interviewers to plan each step of the hiring process, including setting clear selection criteria, preparing interview questions, and designing tests for candidates. By using a structured and consistent method, the team ensures that every applicant is evaluated properly based on their skills and potential. This careful approach helps the bank recruit capable and qualified individuals who can contribute to its long-term success.</w:t>
      </w:r>
    </w:p>
    <w:p w14:paraId="1D874D3E">
      <w:pPr>
        <w:spacing w:after="235" w:line="259" w:lineRule="auto"/>
        <w:ind w:left="-5" w:right="9"/>
        <w:rPr>
          <w:sz w:val="22"/>
          <w:szCs w:val="22"/>
        </w:rPr>
      </w:pPr>
    </w:p>
    <w:p w14:paraId="3E538FD5">
      <w:pPr>
        <w:spacing w:after="235" w:line="259" w:lineRule="auto"/>
        <w:ind w:left="-5" w:right="9"/>
        <w:rPr>
          <w:sz w:val="22"/>
          <w:szCs w:val="22"/>
        </w:rPr>
      </w:pPr>
    </w:p>
    <w:p w14:paraId="70F5EBD0">
      <w:pPr>
        <w:spacing w:after="235" w:line="259" w:lineRule="auto"/>
        <w:ind w:left="-5" w:right="9"/>
        <w:rPr>
          <w:sz w:val="22"/>
          <w:szCs w:val="22"/>
        </w:rPr>
      </w:pPr>
    </w:p>
    <w:p w14:paraId="1E1AE84B">
      <w:pPr>
        <w:spacing w:after="235" w:line="259" w:lineRule="auto"/>
        <w:ind w:left="-5" w:right="9"/>
        <w:rPr>
          <w:sz w:val="22"/>
          <w:szCs w:val="22"/>
        </w:rPr>
      </w:pPr>
    </w:p>
    <w:p w14:paraId="1B63E60B">
      <w:pPr>
        <w:spacing w:after="235" w:line="259" w:lineRule="auto"/>
        <w:ind w:left="-5" w:right="9"/>
        <w:rPr>
          <w:sz w:val="22"/>
          <w:szCs w:val="22"/>
        </w:rPr>
      </w:pPr>
    </w:p>
    <w:p w14:paraId="6CF9BC6E">
      <w:pPr>
        <w:spacing w:after="235" w:line="259" w:lineRule="auto"/>
        <w:ind w:left="-5" w:right="9"/>
        <w:rPr>
          <w:sz w:val="22"/>
          <w:szCs w:val="22"/>
        </w:rPr>
      </w:pPr>
    </w:p>
    <w:p w14:paraId="04409C90">
      <w:pPr>
        <w:spacing w:after="235" w:line="259" w:lineRule="auto"/>
        <w:ind w:left="-5" w:right="9"/>
        <w:rPr>
          <w:sz w:val="22"/>
          <w:szCs w:val="22"/>
        </w:rPr>
      </w:pPr>
    </w:p>
    <w:p w14:paraId="7D906136">
      <w:pPr>
        <w:spacing w:after="235" w:line="259" w:lineRule="auto"/>
        <w:ind w:left="-5" w:right="9"/>
        <w:rPr>
          <w:sz w:val="22"/>
          <w:szCs w:val="22"/>
        </w:rPr>
      </w:pPr>
    </w:p>
    <w:p w14:paraId="2069ABC4">
      <w:pPr>
        <w:spacing w:after="235" w:line="259" w:lineRule="auto"/>
        <w:ind w:left="-5" w:right="9"/>
        <w:rPr>
          <w:sz w:val="22"/>
          <w:szCs w:val="22"/>
        </w:rPr>
      </w:pPr>
    </w:p>
    <w:p w14:paraId="44404726">
      <w:pPr>
        <w:spacing w:after="235" w:line="259" w:lineRule="auto"/>
        <w:ind w:left="-5" w:right="9"/>
        <w:rPr>
          <w:sz w:val="22"/>
          <w:szCs w:val="22"/>
        </w:rPr>
      </w:pPr>
    </w:p>
    <w:p w14:paraId="35D124D4">
      <w:pPr>
        <w:spacing w:after="235" w:line="259" w:lineRule="auto"/>
        <w:ind w:left="-5" w:right="9"/>
        <w:rPr>
          <w:sz w:val="22"/>
          <w:szCs w:val="22"/>
        </w:rPr>
      </w:pPr>
    </w:p>
    <w:p w14:paraId="18F35BFB">
      <w:pPr>
        <w:spacing w:after="235" w:line="259" w:lineRule="auto"/>
        <w:ind w:left="-5" w:right="9"/>
        <w:rPr>
          <w:sz w:val="22"/>
          <w:szCs w:val="22"/>
        </w:rPr>
      </w:pPr>
    </w:p>
    <w:p w14:paraId="1EB74C33">
      <w:pPr>
        <w:spacing w:after="0" w:line="259" w:lineRule="auto"/>
        <w:ind w:left="0" w:right="9" w:firstLine="0"/>
        <w:rPr>
          <w:b/>
          <w:i/>
          <w:sz w:val="22"/>
          <w:szCs w:val="22"/>
        </w:rPr>
      </w:pPr>
    </w:p>
    <w:p w14:paraId="1C455381">
      <w:pPr>
        <w:spacing w:after="0" w:line="259" w:lineRule="auto"/>
        <w:ind w:left="16" w:right="9"/>
        <w:jc w:val="center"/>
        <w:rPr>
          <w:b/>
          <w:i/>
          <w:sz w:val="22"/>
          <w:szCs w:val="22"/>
        </w:rPr>
      </w:pPr>
    </w:p>
    <w:p w14:paraId="040C7502">
      <w:pPr>
        <w:spacing w:after="0" w:line="259" w:lineRule="auto"/>
        <w:ind w:left="16" w:right="9"/>
        <w:jc w:val="center"/>
        <w:rPr>
          <w:b/>
          <w:i/>
          <w:sz w:val="22"/>
          <w:szCs w:val="22"/>
        </w:rPr>
      </w:pPr>
    </w:p>
    <w:p w14:paraId="4AF97400">
      <w:pPr>
        <w:spacing w:after="0" w:line="259" w:lineRule="auto"/>
        <w:ind w:left="16" w:right="9"/>
        <w:jc w:val="center"/>
        <w:rPr>
          <w:sz w:val="28"/>
          <w:szCs w:val="28"/>
        </w:rPr>
      </w:pPr>
      <w:r>
        <w:rPr>
          <w:b/>
          <w:i/>
          <w:sz w:val="28"/>
          <w:szCs w:val="28"/>
        </w:rPr>
        <w:t xml:space="preserve">Educational Qualifications </w:t>
      </w:r>
    </w:p>
    <w:tbl>
      <w:tblPr>
        <w:tblStyle w:val="40"/>
        <w:tblW w:w="9351" w:type="dxa"/>
        <w:tblInd w:w="4" w:type="dxa"/>
        <w:tblLayout w:type="autofit"/>
        <w:tblCellMar>
          <w:top w:w="55" w:type="dxa"/>
          <w:left w:w="140" w:type="dxa"/>
          <w:bottom w:w="0" w:type="dxa"/>
          <w:right w:w="76" w:type="dxa"/>
        </w:tblCellMar>
      </w:tblPr>
      <w:tblGrid>
        <w:gridCol w:w="3112"/>
        <w:gridCol w:w="3120"/>
        <w:gridCol w:w="3119"/>
      </w:tblGrid>
      <w:tr w14:paraId="0DCB8F9C">
        <w:tblPrEx>
          <w:tblCellMar>
            <w:top w:w="55" w:type="dxa"/>
            <w:left w:w="140" w:type="dxa"/>
            <w:bottom w:w="0" w:type="dxa"/>
            <w:right w:w="76" w:type="dxa"/>
          </w:tblCellMar>
        </w:tblPrEx>
        <w:trPr>
          <w:trHeight w:val="835" w:hRule="atLeast"/>
        </w:trPr>
        <w:tc>
          <w:tcPr>
            <w:tcW w:w="3112" w:type="dxa"/>
            <w:tcBorders>
              <w:top w:val="single" w:color="000000" w:sz="2" w:space="0"/>
              <w:left w:val="single" w:color="000000" w:sz="2" w:space="0"/>
              <w:bottom w:val="single" w:color="000000" w:sz="2" w:space="0"/>
              <w:right w:val="single" w:color="000000" w:sz="2" w:space="0"/>
            </w:tcBorders>
          </w:tcPr>
          <w:p w14:paraId="5EE4106B">
            <w:pPr>
              <w:spacing w:after="0" w:line="259" w:lineRule="auto"/>
              <w:ind w:left="0" w:right="139" w:firstLine="0"/>
              <w:jc w:val="center"/>
              <w:rPr>
                <w:sz w:val="22"/>
                <w:szCs w:val="22"/>
              </w:rPr>
            </w:pPr>
            <w:r>
              <w:rPr>
                <w:b/>
                <w:sz w:val="22"/>
                <w:szCs w:val="22"/>
              </w:rPr>
              <w:t xml:space="preserve">Category </w:t>
            </w:r>
          </w:p>
        </w:tc>
        <w:tc>
          <w:tcPr>
            <w:tcW w:w="3120" w:type="dxa"/>
            <w:tcBorders>
              <w:top w:val="single" w:color="000000" w:sz="2" w:space="0"/>
              <w:left w:val="single" w:color="000000" w:sz="2" w:space="0"/>
              <w:bottom w:val="single" w:color="000000" w:sz="2" w:space="0"/>
              <w:right w:val="single" w:color="000000" w:sz="2" w:space="0"/>
            </w:tcBorders>
          </w:tcPr>
          <w:p w14:paraId="6E56D2B4">
            <w:pPr>
              <w:spacing w:after="113" w:line="259" w:lineRule="auto"/>
              <w:ind w:left="0" w:right="161" w:firstLine="0"/>
              <w:jc w:val="center"/>
              <w:rPr>
                <w:sz w:val="22"/>
                <w:szCs w:val="22"/>
              </w:rPr>
            </w:pPr>
            <w:r>
              <w:rPr>
                <w:b/>
                <w:sz w:val="22"/>
                <w:szCs w:val="22"/>
              </w:rPr>
              <w:t xml:space="preserve">Eligibility criteria As Per </w:t>
            </w:r>
          </w:p>
          <w:p w14:paraId="13DE2A92">
            <w:pPr>
              <w:spacing w:after="0" w:line="259" w:lineRule="auto"/>
              <w:ind w:left="0" w:right="152" w:firstLine="0"/>
              <w:jc w:val="center"/>
              <w:rPr>
                <w:sz w:val="22"/>
                <w:szCs w:val="22"/>
              </w:rPr>
            </w:pPr>
            <w:r>
              <w:rPr>
                <w:b/>
                <w:sz w:val="22"/>
                <w:szCs w:val="22"/>
              </w:rPr>
              <w:t xml:space="preserve">Policy </w:t>
            </w:r>
          </w:p>
        </w:tc>
        <w:tc>
          <w:tcPr>
            <w:tcW w:w="3119" w:type="dxa"/>
            <w:tcBorders>
              <w:top w:val="single" w:color="000000" w:sz="2" w:space="0"/>
              <w:left w:val="single" w:color="000000" w:sz="2" w:space="0"/>
              <w:bottom w:val="single" w:color="000000" w:sz="2" w:space="0"/>
              <w:right w:val="single" w:color="000000" w:sz="2" w:space="0"/>
            </w:tcBorders>
          </w:tcPr>
          <w:p w14:paraId="4D13DB29">
            <w:pPr>
              <w:spacing w:after="0" w:line="259" w:lineRule="auto"/>
              <w:ind w:left="0" w:right="163" w:firstLine="0"/>
              <w:jc w:val="center"/>
              <w:rPr>
                <w:sz w:val="22"/>
                <w:szCs w:val="22"/>
              </w:rPr>
            </w:pPr>
            <w:r>
              <w:rPr>
                <w:b/>
                <w:sz w:val="22"/>
                <w:szCs w:val="22"/>
              </w:rPr>
              <w:t xml:space="preserve">Criteria as Practiced </w:t>
            </w:r>
          </w:p>
        </w:tc>
      </w:tr>
      <w:tr w14:paraId="5519AB25">
        <w:tblPrEx>
          <w:tblCellMar>
            <w:top w:w="55" w:type="dxa"/>
            <w:left w:w="140" w:type="dxa"/>
            <w:bottom w:w="0" w:type="dxa"/>
            <w:right w:w="76" w:type="dxa"/>
          </w:tblCellMar>
        </w:tblPrEx>
        <w:trPr>
          <w:trHeight w:val="1693" w:hRule="atLeast"/>
        </w:trPr>
        <w:tc>
          <w:tcPr>
            <w:tcW w:w="3112" w:type="dxa"/>
            <w:tcBorders>
              <w:top w:val="single" w:color="000000" w:sz="2" w:space="0"/>
              <w:left w:val="single" w:color="000000" w:sz="2" w:space="0"/>
              <w:bottom w:val="single" w:color="000000" w:sz="2" w:space="0"/>
              <w:right w:val="single" w:color="000000" w:sz="2" w:space="0"/>
            </w:tcBorders>
          </w:tcPr>
          <w:p w14:paraId="555113BC">
            <w:pPr>
              <w:spacing w:after="113" w:line="259" w:lineRule="auto"/>
              <w:ind w:left="0" w:right="88" w:firstLine="0"/>
              <w:jc w:val="center"/>
              <w:rPr>
                <w:sz w:val="22"/>
                <w:szCs w:val="22"/>
              </w:rPr>
            </w:pPr>
            <w:r>
              <w:rPr>
                <w:sz w:val="22"/>
                <w:szCs w:val="22"/>
              </w:rPr>
              <w:t xml:space="preserve"> </w:t>
            </w:r>
          </w:p>
          <w:p w14:paraId="226EF8C0">
            <w:pPr>
              <w:spacing w:after="120" w:line="259" w:lineRule="auto"/>
              <w:ind w:left="0" w:right="88" w:firstLine="0"/>
              <w:jc w:val="center"/>
              <w:rPr>
                <w:sz w:val="22"/>
                <w:szCs w:val="22"/>
              </w:rPr>
            </w:pPr>
            <w:r>
              <w:rPr>
                <w:sz w:val="22"/>
                <w:szCs w:val="22"/>
              </w:rPr>
              <w:t xml:space="preserve"> </w:t>
            </w:r>
          </w:p>
          <w:p w14:paraId="1649B558">
            <w:pPr>
              <w:spacing w:after="0" w:line="259" w:lineRule="auto"/>
              <w:ind w:left="0" w:right="150" w:firstLine="0"/>
              <w:jc w:val="center"/>
              <w:rPr>
                <w:sz w:val="22"/>
                <w:szCs w:val="22"/>
              </w:rPr>
            </w:pPr>
            <w:r>
              <w:rPr>
                <w:sz w:val="22"/>
                <w:szCs w:val="22"/>
              </w:rPr>
              <w:t xml:space="preserve">MTO </w:t>
            </w:r>
          </w:p>
        </w:tc>
        <w:tc>
          <w:tcPr>
            <w:tcW w:w="3120" w:type="dxa"/>
            <w:tcBorders>
              <w:top w:val="single" w:color="000000" w:sz="2" w:space="0"/>
              <w:left w:val="single" w:color="000000" w:sz="2" w:space="0"/>
              <w:bottom w:val="single" w:color="000000" w:sz="4" w:space="0"/>
              <w:right w:val="single" w:color="000000" w:sz="2" w:space="0"/>
            </w:tcBorders>
          </w:tcPr>
          <w:p w14:paraId="24BEB169">
            <w:pPr>
              <w:spacing w:after="113" w:line="259" w:lineRule="auto"/>
              <w:ind w:left="0" w:right="95" w:firstLine="0"/>
              <w:jc w:val="center"/>
              <w:rPr>
                <w:sz w:val="22"/>
                <w:szCs w:val="22"/>
              </w:rPr>
            </w:pPr>
            <w:r>
              <w:rPr>
                <w:sz w:val="22"/>
                <w:szCs w:val="22"/>
              </w:rPr>
              <w:t xml:space="preserve"> </w:t>
            </w:r>
          </w:p>
          <w:p w14:paraId="42A8C4B6">
            <w:pPr>
              <w:spacing w:after="120" w:line="259" w:lineRule="auto"/>
              <w:ind w:left="0" w:right="95" w:firstLine="0"/>
              <w:jc w:val="center"/>
              <w:rPr>
                <w:sz w:val="22"/>
                <w:szCs w:val="22"/>
              </w:rPr>
            </w:pPr>
            <w:r>
              <w:rPr>
                <w:sz w:val="22"/>
                <w:szCs w:val="22"/>
              </w:rPr>
              <w:t xml:space="preserve"> </w:t>
            </w:r>
          </w:p>
          <w:p w14:paraId="5F8F6377">
            <w:pPr>
              <w:spacing w:after="113" w:line="259" w:lineRule="auto"/>
              <w:ind w:left="0" w:right="163" w:firstLine="0"/>
              <w:jc w:val="center"/>
              <w:rPr>
                <w:sz w:val="22"/>
                <w:szCs w:val="22"/>
              </w:rPr>
            </w:pPr>
            <w:r>
              <w:rPr>
                <w:sz w:val="22"/>
                <w:szCs w:val="22"/>
              </w:rPr>
              <w:t xml:space="preserve">Post-Graduation/ </w:t>
            </w:r>
          </w:p>
          <w:p w14:paraId="1AE7B4E8">
            <w:pPr>
              <w:spacing w:after="0" w:line="259" w:lineRule="auto"/>
              <w:ind w:left="0" w:right="158" w:firstLine="0"/>
              <w:jc w:val="center"/>
              <w:rPr>
                <w:sz w:val="22"/>
                <w:szCs w:val="22"/>
              </w:rPr>
            </w:pPr>
            <w:r>
              <w:rPr>
                <w:sz w:val="22"/>
                <w:szCs w:val="22"/>
              </w:rPr>
              <w:t xml:space="preserve">Masters or MBA </w:t>
            </w:r>
          </w:p>
        </w:tc>
        <w:tc>
          <w:tcPr>
            <w:tcW w:w="3119" w:type="dxa"/>
            <w:tcBorders>
              <w:top w:val="single" w:color="000000" w:sz="2" w:space="0"/>
              <w:left w:val="single" w:color="000000" w:sz="2" w:space="0"/>
              <w:bottom w:val="single" w:color="000000" w:sz="2" w:space="0"/>
              <w:right w:val="single" w:color="000000" w:sz="2" w:space="0"/>
            </w:tcBorders>
          </w:tcPr>
          <w:p w14:paraId="5AC6722D">
            <w:pPr>
              <w:spacing w:after="0" w:line="259" w:lineRule="auto"/>
              <w:ind w:left="0" w:right="0" w:firstLine="0"/>
              <w:jc w:val="left"/>
              <w:rPr>
                <w:sz w:val="22"/>
                <w:szCs w:val="22"/>
              </w:rPr>
            </w:pPr>
            <w:r>
              <w:rPr>
                <w:sz w:val="22"/>
                <w:szCs w:val="22"/>
              </w:rPr>
              <w:t xml:space="preserve">Result: </w:t>
            </w:r>
          </w:p>
          <w:p w14:paraId="0A16FE25">
            <w:pPr>
              <w:spacing w:after="0" w:line="259" w:lineRule="auto"/>
              <w:ind w:left="0" w:right="0" w:firstLine="0"/>
              <w:jc w:val="left"/>
              <w:rPr>
                <w:sz w:val="22"/>
                <w:szCs w:val="22"/>
              </w:rPr>
            </w:pPr>
            <w:r>
              <w:rPr>
                <w:sz w:val="22"/>
                <w:szCs w:val="22"/>
              </w:rPr>
              <w:t xml:space="preserve"> Minimum CGPA 3.0 </w:t>
            </w:r>
          </w:p>
          <w:p w14:paraId="2F208418">
            <w:pPr>
              <w:spacing w:after="0" w:line="259" w:lineRule="auto"/>
              <w:ind w:left="0" w:right="0" w:firstLine="0"/>
              <w:jc w:val="left"/>
              <w:rPr>
                <w:sz w:val="22"/>
                <w:szCs w:val="22"/>
              </w:rPr>
            </w:pPr>
            <w:r>
              <w:rPr>
                <w:sz w:val="22"/>
                <w:szCs w:val="22"/>
              </w:rPr>
              <w:t xml:space="preserve">in Graduation and </w:t>
            </w:r>
          </w:p>
          <w:p w14:paraId="3C6E91B6">
            <w:pPr>
              <w:spacing w:after="0" w:line="259" w:lineRule="auto"/>
              <w:ind w:left="0" w:right="0" w:firstLine="0"/>
              <w:jc w:val="left"/>
              <w:rPr>
                <w:sz w:val="22"/>
                <w:szCs w:val="22"/>
              </w:rPr>
            </w:pPr>
            <w:r>
              <w:rPr>
                <w:sz w:val="22"/>
                <w:szCs w:val="22"/>
              </w:rPr>
              <w:t>Post-Graduation</w:t>
            </w:r>
          </w:p>
          <w:p w14:paraId="66EAB474">
            <w:pPr>
              <w:spacing w:after="0" w:line="259" w:lineRule="auto"/>
              <w:ind w:left="0" w:right="0" w:firstLine="0"/>
              <w:jc w:val="left"/>
              <w:rPr>
                <w:sz w:val="22"/>
                <w:szCs w:val="22"/>
              </w:rPr>
            </w:pPr>
          </w:p>
        </w:tc>
      </w:tr>
      <w:tr w14:paraId="120B6292">
        <w:tblPrEx>
          <w:tblCellMar>
            <w:top w:w="55" w:type="dxa"/>
            <w:left w:w="140" w:type="dxa"/>
            <w:bottom w:w="0" w:type="dxa"/>
            <w:right w:w="76" w:type="dxa"/>
          </w:tblCellMar>
        </w:tblPrEx>
        <w:trPr>
          <w:trHeight w:val="2230" w:hRule="atLeast"/>
        </w:trPr>
        <w:tc>
          <w:tcPr>
            <w:tcW w:w="3112" w:type="dxa"/>
            <w:tcBorders>
              <w:top w:val="single" w:color="000000" w:sz="2" w:space="0"/>
              <w:left w:val="single" w:color="000000" w:sz="2" w:space="0"/>
              <w:bottom w:val="single" w:color="000000" w:sz="4" w:space="0"/>
              <w:right w:val="single" w:color="000000" w:sz="2" w:space="0"/>
            </w:tcBorders>
          </w:tcPr>
          <w:p w14:paraId="12B05570">
            <w:pPr>
              <w:spacing w:after="0" w:line="364" w:lineRule="auto"/>
              <w:ind w:left="1419" w:right="1417" w:firstLine="0"/>
              <w:jc w:val="center"/>
              <w:rPr>
                <w:sz w:val="22"/>
                <w:szCs w:val="22"/>
              </w:rPr>
            </w:pPr>
            <w:r>
              <w:rPr>
                <w:sz w:val="22"/>
                <w:szCs w:val="22"/>
              </w:rPr>
              <w:t xml:space="preserve">  </w:t>
            </w:r>
          </w:p>
          <w:p w14:paraId="11CA6EC6">
            <w:pPr>
              <w:spacing w:after="121" w:line="259" w:lineRule="auto"/>
              <w:ind w:left="3" w:right="0" w:firstLine="0"/>
              <w:jc w:val="center"/>
              <w:rPr>
                <w:sz w:val="22"/>
                <w:szCs w:val="22"/>
              </w:rPr>
            </w:pPr>
            <w:r>
              <w:rPr>
                <w:sz w:val="22"/>
                <w:szCs w:val="22"/>
              </w:rPr>
              <w:t xml:space="preserve"> </w:t>
            </w:r>
          </w:p>
          <w:p w14:paraId="1E08678A">
            <w:pPr>
              <w:spacing w:after="113" w:line="259" w:lineRule="auto"/>
              <w:ind w:left="0" w:right="44" w:firstLine="0"/>
              <w:jc w:val="center"/>
              <w:rPr>
                <w:sz w:val="22"/>
                <w:szCs w:val="22"/>
              </w:rPr>
            </w:pPr>
            <w:r>
              <w:rPr>
                <w:sz w:val="22"/>
                <w:szCs w:val="22"/>
              </w:rPr>
              <w:t xml:space="preserve">TJO </w:t>
            </w:r>
          </w:p>
          <w:p w14:paraId="4378E928">
            <w:pPr>
              <w:spacing w:after="0" w:line="259" w:lineRule="auto"/>
              <w:ind w:left="3" w:right="0" w:firstLine="0"/>
              <w:jc w:val="center"/>
              <w:rPr>
                <w:sz w:val="22"/>
                <w:szCs w:val="22"/>
              </w:rPr>
            </w:pPr>
            <w:r>
              <w:rPr>
                <w:sz w:val="22"/>
                <w:szCs w:val="22"/>
              </w:rPr>
              <w:t xml:space="preserve"> </w:t>
            </w:r>
          </w:p>
        </w:tc>
        <w:tc>
          <w:tcPr>
            <w:tcW w:w="3120" w:type="dxa"/>
            <w:vMerge w:val="restart"/>
            <w:tcBorders>
              <w:top w:val="single" w:color="000000" w:sz="4" w:space="0"/>
              <w:left w:val="single" w:color="000000" w:sz="2" w:space="0"/>
              <w:right w:val="single" w:color="000000" w:sz="4" w:space="0"/>
            </w:tcBorders>
          </w:tcPr>
          <w:p w14:paraId="10957D13">
            <w:pPr>
              <w:spacing w:after="0" w:line="364" w:lineRule="auto"/>
              <w:ind w:left="1419" w:right="1424" w:firstLine="0"/>
              <w:jc w:val="center"/>
              <w:rPr>
                <w:sz w:val="22"/>
                <w:szCs w:val="22"/>
              </w:rPr>
            </w:pPr>
            <w:r>
              <w:rPr>
                <w:sz w:val="22"/>
                <w:szCs w:val="22"/>
              </w:rPr>
              <w:t xml:space="preserve">  </w:t>
            </w:r>
          </w:p>
          <w:p w14:paraId="51EBF7B3">
            <w:pPr>
              <w:spacing w:after="121" w:line="259" w:lineRule="auto"/>
              <w:ind w:left="0" w:right="5" w:firstLine="0"/>
              <w:jc w:val="center"/>
              <w:rPr>
                <w:sz w:val="22"/>
                <w:szCs w:val="22"/>
              </w:rPr>
            </w:pPr>
            <w:r>
              <w:rPr>
                <w:sz w:val="22"/>
                <w:szCs w:val="22"/>
              </w:rPr>
              <w:t xml:space="preserve"> </w:t>
            </w:r>
          </w:p>
          <w:p w14:paraId="648A77E6">
            <w:pPr>
              <w:spacing w:after="113" w:line="259" w:lineRule="auto"/>
              <w:ind w:left="0" w:right="0" w:firstLine="0"/>
              <w:jc w:val="left"/>
              <w:rPr>
                <w:sz w:val="22"/>
                <w:szCs w:val="22"/>
              </w:rPr>
            </w:pPr>
            <w:r>
              <w:rPr>
                <w:sz w:val="22"/>
                <w:szCs w:val="22"/>
              </w:rPr>
              <w:t xml:space="preserve">Graduation/ post-graduation/ </w:t>
            </w:r>
          </w:p>
          <w:p w14:paraId="2F26A5A5">
            <w:pPr>
              <w:spacing w:after="0" w:line="259" w:lineRule="auto"/>
              <w:ind w:left="0" w:right="62" w:firstLine="0"/>
              <w:jc w:val="center"/>
              <w:rPr>
                <w:sz w:val="22"/>
                <w:szCs w:val="22"/>
              </w:rPr>
            </w:pPr>
            <w:r>
              <w:rPr>
                <w:sz w:val="22"/>
                <w:szCs w:val="22"/>
              </w:rPr>
              <mc:AlternateContent>
                <mc:Choice Requires="wps">
                  <w:drawing>
                    <wp:anchor distT="0" distB="0" distL="114300" distR="114300" simplePos="0" relativeHeight="251659264" behindDoc="0" locked="0" layoutInCell="1" allowOverlap="1">
                      <wp:simplePos x="0" y="0"/>
                      <wp:positionH relativeFrom="column">
                        <wp:posOffset>-113030</wp:posOffset>
                      </wp:positionH>
                      <wp:positionV relativeFrom="paragraph">
                        <wp:posOffset>682625</wp:posOffset>
                      </wp:positionV>
                      <wp:extent cx="2030730" cy="20955"/>
                      <wp:effectExtent l="0" t="0" r="26670" b="36195"/>
                      <wp:wrapNone/>
                      <wp:docPr id="1453954092" name="Straight Connector 3"/>
                      <wp:cNvGraphicFramePr/>
                      <a:graphic xmlns:a="http://schemas.openxmlformats.org/drawingml/2006/main">
                        <a:graphicData uri="http://schemas.microsoft.com/office/word/2010/wordprocessingShape">
                          <wps:wsp>
                            <wps:cNvCnPr/>
                            <wps:spPr>
                              <a:xfrm flipV="1">
                                <a:off x="0" y="0"/>
                                <a:ext cx="2030819" cy="212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o:spt="20" style="position:absolute;left:0pt;flip:y;margin-left:-8.9pt;margin-top:53.75pt;height:1.65pt;width:159.9pt;z-index:251659264;mso-width-relative:page;mso-height-relative:page;" filled="f" stroked="t" coordsize="21600,21600" o:gfxdata="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ACKw9gA&#10;AAALAQAADwAAAAAAAAABACAAAAAiAAAAZHJzL2Rvd25yZXYueG1sUEsBAhQAFAAAAAgAh07iQOl0&#10;fmjmAQAAywMAAA4AAAAAAAAAAQAgAAAAJwEAAGRycy9lMm9Eb2MueG1sUEsFBgAAAAAGAAYAWQEA&#10;AH8FAAAAAA==&#10;">
                      <v:fill on="f" focussize="0,0"/>
                      <v:stroke weight="0.5pt" color="#000000 [3200]" miterlimit="8" joinstyle="miter"/>
                      <v:imagedata o:title=""/>
                      <o:lock v:ext="edit" aspectratio="f"/>
                    </v:line>
                  </w:pict>
                </mc:Fallback>
              </mc:AlternateContent>
            </w:r>
            <w:r>
              <w:rPr>
                <w:sz w:val="22"/>
                <w:szCs w:val="22"/>
              </w:rPr>
              <w:t xml:space="preserve">Equivalent Degree </w:t>
            </w:r>
          </w:p>
        </w:tc>
        <w:tc>
          <w:tcPr>
            <w:tcW w:w="3119" w:type="dxa"/>
            <w:tcBorders>
              <w:top w:val="single" w:color="000000" w:sz="2" w:space="0"/>
              <w:left w:val="single" w:color="000000" w:sz="4" w:space="0"/>
              <w:bottom w:val="single" w:color="000000" w:sz="2" w:space="0"/>
              <w:right w:val="single" w:color="000000" w:sz="2" w:space="0"/>
            </w:tcBorders>
          </w:tcPr>
          <w:p w14:paraId="78AD84C7">
            <w:pPr>
              <w:spacing w:after="191" w:line="259" w:lineRule="auto"/>
              <w:ind w:left="0" w:right="72" w:firstLine="0"/>
              <w:jc w:val="center"/>
              <w:rPr>
                <w:sz w:val="22"/>
                <w:szCs w:val="22"/>
              </w:rPr>
            </w:pPr>
            <w:r>
              <w:rPr>
                <w:sz w:val="22"/>
                <w:szCs w:val="22"/>
              </w:rPr>
              <w:t xml:space="preserve">Result: </w:t>
            </w:r>
          </w:p>
          <w:p w14:paraId="33CBBE54">
            <w:pPr>
              <w:numPr>
                <w:ilvl w:val="0"/>
                <w:numId w:val="19"/>
              </w:numPr>
              <w:spacing w:after="70" w:line="259" w:lineRule="auto"/>
              <w:ind w:left="781" w:right="0" w:hanging="360"/>
              <w:jc w:val="left"/>
              <w:rPr>
                <w:sz w:val="22"/>
                <w:szCs w:val="22"/>
              </w:rPr>
            </w:pPr>
            <w:r>
              <w:rPr>
                <w:sz w:val="22"/>
                <w:szCs w:val="22"/>
              </w:rPr>
              <w:t xml:space="preserve">Minimum CGPA 3.0 </w:t>
            </w:r>
          </w:p>
          <w:p w14:paraId="2A51760E">
            <w:pPr>
              <w:spacing w:after="114" w:line="259" w:lineRule="auto"/>
              <w:ind w:left="915" w:right="0" w:firstLine="0"/>
              <w:jc w:val="left"/>
              <w:rPr>
                <w:sz w:val="22"/>
                <w:szCs w:val="22"/>
              </w:rPr>
            </w:pPr>
            <w:r>
              <w:rPr>
                <w:sz w:val="22"/>
                <w:szCs w:val="22"/>
              </w:rPr>
              <w:t xml:space="preserve">in Graduation and </w:t>
            </w:r>
          </w:p>
          <w:p w14:paraId="122AD340">
            <w:pPr>
              <w:spacing w:after="191" w:line="259" w:lineRule="auto"/>
              <w:ind w:left="994" w:right="0" w:firstLine="0"/>
              <w:jc w:val="left"/>
              <w:rPr>
                <w:sz w:val="22"/>
                <w:szCs w:val="22"/>
              </w:rPr>
            </w:pPr>
            <w:r>
              <w:rPr>
                <w:sz w:val="22"/>
                <w:szCs w:val="22"/>
              </w:rPr>
              <w:t xml:space="preserve">Post-Graduation </w:t>
            </w:r>
          </w:p>
          <w:p w14:paraId="0FF701C3">
            <w:pPr>
              <w:numPr>
                <w:ilvl w:val="0"/>
                <w:numId w:val="19"/>
              </w:numPr>
              <w:spacing w:after="0" w:line="259" w:lineRule="auto"/>
              <w:ind w:left="781" w:right="0" w:hanging="360"/>
              <w:jc w:val="left"/>
              <w:rPr>
                <w:sz w:val="22"/>
                <w:szCs w:val="22"/>
              </w:rPr>
            </w:pPr>
            <w:r>
              <w:rPr>
                <w:sz w:val="22"/>
                <w:szCs w:val="22"/>
              </w:rPr>
              <w:t xml:space="preserve">Minimum GPA 4.00 in both SSC &amp; HSC </w:t>
            </w:r>
          </w:p>
        </w:tc>
      </w:tr>
      <w:tr w14:paraId="47449F9A">
        <w:tblPrEx>
          <w:tblCellMar>
            <w:top w:w="55" w:type="dxa"/>
            <w:left w:w="140" w:type="dxa"/>
            <w:bottom w:w="0" w:type="dxa"/>
            <w:right w:w="76" w:type="dxa"/>
          </w:tblCellMar>
        </w:tblPrEx>
        <w:trPr>
          <w:trHeight w:val="2089" w:hRule="atLeast"/>
        </w:trPr>
        <w:tc>
          <w:tcPr>
            <w:tcW w:w="3112" w:type="dxa"/>
            <w:tcBorders>
              <w:left w:val="single" w:color="000000" w:sz="4" w:space="0"/>
              <w:bottom w:val="single" w:color="auto" w:sz="4" w:space="0"/>
              <w:right w:val="single" w:color="000000" w:sz="2" w:space="0"/>
            </w:tcBorders>
          </w:tcPr>
          <w:p w14:paraId="3D51C0AB">
            <w:pPr>
              <w:spacing w:after="0" w:line="259" w:lineRule="auto"/>
              <w:ind w:left="0" w:firstLine="0"/>
              <w:jc w:val="center"/>
              <w:rPr>
                <w:sz w:val="22"/>
                <w:szCs w:val="22"/>
              </w:rPr>
            </w:pPr>
            <w:r>
              <w:rPr>
                <w:sz w:val="22"/>
                <w:szCs w:val="22"/>
              </w:rPr>
              <w:t>TAO</w:t>
            </w:r>
          </w:p>
        </w:tc>
        <w:tc>
          <w:tcPr>
            <w:tcW w:w="0" w:type="auto"/>
            <w:vMerge w:val="continue"/>
            <w:tcBorders>
              <w:top w:val="nil"/>
              <w:left w:val="single" w:color="000000" w:sz="2" w:space="0"/>
              <w:bottom w:val="single" w:color="auto" w:sz="4" w:space="0"/>
              <w:right w:val="single" w:color="000000" w:sz="4" w:space="0"/>
            </w:tcBorders>
          </w:tcPr>
          <w:p w14:paraId="045944AE">
            <w:pPr>
              <w:spacing w:after="160" w:line="259" w:lineRule="auto"/>
              <w:ind w:left="0" w:right="0" w:firstLine="0"/>
              <w:jc w:val="left"/>
              <w:rPr>
                <w:sz w:val="22"/>
                <w:szCs w:val="22"/>
              </w:rPr>
            </w:pPr>
          </w:p>
        </w:tc>
        <w:tc>
          <w:tcPr>
            <w:tcW w:w="0" w:type="auto"/>
            <w:vMerge w:val="restart"/>
            <w:tcBorders>
              <w:top w:val="nil"/>
              <w:left w:val="single" w:color="000000" w:sz="4" w:space="0"/>
              <w:bottom w:val="single" w:color="auto" w:sz="4" w:space="0"/>
              <w:right w:val="single" w:color="000000" w:sz="4" w:space="0"/>
            </w:tcBorders>
          </w:tcPr>
          <w:p w14:paraId="65F76525">
            <w:pPr>
              <w:spacing w:after="191" w:line="259" w:lineRule="auto"/>
              <w:ind w:left="0" w:right="72" w:firstLine="0"/>
              <w:jc w:val="center"/>
              <w:rPr>
                <w:sz w:val="22"/>
                <w:szCs w:val="22"/>
              </w:rPr>
            </w:pPr>
            <w:r>
              <w:rPr>
                <w:sz w:val="22"/>
                <w:szCs w:val="22"/>
              </w:rPr>
              <w:t>Result:</w:t>
            </w:r>
          </w:p>
          <w:p w14:paraId="5EF025B7">
            <w:pPr>
              <w:spacing w:after="70" w:line="259" w:lineRule="auto"/>
              <w:ind w:right="0"/>
              <w:jc w:val="center"/>
              <w:rPr>
                <w:sz w:val="22"/>
                <w:szCs w:val="22"/>
              </w:rPr>
            </w:pPr>
            <w:r>
              <w:rPr>
                <w:sz w:val="22"/>
                <w:szCs w:val="22"/>
              </w:rPr>
              <w:t>Minimum CGPA 2.5</w:t>
            </w:r>
          </w:p>
          <w:p w14:paraId="3DE3BF30">
            <w:pPr>
              <w:spacing w:after="113" w:line="259" w:lineRule="auto"/>
              <w:ind w:right="0"/>
              <w:jc w:val="center"/>
              <w:rPr>
                <w:sz w:val="22"/>
                <w:szCs w:val="22"/>
              </w:rPr>
            </w:pPr>
            <w:r>
              <w:rPr>
                <w:sz w:val="22"/>
                <w:szCs w:val="22"/>
              </w:rPr>
              <w:t>in Graduation and</w:t>
            </w:r>
          </w:p>
          <w:p w14:paraId="652A68E1">
            <w:pPr>
              <w:spacing w:after="121" w:line="259" w:lineRule="auto"/>
              <w:ind w:right="0"/>
              <w:jc w:val="center"/>
              <w:rPr>
                <w:sz w:val="22"/>
                <w:szCs w:val="22"/>
              </w:rPr>
            </w:pPr>
            <w:r>
              <w:rPr>
                <w:sz w:val="22"/>
                <w:szCs w:val="22"/>
              </w:rPr>
              <w:t>Post-Graduation</w:t>
            </w:r>
          </w:p>
          <w:p w14:paraId="270674C7">
            <w:pPr>
              <w:spacing w:after="113" w:line="259" w:lineRule="auto"/>
              <w:ind w:right="0"/>
              <w:jc w:val="center"/>
              <w:rPr>
                <w:sz w:val="22"/>
                <w:szCs w:val="22"/>
              </w:rPr>
            </w:pPr>
            <w:r>
              <w:rPr>
                <w:sz w:val="22"/>
                <w:szCs w:val="22"/>
              </w:rPr>
              <w:t>Minimum GPA 3.00 in both</w:t>
            </w:r>
          </w:p>
          <w:p w14:paraId="6FAC7D02">
            <w:pPr>
              <w:spacing w:after="160" w:line="259" w:lineRule="auto"/>
              <w:ind w:left="0" w:right="0" w:firstLine="0"/>
              <w:jc w:val="center"/>
              <w:rPr>
                <w:sz w:val="22"/>
                <w:szCs w:val="22"/>
              </w:rPr>
            </w:pPr>
            <w:r>
              <w:rPr>
                <w:sz w:val="22"/>
                <w:szCs w:val="22"/>
              </w:rPr>
              <w:t>SSC &amp; HSC</w:t>
            </w:r>
          </w:p>
        </w:tc>
      </w:tr>
      <w:tr w14:paraId="4458051C">
        <w:tblPrEx>
          <w:tblCellMar>
            <w:top w:w="55" w:type="dxa"/>
            <w:left w:w="140" w:type="dxa"/>
            <w:bottom w:w="0" w:type="dxa"/>
            <w:right w:w="76" w:type="dxa"/>
          </w:tblCellMar>
        </w:tblPrEx>
        <w:trPr>
          <w:trHeight w:val="2089" w:hRule="atLeast"/>
        </w:trPr>
        <w:tc>
          <w:tcPr>
            <w:tcW w:w="3112" w:type="dxa"/>
            <w:tcBorders>
              <w:top w:val="single" w:color="auto" w:sz="4" w:space="0"/>
              <w:left w:val="single" w:color="000000" w:sz="2" w:space="0"/>
              <w:bottom w:val="single" w:color="000000" w:sz="2" w:space="0"/>
              <w:right w:val="single" w:color="000000" w:sz="2" w:space="0"/>
            </w:tcBorders>
          </w:tcPr>
          <w:p w14:paraId="038C6B22">
            <w:pPr>
              <w:spacing w:after="0" w:line="259" w:lineRule="auto"/>
              <w:ind w:left="0" w:firstLine="0"/>
              <w:jc w:val="center"/>
              <w:rPr>
                <w:sz w:val="22"/>
                <w:szCs w:val="22"/>
              </w:rPr>
            </w:pPr>
            <w:r>
              <w:rPr>
                <w:sz w:val="22"/>
                <w:szCs w:val="22"/>
              </w:rPr>
              <w:t xml:space="preserve">TACO </w:t>
            </w:r>
          </w:p>
        </w:tc>
        <w:tc>
          <w:tcPr>
            <w:tcW w:w="0" w:type="auto"/>
            <w:vMerge w:val="continue"/>
            <w:tcBorders>
              <w:top w:val="single" w:color="auto" w:sz="4" w:space="0"/>
              <w:left w:val="single" w:color="000000" w:sz="2" w:space="0"/>
              <w:right w:val="single" w:color="000000" w:sz="4" w:space="0"/>
            </w:tcBorders>
          </w:tcPr>
          <w:p w14:paraId="3CF6AAFA">
            <w:pPr>
              <w:spacing w:after="160" w:line="259" w:lineRule="auto"/>
              <w:ind w:left="0" w:right="0" w:firstLine="0"/>
              <w:jc w:val="left"/>
              <w:rPr>
                <w:sz w:val="22"/>
                <w:szCs w:val="22"/>
              </w:rPr>
            </w:pPr>
          </w:p>
        </w:tc>
        <w:tc>
          <w:tcPr>
            <w:tcW w:w="0" w:type="auto"/>
            <w:vMerge w:val="continue"/>
            <w:tcBorders>
              <w:top w:val="single" w:color="auto" w:sz="4" w:space="0"/>
              <w:left w:val="single" w:color="000000" w:sz="4" w:space="0"/>
              <w:bottom w:val="single" w:color="000000" w:sz="2" w:space="0"/>
              <w:right w:val="single" w:color="000000" w:sz="2" w:space="0"/>
            </w:tcBorders>
          </w:tcPr>
          <w:p w14:paraId="5E0A186D">
            <w:pPr>
              <w:spacing w:after="160" w:line="259" w:lineRule="auto"/>
              <w:ind w:left="0" w:right="0" w:firstLine="0"/>
              <w:jc w:val="left"/>
              <w:rPr>
                <w:sz w:val="22"/>
                <w:szCs w:val="22"/>
              </w:rPr>
            </w:pPr>
          </w:p>
        </w:tc>
      </w:tr>
      <w:tr w14:paraId="12A38CB6">
        <w:tblPrEx>
          <w:tblCellMar>
            <w:top w:w="55" w:type="dxa"/>
            <w:left w:w="140" w:type="dxa"/>
            <w:bottom w:w="0" w:type="dxa"/>
            <w:right w:w="76" w:type="dxa"/>
          </w:tblCellMar>
        </w:tblPrEx>
        <w:trPr>
          <w:trHeight w:val="1664" w:hRule="atLeast"/>
        </w:trPr>
        <w:tc>
          <w:tcPr>
            <w:tcW w:w="3112" w:type="dxa"/>
            <w:tcBorders>
              <w:top w:val="single" w:color="000000" w:sz="2" w:space="0"/>
              <w:left w:val="single" w:color="000000" w:sz="2" w:space="0"/>
              <w:bottom w:val="single" w:color="000000" w:sz="2" w:space="0"/>
              <w:right w:val="single" w:color="000000" w:sz="2" w:space="0"/>
            </w:tcBorders>
          </w:tcPr>
          <w:p w14:paraId="7FC8D225">
            <w:pPr>
              <w:spacing w:after="121" w:line="259" w:lineRule="auto"/>
              <w:ind w:left="0" w:right="57" w:firstLine="0"/>
              <w:jc w:val="center"/>
              <w:rPr>
                <w:sz w:val="22"/>
                <w:szCs w:val="22"/>
              </w:rPr>
            </w:pPr>
            <w:r>
              <w:rPr>
                <w:sz w:val="22"/>
                <w:szCs w:val="22"/>
              </w:rPr>
              <w:t xml:space="preserve">Lateral Entry in Any </w:t>
            </w:r>
          </w:p>
          <w:p w14:paraId="5632C083">
            <w:pPr>
              <w:spacing w:after="0" w:line="259" w:lineRule="auto"/>
              <w:ind w:left="0" w:right="56" w:firstLine="0"/>
              <w:jc w:val="center"/>
              <w:rPr>
                <w:sz w:val="22"/>
                <w:szCs w:val="22"/>
              </w:rPr>
            </w:pPr>
            <w:r>
              <w:rPr>
                <w:sz w:val="22"/>
                <w:szCs w:val="22"/>
              </w:rPr>
              <w:t xml:space="preserve">Designation </w:t>
            </w:r>
          </w:p>
        </w:tc>
        <w:tc>
          <w:tcPr>
            <w:tcW w:w="3120" w:type="dxa"/>
            <w:tcBorders>
              <w:left w:val="single" w:color="000000" w:sz="2" w:space="0"/>
              <w:bottom w:val="single" w:color="000000" w:sz="2" w:space="0"/>
              <w:right w:val="single" w:color="000000" w:sz="2" w:space="0"/>
            </w:tcBorders>
          </w:tcPr>
          <w:p w14:paraId="74105128">
            <w:pPr>
              <w:spacing w:after="121" w:line="259" w:lineRule="auto"/>
              <w:ind w:left="0" w:right="67" w:firstLine="0"/>
              <w:jc w:val="center"/>
              <w:rPr>
                <w:sz w:val="22"/>
                <w:szCs w:val="22"/>
              </w:rPr>
            </w:pPr>
            <w:r>
              <w:rPr>
                <w:sz w:val="22"/>
                <w:szCs w:val="22"/>
              </w:rPr>
              <w:t>Minimum Bachelor/</w:t>
            </w:r>
          </w:p>
          <w:p w14:paraId="31065721">
            <w:pPr>
              <w:spacing w:after="113" w:line="259" w:lineRule="auto"/>
              <w:ind w:left="0" w:firstLine="0"/>
              <w:jc w:val="center"/>
              <w:rPr>
                <w:sz w:val="22"/>
                <w:szCs w:val="22"/>
              </w:rPr>
            </w:pPr>
            <w:r>
              <w:rPr>
                <w:sz w:val="22"/>
                <w:szCs w:val="22"/>
              </w:rPr>
              <w:t>graduation or equivalent</w:t>
            </w:r>
          </w:p>
          <w:p w14:paraId="5B496088">
            <w:pPr>
              <w:spacing w:after="0" w:line="259" w:lineRule="auto"/>
              <w:ind w:left="0" w:right="68" w:firstLine="0"/>
              <w:jc w:val="center"/>
              <w:rPr>
                <w:sz w:val="22"/>
                <w:szCs w:val="22"/>
              </w:rPr>
            </w:pPr>
            <w:r>
              <w:rPr>
                <w:sz w:val="22"/>
                <w:szCs w:val="22"/>
              </w:rPr>
              <w:t>Degree</w:t>
            </w:r>
          </w:p>
        </w:tc>
        <w:tc>
          <w:tcPr>
            <w:tcW w:w="3119" w:type="dxa"/>
            <w:tcBorders>
              <w:top w:val="single" w:color="000000" w:sz="2" w:space="0"/>
              <w:left w:val="single" w:color="000000" w:sz="2" w:space="0"/>
              <w:bottom w:val="single" w:color="000000" w:sz="2" w:space="0"/>
              <w:right w:val="single" w:color="000000" w:sz="2" w:space="0"/>
            </w:tcBorders>
          </w:tcPr>
          <w:p w14:paraId="29092F8D">
            <w:pPr>
              <w:spacing w:after="121" w:line="259" w:lineRule="auto"/>
              <w:ind w:left="0" w:right="56" w:firstLine="0"/>
              <w:jc w:val="center"/>
              <w:rPr>
                <w:sz w:val="22"/>
                <w:szCs w:val="22"/>
              </w:rPr>
            </w:pPr>
            <w:r>
              <w:rPr>
                <w:sz w:val="22"/>
                <w:szCs w:val="22"/>
              </w:rPr>
              <w:t xml:space="preserve">As deemed fit by the </w:t>
            </w:r>
          </w:p>
          <w:p w14:paraId="60720E82">
            <w:pPr>
              <w:spacing w:after="0" w:line="259" w:lineRule="auto"/>
              <w:ind w:left="0" w:right="4" w:firstLine="0"/>
              <w:jc w:val="center"/>
              <w:rPr>
                <w:sz w:val="22"/>
                <w:szCs w:val="22"/>
              </w:rPr>
            </w:pPr>
            <w:r>
              <w:rPr>
                <w:sz w:val="22"/>
                <w:szCs w:val="22"/>
              </w:rPr>
              <w:t xml:space="preserve">management based on previous banking experiences. </w:t>
            </w:r>
          </w:p>
        </w:tc>
      </w:tr>
    </w:tbl>
    <w:p w14:paraId="2759E2C8">
      <w:pPr>
        <w:spacing w:after="272" w:line="259" w:lineRule="auto"/>
        <w:ind w:left="0" w:right="0" w:firstLine="0"/>
        <w:jc w:val="left"/>
        <w:rPr>
          <w:sz w:val="22"/>
          <w:szCs w:val="22"/>
        </w:rPr>
      </w:pPr>
      <w:r>
        <w:rPr>
          <w:sz w:val="22"/>
          <w:szCs w:val="22"/>
        </w:rPr>
        <w:t xml:space="preserve"> </w:t>
      </w:r>
    </w:p>
    <w:p w14:paraId="562D4344">
      <w:pPr>
        <w:rPr>
          <w:sz w:val="22"/>
          <w:szCs w:val="22"/>
        </w:rPr>
      </w:pPr>
      <w:r>
        <w:rPr>
          <w:sz w:val="22"/>
          <w:szCs w:val="22"/>
        </w:rPr>
        <w:t>.</w:t>
      </w:r>
    </w:p>
    <w:p w14:paraId="4C587C11">
      <w:pPr>
        <w:pStyle w:val="3"/>
        <w:rPr>
          <w:rFonts w:ascii="Times New Roman" w:hAnsi="Times New Roman" w:cs="Times New Roman"/>
        </w:rPr>
      </w:pPr>
      <w:bookmarkStart w:id="37" w:name="_Toc204820977"/>
      <w:r>
        <w:rPr>
          <w:rFonts w:ascii="Times New Roman" w:hAnsi="Times New Roman" w:cs="Times New Roman"/>
        </w:rPr>
        <w:t>4.2 Performance Management</w:t>
      </w:r>
      <w:bookmarkEnd w:id="37"/>
    </w:p>
    <w:p w14:paraId="67AE3F75">
      <w:pPr>
        <w:ind w:left="20" w:right="327"/>
        <w:rPr>
          <w:sz w:val="22"/>
          <w:szCs w:val="22"/>
        </w:rPr>
      </w:pPr>
      <w:r>
        <w:rPr>
          <w:sz w:val="22"/>
          <w:szCs w:val="22"/>
        </w:rPr>
        <w:t>Performance appraisals, employee appraisals, performance reviews, or career development discussions are appropriate ways for managers or supervisors to assess an employee's work performance, usually in terms of quality, quantity, cost, and time.</w:t>
      </w:r>
    </w:p>
    <w:p w14:paraId="6C39C1CC">
      <w:pPr>
        <w:ind w:right="14"/>
        <w:rPr>
          <w:sz w:val="22"/>
          <w:szCs w:val="22"/>
        </w:rPr>
      </w:pPr>
      <w:r>
        <w:rPr>
          <w:sz w:val="22"/>
          <w:szCs w:val="22"/>
        </w:rPr>
        <w:t>One tool for controlling and directing career growth is a performance review. It is the procedure for gathering, evaluating, and documenting data regarding an employee's relative value to the company. An employee's recent accomplishments and shortcomings, as well as their personal strengths and shortcomings, are examined during a performance review. It is also the assessment of a worker's job performance that takes into account factors other than only productivity.</w:t>
      </w:r>
    </w:p>
    <w:p w14:paraId="38F9008E">
      <w:pPr>
        <w:ind w:right="14"/>
        <w:rPr>
          <w:sz w:val="22"/>
          <w:szCs w:val="22"/>
        </w:rPr>
      </w:pPr>
      <w:r>
        <w:rPr>
          <w:sz w:val="22"/>
          <w:szCs w:val="22"/>
        </w:rPr>
        <w:t xml:space="preserve">Annual Appraisal on each employee’s performance is undertaken in order to:  </w:t>
      </w:r>
    </w:p>
    <w:p w14:paraId="439719C8">
      <w:pPr>
        <w:numPr>
          <w:ilvl w:val="0"/>
          <w:numId w:val="20"/>
        </w:numPr>
        <w:spacing w:after="15" w:line="247" w:lineRule="auto"/>
        <w:ind w:left="367" w:right="200" w:hanging="360"/>
        <w:rPr>
          <w:sz w:val="22"/>
          <w:szCs w:val="22"/>
        </w:rPr>
      </w:pPr>
      <w:r>
        <w:rPr>
          <w:sz w:val="22"/>
          <w:szCs w:val="22"/>
        </w:rPr>
        <w:t xml:space="preserve">monitor the employee’s performance in the light of his/her job responsibilities.  </w:t>
      </w:r>
    </w:p>
    <w:p w14:paraId="7298558A">
      <w:pPr>
        <w:numPr>
          <w:ilvl w:val="0"/>
          <w:numId w:val="20"/>
        </w:numPr>
        <w:spacing w:after="15" w:line="247" w:lineRule="auto"/>
        <w:ind w:left="367" w:right="200" w:hanging="360"/>
        <w:rPr>
          <w:sz w:val="22"/>
          <w:szCs w:val="22"/>
        </w:rPr>
      </w:pPr>
      <w:r>
        <w:rPr>
          <w:sz w:val="22"/>
          <w:szCs w:val="22"/>
        </w:rPr>
        <w:t xml:space="preserve">provide the employee feedback on his/her strengths and limitations. </w:t>
      </w:r>
    </w:p>
    <w:p w14:paraId="1324A135">
      <w:pPr>
        <w:numPr>
          <w:ilvl w:val="0"/>
          <w:numId w:val="20"/>
        </w:numPr>
        <w:spacing w:after="15" w:line="247" w:lineRule="auto"/>
        <w:ind w:left="367" w:right="200" w:hanging="360"/>
        <w:rPr>
          <w:sz w:val="22"/>
          <w:szCs w:val="22"/>
        </w:rPr>
      </w:pPr>
      <w:r>
        <w:rPr>
          <w:rFonts w:eastAsia="Arial"/>
          <w:sz w:val="22"/>
          <w:szCs w:val="22"/>
        </w:rPr>
        <w:t xml:space="preserve"> </w:t>
      </w:r>
      <w:r>
        <w:rPr>
          <w:sz w:val="22"/>
          <w:szCs w:val="22"/>
        </w:rPr>
        <w:t xml:space="preserve">Make it easy for the employee to discuss any factor, which impedes the achievement of the agreed performance. </w:t>
      </w:r>
    </w:p>
    <w:p w14:paraId="4CFC6ABD">
      <w:pPr>
        <w:numPr>
          <w:ilvl w:val="0"/>
          <w:numId w:val="20"/>
        </w:numPr>
        <w:spacing w:after="15" w:line="247" w:lineRule="auto"/>
        <w:ind w:left="367" w:right="200" w:hanging="360"/>
        <w:rPr>
          <w:sz w:val="22"/>
          <w:szCs w:val="22"/>
        </w:rPr>
      </w:pPr>
      <w:r>
        <w:rPr>
          <w:rFonts w:eastAsia="Arial"/>
          <w:sz w:val="22"/>
          <w:szCs w:val="22"/>
        </w:rPr>
        <w:t xml:space="preserve"> </w:t>
      </w:r>
      <w:r>
        <w:rPr>
          <w:sz w:val="22"/>
          <w:szCs w:val="22"/>
        </w:rPr>
        <w:t>Set objectives mutually</w:t>
      </w:r>
    </w:p>
    <w:p w14:paraId="27E34DCE">
      <w:pPr>
        <w:spacing w:after="15" w:line="247" w:lineRule="auto"/>
        <w:ind w:left="367" w:right="200" w:firstLine="0"/>
        <w:rPr>
          <w:sz w:val="22"/>
          <w:szCs w:val="22"/>
        </w:rPr>
      </w:pPr>
    </w:p>
    <w:p w14:paraId="094828CA">
      <w:pPr>
        <w:ind w:right="388"/>
        <w:rPr>
          <w:b/>
          <w:bCs/>
          <w:sz w:val="22"/>
          <w:szCs w:val="22"/>
        </w:rPr>
      </w:pPr>
    </w:p>
    <w:p w14:paraId="66C48CD5">
      <w:pPr>
        <w:ind w:right="388"/>
        <w:rPr>
          <w:b/>
          <w:bCs/>
          <w:sz w:val="22"/>
          <w:szCs w:val="22"/>
        </w:rPr>
      </w:pPr>
      <w:r>
        <w:rPr>
          <w:b/>
          <w:bCs/>
          <w:sz w:val="22"/>
          <w:szCs w:val="22"/>
        </w:rPr>
        <w:t xml:space="preserve">Appraisal </w:t>
      </w:r>
    </w:p>
    <w:p w14:paraId="020C1EFE">
      <w:pPr>
        <w:ind w:right="388"/>
        <w:rPr>
          <w:sz w:val="22"/>
          <w:szCs w:val="22"/>
        </w:rPr>
      </w:pPr>
      <w:r>
        <w:rPr>
          <w:sz w:val="22"/>
          <w:szCs w:val="22"/>
        </w:rPr>
        <w:t xml:space="preserve">An employee must and should have performance appraisal once a year. Appraisals are made by the Person who supervises the work of the concerned staff Member. This is executed in a constructive and supportive atmosphere and employees are encouraged and motivated to participate fully, and to raise any concerns or issues they may have. Performance has to be measured against standards, which must be objective based and job-related and agreed with the appraisee earlier.  All appraisals will be reviewed and monitored by the appraiser’s Manager to make sure that the appraisee was appraised in a fair manner.  </w:t>
      </w:r>
    </w:p>
    <w:p w14:paraId="7297FF64">
      <w:pPr>
        <w:ind w:right="388"/>
        <w:rPr>
          <w:sz w:val="22"/>
          <w:szCs w:val="22"/>
        </w:rPr>
      </w:pPr>
      <w:r>
        <w:rPr>
          <w:sz w:val="22"/>
          <w:szCs w:val="22"/>
        </w:rPr>
        <w:t xml:space="preserve">In between formal annual appraisals, a supervisor may conduct a special appraisal. This would be used to record any unusual and unwanted circumstances of outstanding performances as well as poor performances.  All appraisals have to be discussed with an employee. </w:t>
      </w:r>
    </w:p>
    <w:p w14:paraId="01A30A21">
      <w:pPr>
        <w:spacing w:after="15" w:line="247" w:lineRule="auto"/>
        <w:ind w:right="2245"/>
        <w:jc w:val="left"/>
        <w:rPr>
          <w:b/>
          <w:bCs/>
          <w:sz w:val="22"/>
          <w:szCs w:val="22"/>
        </w:rPr>
      </w:pPr>
      <w:r>
        <w:rPr>
          <w:b/>
          <w:bCs/>
          <w:sz w:val="22"/>
          <w:szCs w:val="22"/>
        </w:rPr>
        <w:t xml:space="preserve">General criteria </w:t>
      </w:r>
    </w:p>
    <w:p w14:paraId="4C2D830F">
      <w:pPr>
        <w:ind w:left="20" w:right="392"/>
        <w:rPr>
          <w:sz w:val="22"/>
          <w:szCs w:val="22"/>
        </w:rPr>
      </w:pPr>
      <w:r>
        <w:rPr>
          <w:sz w:val="22"/>
          <w:szCs w:val="22"/>
        </w:rPr>
        <w:t xml:space="preserve">The rating criterion is purely professional and absolute performance based which will follow a specific standard pattern. Total population of employee will be rated at a percentage defined as follows depending on the performance of the individual employee concerned. </w:t>
      </w:r>
    </w:p>
    <w:p w14:paraId="0909A74D">
      <w:pPr>
        <w:ind w:left="20" w:right="14"/>
        <w:rPr>
          <w:sz w:val="22"/>
          <w:szCs w:val="22"/>
        </w:rPr>
      </w:pPr>
      <w:r>
        <w:rPr>
          <w:sz w:val="22"/>
          <w:szCs w:val="22"/>
        </w:rPr>
        <w:t xml:space="preserve">Hence all Branch / Division should acquiesce this year performance rating as follows:  </w:t>
      </w:r>
    </w:p>
    <w:p w14:paraId="5263E813">
      <w:pPr>
        <w:numPr>
          <w:ilvl w:val="0"/>
          <w:numId w:val="21"/>
        </w:numPr>
        <w:spacing w:after="15" w:line="247" w:lineRule="auto"/>
        <w:ind w:left="610" w:right="14" w:hanging="233"/>
        <w:rPr>
          <w:sz w:val="22"/>
          <w:szCs w:val="22"/>
        </w:rPr>
      </w:pPr>
      <w:r>
        <w:rPr>
          <w:sz w:val="22"/>
          <w:szCs w:val="22"/>
        </w:rPr>
        <w:t xml:space="preserve">- Greatly exceeded Standard / Excellent   </w:t>
      </w:r>
      <w:r>
        <w:rPr>
          <w:sz w:val="22"/>
          <w:szCs w:val="22"/>
        </w:rPr>
        <w:tab/>
      </w:r>
      <w:r>
        <w:rPr>
          <w:sz w:val="22"/>
          <w:szCs w:val="22"/>
        </w:rPr>
        <w:t xml:space="preserve">– (Allowed up to 10%)  </w:t>
      </w:r>
    </w:p>
    <w:p w14:paraId="5DCAF618">
      <w:pPr>
        <w:numPr>
          <w:ilvl w:val="0"/>
          <w:numId w:val="21"/>
        </w:numPr>
        <w:spacing w:after="15" w:line="247" w:lineRule="auto"/>
        <w:ind w:left="610" w:right="14" w:hanging="233"/>
        <w:rPr>
          <w:sz w:val="22"/>
          <w:szCs w:val="22"/>
        </w:rPr>
      </w:pPr>
      <w:r>
        <w:rPr>
          <w:sz w:val="22"/>
          <w:szCs w:val="22"/>
        </w:rPr>
        <w:t xml:space="preserve">- Exceeded Standard / Very Good   </w:t>
      </w:r>
      <w:r>
        <w:rPr>
          <w:sz w:val="22"/>
          <w:szCs w:val="22"/>
        </w:rPr>
        <w:tab/>
      </w:r>
      <w:r>
        <w:rPr>
          <w:sz w:val="22"/>
          <w:szCs w:val="22"/>
        </w:rPr>
        <w:t xml:space="preserve"> </w:t>
      </w:r>
      <w:r>
        <w:rPr>
          <w:sz w:val="22"/>
          <w:szCs w:val="22"/>
        </w:rPr>
        <w:tab/>
      </w:r>
      <w:r>
        <w:rPr>
          <w:sz w:val="22"/>
          <w:szCs w:val="22"/>
        </w:rPr>
        <w:t xml:space="preserve">-(Allowed up to 15%)  </w:t>
      </w:r>
    </w:p>
    <w:p w14:paraId="4E4FE4B7">
      <w:pPr>
        <w:numPr>
          <w:ilvl w:val="0"/>
          <w:numId w:val="21"/>
        </w:numPr>
        <w:spacing w:after="15" w:line="247" w:lineRule="auto"/>
        <w:ind w:left="610" w:right="14" w:hanging="233"/>
        <w:rPr>
          <w:sz w:val="22"/>
          <w:szCs w:val="22"/>
        </w:rPr>
      </w:pPr>
      <w:r>
        <w:rPr>
          <w:sz w:val="22"/>
          <w:szCs w:val="22"/>
        </w:rPr>
        <w:t xml:space="preserve">- Met the Standard All the Time / Satisfactory </w:t>
      </w:r>
      <w:r>
        <w:rPr>
          <w:sz w:val="22"/>
          <w:szCs w:val="22"/>
        </w:rPr>
        <w:tab/>
      </w:r>
      <w:r>
        <w:rPr>
          <w:sz w:val="22"/>
          <w:szCs w:val="22"/>
        </w:rPr>
        <w:t xml:space="preserve">–Good (Allowed up to 50%)  </w:t>
      </w:r>
    </w:p>
    <w:p w14:paraId="6A060CD5">
      <w:pPr>
        <w:numPr>
          <w:ilvl w:val="0"/>
          <w:numId w:val="21"/>
        </w:numPr>
        <w:spacing w:after="15" w:line="247" w:lineRule="auto"/>
        <w:ind w:left="610" w:right="14" w:hanging="233"/>
        <w:rPr>
          <w:sz w:val="22"/>
          <w:szCs w:val="22"/>
        </w:rPr>
      </w:pPr>
      <w:r>
        <w:rPr>
          <w:sz w:val="22"/>
          <w:szCs w:val="22"/>
        </w:rPr>
        <w:t xml:space="preserve">- Occasionally Met the Standard / Average </w:t>
      </w:r>
      <w:r>
        <w:rPr>
          <w:sz w:val="22"/>
          <w:szCs w:val="22"/>
        </w:rPr>
        <w:tab/>
      </w:r>
      <w:r>
        <w:rPr>
          <w:sz w:val="22"/>
          <w:szCs w:val="22"/>
        </w:rPr>
        <w:t xml:space="preserve">--(Allowed up to 15%)  </w:t>
      </w:r>
    </w:p>
    <w:p w14:paraId="052724BE">
      <w:pPr>
        <w:numPr>
          <w:ilvl w:val="0"/>
          <w:numId w:val="21"/>
        </w:numPr>
        <w:spacing w:after="15" w:line="247" w:lineRule="auto"/>
        <w:ind w:left="610" w:right="14" w:hanging="233"/>
        <w:rPr>
          <w:sz w:val="22"/>
          <w:szCs w:val="22"/>
        </w:rPr>
      </w:pPr>
      <w:r>
        <w:rPr>
          <w:sz w:val="22"/>
          <w:szCs w:val="22"/>
        </w:rPr>
        <w:t xml:space="preserve">- Failed to Meet the Standard Most of the Time/ Below Average: (Allowed up to 10%)  </w:t>
      </w:r>
    </w:p>
    <w:p w14:paraId="578C56C1">
      <w:pPr>
        <w:spacing w:after="15" w:line="247" w:lineRule="auto"/>
        <w:ind w:left="610" w:right="14" w:firstLine="0"/>
        <w:rPr>
          <w:sz w:val="22"/>
          <w:szCs w:val="22"/>
        </w:rPr>
      </w:pPr>
    </w:p>
    <w:p w14:paraId="49B94CF0">
      <w:pPr>
        <w:spacing w:after="6" w:line="259" w:lineRule="auto"/>
        <w:ind w:left="540" w:firstLine="0"/>
        <w:jc w:val="left"/>
        <w:rPr>
          <w:sz w:val="22"/>
          <w:szCs w:val="22"/>
        </w:rPr>
      </w:pPr>
      <w:r>
        <w:rPr>
          <w:sz w:val="22"/>
          <w:szCs w:val="22"/>
        </w:rPr>
        <w:t xml:space="preserve"> </w:t>
      </w:r>
    </w:p>
    <w:p w14:paraId="4BF43435">
      <w:pPr>
        <w:pStyle w:val="3"/>
        <w:ind w:left="0" w:firstLine="0"/>
        <w:rPr>
          <w:rFonts w:ascii="Times New Roman" w:hAnsi="Times New Roman" w:cs="Times New Roman"/>
        </w:rPr>
      </w:pPr>
      <w:bookmarkStart w:id="38" w:name="_Toc204820978"/>
      <w:r>
        <w:rPr>
          <w:rFonts w:ascii="Times New Roman" w:hAnsi="Times New Roman" w:cs="Times New Roman"/>
        </w:rPr>
        <w:t>4.3 Training and Development</w:t>
      </w:r>
      <w:bookmarkEnd w:id="38"/>
      <w:bookmarkStart w:id="39" w:name="_Toc47277"/>
      <w:r>
        <w:rPr>
          <w:rFonts w:ascii="Times New Roman" w:hAnsi="Times New Roman" w:cs="Times New Roman"/>
        </w:rPr>
        <w:t xml:space="preserve"> </w:t>
      </w:r>
      <w:bookmarkEnd w:id="39"/>
    </w:p>
    <w:p w14:paraId="5B23433B">
      <w:pPr>
        <w:spacing w:after="3"/>
        <w:ind w:left="-5" w:right="5"/>
        <w:rPr>
          <w:color w:val="0E101A"/>
          <w:sz w:val="22"/>
          <w:szCs w:val="22"/>
        </w:rPr>
      </w:pPr>
      <w:r>
        <w:rPr>
          <w:color w:val="0E101A"/>
          <w:sz w:val="22"/>
          <w:szCs w:val="22"/>
        </w:rPr>
        <w:t xml:space="preserve">Trust Bank PLC's HRD's OB team arranges training and development for all bankers all year long in order to enhance banking services and operations and to comply with Bangladesh Bank and other regulatory authorities. All of this training not only helps the bank achieve its objectives, but it also promotes career advancement and improves KSA for job roles. Consequently, the Trust Bank Training Academy (TBTA) was created to meet organizational objectives and ensure regulatory compliance. All of Trust Bank PLC's bankers receive industry-standard training and development thanks to the TBTA's close cooperation with the HRD. Along with human resources and numerous other specialised programs and positions, the institute also offers training and guidance on general banking, retail finance, financial control, legal, IT, SWIFT, and GSSD.  Below is a detailed description of the training provided to the bankers. </w:t>
      </w:r>
    </w:p>
    <w:p w14:paraId="72D703A0">
      <w:pPr>
        <w:spacing w:after="3"/>
        <w:ind w:left="-5" w:right="5"/>
        <w:rPr>
          <w:color w:val="0E101A"/>
          <w:sz w:val="22"/>
          <w:szCs w:val="22"/>
        </w:rPr>
      </w:pPr>
      <w:r>
        <w:rPr>
          <w:color w:val="0E101A"/>
          <w:sz w:val="22"/>
          <w:szCs w:val="22"/>
        </w:rPr>
        <w:t xml:space="preserve"> </w:t>
      </w:r>
    </w:p>
    <w:p w14:paraId="71AEE08A">
      <w:pPr>
        <w:spacing w:after="3"/>
        <w:ind w:left="-5" w:right="5"/>
        <w:rPr>
          <w:sz w:val="22"/>
          <w:szCs w:val="22"/>
        </w:rPr>
      </w:pPr>
      <w:r>
        <w:rPr>
          <w:color w:val="0E101A"/>
          <w:sz w:val="22"/>
          <w:szCs w:val="22"/>
        </w:rPr>
        <w:t xml:space="preserve"> Throughout the year, the school offers five different types of training programs: house training, software and hardware training, networking training, and card division training. </w:t>
      </w:r>
    </w:p>
    <w:p w14:paraId="5B4D0D10">
      <w:pPr>
        <w:spacing w:after="110" w:line="259" w:lineRule="auto"/>
        <w:ind w:left="0" w:right="5" w:firstLine="0"/>
        <w:rPr>
          <w:b/>
          <w:color w:val="0E101A"/>
          <w:sz w:val="22"/>
          <w:szCs w:val="22"/>
        </w:rPr>
      </w:pPr>
    </w:p>
    <w:p w14:paraId="4449E522">
      <w:pPr>
        <w:spacing w:after="110" w:line="259" w:lineRule="auto"/>
        <w:ind w:left="0" w:right="5" w:firstLine="0"/>
        <w:rPr>
          <w:sz w:val="22"/>
          <w:szCs w:val="22"/>
        </w:rPr>
      </w:pPr>
      <w:r>
        <w:rPr>
          <w:b/>
          <w:color w:val="0E101A"/>
          <w:sz w:val="22"/>
          <w:szCs w:val="22"/>
        </w:rPr>
        <w:t xml:space="preserve">Foundational Exercise Course </w:t>
      </w:r>
      <w:r>
        <w:rPr>
          <w:color w:val="0E101A"/>
          <w:sz w:val="22"/>
          <w:szCs w:val="22"/>
        </w:rPr>
        <w:t xml:space="preserve"> </w:t>
      </w:r>
    </w:p>
    <w:p w14:paraId="381C745A">
      <w:pPr>
        <w:spacing w:after="3"/>
        <w:ind w:left="-5" w:right="5"/>
        <w:rPr>
          <w:sz w:val="22"/>
          <w:szCs w:val="22"/>
        </w:rPr>
      </w:pPr>
      <w:r>
        <w:rPr>
          <w:color w:val="0E101A"/>
          <w:sz w:val="22"/>
          <w:szCs w:val="22"/>
        </w:rPr>
        <w:t xml:space="preserve">It keeps introduction, banker’s benefits, and service manual, corporate governance, IT policy, ethics, financial products, trade services, remittance, cash management, sustainability, as well as CSR activities and policies are taught thoroughly.  </w:t>
      </w:r>
    </w:p>
    <w:p w14:paraId="3FBE7FBF">
      <w:pPr>
        <w:spacing w:after="3"/>
        <w:ind w:left="-5" w:right="5"/>
        <w:rPr>
          <w:sz w:val="22"/>
          <w:szCs w:val="22"/>
        </w:rPr>
      </w:pPr>
      <w:r>
        <w:rPr>
          <w:color w:val="0E101A"/>
          <w:sz w:val="22"/>
          <w:szCs w:val="22"/>
        </w:rPr>
        <w:t xml:space="preserve"> </w:t>
      </w:r>
      <w:r>
        <w:rPr>
          <w:b/>
          <w:color w:val="0E101A"/>
          <w:sz w:val="22"/>
          <w:szCs w:val="22"/>
        </w:rPr>
        <w:t>IT Training</w:t>
      </w:r>
      <w:r>
        <w:rPr>
          <w:color w:val="0E101A"/>
          <w:sz w:val="22"/>
          <w:szCs w:val="22"/>
        </w:rPr>
        <w:t xml:space="preserve"> </w:t>
      </w:r>
    </w:p>
    <w:p w14:paraId="0A378AD9">
      <w:pPr>
        <w:numPr>
          <w:ilvl w:val="0"/>
          <w:numId w:val="22"/>
        </w:numPr>
        <w:spacing w:after="131" w:line="259" w:lineRule="auto"/>
        <w:ind w:right="5" w:hanging="360"/>
        <w:rPr>
          <w:sz w:val="22"/>
          <w:szCs w:val="22"/>
        </w:rPr>
      </w:pPr>
      <w:r>
        <w:rPr>
          <w:color w:val="0E101A"/>
          <w:sz w:val="22"/>
          <w:szCs w:val="22"/>
        </w:rPr>
        <w:t xml:space="preserve">Flora Banking and Trust Bank Intra Banking Software </w:t>
      </w:r>
    </w:p>
    <w:p w14:paraId="0FD64CC0">
      <w:pPr>
        <w:numPr>
          <w:ilvl w:val="0"/>
          <w:numId w:val="22"/>
        </w:numPr>
        <w:spacing w:after="140" w:line="259" w:lineRule="auto"/>
        <w:ind w:right="5" w:hanging="360"/>
        <w:rPr>
          <w:sz w:val="22"/>
          <w:szCs w:val="22"/>
        </w:rPr>
      </w:pPr>
      <w:r>
        <w:rPr>
          <w:color w:val="0E101A"/>
          <w:sz w:val="22"/>
          <w:szCs w:val="22"/>
        </w:rPr>
        <w:t xml:space="preserve">Bug Detection applications </w:t>
      </w:r>
    </w:p>
    <w:p w14:paraId="2B4B11C8">
      <w:pPr>
        <w:numPr>
          <w:ilvl w:val="0"/>
          <w:numId w:val="22"/>
        </w:numPr>
        <w:spacing w:after="132" w:line="259" w:lineRule="auto"/>
        <w:ind w:right="5" w:hanging="360"/>
        <w:rPr>
          <w:sz w:val="22"/>
          <w:szCs w:val="22"/>
        </w:rPr>
      </w:pPr>
      <w:r>
        <w:rPr>
          <w:color w:val="0E101A"/>
          <w:sz w:val="22"/>
          <w:szCs w:val="22"/>
        </w:rPr>
        <w:t xml:space="preserve">HR Orbis </w:t>
      </w:r>
    </w:p>
    <w:p w14:paraId="79F5E9B0">
      <w:pPr>
        <w:numPr>
          <w:ilvl w:val="0"/>
          <w:numId w:val="22"/>
        </w:numPr>
        <w:spacing w:after="132" w:line="259" w:lineRule="auto"/>
        <w:ind w:right="5" w:hanging="360"/>
        <w:rPr>
          <w:sz w:val="22"/>
          <w:szCs w:val="22"/>
        </w:rPr>
      </w:pPr>
      <w:r>
        <w:rPr>
          <w:color w:val="0E101A"/>
          <w:sz w:val="22"/>
          <w:szCs w:val="22"/>
        </w:rPr>
        <w:t xml:space="preserve">Internally manufactured software training programs </w:t>
      </w:r>
    </w:p>
    <w:p w14:paraId="6A130271">
      <w:pPr>
        <w:spacing w:after="110" w:line="259" w:lineRule="auto"/>
        <w:ind w:left="0" w:right="0" w:firstLine="0"/>
        <w:jc w:val="left"/>
        <w:rPr>
          <w:sz w:val="22"/>
          <w:szCs w:val="22"/>
        </w:rPr>
      </w:pPr>
      <w:r>
        <w:rPr>
          <w:b/>
          <w:color w:val="0E101A"/>
          <w:sz w:val="22"/>
          <w:szCs w:val="22"/>
        </w:rPr>
        <w:t>Connectivity</w:t>
      </w:r>
      <w:r>
        <w:rPr>
          <w:color w:val="0E101A"/>
          <w:sz w:val="22"/>
          <w:szCs w:val="22"/>
        </w:rPr>
        <w:t xml:space="preserve"> </w:t>
      </w:r>
    </w:p>
    <w:p w14:paraId="76518C7A">
      <w:pPr>
        <w:numPr>
          <w:ilvl w:val="0"/>
          <w:numId w:val="22"/>
        </w:numPr>
        <w:spacing w:after="139" w:line="259" w:lineRule="auto"/>
        <w:ind w:right="5" w:hanging="360"/>
        <w:rPr>
          <w:sz w:val="22"/>
          <w:szCs w:val="22"/>
        </w:rPr>
      </w:pPr>
      <w:r>
        <w:rPr>
          <w:color w:val="0E101A"/>
          <w:sz w:val="22"/>
          <w:szCs w:val="22"/>
        </w:rPr>
        <w:t xml:space="preserve">Branch Networking </w:t>
      </w:r>
    </w:p>
    <w:p w14:paraId="318725F3">
      <w:pPr>
        <w:numPr>
          <w:ilvl w:val="0"/>
          <w:numId w:val="22"/>
        </w:numPr>
        <w:spacing w:after="133" w:line="259" w:lineRule="auto"/>
        <w:ind w:right="5" w:hanging="360"/>
        <w:rPr>
          <w:sz w:val="22"/>
          <w:szCs w:val="22"/>
        </w:rPr>
      </w:pPr>
      <w:r>
        <w:rPr>
          <w:color w:val="0E101A"/>
          <w:sz w:val="22"/>
          <w:szCs w:val="22"/>
        </w:rPr>
        <w:t xml:space="preserve">IP calling support </w:t>
      </w:r>
    </w:p>
    <w:p w14:paraId="28C7980C">
      <w:pPr>
        <w:numPr>
          <w:ilvl w:val="0"/>
          <w:numId w:val="22"/>
        </w:numPr>
        <w:spacing w:after="139" w:line="259" w:lineRule="auto"/>
        <w:ind w:right="5" w:hanging="360"/>
        <w:rPr>
          <w:sz w:val="22"/>
          <w:szCs w:val="22"/>
        </w:rPr>
      </w:pPr>
      <w:r>
        <w:rPr>
          <w:color w:val="0E101A"/>
          <w:sz w:val="22"/>
          <w:szCs w:val="22"/>
        </w:rPr>
        <w:t xml:space="preserve">Internet services </w:t>
      </w:r>
    </w:p>
    <w:p w14:paraId="0C20C3C1">
      <w:pPr>
        <w:numPr>
          <w:ilvl w:val="0"/>
          <w:numId w:val="22"/>
        </w:numPr>
        <w:spacing w:after="133" w:line="259" w:lineRule="auto"/>
        <w:ind w:right="5" w:hanging="360"/>
        <w:rPr>
          <w:sz w:val="22"/>
          <w:szCs w:val="22"/>
        </w:rPr>
      </w:pPr>
      <w:r>
        <w:rPr>
          <w:color w:val="0E101A"/>
          <w:sz w:val="22"/>
          <w:szCs w:val="22"/>
        </w:rPr>
        <w:t xml:space="preserve">Malware and hacking prevention and maintenance </w:t>
      </w:r>
    </w:p>
    <w:p w14:paraId="600269D9">
      <w:pPr>
        <w:numPr>
          <w:ilvl w:val="0"/>
          <w:numId w:val="22"/>
        </w:numPr>
        <w:spacing w:after="121" w:line="259" w:lineRule="auto"/>
        <w:ind w:right="5" w:hanging="360"/>
        <w:rPr>
          <w:sz w:val="22"/>
          <w:szCs w:val="22"/>
        </w:rPr>
      </w:pPr>
      <w:r>
        <w:rPr>
          <w:color w:val="0E101A"/>
          <w:sz w:val="22"/>
          <w:szCs w:val="22"/>
        </w:rPr>
        <w:t xml:space="preserve">Email server </w:t>
      </w:r>
    </w:p>
    <w:p w14:paraId="3C37D305">
      <w:pPr>
        <w:spacing w:after="124" w:line="259" w:lineRule="auto"/>
        <w:ind w:left="0" w:right="0" w:firstLine="0"/>
        <w:jc w:val="left"/>
        <w:rPr>
          <w:sz w:val="22"/>
          <w:szCs w:val="22"/>
        </w:rPr>
      </w:pPr>
      <w:r>
        <w:rPr>
          <w:color w:val="0E101A"/>
          <w:sz w:val="22"/>
          <w:szCs w:val="22"/>
        </w:rPr>
        <w:t xml:space="preserve"> </w:t>
      </w:r>
      <w:r>
        <w:rPr>
          <w:b/>
          <w:color w:val="0E101A"/>
          <w:sz w:val="22"/>
          <w:szCs w:val="22"/>
        </w:rPr>
        <w:t xml:space="preserve">  Hardware</w:t>
      </w:r>
      <w:r>
        <w:rPr>
          <w:color w:val="0E101A"/>
          <w:sz w:val="22"/>
          <w:szCs w:val="22"/>
        </w:rPr>
        <w:t xml:space="preserve"> </w:t>
      </w:r>
    </w:p>
    <w:p w14:paraId="44A74214">
      <w:pPr>
        <w:numPr>
          <w:ilvl w:val="0"/>
          <w:numId w:val="22"/>
        </w:numPr>
        <w:spacing w:after="124" w:line="259" w:lineRule="auto"/>
        <w:ind w:right="5" w:hanging="360"/>
        <w:rPr>
          <w:sz w:val="22"/>
          <w:szCs w:val="22"/>
        </w:rPr>
      </w:pPr>
      <w:r>
        <w:rPr>
          <w:color w:val="0E101A"/>
          <w:sz w:val="22"/>
          <w:szCs w:val="22"/>
        </w:rPr>
        <w:t xml:space="preserve">Basic equipment and device-related training. </w:t>
      </w:r>
    </w:p>
    <w:p w14:paraId="5F9EDC3F">
      <w:pPr>
        <w:spacing w:after="110" w:line="259" w:lineRule="auto"/>
        <w:ind w:right="0"/>
        <w:jc w:val="left"/>
        <w:rPr>
          <w:b/>
          <w:color w:val="0E101A"/>
          <w:sz w:val="22"/>
          <w:szCs w:val="22"/>
        </w:rPr>
      </w:pPr>
      <w:r>
        <w:rPr>
          <w:b/>
          <w:color w:val="0E101A"/>
          <w:sz w:val="22"/>
          <w:szCs w:val="22"/>
        </w:rPr>
        <w:t xml:space="preserve"> Card Division</w:t>
      </w:r>
      <w:r>
        <w:rPr>
          <w:color w:val="0E101A"/>
          <w:sz w:val="22"/>
          <w:szCs w:val="22"/>
        </w:rPr>
        <w:t xml:space="preserve"> </w:t>
      </w:r>
    </w:p>
    <w:p w14:paraId="6C7434B3">
      <w:pPr>
        <w:numPr>
          <w:ilvl w:val="0"/>
          <w:numId w:val="22"/>
        </w:numPr>
        <w:spacing w:after="132" w:line="259" w:lineRule="auto"/>
        <w:ind w:right="5" w:hanging="360"/>
        <w:rPr>
          <w:sz w:val="22"/>
          <w:szCs w:val="22"/>
        </w:rPr>
      </w:pPr>
      <w:r>
        <w:rPr>
          <w:color w:val="0E101A"/>
          <w:sz w:val="22"/>
          <w:szCs w:val="22"/>
        </w:rPr>
        <w:t xml:space="preserve">All Visa related programs </w:t>
      </w:r>
    </w:p>
    <w:p w14:paraId="4116B2BC">
      <w:pPr>
        <w:numPr>
          <w:ilvl w:val="0"/>
          <w:numId w:val="22"/>
        </w:numPr>
        <w:spacing w:after="139" w:line="259" w:lineRule="auto"/>
        <w:ind w:right="5" w:hanging="360"/>
        <w:rPr>
          <w:sz w:val="22"/>
          <w:szCs w:val="22"/>
        </w:rPr>
      </w:pPr>
      <w:r>
        <w:rPr>
          <w:color w:val="0E101A"/>
          <w:sz w:val="22"/>
          <w:szCs w:val="22"/>
        </w:rPr>
        <w:t xml:space="preserve">International compliances for Visa </w:t>
      </w:r>
    </w:p>
    <w:p w14:paraId="1ED3ABF1">
      <w:pPr>
        <w:numPr>
          <w:ilvl w:val="0"/>
          <w:numId w:val="22"/>
        </w:numPr>
        <w:spacing w:after="114" w:line="259" w:lineRule="auto"/>
        <w:ind w:right="5" w:hanging="360"/>
        <w:rPr>
          <w:sz w:val="22"/>
          <w:szCs w:val="22"/>
        </w:rPr>
      </w:pPr>
      <w:r>
        <w:rPr>
          <w:color w:val="0E101A"/>
          <w:sz w:val="22"/>
          <w:szCs w:val="22"/>
        </w:rPr>
        <w:t xml:space="preserve">Promotional activities for Visa </w:t>
      </w:r>
    </w:p>
    <w:p w14:paraId="397807A1">
      <w:pPr>
        <w:spacing w:after="120" w:line="259" w:lineRule="auto"/>
        <w:ind w:left="0" w:right="0" w:firstLine="0"/>
        <w:jc w:val="left"/>
        <w:rPr>
          <w:sz w:val="22"/>
          <w:szCs w:val="22"/>
        </w:rPr>
      </w:pPr>
      <w:r>
        <w:rPr>
          <w:color w:val="0E101A"/>
          <w:sz w:val="22"/>
          <w:szCs w:val="22"/>
        </w:rPr>
        <w:t xml:space="preserve"> </w:t>
      </w:r>
    </w:p>
    <w:p w14:paraId="4CC9857A">
      <w:pPr>
        <w:spacing w:after="3"/>
        <w:ind w:left="-5" w:right="5"/>
        <w:rPr>
          <w:sz w:val="22"/>
          <w:szCs w:val="22"/>
        </w:rPr>
      </w:pPr>
      <w:r>
        <w:rPr>
          <w:color w:val="0E101A"/>
          <w:sz w:val="22"/>
          <w:szCs w:val="22"/>
        </w:rPr>
        <w:t xml:space="preserve">Lastly, internship placements, professional exams, certifications, and training nominations are under the supervision of the Organizational Development managers. For its stakeholders, the OD team is essential to achieving financial inclusion in the banking sector. </w:t>
      </w:r>
    </w:p>
    <w:p w14:paraId="3B311F76">
      <w:pPr>
        <w:pStyle w:val="3"/>
        <w:rPr>
          <w:rFonts w:ascii="Times New Roman" w:hAnsi="Times New Roman" w:cs="Times New Roman"/>
        </w:rPr>
      </w:pPr>
      <w:bookmarkStart w:id="40" w:name="_Toc204820979"/>
      <w:r>
        <w:rPr>
          <w:rFonts w:ascii="Times New Roman" w:hAnsi="Times New Roman" w:cs="Times New Roman"/>
        </w:rPr>
        <w:t>4.4 Compensation</w:t>
      </w:r>
      <w:bookmarkEnd w:id="40"/>
      <w:bookmarkStart w:id="41" w:name="_Toc47275"/>
      <w:r>
        <w:rPr>
          <w:rFonts w:ascii="Times New Roman" w:hAnsi="Times New Roman" w:cs="Times New Roman"/>
        </w:rPr>
        <w:t xml:space="preserve"> </w:t>
      </w:r>
      <w:bookmarkEnd w:id="41"/>
    </w:p>
    <w:p w14:paraId="0DF5337C">
      <w:pPr>
        <w:spacing w:after="134" w:line="360" w:lineRule="auto"/>
        <w:ind w:left="-5" w:right="9"/>
        <w:rPr>
          <w:sz w:val="22"/>
          <w:szCs w:val="22"/>
        </w:rPr>
      </w:pPr>
      <w:r>
        <w:rPr>
          <w:sz w:val="22"/>
          <w:szCs w:val="22"/>
        </w:rPr>
        <w:t xml:space="preserve"> Due to their exceptional work performance, officers at Trust Bank PLC get both financial and non-financial recognition. In addition, financial remuneration frequently consists of commissions paid to officers as well as salary, overtime pay, and incentives. Furthermore, the board of directors oversees and manages the "Trust Bank PLC Employee's Provident Fund," a well-liked compensation program that can be approved for any permanent officer. Non-monetary fringe benefits are also offered in the form of medical leave, paid vacation leave, dining facilities, appliances, home and auto loans, alluring insurance policies from Astha Life Insurance Ltd., medical and diagnostic discounts from Farazi Hospital Limited, limitless opportunities for professional advancement, and recognition in order to improve the standard of living and maintain the motivation of the bankers. The Many senior staff are given transport by the bank. A general structure of compensation at Trust bank PLC is given below:</w:t>
      </w:r>
    </w:p>
    <w:p w14:paraId="4891C841">
      <w:pPr>
        <w:spacing w:after="134" w:line="360" w:lineRule="auto"/>
        <w:ind w:left="-5" w:right="9"/>
        <w:rPr>
          <w:sz w:val="22"/>
          <w:szCs w:val="22"/>
        </w:rPr>
      </w:pPr>
      <w:r>
        <w:rPr>
          <w:sz w:val="22"/>
          <w:szCs w:val="22"/>
        </w:rPr>
        <w:drawing>
          <wp:inline distT="0" distB="0" distL="0" distR="0">
            <wp:extent cx="6499225" cy="3537585"/>
            <wp:effectExtent l="0" t="0" r="15875" b="5715"/>
            <wp:docPr id="156456083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9B1217">
      <w:pPr>
        <w:spacing w:after="134" w:line="360" w:lineRule="auto"/>
        <w:ind w:left="-5" w:right="9"/>
        <w:rPr>
          <w:sz w:val="22"/>
          <w:szCs w:val="22"/>
        </w:rPr>
      </w:pPr>
    </w:p>
    <w:p w14:paraId="754AFD0E">
      <w:pPr>
        <w:spacing w:after="134" w:line="360" w:lineRule="auto"/>
        <w:ind w:left="-5" w:right="9"/>
        <w:rPr>
          <w:sz w:val="22"/>
          <w:szCs w:val="22"/>
        </w:rPr>
      </w:pPr>
      <w:r>
        <w:rPr>
          <w:sz w:val="22"/>
          <w:szCs w:val="22"/>
        </w:rPr>
        <w:t xml:space="preserve"> The Compensation &amp; Benefits team of HRD is principally in charge of managing salary structures, reconciliation, and disbursements for all of the bankers of Trust Bank PLC in accordance with the salary-related regulatory compliances approved by Bangladesh Bank. This is done in order to maintain the bankers' financial motivation. In order to accurately assess market trends, equitable remuneration packages, new government-issued labor regulations or compliances, etc., HR managers must also possess a deep understanding of industrial labor practices.  Another crucial duty performed by the Compensation and Benefits division is the prompt payment of salaries to each banker.  Consequently, the bank's bankers have a high level of financial happiness. </w:t>
      </w:r>
    </w:p>
    <w:p w14:paraId="1FC7726A">
      <w:pPr>
        <w:spacing w:after="134" w:line="360" w:lineRule="auto"/>
        <w:ind w:left="-5" w:right="9"/>
        <w:rPr>
          <w:sz w:val="22"/>
          <w:szCs w:val="22"/>
        </w:rPr>
      </w:pPr>
      <w:r>
        <w:rPr>
          <w:b/>
          <w:sz w:val="22"/>
          <w:szCs w:val="22"/>
        </w:rPr>
        <w:t>Staff Loans Processing</w:t>
      </w:r>
      <w:r>
        <w:rPr>
          <w:sz w:val="22"/>
          <w:szCs w:val="22"/>
        </w:rPr>
        <w:t xml:space="preserve">: When it comes to the money loan processes, Trust Bank PLC always helps its staff, and the managers of compensation and benefits take care of the matter quickly.  These tasks frequently involve processing loan applications, confirming eligibility, and assisting bankers by supplying information and creating required documentation.  In addition, HR managers work with board members and other departments to ensure that loan approval and disbursement happen on schedule.  Prior to that, the team must ensure that the loan applicant is aware of the various loan kinds, terms, and possibilities, as well as the repayment plans, with an emphasis on the banker's flexibility. </w:t>
      </w:r>
    </w:p>
    <w:p w14:paraId="52716862">
      <w:pPr>
        <w:spacing w:after="134" w:line="360" w:lineRule="auto"/>
        <w:ind w:left="-5" w:right="9"/>
        <w:jc w:val="center"/>
        <w:rPr>
          <w:sz w:val="22"/>
          <w:szCs w:val="22"/>
        </w:rPr>
      </w:pPr>
      <w:r>
        <w:rPr>
          <w:b/>
          <w:i/>
          <w:sz w:val="22"/>
          <w:szCs w:val="22"/>
        </w:rPr>
        <w:t>Trust Bank PLC Loans</w:t>
      </w:r>
    </w:p>
    <w:tbl>
      <w:tblPr>
        <w:tblStyle w:val="40"/>
        <w:tblW w:w="9359" w:type="dxa"/>
        <w:tblInd w:w="-4" w:type="dxa"/>
        <w:tblLayout w:type="autofit"/>
        <w:tblCellMar>
          <w:top w:w="55" w:type="dxa"/>
          <w:left w:w="0" w:type="dxa"/>
          <w:bottom w:w="0" w:type="dxa"/>
          <w:right w:w="65" w:type="dxa"/>
        </w:tblCellMar>
      </w:tblPr>
      <w:tblGrid>
        <w:gridCol w:w="8"/>
        <w:gridCol w:w="4667"/>
        <w:gridCol w:w="8"/>
        <w:gridCol w:w="1005"/>
        <w:gridCol w:w="64"/>
        <w:gridCol w:w="8"/>
        <w:gridCol w:w="3591"/>
        <w:gridCol w:w="8"/>
      </w:tblGrid>
      <w:tr w14:paraId="09BAFD9D">
        <w:tblPrEx>
          <w:tblCellMar>
            <w:top w:w="55" w:type="dxa"/>
            <w:left w:w="0" w:type="dxa"/>
            <w:bottom w:w="0" w:type="dxa"/>
            <w:right w:w="65" w:type="dxa"/>
          </w:tblCellMar>
        </w:tblPrEx>
        <w:trPr>
          <w:gridBefore w:val="1"/>
          <w:wBefore w:w="8" w:type="dxa"/>
          <w:trHeight w:val="425" w:hRule="atLeast"/>
        </w:trPr>
        <w:tc>
          <w:tcPr>
            <w:tcW w:w="4675" w:type="dxa"/>
            <w:gridSpan w:val="2"/>
            <w:tcBorders>
              <w:top w:val="single" w:color="000000" w:sz="2" w:space="0"/>
              <w:left w:val="single" w:color="000000" w:sz="2" w:space="0"/>
              <w:bottom w:val="single" w:color="000000" w:sz="2" w:space="0"/>
              <w:right w:val="single" w:color="000000" w:sz="2" w:space="0"/>
            </w:tcBorders>
          </w:tcPr>
          <w:p w14:paraId="63BE46A6">
            <w:pPr>
              <w:spacing w:after="0" w:line="259" w:lineRule="auto"/>
              <w:ind w:left="62" w:right="0" w:firstLine="0"/>
              <w:jc w:val="center"/>
              <w:rPr>
                <w:sz w:val="22"/>
                <w:szCs w:val="22"/>
              </w:rPr>
            </w:pPr>
            <w:r>
              <w:rPr>
                <w:b/>
                <w:sz w:val="22"/>
                <w:szCs w:val="22"/>
              </w:rPr>
              <w:t xml:space="preserve">Types of Staff loans </w:t>
            </w:r>
          </w:p>
        </w:tc>
        <w:tc>
          <w:tcPr>
            <w:tcW w:w="1077" w:type="dxa"/>
            <w:gridSpan w:val="3"/>
            <w:tcBorders>
              <w:top w:val="single" w:color="000000" w:sz="2" w:space="0"/>
              <w:left w:val="single" w:color="000000" w:sz="2" w:space="0"/>
              <w:bottom w:val="single" w:color="000000" w:sz="2" w:space="0"/>
              <w:right w:val="nil"/>
            </w:tcBorders>
          </w:tcPr>
          <w:p w14:paraId="15A94059">
            <w:pPr>
              <w:spacing w:after="160" w:line="259" w:lineRule="auto"/>
              <w:ind w:left="0" w:right="0" w:firstLine="0"/>
              <w:jc w:val="left"/>
              <w:rPr>
                <w:sz w:val="22"/>
                <w:szCs w:val="22"/>
              </w:rPr>
            </w:pPr>
          </w:p>
        </w:tc>
        <w:tc>
          <w:tcPr>
            <w:tcW w:w="3599" w:type="dxa"/>
            <w:gridSpan w:val="2"/>
            <w:tcBorders>
              <w:top w:val="single" w:color="000000" w:sz="2" w:space="0"/>
              <w:left w:val="nil"/>
              <w:bottom w:val="single" w:color="000000" w:sz="2" w:space="0"/>
              <w:right w:val="single" w:color="000000" w:sz="2" w:space="0"/>
            </w:tcBorders>
          </w:tcPr>
          <w:p w14:paraId="19165B58">
            <w:pPr>
              <w:spacing w:after="0" w:line="259" w:lineRule="auto"/>
              <w:ind w:left="526" w:right="0" w:firstLine="0"/>
              <w:jc w:val="left"/>
              <w:rPr>
                <w:sz w:val="22"/>
                <w:szCs w:val="22"/>
              </w:rPr>
            </w:pPr>
            <w:r>
              <w:rPr>
                <w:b/>
                <w:sz w:val="22"/>
                <w:szCs w:val="22"/>
              </w:rPr>
              <w:t xml:space="preserve">Fundamentals </w:t>
            </w:r>
          </w:p>
        </w:tc>
      </w:tr>
      <w:tr w14:paraId="2B4F90C0">
        <w:tblPrEx>
          <w:tblCellMar>
            <w:top w:w="55" w:type="dxa"/>
            <w:left w:w="0" w:type="dxa"/>
            <w:bottom w:w="0" w:type="dxa"/>
            <w:right w:w="65" w:type="dxa"/>
          </w:tblCellMar>
        </w:tblPrEx>
        <w:trPr>
          <w:gridBefore w:val="1"/>
          <w:wBefore w:w="8" w:type="dxa"/>
          <w:trHeight w:val="3379" w:hRule="atLeast"/>
        </w:trPr>
        <w:tc>
          <w:tcPr>
            <w:tcW w:w="4675" w:type="dxa"/>
            <w:gridSpan w:val="2"/>
            <w:tcBorders>
              <w:top w:val="single" w:color="000000" w:sz="2" w:space="0"/>
              <w:left w:val="single" w:color="000000" w:sz="2" w:space="0"/>
              <w:bottom w:val="single" w:color="000000" w:sz="2" w:space="0"/>
              <w:right w:val="single" w:color="000000" w:sz="2" w:space="0"/>
            </w:tcBorders>
          </w:tcPr>
          <w:p w14:paraId="65A01DD0">
            <w:pPr>
              <w:spacing w:after="114" w:line="259" w:lineRule="auto"/>
              <w:ind w:left="125" w:right="0" w:firstLine="0"/>
              <w:jc w:val="center"/>
              <w:rPr>
                <w:sz w:val="22"/>
                <w:szCs w:val="22"/>
              </w:rPr>
            </w:pPr>
            <w:r>
              <w:rPr>
                <w:sz w:val="22"/>
                <w:szCs w:val="22"/>
              </w:rPr>
              <w:t xml:space="preserve"> </w:t>
            </w:r>
          </w:p>
          <w:p w14:paraId="4AA4B417">
            <w:pPr>
              <w:spacing w:after="120" w:line="259" w:lineRule="auto"/>
              <w:ind w:left="125" w:right="0" w:firstLine="0"/>
              <w:jc w:val="center"/>
              <w:rPr>
                <w:sz w:val="22"/>
                <w:szCs w:val="22"/>
              </w:rPr>
            </w:pPr>
            <w:r>
              <w:rPr>
                <w:sz w:val="22"/>
                <w:szCs w:val="22"/>
              </w:rPr>
              <w:t xml:space="preserve"> </w:t>
            </w:r>
          </w:p>
          <w:p w14:paraId="2B9DB60A">
            <w:pPr>
              <w:spacing w:after="0" w:line="259" w:lineRule="auto"/>
              <w:ind w:left="66" w:right="0" w:firstLine="0"/>
              <w:jc w:val="center"/>
              <w:rPr>
                <w:sz w:val="22"/>
                <w:szCs w:val="22"/>
              </w:rPr>
            </w:pPr>
            <w:r>
              <w:rPr>
                <w:sz w:val="22"/>
                <w:szCs w:val="22"/>
              </w:rPr>
              <w:t xml:space="preserve">Provident Fund Loan </w:t>
            </w:r>
          </w:p>
        </w:tc>
        <w:tc>
          <w:tcPr>
            <w:tcW w:w="1077" w:type="dxa"/>
            <w:gridSpan w:val="3"/>
            <w:tcBorders>
              <w:top w:val="single" w:color="000000" w:sz="2" w:space="0"/>
              <w:left w:val="single" w:color="000000" w:sz="2" w:space="0"/>
              <w:bottom w:val="single" w:color="000000" w:sz="2" w:space="0"/>
              <w:right w:val="nil"/>
            </w:tcBorders>
          </w:tcPr>
          <w:p w14:paraId="5C5D75BF">
            <w:pPr>
              <w:spacing w:after="160" w:line="259" w:lineRule="auto"/>
              <w:ind w:left="0" w:right="0" w:firstLine="0"/>
              <w:jc w:val="left"/>
              <w:rPr>
                <w:sz w:val="22"/>
                <w:szCs w:val="22"/>
              </w:rPr>
            </w:pPr>
          </w:p>
        </w:tc>
        <w:tc>
          <w:tcPr>
            <w:tcW w:w="3599" w:type="dxa"/>
            <w:gridSpan w:val="2"/>
            <w:tcBorders>
              <w:top w:val="single" w:color="000000" w:sz="2" w:space="0"/>
              <w:left w:val="nil"/>
              <w:bottom w:val="single" w:color="000000" w:sz="2" w:space="0"/>
              <w:right w:val="single" w:color="000000" w:sz="2" w:space="0"/>
            </w:tcBorders>
          </w:tcPr>
          <w:p w14:paraId="087B119B">
            <w:pPr>
              <w:numPr>
                <w:ilvl w:val="0"/>
                <w:numId w:val="23"/>
              </w:numPr>
              <w:spacing w:after="141" w:line="259" w:lineRule="auto"/>
              <w:ind w:left="482" w:right="0" w:hanging="360"/>
              <w:jc w:val="left"/>
              <w:rPr>
                <w:sz w:val="22"/>
                <w:szCs w:val="22"/>
              </w:rPr>
            </w:pPr>
            <w:r>
              <w:rPr>
                <w:sz w:val="22"/>
                <w:szCs w:val="22"/>
              </w:rPr>
              <w:t xml:space="preserve">No interest rates are charged </w:t>
            </w:r>
          </w:p>
          <w:p w14:paraId="745F2C64">
            <w:pPr>
              <w:numPr>
                <w:ilvl w:val="0"/>
                <w:numId w:val="23"/>
              </w:numPr>
              <w:spacing w:after="14" w:line="352" w:lineRule="auto"/>
              <w:ind w:left="482" w:right="0" w:hanging="360"/>
              <w:jc w:val="left"/>
              <w:rPr>
                <w:sz w:val="22"/>
                <w:szCs w:val="22"/>
              </w:rPr>
            </w:pPr>
            <w:r>
              <w:rPr>
                <w:sz w:val="22"/>
                <w:szCs w:val="22"/>
              </w:rPr>
              <w:t xml:space="preserve">Bankers can have up to 80% of their contribution once they </w:t>
            </w:r>
          </w:p>
          <w:p w14:paraId="0236E44E">
            <w:pPr>
              <w:spacing w:after="184" w:line="259" w:lineRule="auto"/>
              <w:ind w:left="728" w:right="0" w:firstLine="0"/>
              <w:jc w:val="left"/>
              <w:rPr>
                <w:sz w:val="22"/>
                <w:szCs w:val="22"/>
              </w:rPr>
            </w:pPr>
            <w:r>
              <w:rPr>
                <w:sz w:val="22"/>
                <w:szCs w:val="22"/>
              </w:rPr>
              <w:t xml:space="preserve">confirm 2 years of service </w:t>
            </w:r>
          </w:p>
          <w:p w14:paraId="0EE12E13">
            <w:pPr>
              <w:numPr>
                <w:ilvl w:val="0"/>
                <w:numId w:val="23"/>
              </w:numPr>
              <w:spacing w:after="6" w:line="359" w:lineRule="auto"/>
              <w:ind w:left="482" w:right="0" w:hanging="360"/>
              <w:jc w:val="left"/>
              <w:rPr>
                <w:sz w:val="22"/>
                <w:szCs w:val="22"/>
              </w:rPr>
            </w:pPr>
            <w:r>
              <w:rPr>
                <w:sz w:val="22"/>
                <w:szCs w:val="22"/>
              </w:rPr>
              <w:t xml:space="preserve">Up to 100% of PF contribution loan can be achieved once a </w:t>
            </w:r>
          </w:p>
          <w:p w14:paraId="6FB1490C">
            <w:pPr>
              <w:spacing w:after="113" w:line="259" w:lineRule="auto"/>
              <w:ind w:left="699" w:right="0" w:firstLine="0"/>
              <w:jc w:val="left"/>
              <w:rPr>
                <w:sz w:val="22"/>
                <w:szCs w:val="22"/>
              </w:rPr>
            </w:pPr>
            <w:r>
              <w:rPr>
                <w:sz w:val="22"/>
                <w:szCs w:val="22"/>
              </w:rPr>
              <w:t xml:space="preserve">banker confirms 5 years of </w:t>
            </w:r>
          </w:p>
          <w:p w14:paraId="7F4C4066">
            <w:pPr>
              <w:spacing w:after="0" w:line="259" w:lineRule="auto"/>
              <w:ind w:left="425" w:right="0" w:firstLine="0"/>
              <w:jc w:val="center"/>
              <w:rPr>
                <w:sz w:val="22"/>
                <w:szCs w:val="22"/>
              </w:rPr>
            </w:pPr>
            <w:r>
              <w:rPr>
                <w:sz w:val="22"/>
                <w:szCs w:val="22"/>
              </w:rPr>
              <w:t xml:space="preserve">service </w:t>
            </w:r>
          </w:p>
        </w:tc>
      </w:tr>
      <w:tr w14:paraId="0FDD5CB0">
        <w:tblPrEx>
          <w:tblCellMar>
            <w:top w:w="55" w:type="dxa"/>
            <w:left w:w="0" w:type="dxa"/>
            <w:bottom w:w="0" w:type="dxa"/>
            <w:right w:w="65" w:type="dxa"/>
          </w:tblCellMar>
        </w:tblPrEx>
        <w:trPr>
          <w:gridAfter w:val="1"/>
          <w:wAfter w:w="8" w:type="dxa"/>
          <w:trHeight w:val="401" w:hRule="atLeast"/>
        </w:trPr>
        <w:tc>
          <w:tcPr>
            <w:tcW w:w="4675" w:type="dxa"/>
            <w:gridSpan w:val="2"/>
            <w:tcBorders>
              <w:top w:val="single" w:color="000000" w:sz="2" w:space="0"/>
              <w:left w:val="single" w:color="000000" w:sz="2" w:space="0"/>
              <w:bottom w:val="nil"/>
              <w:right w:val="single" w:color="000000" w:sz="2" w:space="0"/>
            </w:tcBorders>
          </w:tcPr>
          <w:p w14:paraId="2670EDCB">
            <w:pPr>
              <w:spacing w:after="0" w:line="259" w:lineRule="auto"/>
              <w:ind w:left="65" w:right="0" w:firstLine="0"/>
              <w:jc w:val="center"/>
              <w:rPr>
                <w:sz w:val="22"/>
                <w:szCs w:val="22"/>
              </w:rPr>
            </w:pPr>
            <w:r>
              <w:rPr>
                <w:sz w:val="22"/>
                <w:szCs w:val="22"/>
              </w:rPr>
              <w:t xml:space="preserve">House Building Loan </w:t>
            </w:r>
          </w:p>
        </w:tc>
        <w:tc>
          <w:tcPr>
            <w:tcW w:w="1077" w:type="dxa"/>
            <w:gridSpan w:val="3"/>
            <w:tcBorders>
              <w:top w:val="single" w:color="000000" w:sz="2" w:space="0"/>
              <w:left w:val="single" w:color="000000" w:sz="2" w:space="0"/>
              <w:bottom w:val="nil"/>
              <w:right w:val="nil"/>
            </w:tcBorders>
          </w:tcPr>
          <w:p w14:paraId="555F48A1">
            <w:pPr>
              <w:spacing w:after="160" w:line="259" w:lineRule="auto"/>
              <w:ind w:left="0" w:right="0" w:firstLine="0"/>
              <w:jc w:val="center"/>
              <w:rPr>
                <w:sz w:val="22"/>
                <w:szCs w:val="22"/>
              </w:rPr>
            </w:pPr>
          </w:p>
        </w:tc>
        <w:tc>
          <w:tcPr>
            <w:tcW w:w="3599" w:type="dxa"/>
            <w:gridSpan w:val="2"/>
            <w:tcBorders>
              <w:top w:val="single" w:color="000000" w:sz="2" w:space="0"/>
              <w:left w:val="nil"/>
              <w:bottom w:val="nil"/>
              <w:right w:val="single" w:color="000000" w:sz="2" w:space="0"/>
            </w:tcBorders>
          </w:tcPr>
          <w:p w14:paraId="4372380E">
            <w:pPr>
              <w:pStyle w:val="35"/>
              <w:numPr>
                <w:ilvl w:val="0"/>
                <w:numId w:val="24"/>
              </w:numPr>
              <w:spacing w:after="0" w:line="259" w:lineRule="auto"/>
              <w:ind w:right="0"/>
              <w:rPr>
                <w:sz w:val="22"/>
                <w:szCs w:val="22"/>
              </w:rPr>
            </w:pPr>
            <w:r>
              <w:rPr>
                <w:sz w:val="22"/>
                <w:szCs w:val="22"/>
              </w:rPr>
              <w:t>5 % interest rate</w:t>
            </w:r>
          </w:p>
        </w:tc>
      </w:tr>
      <w:tr w14:paraId="4C2B37A3">
        <w:tblPrEx>
          <w:tblCellMar>
            <w:top w:w="55" w:type="dxa"/>
            <w:left w:w="0" w:type="dxa"/>
            <w:bottom w:w="0" w:type="dxa"/>
            <w:right w:w="65" w:type="dxa"/>
          </w:tblCellMar>
        </w:tblPrEx>
        <w:trPr>
          <w:gridAfter w:val="1"/>
          <w:wAfter w:w="8" w:type="dxa"/>
          <w:trHeight w:val="818" w:hRule="atLeast"/>
        </w:trPr>
        <w:tc>
          <w:tcPr>
            <w:tcW w:w="4675" w:type="dxa"/>
            <w:gridSpan w:val="2"/>
            <w:tcBorders>
              <w:top w:val="nil"/>
              <w:left w:val="single" w:color="000000" w:sz="2" w:space="0"/>
              <w:bottom w:val="single" w:color="000000" w:sz="2" w:space="0"/>
              <w:right w:val="single" w:color="000000" w:sz="2" w:space="0"/>
            </w:tcBorders>
          </w:tcPr>
          <w:p w14:paraId="3A39791F">
            <w:pPr>
              <w:spacing w:after="160" w:line="259" w:lineRule="auto"/>
              <w:ind w:left="0" w:right="0" w:firstLine="0"/>
              <w:jc w:val="left"/>
              <w:rPr>
                <w:sz w:val="22"/>
                <w:szCs w:val="22"/>
              </w:rPr>
            </w:pPr>
          </w:p>
        </w:tc>
        <w:tc>
          <w:tcPr>
            <w:tcW w:w="1077" w:type="dxa"/>
            <w:gridSpan w:val="3"/>
            <w:tcBorders>
              <w:top w:val="nil"/>
              <w:left w:val="single" w:color="000000" w:sz="2" w:space="0"/>
              <w:bottom w:val="single" w:color="000000" w:sz="2" w:space="0"/>
              <w:right w:val="nil"/>
            </w:tcBorders>
          </w:tcPr>
          <w:p w14:paraId="49E8620B">
            <w:pPr>
              <w:pStyle w:val="35"/>
              <w:spacing w:after="0" w:line="259" w:lineRule="auto"/>
              <w:ind w:right="0" w:firstLine="0"/>
              <w:rPr>
                <w:sz w:val="22"/>
                <w:szCs w:val="22"/>
              </w:rPr>
            </w:pPr>
          </w:p>
        </w:tc>
        <w:tc>
          <w:tcPr>
            <w:tcW w:w="3599" w:type="dxa"/>
            <w:gridSpan w:val="2"/>
            <w:tcBorders>
              <w:top w:val="nil"/>
              <w:left w:val="nil"/>
              <w:bottom w:val="single" w:color="000000" w:sz="2" w:space="0"/>
              <w:right w:val="single" w:color="000000" w:sz="2" w:space="0"/>
            </w:tcBorders>
            <w:vAlign w:val="center"/>
          </w:tcPr>
          <w:p w14:paraId="73061A48">
            <w:pPr>
              <w:pStyle w:val="35"/>
              <w:numPr>
                <w:ilvl w:val="0"/>
                <w:numId w:val="24"/>
              </w:numPr>
              <w:spacing w:after="0" w:line="259" w:lineRule="auto"/>
              <w:ind w:right="0"/>
              <w:rPr>
                <w:sz w:val="22"/>
                <w:szCs w:val="22"/>
              </w:rPr>
            </w:pPr>
            <w:r>
              <w:rPr>
                <w:sz w:val="22"/>
                <w:szCs w:val="22"/>
              </w:rPr>
              <w:t>A minimum 10 years of service is required to be eligible</w:t>
            </w:r>
          </w:p>
        </w:tc>
      </w:tr>
      <w:tr w14:paraId="6CD4998F">
        <w:tblPrEx>
          <w:tblCellMar>
            <w:top w:w="55" w:type="dxa"/>
            <w:left w:w="0" w:type="dxa"/>
            <w:bottom w:w="0" w:type="dxa"/>
            <w:right w:w="65" w:type="dxa"/>
          </w:tblCellMar>
        </w:tblPrEx>
        <w:trPr>
          <w:gridBefore w:val="1"/>
          <w:wBefore w:w="8" w:type="dxa"/>
          <w:trHeight w:val="446" w:hRule="atLeast"/>
        </w:trPr>
        <w:tc>
          <w:tcPr>
            <w:tcW w:w="4675" w:type="dxa"/>
            <w:gridSpan w:val="2"/>
            <w:tcBorders>
              <w:top w:val="single" w:color="000000" w:sz="2" w:space="0"/>
              <w:left w:val="single" w:color="000000" w:sz="2" w:space="0"/>
              <w:bottom w:val="single" w:color="000000" w:sz="2" w:space="0"/>
              <w:right w:val="single" w:color="000000" w:sz="2" w:space="0"/>
            </w:tcBorders>
          </w:tcPr>
          <w:p w14:paraId="31024F3E">
            <w:pPr>
              <w:spacing w:after="0" w:line="259" w:lineRule="auto"/>
              <w:ind w:left="67" w:right="0" w:firstLine="0"/>
              <w:jc w:val="center"/>
              <w:rPr>
                <w:sz w:val="22"/>
                <w:szCs w:val="22"/>
              </w:rPr>
            </w:pPr>
            <w:r>
              <w:rPr>
                <w:sz w:val="22"/>
                <w:szCs w:val="22"/>
              </w:rPr>
              <w:t xml:space="preserve">Staff Car loan </w:t>
            </w:r>
          </w:p>
        </w:tc>
        <w:tc>
          <w:tcPr>
            <w:tcW w:w="1077" w:type="dxa"/>
            <w:gridSpan w:val="3"/>
            <w:tcBorders>
              <w:top w:val="single" w:color="000000" w:sz="2" w:space="0"/>
              <w:left w:val="single" w:color="000000" w:sz="2" w:space="0"/>
              <w:bottom w:val="single" w:color="000000" w:sz="2" w:space="0"/>
              <w:right w:val="nil"/>
            </w:tcBorders>
          </w:tcPr>
          <w:p w14:paraId="40A6CDFF">
            <w:pPr>
              <w:spacing w:after="160" w:line="259" w:lineRule="auto"/>
              <w:ind w:left="0" w:right="0" w:firstLine="0"/>
              <w:jc w:val="left"/>
              <w:rPr>
                <w:sz w:val="22"/>
                <w:szCs w:val="22"/>
              </w:rPr>
            </w:pPr>
          </w:p>
        </w:tc>
        <w:tc>
          <w:tcPr>
            <w:tcW w:w="3599" w:type="dxa"/>
            <w:gridSpan w:val="2"/>
            <w:tcBorders>
              <w:top w:val="single" w:color="000000" w:sz="2" w:space="0"/>
              <w:left w:val="nil"/>
              <w:bottom w:val="single" w:color="000000" w:sz="2" w:space="0"/>
              <w:right w:val="single" w:color="000000" w:sz="2" w:space="0"/>
            </w:tcBorders>
          </w:tcPr>
          <w:p w14:paraId="4B695E9A">
            <w:pPr>
              <w:pStyle w:val="35"/>
              <w:numPr>
                <w:ilvl w:val="0"/>
                <w:numId w:val="25"/>
              </w:numPr>
              <w:spacing w:after="0" w:line="259" w:lineRule="auto"/>
              <w:ind w:right="0"/>
              <w:jc w:val="left"/>
              <w:rPr>
                <w:sz w:val="22"/>
                <w:szCs w:val="22"/>
              </w:rPr>
            </w:pPr>
            <w:r>
              <w:rPr>
                <w:sz w:val="22"/>
                <w:szCs w:val="22"/>
              </w:rPr>
              <w:t xml:space="preserve">5% interest rate </w:t>
            </w:r>
          </w:p>
          <w:p w14:paraId="7477D2B8">
            <w:pPr>
              <w:pStyle w:val="35"/>
              <w:numPr>
                <w:ilvl w:val="0"/>
                <w:numId w:val="25"/>
              </w:numPr>
              <w:spacing w:after="0" w:line="259" w:lineRule="auto"/>
              <w:ind w:right="0"/>
              <w:jc w:val="left"/>
              <w:rPr>
                <w:sz w:val="22"/>
                <w:szCs w:val="22"/>
              </w:rPr>
            </w:pPr>
            <w:r>
              <w:rPr>
                <w:sz w:val="22"/>
                <w:szCs w:val="22"/>
              </w:rPr>
              <w:t xml:space="preserve">Only applicable for executive level </w:t>
            </w:r>
          </w:p>
          <w:p w14:paraId="5A398C9F">
            <w:pPr>
              <w:pStyle w:val="35"/>
              <w:numPr>
                <w:ilvl w:val="0"/>
                <w:numId w:val="25"/>
              </w:numPr>
              <w:spacing w:after="0" w:line="259" w:lineRule="auto"/>
              <w:ind w:right="0"/>
              <w:jc w:val="left"/>
              <w:rPr>
                <w:sz w:val="22"/>
                <w:szCs w:val="22"/>
              </w:rPr>
            </w:pPr>
            <w:r>
              <w:rPr>
                <w:sz w:val="22"/>
                <w:szCs w:val="22"/>
              </w:rPr>
              <w:t>bankers</w:t>
            </w:r>
          </w:p>
        </w:tc>
      </w:tr>
      <w:tr w14:paraId="3DF2DD1B">
        <w:tblPrEx>
          <w:tblCellMar>
            <w:top w:w="55" w:type="dxa"/>
            <w:left w:w="0" w:type="dxa"/>
            <w:bottom w:w="0" w:type="dxa"/>
            <w:right w:w="65" w:type="dxa"/>
          </w:tblCellMar>
        </w:tblPrEx>
        <w:trPr>
          <w:gridBefore w:val="1"/>
          <w:wBefore w:w="8" w:type="dxa"/>
          <w:trHeight w:val="872" w:hRule="atLeast"/>
        </w:trPr>
        <w:tc>
          <w:tcPr>
            <w:tcW w:w="4675" w:type="dxa"/>
            <w:gridSpan w:val="2"/>
            <w:tcBorders>
              <w:top w:val="single" w:color="000000" w:sz="2" w:space="0"/>
              <w:left w:val="single" w:color="000000" w:sz="2" w:space="0"/>
              <w:bottom w:val="single" w:color="000000" w:sz="2" w:space="0"/>
              <w:right w:val="single" w:color="000000" w:sz="2" w:space="0"/>
            </w:tcBorders>
          </w:tcPr>
          <w:p w14:paraId="2048508E">
            <w:pPr>
              <w:spacing w:after="0" w:line="259" w:lineRule="auto"/>
              <w:ind w:left="107" w:right="0" w:firstLine="0"/>
              <w:jc w:val="center"/>
              <w:rPr>
                <w:sz w:val="22"/>
                <w:szCs w:val="22"/>
              </w:rPr>
            </w:pPr>
            <w:r>
              <w:rPr>
                <w:sz w:val="22"/>
                <w:szCs w:val="22"/>
              </w:rPr>
              <w:t xml:space="preserve">Staff APL </w:t>
            </w:r>
          </w:p>
        </w:tc>
        <w:tc>
          <w:tcPr>
            <w:tcW w:w="1005" w:type="dxa"/>
            <w:tcBorders>
              <w:top w:val="single" w:color="000000" w:sz="2" w:space="0"/>
              <w:left w:val="single" w:color="000000" w:sz="2" w:space="0"/>
              <w:bottom w:val="single" w:color="000000" w:sz="2" w:space="0"/>
              <w:right w:val="nil"/>
            </w:tcBorders>
          </w:tcPr>
          <w:p w14:paraId="11472092">
            <w:pPr>
              <w:spacing w:after="160" w:line="259" w:lineRule="auto"/>
              <w:ind w:left="0" w:right="0" w:firstLine="0"/>
              <w:jc w:val="left"/>
              <w:rPr>
                <w:sz w:val="22"/>
                <w:szCs w:val="22"/>
              </w:rPr>
            </w:pPr>
          </w:p>
        </w:tc>
        <w:tc>
          <w:tcPr>
            <w:tcW w:w="3671" w:type="dxa"/>
            <w:gridSpan w:val="4"/>
            <w:tcBorders>
              <w:top w:val="single" w:color="000000" w:sz="2" w:space="0"/>
              <w:left w:val="nil"/>
              <w:bottom w:val="single" w:color="000000" w:sz="2" w:space="0"/>
              <w:right w:val="single" w:color="000000" w:sz="2" w:space="0"/>
            </w:tcBorders>
          </w:tcPr>
          <w:p w14:paraId="70B9315D">
            <w:pPr>
              <w:numPr>
                <w:ilvl w:val="0"/>
                <w:numId w:val="26"/>
              </w:numPr>
              <w:spacing w:after="141" w:line="259" w:lineRule="auto"/>
              <w:ind w:right="0" w:hanging="360"/>
              <w:jc w:val="left"/>
              <w:rPr>
                <w:sz w:val="22"/>
                <w:szCs w:val="22"/>
              </w:rPr>
            </w:pPr>
            <w:r>
              <w:rPr>
                <w:sz w:val="22"/>
                <w:szCs w:val="22"/>
              </w:rPr>
              <w:t xml:space="preserve">8% interest rate </w:t>
            </w:r>
          </w:p>
          <w:p w14:paraId="0BA7C30F">
            <w:pPr>
              <w:numPr>
                <w:ilvl w:val="0"/>
                <w:numId w:val="26"/>
              </w:numPr>
              <w:spacing w:after="0" w:line="259" w:lineRule="auto"/>
              <w:ind w:right="0" w:hanging="360"/>
              <w:jc w:val="left"/>
              <w:rPr>
                <w:sz w:val="22"/>
                <w:szCs w:val="22"/>
              </w:rPr>
            </w:pPr>
            <w:r>
              <w:rPr>
                <w:sz w:val="22"/>
                <w:szCs w:val="22"/>
              </w:rPr>
              <w:t xml:space="preserve">Assistant Officer and above </w:t>
            </w:r>
          </w:p>
        </w:tc>
      </w:tr>
    </w:tbl>
    <w:p w14:paraId="291939AA">
      <w:pPr>
        <w:spacing w:after="273" w:line="259" w:lineRule="auto"/>
        <w:ind w:left="0" w:right="0" w:firstLine="0"/>
        <w:jc w:val="left"/>
        <w:rPr>
          <w:sz w:val="22"/>
          <w:szCs w:val="22"/>
        </w:rPr>
      </w:pPr>
      <w:r>
        <w:rPr>
          <w:sz w:val="22"/>
          <w:szCs w:val="22"/>
        </w:rPr>
        <w:t xml:space="preserve"> </w:t>
      </w:r>
    </w:p>
    <w:p w14:paraId="20F3DA6F">
      <w:pPr>
        <w:ind w:left="-5" w:right="9"/>
        <w:rPr>
          <w:sz w:val="22"/>
          <w:szCs w:val="22"/>
        </w:rPr>
      </w:pPr>
      <w:r>
        <w:rPr>
          <w:b/>
          <w:sz w:val="22"/>
          <w:szCs w:val="22"/>
        </w:rPr>
        <w:t xml:space="preserve">Group Term Life Insurance: </w:t>
      </w:r>
      <w:r>
        <w:rPr>
          <w:sz w:val="22"/>
          <w:szCs w:val="22"/>
        </w:rPr>
        <w:t>By working with Astha Life Insurance Limited, a sister company of the Army Welfare Trust, Trust Bank PLC has made group term life insurance available to bankers for the benefit of the entire staff.  Educating bankers on insurance terms, plans, coverage, premiums, and claims is a special responsibility of the Compensation &amp; Benefits team in order for the bankers to effectively use this financial instrument, HR managers also assist them by accurately communicating beneficiary nominations to them.  Long-term satisfaction and well-being are thus experienced by bankers as the Compensation and Benefits team provides financial stability for both the bankers and their loved ones.</w:t>
      </w:r>
    </w:p>
    <w:p w14:paraId="6FC0E2A5">
      <w:pPr>
        <w:ind w:left="-5" w:right="9"/>
        <w:rPr>
          <w:sz w:val="22"/>
          <w:szCs w:val="22"/>
        </w:rPr>
      </w:pPr>
      <w:r>
        <w:rPr>
          <w:b/>
          <w:sz w:val="22"/>
          <w:szCs w:val="22"/>
        </w:rPr>
        <w:t xml:space="preserve">Bonus Calculation &amp; Disbursement: </w:t>
      </w:r>
      <w:r>
        <w:rPr>
          <w:sz w:val="22"/>
          <w:szCs w:val="22"/>
        </w:rPr>
        <w:t xml:space="preserve">Bonuses are a key component in keeping staff engaged, and giving them out on schedule keeps them extremely happy and preserves a good reputation for Trust Bank PLC.  The managers of compensation and benefits have a big say in how bonuses are calculated and distributed, including raises and festival bonuses.  Therefore, HR managers carefully examine performance reviews and employ techniques to ascertain whether the bankers achieved the strategic goals in order to calculate and distribute bonuses in a fair and transparent manner. This allows for the determination of each banker's eligibility for bonuses. </w:t>
      </w:r>
      <w:r>
        <w:rPr>
          <w:color w:val="0E101A"/>
          <w:sz w:val="22"/>
          <w:szCs w:val="22"/>
        </w:rPr>
        <w:t xml:space="preserve">In order to correctly distribute cash, the team also collaborates with the payroll and finance departments.  Bonus and increment programs have their own structure inside Trust Bank PLC's HRD.  They are listed below. </w:t>
      </w:r>
    </w:p>
    <w:p w14:paraId="55C3D976">
      <w:pPr>
        <w:spacing w:after="110" w:line="259" w:lineRule="auto"/>
        <w:ind w:right="0"/>
        <w:jc w:val="left"/>
        <w:rPr>
          <w:sz w:val="22"/>
          <w:szCs w:val="22"/>
        </w:rPr>
      </w:pPr>
      <w:r>
        <w:rPr>
          <w:b/>
          <w:color w:val="0E101A"/>
          <w:sz w:val="22"/>
          <w:szCs w:val="22"/>
        </w:rPr>
        <w:t>Increment</w:t>
      </w:r>
      <w:r>
        <w:rPr>
          <w:color w:val="0E101A"/>
          <w:sz w:val="22"/>
          <w:szCs w:val="22"/>
        </w:rPr>
        <w:t xml:space="preserve"> </w:t>
      </w:r>
    </w:p>
    <w:p w14:paraId="557A7814">
      <w:pPr>
        <w:spacing w:after="3"/>
        <w:ind w:left="-5" w:right="5"/>
        <w:rPr>
          <w:sz w:val="22"/>
          <w:szCs w:val="22"/>
        </w:rPr>
      </w:pPr>
      <w:r>
        <w:rPr>
          <w:color w:val="0E101A"/>
          <w:sz w:val="22"/>
          <w:szCs w:val="22"/>
        </w:rPr>
        <w:t xml:space="preserve">The increment system of Trust Bank PLC becomes activated from 1st July each year. The Compensation and Benefits team depends on two types of increment systems. </w:t>
      </w:r>
    </w:p>
    <w:p w14:paraId="565D8CE7">
      <w:pPr>
        <w:numPr>
          <w:ilvl w:val="0"/>
          <w:numId w:val="27"/>
        </w:numPr>
        <w:spacing w:after="139" w:line="259" w:lineRule="auto"/>
        <w:ind w:right="5" w:hanging="360"/>
        <w:rPr>
          <w:sz w:val="22"/>
          <w:szCs w:val="22"/>
        </w:rPr>
      </w:pPr>
      <w:r>
        <w:rPr>
          <w:color w:val="0E101A"/>
          <w:sz w:val="22"/>
          <w:szCs w:val="22"/>
        </w:rPr>
        <w:t xml:space="preserve">Cost of Living Adjustment (COLA) </w:t>
      </w:r>
    </w:p>
    <w:p w14:paraId="5DF35A80">
      <w:pPr>
        <w:numPr>
          <w:ilvl w:val="0"/>
          <w:numId w:val="27"/>
        </w:numPr>
        <w:spacing w:after="3" w:line="259" w:lineRule="auto"/>
        <w:ind w:right="5" w:hanging="360"/>
        <w:rPr>
          <w:sz w:val="22"/>
          <w:szCs w:val="22"/>
        </w:rPr>
      </w:pPr>
      <w:r>
        <w:rPr>
          <w:color w:val="0E101A"/>
          <w:sz w:val="22"/>
          <w:szCs w:val="22"/>
        </w:rPr>
        <w:t xml:space="preserve">Merit Increment </w:t>
      </w:r>
    </w:p>
    <w:p w14:paraId="787B05A0">
      <w:pPr>
        <w:spacing w:after="3"/>
        <w:ind w:left="-5" w:right="5"/>
        <w:rPr>
          <w:color w:val="0E101A"/>
          <w:sz w:val="22"/>
          <w:szCs w:val="22"/>
        </w:rPr>
      </w:pPr>
    </w:p>
    <w:p w14:paraId="4B36C45A">
      <w:pPr>
        <w:spacing w:after="124" w:line="259" w:lineRule="auto"/>
        <w:ind w:left="0" w:right="0" w:firstLine="0"/>
        <w:jc w:val="left"/>
        <w:rPr>
          <w:sz w:val="22"/>
          <w:szCs w:val="22"/>
        </w:rPr>
      </w:pPr>
      <w:r>
        <w:rPr>
          <w:color w:val="0E101A"/>
          <w:sz w:val="22"/>
          <w:szCs w:val="22"/>
        </w:rPr>
        <w:t xml:space="preserve">To be eligible for COLA, which modifies every variable of the pay structure, a banker must verify that they have worked for at least 180 days.  Merit increments, on the other hand, are based on the Annual Performance Appraisal rating and solely alter the base pay and housing allowance. </w:t>
      </w:r>
    </w:p>
    <w:p w14:paraId="2738F9BE">
      <w:pPr>
        <w:spacing w:after="110" w:line="259" w:lineRule="auto"/>
        <w:ind w:right="0"/>
        <w:jc w:val="left"/>
        <w:rPr>
          <w:b/>
          <w:color w:val="0E101A"/>
          <w:sz w:val="22"/>
          <w:szCs w:val="22"/>
        </w:rPr>
      </w:pPr>
    </w:p>
    <w:p w14:paraId="0F17A0A4">
      <w:pPr>
        <w:spacing w:after="110" w:line="259" w:lineRule="auto"/>
        <w:ind w:right="0"/>
        <w:jc w:val="left"/>
        <w:rPr>
          <w:sz w:val="22"/>
          <w:szCs w:val="22"/>
        </w:rPr>
      </w:pPr>
      <w:r>
        <w:rPr>
          <w:b/>
          <w:color w:val="0E101A"/>
          <w:sz w:val="22"/>
          <w:szCs w:val="22"/>
        </w:rPr>
        <w:t>Bonus</w:t>
      </w:r>
      <w:r>
        <w:rPr>
          <w:color w:val="0E101A"/>
          <w:sz w:val="22"/>
          <w:szCs w:val="22"/>
        </w:rPr>
        <w:t xml:space="preserve"> </w:t>
      </w:r>
    </w:p>
    <w:p w14:paraId="779C1F2C">
      <w:pPr>
        <w:spacing w:after="3"/>
        <w:ind w:right="5"/>
        <w:rPr>
          <w:color w:val="0E101A"/>
          <w:sz w:val="22"/>
          <w:szCs w:val="22"/>
        </w:rPr>
      </w:pPr>
      <w:r>
        <w:rPr>
          <w:color w:val="0E101A"/>
          <w:sz w:val="22"/>
          <w:szCs w:val="22"/>
        </w:rPr>
        <w:t>In addition to one month's basic income, festival bonuses are given out on Eid-ul-Fitr and Eid-ul-Azha. Additionally, in honor of Pahela Baishakh, 20% of the monthly basic salary is being paid out. Additionally, the bankers receive performance bonuses when the board of directors announces retained earnings, which are determined by the Annual Performance Appraisal rating; however, each performance year requires a minimum of 180 days of service.</w:t>
      </w:r>
    </w:p>
    <w:p w14:paraId="2D2A724A">
      <w:pPr>
        <w:rPr>
          <w:sz w:val="22"/>
          <w:szCs w:val="22"/>
        </w:rPr>
      </w:pPr>
    </w:p>
    <w:p w14:paraId="506F58A0">
      <w:pPr>
        <w:pStyle w:val="3"/>
        <w:rPr>
          <w:rFonts w:ascii="Times New Roman" w:hAnsi="Times New Roman" w:cs="Times New Roman"/>
        </w:rPr>
      </w:pPr>
      <w:bookmarkStart w:id="42" w:name="_Toc204820980"/>
      <w:r>
        <w:rPr>
          <w:rFonts w:ascii="Times New Roman" w:hAnsi="Times New Roman" w:cs="Times New Roman"/>
        </w:rPr>
        <w:t>4.5 Attendance and Punctuality</w:t>
      </w:r>
      <w:bookmarkEnd w:id="42"/>
    </w:p>
    <w:p w14:paraId="5AA7C080">
      <w:pPr>
        <w:spacing w:after="15" w:line="247" w:lineRule="auto"/>
        <w:ind w:right="14" w:firstLine="0"/>
        <w:rPr>
          <w:sz w:val="22"/>
          <w:szCs w:val="22"/>
        </w:rPr>
      </w:pPr>
      <w:r>
        <w:rPr>
          <w:sz w:val="22"/>
          <w:szCs w:val="22"/>
        </w:rPr>
        <w:t xml:space="preserve">It is the responsibility of all employees to ensure </w:t>
      </w:r>
      <w:r>
        <w:rPr>
          <w:bCs/>
          <w:sz w:val="22"/>
          <w:szCs w:val="22"/>
        </w:rPr>
        <w:t>timely attendance</w:t>
      </w:r>
      <w:r>
        <w:rPr>
          <w:b/>
          <w:sz w:val="22"/>
          <w:szCs w:val="22"/>
        </w:rPr>
        <w:t xml:space="preserve"> </w:t>
      </w:r>
      <w:r>
        <w:rPr>
          <w:sz w:val="22"/>
          <w:szCs w:val="22"/>
        </w:rPr>
        <w:t>during office hours. An attendance register for this purpose is maintained at all of the Bank’s Branch/Offices. When an employee enters or leaves the office they must punch in their ID card. It records their attendance for the day. It also records time when are they entering the office and when they are leaving. They must also log in to their computer as soon they arrive because the software also records the time which shows when they are actually starting their work.</w:t>
      </w:r>
    </w:p>
    <w:p w14:paraId="7090C830">
      <w:pPr>
        <w:spacing w:after="15" w:line="247" w:lineRule="auto"/>
        <w:ind w:right="14"/>
        <w:rPr>
          <w:sz w:val="22"/>
          <w:szCs w:val="22"/>
        </w:rPr>
      </w:pPr>
      <w:r>
        <w:rPr>
          <w:sz w:val="22"/>
          <w:szCs w:val="22"/>
        </w:rPr>
        <w:t xml:space="preserve">The working hours of the Bank is </w:t>
      </w:r>
      <w:r>
        <w:rPr>
          <w:bCs/>
          <w:sz w:val="22"/>
          <w:szCs w:val="22"/>
        </w:rPr>
        <w:t>Minimum 40 hours per week</w:t>
      </w:r>
      <w:r>
        <w:rPr>
          <w:sz w:val="22"/>
          <w:szCs w:val="22"/>
        </w:rPr>
        <w:t xml:space="preserve">.  </w:t>
      </w:r>
    </w:p>
    <w:p w14:paraId="7D5CC388">
      <w:pPr>
        <w:spacing w:after="15" w:line="247" w:lineRule="auto"/>
        <w:ind w:right="14"/>
        <w:rPr>
          <w:bCs/>
          <w:sz w:val="22"/>
          <w:szCs w:val="22"/>
        </w:rPr>
      </w:pPr>
      <w:r>
        <w:rPr>
          <w:sz w:val="22"/>
          <w:szCs w:val="22"/>
        </w:rPr>
        <w:t>The normal working hours are from</w:t>
      </w:r>
      <w:r>
        <w:rPr>
          <w:bCs/>
          <w:sz w:val="22"/>
          <w:szCs w:val="22"/>
        </w:rPr>
        <w:t xml:space="preserve"> 10:00 a.m. to 6:00 p.m. from Sunday through Thursday. They must enter before 10:03. Any employee failed to do so will get and official email and they are expected to give proper reasoning for being late. </w:t>
      </w:r>
      <w:r>
        <w:rPr>
          <w:rFonts w:eastAsia="Arial"/>
          <w:bCs/>
          <w:sz w:val="22"/>
          <w:szCs w:val="22"/>
        </w:rPr>
        <w:t xml:space="preserve">Every employee gets </w:t>
      </w:r>
      <w:r>
        <w:rPr>
          <w:bCs/>
          <w:sz w:val="22"/>
          <w:szCs w:val="22"/>
        </w:rPr>
        <w:t>an hour break for lunch and prayer.</w:t>
      </w:r>
    </w:p>
    <w:p w14:paraId="6AC64066">
      <w:pPr>
        <w:spacing w:after="15" w:line="247" w:lineRule="auto"/>
        <w:ind w:right="14"/>
        <w:rPr>
          <w:bCs/>
          <w:sz w:val="22"/>
          <w:szCs w:val="22"/>
        </w:rPr>
      </w:pPr>
      <w:r>
        <w:rPr>
          <w:bCs/>
          <w:sz w:val="22"/>
          <w:szCs w:val="22"/>
        </w:rPr>
        <w:t xml:space="preserve"> An employee is expected to work the above schedule as well as additional hours, if required, to achieve personal and the Bank’s objectives. Time to time working hours may also be directed / decided by the regulatory body for normal and during Ramadan or special holidays as well.  </w:t>
      </w:r>
    </w:p>
    <w:p w14:paraId="38D215A0">
      <w:pPr>
        <w:spacing w:after="3"/>
        <w:ind w:right="5"/>
        <w:rPr>
          <w:sz w:val="22"/>
          <w:szCs w:val="22"/>
        </w:rPr>
      </w:pPr>
    </w:p>
    <w:p w14:paraId="00D1E083">
      <w:pPr>
        <w:pStyle w:val="3"/>
        <w:rPr>
          <w:rFonts w:ascii="Times New Roman" w:hAnsi="Times New Roman" w:cs="Times New Roman"/>
        </w:rPr>
      </w:pPr>
      <w:bookmarkStart w:id="43" w:name="_Toc204820981"/>
      <w:r>
        <w:rPr>
          <w:rFonts w:ascii="Times New Roman" w:hAnsi="Times New Roman" w:cs="Times New Roman"/>
        </w:rPr>
        <w:t>4.6 Leave Management Policy</w:t>
      </w:r>
      <w:bookmarkEnd w:id="43"/>
    </w:p>
    <w:p w14:paraId="2A63291C">
      <w:pPr>
        <w:spacing w:after="5" w:line="249" w:lineRule="auto"/>
        <w:ind w:right="14" w:firstLine="0"/>
        <w:rPr>
          <w:bCs/>
          <w:sz w:val="22"/>
          <w:szCs w:val="22"/>
        </w:rPr>
      </w:pPr>
      <w:r>
        <w:rPr>
          <w:bCs/>
          <w:sz w:val="22"/>
          <w:szCs w:val="22"/>
        </w:rPr>
        <w:t xml:space="preserve">Like many institutions, Trust Bank Ltd. provides a variety of leave options.  Earned leave, casual leave, sick leave, mandatory leave, and maternity leave are some of the leave categories to which employees are eligible. </w:t>
      </w:r>
    </w:p>
    <w:p w14:paraId="35238B09">
      <w:pPr>
        <w:spacing w:after="5" w:line="249" w:lineRule="auto"/>
        <w:ind w:right="14" w:firstLine="0"/>
        <w:rPr>
          <w:bCs/>
          <w:sz w:val="22"/>
          <w:szCs w:val="22"/>
        </w:rPr>
      </w:pPr>
      <w:r>
        <w:rPr>
          <w:bCs/>
          <w:sz w:val="22"/>
          <w:szCs w:val="22"/>
        </w:rPr>
        <w:t xml:space="preserve"> However, the leaves of the other kinds are not theirs, and the Bank has the authority to approve or disapprove them. The Managing Director or his designated representative (who has the Managing Director's delegation) may grant leave admissible under these rules, but the Bank will retain the authority </w:t>
      </w:r>
    </w:p>
    <w:p w14:paraId="425382B0">
      <w:pPr>
        <w:spacing w:after="5" w:line="249" w:lineRule="auto"/>
        <w:ind w:right="14" w:firstLine="0"/>
        <w:rPr>
          <w:bCs/>
          <w:sz w:val="22"/>
          <w:szCs w:val="22"/>
        </w:rPr>
      </w:pPr>
      <w:r>
        <w:rPr>
          <w:bCs/>
          <w:sz w:val="22"/>
          <w:szCs w:val="22"/>
        </w:rPr>
        <w:t>to allow or disallow Earned Leave at any given time. The Managing Director may refuse leave, grant leave for a shorter period than requested, revoke leave of any kind, or recall an employee before the lease expires.</w:t>
      </w:r>
    </w:p>
    <w:p w14:paraId="7714F06E">
      <w:pPr>
        <w:spacing w:after="5" w:line="249" w:lineRule="auto"/>
        <w:ind w:right="14" w:firstLine="0"/>
        <w:rPr>
          <w:b/>
          <w:sz w:val="22"/>
          <w:szCs w:val="22"/>
        </w:rPr>
      </w:pPr>
    </w:p>
    <w:p w14:paraId="69A44D34">
      <w:pPr>
        <w:spacing w:before="100" w:beforeAutospacing="1" w:after="100" w:afterAutospacing="1" w:line="240" w:lineRule="auto"/>
        <w:ind w:left="0" w:right="0" w:firstLine="0"/>
        <w:jc w:val="left"/>
        <w:rPr>
          <w:color w:val="auto"/>
          <w:kern w:val="0"/>
          <w14:ligatures w14:val="none"/>
        </w:rPr>
      </w:pPr>
      <w:r>
        <w:rPr>
          <w:color w:val="auto"/>
          <w:kern w:val="0"/>
          <w14:ligatures w14:val="none"/>
        </w:rPr>
        <w:t xml:space="preserve"> </w:t>
      </w:r>
      <w:r>
        <w:rPr>
          <w:b/>
          <w:bCs/>
          <w:color w:val="auto"/>
          <w:kern w:val="0"/>
          <w14:ligatures w14:val="none"/>
        </w:rPr>
        <w:t>Leave Types and Policies</w:t>
      </w:r>
      <w:r>
        <w:rPr>
          <w:color w:val="auto"/>
          <w:kern w:val="0"/>
          <w14:ligatures w14:val="none"/>
        </w:rPr>
        <w:t xml:space="preserve"> at Trust Bank PLC:</w:t>
      </w:r>
    </w:p>
    <w:tbl>
      <w:tblPr>
        <w:tblStyle w:val="12"/>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647"/>
        <w:gridCol w:w="2176"/>
        <w:gridCol w:w="2062"/>
        <w:gridCol w:w="1550"/>
        <w:gridCol w:w="2035"/>
      </w:tblGrid>
      <w:tr w14:paraId="34A1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trPr>
        <w:tc>
          <w:tcPr>
            <w:tcW w:w="0" w:type="auto"/>
            <w:vAlign w:val="center"/>
          </w:tcPr>
          <w:p w14:paraId="5F32AE83">
            <w:pPr>
              <w:spacing w:after="0" w:line="240" w:lineRule="auto"/>
              <w:ind w:left="0" w:right="0" w:firstLine="0"/>
              <w:jc w:val="center"/>
              <w:rPr>
                <w:b/>
                <w:bCs/>
                <w:color w:val="auto"/>
                <w:kern w:val="0"/>
                <w14:ligatures w14:val="none"/>
              </w:rPr>
            </w:pPr>
            <w:r>
              <w:rPr>
                <w:b/>
                <w:bCs/>
                <w:color w:val="auto"/>
                <w:kern w:val="0"/>
                <w14:ligatures w14:val="none"/>
              </w:rPr>
              <w:t>Leave Type</w:t>
            </w:r>
          </w:p>
        </w:tc>
        <w:tc>
          <w:tcPr>
            <w:tcW w:w="0" w:type="auto"/>
            <w:vAlign w:val="center"/>
          </w:tcPr>
          <w:p w14:paraId="365DC3A3">
            <w:pPr>
              <w:spacing w:after="0" w:line="240" w:lineRule="auto"/>
              <w:ind w:left="0" w:right="0" w:firstLine="0"/>
              <w:jc w:val="center"/>
              <w:rPr>
                <w:b/>
                <w:bCs/>
                <w:color w:val="auto"/>
                <w:kern w:val="0"/>
                <w14:ligatures w14:val="none"/>
              </w:rPr>
            </w:pPr>
            <w:r>
              <w:rPr>
                <w:b/>
                <w:bCs/>
                <w:color w:val="auto"/>
                <w:kern w:val="0"/>
                <w14:ligatures w14:val="none"/>
              </w:rPr>
              <w:t>Eligibility</w:t>
            </w:r>
          </w:p>
        </w:tc>
        <w:tc>
          <w:tcPr>
            <w:tcW w:w="0" w:type="auto"/>
            <w:vAlign w:val="center"/>
          </w:tcPr>
          <w:p w14:paraId="46271B35">
            <w:pPr>
              <w:spacing w:after="0" w:line="240" w:lineRule="auto"/>
              <w:ind w:left="0" w:right="0" w:firstLine="0"/>
              <w:jc w:val="center"/>
              <w:rPr>
                <w:b/>
                <w:bCs/>
                <w:color w:val="auto"/>
                <w:kern w:val="0"/>
                <w14:ligatures w14:val="none"/>
              </w:rPr>
            </w:pPr>
            <w:r>
              <w:rPr>
                <w:b/>
                <w:bCs/>
                <w:color w:val="auto"/>
                <w:kern w:val="0"/>
                <w14:ligatures w14:val="none"/>
              </w:rPr>
              <w:t>Duration/Limit</w:t>
            </w:r>
          </w:p>
        </w:tc>
        <w:tc>
          <w:tcPr>
            <w:tcW w:w="0" w:type="auto"/>
            <w:vAlign w:val="center"/>
          </w:tcPr>
          <w:p w14:paraId="654B95AC">
            <w:pPr>
              <w:spacing w:after="0" w:line="240" w:lineRule="auto"/>
              <w:ind w:left="0" w:right="0" w:firstLine="0"/>
              <w:jc w:val="center"/>
              <w:rPr>
                <w:b/>
                <w:bCs/>
                <w:color w:val="auto"/>
                <w:kern w:val="0"/>
                <w14:ligatures w14:val="none"/>
              </w:rPr>
            </w:pPr>
            <w:r>
              <w:rPr>
                <w:b/>
                <w:bCs/>
                <w:color w:val="auto"/>
                <w:kern w:val="0"/>
                <w14:ligatures w14:val="none"/>
              </w:rPr>
              <w:t>Encashable</w:t>
            </w:r>
          </w:p>
        </w:tc>
        <w:tc>
          <w:tcPr>
            <w:tcW w:w="0" w:type="auto"/>
            <w:vAlign w:val="center"/>
          </w:tcPr>
          <w:p w14:paraId="1FB9C406">
            <w:pPr>
              <w:spacing w:after="0" w:line="240" w:lineRule="auto"/>
              <w:ind w:left="0" w:right="0" w:firstLine="0"/>
              <w:jc w:val="center"/>
              <w:rPr>
                <w:b/>
                <w:bCs/>
                <w:color w:val="auto"/>
                <w:kern w:val="0"/>
                <w14:ligatures w14:val="none"/>
              </w:rPr>
            </w:pPr>
            <w:r>
              <w:rPr>
                <w:b/>
                <w:bCs/>
                <w:color w:val="auto"/>
                <w:kern w:val="0"/>
                <w14:ligatures w14:val="none"/>
              </w:rPr>
              <w:t>Special Notes</w:t>
            </w:r>
          </w:p>
        </w:tc>
      </w:tr>
      <w:tr w14:paraId="4989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03B821B">
            <w:pPr>
              <w:spacing w:after="0" w:line="240" w:lineRule="auto"/>
              <w:ind w:left="0" w:right="0" w:firstLine="0"/>
              <w:jc w:val="left"/>
              <w:rPr>
                <w:color w:val="auto"/>
                <w:kern w:val="0"/>
                <w14:ligatures w14:val="none"/>
              </w:rPr>
            </w:pPr>
            <w:r>
              <w:rPr>
                <w:color w:val="auto"/>
                <w:kern w:val="0"/>
                <w14:ligatures w14:val="none"/>
              </w:rPr>
              <w:t>Earned Leave (EL)</w:t>
            </w:r>
          </w:p>
        </w:tc>
        <w:tc>
          <w:tcPr>
            <w:tcW w:w="0" w:type="auto"/>
            <w:vAlign w:val="center"/>
          </w:tcPr>
          <w:p w14:paraId="45FB2185">
            <w:pPr>
              <w:spacing w:after="0" w:line="240" w:lineRule="auto"/>
              <w:ind w:left="0" w:right="0" w:firstLine="0"/>
              <w:jc w:val="left"/>
              <w:rPr>
                <w:color w:val="auto"/>
                <w:kern w:val="0"/>
                <w14:ligatures w14:val="none"/>
              </w:rPr>
            </w:pPr>
            <w:r>
              <w:rPr>
                <w:color w:val="auto"/>
                <w:kern w:val="0"/>
                <w14:ligatures w14:val="none"/>
              </w:rPr>
              <w:t>Confirmed employee after 1 year; pro rata before</w:t>
            </w:r>
          </w:p>
        </w:tc>
        <w:tc>
          <w:tcPr>
            <w:tcW w:w="0" w:type="auto"/>
            <w:vAlign w:val="center"/>
          </w:tcPr>
          <w:p w14:paraId="4E41D1BE">
            <w:pPr>
              <w:spacing w:after="0" w:line="240" w:lineRule="auto"/>
              <w:ind w:left="0" w:right="0" w:firstLine="0"/>
              <w:jc w:val="left"/>
              <w:rPr>
                <w:color w:val="auto"/>
                <w:kern w:val="0"/>
                <w14:ligatures w14:val="none"/>
              </w:rPr>
            </w:pPr>
            <w:r>
              <w:rPr>
                <w:color w:val="auto"/>
                <w:kern w:val="0"/>
                <w14:ligatures w14:val="none"/>
              </w:rPr>
              <w:t>30 days/year; max 70 days accumulation</w:t>
            </w:r>
          </w:p>
        </w:tc>
        <w:tc>
          <w:tcPr>
            <w:tcW w:w="0" w:type="auto"/>
            <w:vAlign w:val="center"/>
          </w:tcPr>
          <w:p w14:paraId="4E184B7A">
            <w:pPr>
              <w:spacing w:after="0" w:line="240" w:lineRule="auto"/>
              <w:ind w:left="0" w:right="0" w:firstLine="0"/>
              <w:jc w:val="left"/>
              <w:rPr>
                <w:color w:val="auto"/>
                <w:kern w:val="0"/>
                <w14:ligatures w14:val="none"/>
              </w:rPr>
            </w:pPr>
            <w:r>
              <w:rPr>
                <w:color w:val="auto"/>
                <w:kern w:val="0"/>
                <w14:ligatures w14:val="none"/>
              </w:rPr>
              <w:t>Yes (on separation), up to 70 days</w:t>
            </w:r>
          </w:p>
        </w:tc>
        <w:tc>
          <w:tcPr>
            <w:tcW w:w="0" w:type="auto"/>
            <w:vAlign w:val="center"/>
          </w:tcPr>
          <w:p w14:paraId="15145EEA">
            <w:pPr>
              <w:spacing w:after="0" w:line="240" w:lineRule="auto"/>
              <w:ind w:left="0" w:right="0" w:firstLine="0"/>
              <w:jc w:val="left"/>
              <w:rPr>
                <w:color w:val="auto"/>
                <w:kern w:val="0"/>
                <w14:ligatures w14:val="none"/>
              </w:rPr>
            </w:pPr>
            <w:r>
              <w:rPr>
                <w:color w:val="auto"/>
                <w:kern w:val="0"/>
                <w14:ligatures w14:val="none"/>
              </w:rPr>
              <w:t>Carried forward up to 20 days/year; leave in 10-day blocks</w:t>
            </w:r>
          </w:p>
        </w:tc>
      </w:tr>
      <w:tr w14:paraId="3841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CE6B258">
            <w:pPr>
              <w:spacing w:after="0" w:line="240" w:lineRule="auto"/>
              <w:ind w:left="0" w:right="0" w:firstLine="0"/>
              <w:jc w:val="left"/>
              <w:rPr>
                <w:color w:val="auto"/>
                <w:kern w:val="0"/>
                <w14:ligatures w14:val="none"/>
              </w:rPr>
            </w:pPr>
            <w:r>
              <w:rPr>
                <w:color w:val="auto"/>
                <w:kern w:val="0"/>
                <w14:ligatures w14:val="none"/>
              </w:rPr>
              <w:t>Casual Leave</w:t>
            </w:r>
          </w:p>
        </w:tc>
        <w:tc>
          <w:tcPr>
            <w:tcW w:w="0" w:type="auto"/>
            <w:vAlign w:val="center"/>
          </w:tcPr>
          <w:p w14:paraId="4954C351">
            <w:pPr>
              <w:spacing w:after="0" w:line="240" w:lineRule="auto"/>
              <w:ind w:left="0" w:right="0" w:firstLine="0"/>
              <w:jc w:val="left"/>
              <w:rPr>
                <w:color w:val="auto"/>
                <w:kern w:val="0"/>
                <w14:ligatures w14:val="none"/>
              </w:rPr>
            </w:pPr>
            <w:r>
              <w:rPr>
                <w:color w:val="auto"/>
                <w:kern w:val="0"/>
                <w14:ligatures w14:val="none"/>
              </w:rPr>
              <w:t>All employees</w:t>
            </w:r>
          </w:p>
        </w:tc>
        <w:tc>
          <w:tcPr>
            <w:tcW w:w="0" w:type="auto"/>
            <w:vAlign w:val="center"/>
          </w:tcPr>
          <w:p w14:paraId="53D5E31A">
            <w:pPr>
              <w:spacing w:after="0" w:line="240" w:lineRule="auto"/>
              <w:ind w:left="0" w:right="0" w:firstLine="0"/>
              <w:jc w:val="left"/>
              <w:rPr>
                <w:color w:val="auto"/>
                <w:kern w:val="0"/>
                <w14:ligatures w14:val="none"/>
              </w:rPr>
            </w:pPr>
            <w:r>
              <w:rPr>
                <w:color w:val="auto"/>
                <w:kern w:val="0"/>
                <w14:ligatures w14:val="none"/>
              </w:rPr>
              <w:t>10 days/year; max 3 days at a time</w:t>
            </w:r>
          </w:p>
        </w:tc>
        <w:tc>
          <w:tcPr>
            <w:tcW w:w="0" w:type="auto"/>
            <w:vAlign w:val="center"/>
          </w:tcPr>
          <w:p w14:paraId="4F762CC5">
            <w:pPr>
              <w:spacing w:after="0" w:line="240" w:lineRule="auto"/>
              <w:ind w:left="0" w:right="0" w:firstLine="0"/>
              <w:jc w:val="left"/>
              <w:rPr>
                <w:color w:val="auto"/>
                <w:kern w:val="0"/>
                <w14:ligatures w14:val="none"/>
              </w:rPr>
            </w:pPr>
            <w:r>
              <w:rPr>
                <w:color w:val="auto"/>
                <w:kern w:val="0"/>
                <w14:ligatures w14:val="none"/>
              </w:rPr>
              <w:t>No</w:t>
            </w:r>
          </w:p>
        </w:tc>
        <w:tc>
          <w:tcPr>
            <w:tcW w:w="0" w:type="auto"/>
            <w:vAlign w:val="center"/>
          </w:tcPr>
          <w:p w14:paraId="03A0509F">
            <w:pPr>
              <w:spacing w:after="0" w:line="240" w:lineRule="auto"/>
              <w:ind w:left="0" w:right="0" w:firstLine="0"/>
              <w:jc w:val="left"/>
              <w:rPr>
                <w:color w:val="auto"/>
                <w:kern w:val="0"/>
                <w14:ligatures w14:val="none"/>
              </w:rPr>
            </w:pPr>
            <w:r>
              <w:rPr>
                <w:color w:val="auto"/>
                <w:kern w:val="0"/>
                <w14:ligatures w14:val="none"/>
              </w:rPr>
              <w:t>Expires Dec 31; cannot be extended beyond 3 days</w:t>
            </w:r>
          </w:p>
        </w:tc>
      </w:tr>
      <w:tr w14:paraId="457B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45348946">
            <w:pPr>
              <w:spacing w:after="0" w:line="240" w:lineRule="auto"/>
              <w:ind w:left="0" w:right="0" w:firstLine="0"/>
              <w:jc w:val="left"/>
              <w:rPr>
                <w:color w:val="auto"/>
                <w:kern w:val="0"/>
                <w14:ligatures w14:val="none"/>
              </w:rPr>
            </w:pPr>
            <w:r>
              <w:rPr>
                <w:color w:val="auto"/>
                <w:kern w:val="0"/>
                <w14:ligatures w14:val="none"/>
              </w:rPr>
              <w:t>Sick Leave (SL)</w:t>
            </w:r>
          </w:p>
        </w:tc>
        <w:tc>
          <w:tcPr>
            <w:tcW w:w="0" w:type="auto"/>
            <w:vAlign w:val="center"/>
          </w:tcPr>
          <w:p w14:paraId="0B832770">
            <w:pPr>
              <w:spacing w:after="0" w:line="240" w:lineRule="auto"/>
              <w:ind w:left="0" w:right="0" w:firstLine="0"/>
              <w:jc w:val="left"/>
              <w:rPr>
                <w:color w:val="auto"/>
                <w:kern w:val="0"/>
                <w14:ligatures w14:val="none"/>
              </w:rPr>
            </w:pPr>
            <w:r>
              <w:rPr>
                <w:color w:val="auto"/>
                <w:kern w:val="0"/>
                <w14:ligatures w14:val="none"/>
              </w:rPr>
              <w:t>All employees</w:t>
            </w:r>
          </w:p>
        </w:tc>
        <w:tc>
          <w:tcPr>
            <w:tcW w:w="0" w:type="auto"/>
            <w:vAlign w:val="center"/>
          </w:tcPr>
          <w:p w14:paraId="418CA178">
            <w:pPr>
              <w:spacing w:after="0" w:line="240" w:lineRule="auto"/>
              <w:ind w:left="0" w:right="0" w:firstLine="0"/>
              <w:jc w:val="left"/>
              <w:rPr>
                <w:color w:val="auto"/>
                <w:kern w:val="0"/>
                <w14:ligatures w14:val="none"/>
              </w:rPr>
            </w:pPr>
            <w:r>
              <w:rPr>
                <w:color w:val="auto"/>
                <w:kern w:val="0"/>
                <w14:ligatures w14:val="none"/>
              </w:rPr>
              <w:t>15 days/year; not accumulable</w:t>
            </w:r>
          </w:p>
        </w:tc>
        <w:tc>
          <w:tcPr>
            <w:tcW w:w="0" w:type="auto"/>
            <w:vAlign w:val="center"/>
          </w:tcPr>
          <w:p w14:paraId="4B1B51C2">
            <w:pPr>
              <w:spacing w:after="0" w:line="240" w:lineRule="auto"/>
              <w:ind w:left="0" w:right="0" w:firstLine="0"/>
              <w:jc w:val="left"/>
              <w:rPr>
                <w:color w:val="auto"/>
                <w:kern w:val="0"/>
                <w14:ligatures w14:val="none"/>
              </w:rPr>
            </w:pPr>
            <w:r>
              <w:rPr>
                <w:color w:val="auto"/>
                <w:kern w:val="0"/>
                <w14:ligatures w14:val="none"/>
              </w:rPr>
              <w:t>No</w:t>
            </w:r>
          </w:p>
        </w:tc>
        <w:tc>
          <w:tcPr>
            <w:tcW w:w="0" w:type="auto"/>
            <w:vAlign w:val="center"/>
          </w:tcPr>
          <w:p w14:paraId="721C5F28">
            <w:pPr>
              <w:spacing w:after="0" w:line="240" w:lineRule="auto"/>
              <w:ind w:left="0" w:right="0" w:firstLine="0"/>
              <w:jc w:val="left"/>
              <w:rPr>
                <w:color w:val="auto"/>
                <w:kern w:val="0"/>
                <w14:ligatures w14:val="none"/>
              </w:rPr>
            </w:pPr>
            <w:r>
              <w:rPr>
                <w:color w:val="auto"/>
                <w:kern w:val="0"/>
                <w14:ligatures w14:val="none"/>
              </w:rPr>
              <w:t>Medical proof needed for &gt;2 days; additional rules apply</w:t>
            </w:r>
          </w:p>
        </w:tc>
      </w:tr>
      <w:tr w14:paraId="761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DEABDF2">
            <w:pPr>
              <w:spacing w:after="0" w:line="240" w:lineRule="auto"/>
              <w:ind w:left="0" w:right="0" w:firstLine="0"/>
              <w:jc w:val="left"/>
              <w:rPr>
                <w:color w:val="auto"/>
                <w:kern w:val="0"/>
                <w14:ligatures w14:val="none"/>
              </w:rPr>
            </w:pPr>
            <w:r>
              <w:rPr>
                <w:color w:val="auto"/>
                <w:kern w:val="0"/>
                <w14:ligatures w14:val="none"/>
              </w:rPr>
              <w:t>Maternity Leave</w:t>
            </w:r>
          </w:p>
        </w:tc>
        <w:tc>
          <w:tcPr>
            <w:tcW w:w="0" w:type="auto"/>
            <w:vAlign w:val="center"/>
          </w:tcPr>
          <w:p w14:paraId="2185B200">
            <w:pPr>
              <w:spacing w:after="0" w:line="240" w:lineRule="auto"/>
              <w:ind w:left="0" w:right="0" w:firstLine="0"/>
              <w:jc w:val="left"/>
              <w:rPr>
                <w:color w:val="auto"/>
                <w:kern w:val="0"/>
                <w14:ligatures w14:val="none"/>
              </w:rPr>
            </w:pPr>
            <w:r>
              <w:rPr>
                <w:color w:val="auto"/>
                <w:kern w:val="0"/>
                <w14:ligatures w14:val="none"/>
              </w:rPr>
              <w:t>Female employees with 6 months' service</w:t>
            </w:r>
          </w:p>
        </w:tc>
        <w:tc>
          <w:tcPr>
            <w:tcW w:w="0" w:type="auto"/>
            <w:vAlign w:val="center"/>
          </w:tcPr>
          <w:p w14:paraId="210A6F9C">
            <w:pPr>
              <w:spacing w:after="0" w:line="240" w:lineRule="auto"/>
              <w:ind w:left="0" w:right="0" w:firstLine="0"/>
              <w:jc w:val="left"/>
              <w:rPr>
                <w:color w:val="auto"/>
                <w:kern w:val="0"/>
                <w14:ligatures w14:val="none"/>
              </w:rPr>
            </w:pPr>
            <w:r>
              <w:rPr>
                <w:color w:val="auto"/>
                <w:kern w:val="0"/>
                <w14:ligatures w14:val="none"/>
              </w:rPr>
              <w:t>180 days (50% before, 50% after delivery)</w:t>
            </w:r>
          </w:p>
        </w:tc>
        <w:tc>
          <w:tcPr>
            <w:tcW w:w="0" w:type="auto"/>
            <w:vAlign w:val="center"/>
          </w:tcPr>
          <w:p w14:paraId="286883B2">
            <w:pPr>
              <w:spacing w:after="0" w:line="240" w:lineRule="auto"/>
              <w:ind w:left="0" w:right="0" w:firstLine="0"/>
              <w:jc w:val="left"/>
              <w:rPr>
                <w:color w:val="auto"/>
                <w:kern w:val="0"/>
                <w14:ligatures w14:val="none"/>
              </w:rPr>
            </w:pPr>
            <w:r>
              <w:rPr>
                <w:color w:val="auto"/>
                <w:kern w:val="0"/>
                <w14:ligatures w14:val="none"/>
              </w:rPr>
              <w:t>No</w:t>
            </w:r>
          </w:p>
        </w:tc>
        <w:tc>
          <w:tcPr>
            <w:tcW w:w="0" w:type="auto"/>
            <w:vAlign w:val="center"/>
          </w:tcPr>
          <w:p w14:paraId="4C911D34">
            <w:pPr>
              <w:spacing w:after="0" w:line="240" w:lineRule="auto"/>
              <w:ind w:left="0" w:right="0" w:firstLine="0"/>
              <w:jc w:val="left"/>
              <w:rPr>
                <w:color w:val="auto"/>
                <w:kern w:val="0"/>
                <w14:ligatures w14:val="none"/>
              </w:rPr>
            </w:pPr>
            <w:r>
              <w:rPr>
                <w:color w:val="auto"/>
                <w:kern w:val="0"/>
                <w14:ligatures w14:val="none"/>
              </w:rPr>
              <w:t>Max twice in career; not if 2+ children alive</w:t>
            </w:r>
          </w:p>
        </w:tc>
      </w:tr>
      <w:tr w14:paraId="2DD7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65B24C98">
            <w:pPr>
              <w:spacing w:after="0" w:line="240" w:lineRule="auto"/>
              <w:ind w:left="0" w:right="0" w:firstLine="0"/>
              <w:jc w:val="left"/>
              <w:rPr>
                <w:color w:val="auto"/>
                <w:kern w:val="0"/>
                <w14:ligatures w14:val="none"/>
              </w:rPr>
            </w:pPr>
            <w:r>
              <w:rPr>
                <w:color w:val="auto"/>
                <w:kern w:val="0"/>
                <w14:ligatures w14:val="none"/>
              </w:rPr>
              <w:t>Quarantine Leave</w:t>
            </w:r>
          </w:p>
        </w:tc>
        <w:tc>
          <w:tcPr>
            <w:tcW w:w="0" w:type="auto"/>
            <w:vAlign w:val="center"/>
          </w:tcPr>
          <w:p w14:paraId="04315663">
            <w:pPr>
              <w:spacing w:after="0" w:line="240" w:lineRule="auto"/>
              <w:ind w:left="0" w:right="0" w:firstLine="0"/>
              <w:jc w:val="left"/>
              <w:rPr>
                <w:color w:val="auto"/>
                <w:kern w:val="0"/>
                <w14:ligatures w14:val="none"/>
              </w:rPr>
            </w:pPr>
            <w:r>
              <w:rPr>
                <w:color w:val="auto"/>
                <w:kern w:val="0"/>
                <w14:ligatures w14:val="none"/>
              </w:rPr>
              <w:t>Employee/family has communicable disease</w:t>
            </w:r>
          </w:p>
        </w:tc>
        <w:tc>
          <w:tcPr>
            <w:tcW w:w="0" w:type="auto"/>
            <w:vAlign w:val="center"/>
          </w:tcPr>
          <w:p w14:paraId="73CBCE68">
            <w:pPr>
              <w:spacing w:after="0" w:line="240" w:lineRule="auto"/>
              <w:ind w:left="0" w:right="0" w:firstLine="0"/>
              <w:jc w:val="left"/>
              <w:rPr>
                <w:color w:val="auto"/>
                <w:kern w:val="0"/>
                <w14:ligatures w14:val="none"/>
              </w:rPr>
            </w:pPr>
            <w:r>
              <w:rPr>
                <w:color w:val="auto"/>
                <w:kern w:val="0"/>
                <w14:ligatures w14:val="none"/>
              </w:rPr>
              <w:t>Up to 14 days</w:t>
            </w:r>
          </w:p>
        </w:tc>
        <w:tc>
          <w:tcPr>
            <w:tcW w:w="0" w:type="auto"/>
            <w:vAlign w:val="center"/>
          </w:tcPr>
          <w:p w14:paraId="6CBA5FB1">
            <w:pPr>
              <w:spacing w:after="0" w:line="240" w:lineRule="auto"/>
              <w:ind w:left="0" w:right="0" w:firstLine="0"/>
              <w:jc w:val="left"/>
              <w:rPr>
                <w:color w:val="auto"/>
                <w:kern w:val="0"/>
                <w14:ligatures w14:val="none"/>
              </w:rPr>
            </w:pPr>
            <w:r>
              <w:rPr>
                <w:color w:val="auto"/>
                <w:kern w:val="0"/>
                <w14:ligatures w14:val="none"/>
              </w:rPr>
              <w:t>No</w:t>
            </w:r>
          </w:p>
        </w:tc>
        <w:tc>
          <w:tcPr>
            <w:tcW w:w="0" w:type="auto"/>
            <w:vAlign w:val="center"/>
          </w:tcPr>
          <w:p w14:paraId="44F60981">
            <w:pPr>
              <w:spacing w:after="0" w:line="240" w:lineRule="auto"/>
              <w:ind w:left="0" w:right="0" w:firstLine="0"/>
              <w:jc w:val="left"/>
              <w:rPr>
                <w:color w:val="auto"/>
                <w:kern w:val="0"/>
                <w14:ligatures w14:val="none"/>
              </w:rPr>
            </w:pPr>
            <w:r>
              <w:rPr>
                <w:color w:val="auto"/>
                <w:kern w:val="0"/>
                <w14:ligatures w14:val="none"/>
              </w:rPr>
              <w:t>Medical endorsement required; not counted as absence</w:t>
            </w:r>
          </w:p>
        </w:tc>
      </w:tr>
      <w:tr w14:paraId="53A5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C482008">
            <w:pPr>
              <w:spacing w:after="0" w:line="240" w:lineRule="auto"/>
              <w:ind w:left="0" w:right="0" w:firstLine="0"/>
              <w:jc w:val="left"/>
              <w:rPr>
                <w:color w:val="auto"/>
                <w:kern w:val="0"/>
                <w14:ligatures w14:val="none"/>
              </w:rPr>
            </w:pPr>
            <w:r>
              <w:rPr>
                <w:color w:val="auto"/>
                <w:kern w:val="0"/>
                <w14:ligatures w14:val="none"/>
              </w:rPr>
              <w:t>Pilgrimage Leave</w:t>
            </w:r>
          </w:p>
        </w:tc>
        <w:tc>
          <w:tcPr>
            <w:tcW w:w="0" w:type="auto"/>
            <w:vAlign w:val="center"/>
          </w:tcPr>
          <w:p w14:paraId="36019D03">
            <w:pPr>
              <w:spacing w:after="0" w:line="240" w:lineRule="auto"/>
              <w:ind w:left="0" w:right="0" w:firstLine="0"/>
              <w:jc w:val="left"/>
              <w:rPr>
                <w:color w:val="auto"/>
                <w:kern w:val="0"/>
                <w14:ligatures w14:val="none"/>
              </w:rPr>
            </w:pPr>
            <w:r>
              <w:rPr>
                <w:color w:val="auto"/>
                <w:kern w:val="0"/>
                <w14:ligatures w14:val="none"/>
              </w:rPr>
              <w:t>Employee with 5 years' service</w:t>
            </w:r>
          </w:p>
        </w:tc>
        <w:tc>
          <w:tcPr>
            <w:tcW w:w="0" w:type="auto"/>
            <w:vAlign w:val="center"/>
          </w:tcPr>
          <w:p w14:paraId="76F14837">
            <w:pPr>
              <w:spacing w:after="0" w:line="240" w:lineRule="auto"/>
              <w:ind w:left="0" w:right="0" w:firstLine="0"/>
              <w:jc w:val="left"/>
              <w:rPr>
                <w:color w:val="auto"/>
                <w:kern w:val="0"/>
                <w14:ligatures w14:val="none"/>
              </w:rPr>
            </w:pPr>
            <w:r>
              <w:rPr>
                <w:color w:val="auto"/>
                <w:kern w:val="0"/>
                <w14:ligatures w14:val="none"/>
              </w:rPr>
              <w:t>15 days once in entire service</w:t>
            </w:r>
          </w:p>
        </w:tc>
        <w:tc>
          <w:tcPr>
            <w:tcW w:w="0" w:type="auto"/>
            <w:vAlign w:val="center"/>
          </w:tcPr>
          <w:p w14:paraId="216C54CD">
            <w:pPr>
              <w:spacing w:after="0" w:line="240" w:lineRule="auto"/>
              <w:ind w:left="0" w:right="0" w:firstLine="0"/>
              <w:jc w:val="left"/>
              <w:rPr>
                <w:color w:val="auto"/>
                <w:kern w:val="0"/>
                <w14:ligatures w14:val="none"/>
              </w:rPr>
            </w:pPr>
            <w:r>
              <w:rPr>
                <w:color w:val="auto"/>
                <w:kern w:val="0"/>
                <w14:ligatures w14:val="none"/>
              </w:rPr>
              <w:t>No</w:t>
            </w:r>
          </w:p>
        </w:tc>
        <w:tc>
          <w:tcPr>
            <w:tcW w:w="0" w:type="auto"/>
            <w:vAlign w:val="center"/>
          </w:tcPr>
          <w:p w14:paraId="53FE08D3">
            <w:pPr>
              <w:spacing w:after="0" w:line="240" w:lineRule="auto"/>
              <w:ind w:left="0" w:right="0" w:firstLine="0"/>
              <w:jc w:val="left"/>
              <w:rPr>
                <w:color w:val="auto"/>
                <w:kern w:val="0"/>
                <w14:ligatures w14:val="none"/>
              </w:rPr>
            </w:pPr>
            <w:r>
              <w:rPr>
                <w:color w:val="auto"/>
                <w:kern w:val="0"/>
                <w14:ligatures w14:val="none"/>
              </w:rPr>
              <w:t>Once in career; religious purpose only</w:t>
            </w:r>
          </w:p>
        </w:tc>
      </w:tr>
      <w:tr w14:paraId="57A5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0AFAAD5F">
            <w:pPr>
              <w:spacing w:after="0" w:line="240" w:lineRule="auto"/>
              <w:ind w:left="0" w:right="0" w:firstLine="0"/>
              <w:jc w:val="left"/>
              <w:rPr>
                <w:color w:val="auto"/>
                <w:kern w:val="0"/>
                <w14:ligatures w14:val="none"/>
              </w:rPr>
            </w:pPr>
            <w:r>
              <w:rPr>
                <w:color w:val="auto"/>
                <w:kern w:val="0"/>
                <w14:ligatures w14:val="none"/>
              </w:rPr>
              <w:t>Compulsory / Enforced Leave</w:t>
            </w:r>
          </w:p>
        </w:tc>
        <w:tc>
          <w:tcPr>
            <w:tcW w:w="0" w:type="auto"/>
            <w:vAlign w:val="center"/>
          </w:tcPr>
          <w:p w14:paraId="4DD9C6AA">
            <w:pPr>
              <w:spacing w:after="0" w:line="240" w:lineRule="auto"/>
              <w:ind w:left="0" w:right="0" w:firstLine="0"/>
              <w:jc w:val="left"/>
              <w:rPr>
                <w:color w:val="auto"/>
                <w:kern w:val="0"/>
                <w14:ligatures w14:val="none"/>
              </w:rPr>
            </w:pPr>
            <w:r>
              <w:rPr>
                <w:color w:val="auto"/>
                <w:kern w:val="0"/>
                <w14:ligatures w14:val="none"/>
              </w:rPr>
              <w:t>Discretionary by management</w:t>
            </w:r>
          </w:p>
        </w:tc>
        <w:tc>
          <w:tcPr>
            <w:tcW w:w="0" w:type="auto"/>
            <w:vAlign w:val="center"/>
          </w:tcPr>
          <w:p w14:paraId="36A74798">
            <w:pPr>
              <w:spacing w:after="0" w:line="240" w:lineRule="auto"/>
              <w:ind w:left="0" w:right="0" w:firstLine="0"/>
              <w:jc w:val="left"/>
              <w:rPr>
                <w:color w:val="auto"/>
                <w:kern w:val="0"/>
                <w14:ligatures w14:val="none"/>
              </w:rPr>
            </w:pPr>
            <w:r>
              <w:rPr>
                <w:color w:val="auto"/>
                <w:kern w:val="0"/>
                <w14:ligatures w14:val="none"/>
              </w:rPr>
              <w:t>As needed; deducted from earned leave</w:t>
            </w:r>
          </w:p>
        </w:tc>
        <w:tc>
          <w:tcPr>
            <w:tcW w:w="0" w:type="auto"/>
            <w:vAlign w:val="center"/>
          </w:tcPr>
          <w:p w14:paraId="4A7251E8">
            <w:pPr>
              <w:spacing w:after="0" w:line="240" w:lineRule="auto"/>
              <w:ind w:left="0" w:right="0" w:firstLine="0"/>
              <w:jc w:val="left"/>
              <w:rPr>
                <w:color w:val="auto"/>
                <w:kern w:val="0"/>
                <w14:ligatures w14:val="none"/>
              </w:rPr>
            </w:pPr>
            <w:r>
              <w:rPr>
                <w:color w:val="auto"/>
                <w:kern w:val="0"/>
                <w14:ligatures w14:val="none"/>
              </w:rPr>
              <w:t>No</w:t>
            </w:r>
          </w:p>
        </w:tc>
        <w:tc>
          <w:tcPr>
            <w:tcW w:w="0" w:type="auto"/>
            <w:vAlign w:val="center"/>
          </w:tcPr>
          <w:p w14:paraId="1EBD1A42">
            <w:pPr>
              <w:spacing w:after="0" w:line="240" w:lineRule="auto"/>
              <w:ind w:left="0" w:right="0" w:firstLine="0"/>
              <w:jc w:val="left"/>
              <w:rPr>
                <w:color w:val="auto"/>
                <w:kern w:val="0"/>
                <w14:ligatures w14:val="none"/>
              </w:rPr>
            </w:pPr>
            <w:r>
              <w:rPr>
                <w:color w:val="auto"/>
                <w:kern w:val="0"/>
                <w14:ligatures w14:val="none"/>
              </w:rPr>
              <w:t>For bank’s interest; documented</w:t>
            </w:r>
          </w:p>
        </w:tc>
      </w:tr>
      <w:tr w14:paraId="7D57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7428B920">
            <w:pPr>
              <w:spacing w:after="0" w:line="240" w:lineRule="auto"/>
              <w:ind w:left="0" w:right="0" w:firstLine="0"/>
              <w:jc w:val="left"/>
              <w:rPr>
                <w:color w:val="auto"/>
                <w:kern w:val="0"/>
                <w14:ligatures w14:val="none"/>
              </w:rPr>
            </w:pPr>
            <w:r>
              <w:rPr>
                <w:color w:val="auto"/>
                <w:kern w:val="0"/>
                <w14:ligatures w14:val="none"/>
              </w:rPr>
              <w:t>Leave without Pay</w:t>
            </w:r>
          </w:p>
        </w:tc>
        <w:tc>
          <w:tcPr>
            <w:tcW w:w="0" w:type="auto"/>
            <w:vAlign w:val="center"/>
          </w:tcPr>
          <w:p w14:paraId="5952F42A">
            <w:pPr>
              <w:spacing w:after="0" w:line="240" w:lineRule="auto"/>
              <w:ind w:left="0" w:right="0" w:firstLine="0"/>
              <w:jc w:val="left"/>
              <w:rPr>
                <w:color w:val="auto"/>
                <w:kern w:val="0"/>
                <w14:ligatures w14:val="none"/>
              </w:rPr>
            </w:pPr>
            <w:r>
              <w:rPr>
                <w:color w:val="auto"/>
                <w:kern w:val="0"/>
                <w14:ligatures w14:val="none"/>
              </w:rPr>
              <w:t>Outstanding employees with valid reason</w:t>
            </w:r>
          </w:p>
        </w:tc>
        <w:tc>
          <w:tcPr>
            <w:tcW w:w="0" w:type="auto"/>
            <w:vAlign w:val="center"/>
          </w:tcPr>
          <w:p w14:paraId="5E6DCCB1">
            <w:pPr>
              <w:spacing w:after="0" w:line="240" w:lineRule="auto"/>
              <w:ind w:left="0" w:right="0" w:firstLine="0"/>
              <w:jc w:val="left"/>
              <w:rPr>
                <w:color w:val="auto"/>
                <w:kern w:val="0"/>
                <w14:ligatures w14:val="none"/>
              </w:rPr>
            </w:pPr>
            <w:r>
              <w:rPr>
                <w:color w:val="auto"/>
                <w:kern w:val="0"/>
                <w14:ligatures w14:val="none"/>
              </w:rPr>
              <w:t>Up to 1 year max</w:t>
            </w:r>
          </w:p>
        </w:tc>
        <w:tc>
          <w:tcPr>
            <w:tcW w:w="0" w:type="auto"/>
            <w:vAlign w:val="center"/>
          </w:tcPr>
          <w:p w14:paraId="35528F8C">
            <w:pPr>
              <w:spacing w:after="0" w:line="240" w:lineRule="auto"/>
              <w:ind w:left="0" w:right="0" w:firstLine="0"/>
              <w:jc w:val="left"/>
              <w:rPr>
                <w:color w:val="auto"/>
                <w:kern w:val="0"/>
                <w14:ligatures w14:val="none"/>
              </w:rPr>
            </w:pPr>
            <w:r>
              <w:rPr>
                <w:color w:val="auto"/>
                <w:kern w:val="0"/>
                <w14:ligatures w14:val="none"/>
              </w:rPr>
              <w:t>No</w:t>
            </w:r>
          </w:p>
        </w:tc>
        <w:tc>
          <w:tcPr>
            <w:tcW w:w="0" w:type="auto"/>
            <w:vAlign w:val="center"/>
          </w:tcPr>
          <w:p w14:paraId="3B59C141">
            <w:pPr>
              <w:spacing w:after="0" w:line="240" w:lineRule="auto"/>
              <w:ind w:left="0" w:right="0" w:firstLine="0"/>
              <w:jc w:val="left"/>
              <w:rPr>
                <w:color w:val="auto"/>
                <w:kern w:val="0"/>
                <w14:ligatures w14:val="none"/>
              </w:rPr>
            </w:pPr>
            <w:r>
              <w:rPr>
                <w:color w:val="auto"/>
                <w:kern w:val="0"/>
                <w14:ligatures w14:val="none"/>
              </w:rPr>
              <w:t>Needs prior approval; based on performance</w:t>
            </w:r>
          </w:p>
        </w:tc>
      </w:tr>
      <w:tr w14:paraId="40CA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29A6ECD2">
            <w:pPr>
              <w:spacing w:after="0" w:line="240" w:lineRule="auto"/>
              <w:ind w:left="0" w:right="0" w:firstLine="0"/>
              <w:jc w:val="left"/>
              <w:rPr>
                <w:color w:val="auto"/>
                <w:kern w:val="0"/>
                <w14:ligatures w14:val="none"/>
              </w:rPr>
            </w:pPr>
            <w:r>
              <w:rPr>
                <w:color w:val="auto"/>
                <w:kern w:val="0"/>
                <w14:ligatures w14:val="none"/>
              </w:rPr>
              <w:t>Extraordinary Leave</w:t>
            </w:r>
          </w:p>
        </w:tc>
        <w:tc>
          <w:tcPr>
            <w:tcW w:w="0" w:type="auto"/>
            <w:vAlign w:val="center"/>
          </w:tcPr>
          <w:p w14:paraId="03D808BD">
            <w:pPr>
              <w:spacing w:after="0" w:line="240" w:lineRule="auto"/>
              <w:ind w:left="0" w:right="0" w:firstLine="0"/>
              <w:jc w:val="left"/>
              <w:rPr>
                <w:color w:val="auto"/>
                <w:kern w:val="0"/>
                <w14:ligatures w14:val="none"/>
              </w:rPr>
            </w:pPr>
            <w:r>
              <w:rPr>
                <w:color w:val="auto"/>
                <w:kern w:val="0"/>
                <w14:ligatures w14:val="none"/>
              </w:rPr>
              <w:t>Confirmed employees with no other leave</w:t>
            </w:r>
          </w:p>
        </w:tc>
        <w:tc>
          <w:tcPr>
            <w:tcW w:w="0" w:type="auto"/>
            <w:vAlign w:val="center"/>
          </w:tcPr>
          <w:p w14:paraId="11D3E2FA">
            <w:pPr>
              <w:spacing w:after="0" w:line="240" w:lineRule="auto"/>
              <w:ind w:left="0" w:right="0" w:firstLine="0"/>
              <w:jc w:val="left"/>
              <w:rPr>
                <w:color w:val="auto"/>
                <w:kern w:val="0"/>
                <w14:ligatures w14:val="none"/>
              </w:rPr>
            </w:pPr>
            <w:r>
              <w:rPr>
                <w:color w:val="auto"/>
                <w:kern w:val="0"/>
                <w14:ligatures w14:val="none"/>
              </w:rPr>
              <w:t>Max 180 days; combined leave not &gt; 360 days</w:t>
            </w:r>
          </w:p>
        </w:tc>
        <w:tc>
          <w:tcPr>
            <w:tcW w:w="0" w:type="auto"/>
            <w:vAlign w:val="center"/>
          </w:tcPr>
          <w:p w14:paraId="08B739A9">
            <w:pPr>
              <w:spacing w:after="0" w:line="240" w:lineRule="auto"/>
              <w:ind w:left="0" w:right="0" w:firstLine="0"/>
              <w:jc w:val="left"/>
              <w:rPr>
                <w:color w:val="auto"/>
                <w:kern w:val="0"/>
                <w14:ligatures w14:val="none"/>
              </w:rPr>
            </w:pPr>
            <w:r>
              <w:rPr>
                <w:color w:val="auto"/>
                <w:kern w:val="0"/>
                <w14:ligatures w14:val="none"/>
              </w:rPr>
              <w:t>No (unless board allows)</w:t>
            </w:r>
          </w:p>
        </w:tc>
        <w:tc>
          <w:tcPr>
            <w:tcW w:w="0" w:type="auto"/>
            <w:vAlign w:val="center"/>
          </w:tcPr>
          <w:p w14:paraId="782BBBA4">
            <w:pPr>
              <w:spacing w:after="0" w:line="240" w:lineRule="auto"/>
              <w:ind w:left="0" w:right="0" w:firstLine="0"/>
              <w:jc w:val="left"/>
              <w:rPr>
                <w:color w:val="auto"/>
                <w:kern w:val="0"/>
                <w14:ligatures w14:val="none"/>
              </w:rPr>
            </w:pPr>
            <w:r>
              <w:rPr>
                <w:color w:val="auto"/>
                <w:kern w:val="0"/>
                <w14:ligatures w14:val="none"/>
              </w:rPr>
              <w:t>Unpaid; may count for training/study cases</w:t>
            </w:r>
          </w:p>
        </w:tc>
      </w:tr>
      <w:tr w14:paraId="4237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0" w:type="auto"/>
            <w:vAlign w:val="center"/>
          </w:tcPr>
          <w:p w14:paraId="356C745E">
            <w:pPr>
              <w:spacing w:after="0" w:line="240" w:lineRule="auto"/>
              <w:ind w:left="0" w:right="0" w:firstLine="0"/>
              <w:jc w:val="left"/>
              <w:rPr>
                <w:color w:val="auto"/>
                <w:kern w:val="0"/>
                <w14:ligatures w14:val="none"/>
              </w:rPr>
            </w:pPr>
            <w:r>
              <w:rPr>
                <w:color w:val="auto"/>
                <w:kern w:val="0"/>
                <w14:ligatures w14:val="none"/>
              </w:rPr>
              <w:t>Study Leave</w:t>
            </w:r>
          </w:p>
        </w:tc>
        <w:tc>
          <w:tcPr>
            <w:tcW w:w="0" w:type="auto"/>
            <w:vAlign w:val="center"/>
          </w:tcPr>
          <w:p w14:paraId="1CB90E38">
            <w:pPr>
              <w:spacing w:after="0" w:line="240" w:lineRule="auto"/>
              <w:ind w:left="0" w:right="0" w:firstLine="0"/>
              <w:jc w:val="left"/>
              <w:rPr>
                <w:color w:val="auto"/>
                <w:kern w:val="0"/>
                <w14:ligatures w14:val="none"/>
              </w:rPr>
            </w:pPr>
            <w:r>
              <w:rPr>
                <w:color w:val="auto"/>
                <w:kern w:val="0"/>
                <w14:ligatures w14:val="none"/>
              </w:rPr>
              <w:t>Employee with 3 years' service</w:t>
            </w:r>
          </w:p>
        </w:tc>
        <w:tc>
          <w:tcPr>
            <w:tcW w:w="0" w:type="auto"/>
            <w:vAlign w:val="center"/>
          </w:tcPr>
          <w:p w14:paraId="02634C8B">
            <w:pPr>
              <w:spacing w:after="0" w:line="240" w:lineRule="auto"/>
              <w:ind w:left="0" w:right="0" w:firstLine="0"/>
              <w:jc w:val="left"/>
              <w:rPr>
                <w:color w:val="auto"/>
                <w:kern w:val="0"/>
                <w14:ligatures w14:val="none"/>
              </w:rPr>
            </w:pPr>
            <w:r>
              <w:rPr>
                <w:color w:val="auto"/>
                <w:kern w:val="0"/>
                <w14:ligatures w14:val="none"/>
              </w:rPr>
              <w:t>As approved by board (unpaid)</w:t>
            </w:r>
          </w:p>
        </w:tc>
        <w:tc>
          <w:tcPr>
            <w:tcW w:w="0" w:type="auto"/>
            <w:vAlign w:val="center"/>
          </w:tcPr>
          <w:p w14:paraId="367C2DF0">
            <w:pPr>
              <w:spacing w:after="0" w:line="240" w:lineRule="auto"/>
              <w:ind w:left="0" w:right="0" w:firstLine="0"/>
              <w:jc w:val="left"/>
              <w:rPr>
                <w:color w:val="auto"/>
                <w:kern w:val="0"/>
                <w14:ligatures w14:val="none"/>
              </w:rPr>
            </w:pPr>
            <w:r>
              <w:rPr>
                <w:color w:val="auto"/>
                <w:kern w:val="0"/>
                <w14:ligatures w14:val="none"/>
              </w:rPr>
              <w:t>No</w:t>
            </w:r>
          </w:p>
        </w:tc>
        <w:tc>
          <w:tcPr>
            <w:tcW w:w="0" w:type="auto"/>
            <w:vAlign w:val="center"/>
          </w:tcPr>
          <w:p w14:paraId="54FB27EE">
            <w:pPr>
              <w:spacing w:after="0" w:line="240" w:lineRule="auto"/>
              <w:ind w:left="0" w:right="0" w:firstLine="0"/>
              <w:jc w:val="left"/>
              <w:rPr>
                <w:color w:val="auto"/>
                <w:kern w:val="0"/>
                <w14:ligatures w14:val="none"/>
              </w:rPr>
            </w:pPr>
            <w:r>
              <w:rPr>
                <w:color w:val="auto"/>
                <w:kern w:val="0"/>
                <w14:ligatures w14:val="none"/>
              </w:rPr>
              <w:t>For beneficial courses; HR approval needed</w:t>
            </w:r>
          </w:p>
        </w:tc>
      </w:tr>
    </w:tbl>
    <w:p w14:paraId="128AA54B">
      <w:pPr>
        <w:spacing w:after="0" w:line="259" w:lineRule="auto"/>
        <w:ind w:left="1256" w:firstLine="0"/>
        <w:jc w:val="left"/>
        <w:rPr>
          <w:sz w:val="22"/>
          <w:szCs w:val="22"/>
        </w:rPr>
      </w:pPr>
    </w:p>
    <w:p w14:paraId="2B7ECD9F">
      <w:pPr>
        <w:spacing w:after="15" w:line="247" w:lineRule="auto"/>
        <w:ind w:right="14"/>
        <w:rPr>
          <w:bCs/>
          <w:sz w:val="22"/>
          <w:szCs w:val="22"/>
        </w:rPr>
      </w:pPr>
    </w:p>
    <w:p w14:paraId="4A5C4C49">
      <w:pPr>
        <w:spacing w:after="15" w:line="247" w:lineRule="auto"/>
        <w:ind w:right="14"/>
        <w:rPr>
          <w:bCs/>
          <w:sz w:val="22"/>
          <w:szCs w:val="22"/>
        </w:rPr>
      </w:pPr>
    </w:p>
    <w:p w14:paraId="43D6E877">
      <w:pPr>
        <w:spacing w:after="204" w:line="259" w:lineRule="auto"/>
        <w:ind w:left="540" w:firstLine="0"/>
        <w:jc w:val="left"/>
        <w:rPr>
          <w:sz w:val="22"/>
          <w:szCs w:val="22"/>
        </w:rPr>
      </w:pPr>
      <w:r>
        <w:rPr>
          <w:b/>
          <w:sz w:val="22"/>
          <w:szCs w:val="22"/>
        </w:rPr>
        <w:t xml:space="preserve"> </w:t>
      </w:r>
    </w:p>
    <w:p w14:paraId="7B541619">
      <w:pPr>
        <w:pStyle w:val="4"/>
      </w:pPr>
      <w:r>
        <w:rPr>
          <w:rFonts w:eastAsia="Times New Roman"/>
          <w:color w:val="000000"/>
        </w:rPr>
        <w:t xml:space="preserve"> </w:t>
      </w:r>
      <w:bookmarkStart w:id="44" w:name="_Toc204820982"/>
      <w:r>
        <w:t>4.6.1 Earned Leave (EL)</w:t>
      </w:r>
      <w:bookmarkEnd w:id="44"/>
      <w:r>
        <w:t xml:space="preserve">  </w:t>
      </w:r>
    </w:p>
    <w:p w14:paraId="2E4BD49A">
      <w:pPr>
        <w:spacing w:after="15" w:line="247" w:lineRule="auto"/>
        <w:ind w:left="0" w:right="14" w:firstLine="0"/>
        <w:rPr>
          <w:sz w:val="22"/>
          <w:szCs w:val="22"/>
        </w:rPr>
      </w:pPr>
      <w:r>
        <w:rPr>
          <w:sz w:val="22"/>
          <w:szCs w:val="22"/>
        </w:rPr>
        <w:t xml:space="preserve">An employee, on confirmation and on finishing of 1 year of continuous service are entitled/eligible to Earned Leave. By the by, an employee may enjoy some days of leave (accrued in his/her leave account after serving certain months) before completion of oneyear service subject to his nature of employment (must be confirmed) with the bank.  </w:t>
      </w:r>
    </w:p>
    <w:p w14:paraId="2E27F216">
      <w:pPr>
        <w:spacing w:after="178" w:line="259" w:lineRule="auto"/>
        <w:ind w:left="1080" w:firstLine="0"/>
        <w:jc w:val="left"/>
        <w:rPr>
          <w:sz w:val="22"/>
          <w:szCs w:val="22"/>
        </w:rPr>
      </w:pPr>
      <w:r>
        <w:rPr>
          <w:sz w:val="22"/>
          <w:szCs w:val="22"/>
        </w:rPr>
        <w:t xml:space="preserve"> </w:t>
      </w:r>
    </w:p>
    <w:p w14:paraId="4D7EFD2C">
      <w:pPr>
        <w:spacing w:after="15" w:line="247" w:lineRule="auto"/>
        <w:ind w:right="14"/>
        <w:rPr>
          <w:sz w:val="22"/>
          <w:szCs w:val="22"/>
        </w:rPr>
      </w:pPr>
      <w:r>
        <w:rPr>
          <w:sz w:val="22"/>
          <w:szCs w:val="22"/>
        </w:rPr>
        <w:t xml:space="preserve">Earned leave entitlements are calculated in arrears.  </w:t>
      </w:r>
    </w:p>
    <w:p w14:paraId="1BC37041">
      <w:pPr>
        <w:numPr>
          <w:ilvl w:val="0"/>
          <w:numId w:val="28"/>
        </w:numPr>
        <w:spacing w:after="15" w:line="247" w:lineRule="auto"/>
        <w:ind w:right="14" w:hanging="360"/>
        <w:rPr>
          <w:sz w:val="22"/>
          <w:szCs w:val="22"/>
        </w:rPr>
      </w:pPr>
      <w:r>
        <w:rPr>
          <w:sz w:val="22"/>
          <w:szCs w:val="22"/>
        </w:rPr>
        <w:t xml:space="preserve">Every employee shall be enjoying and have 30 (Thirty/ one month) days Earned Leave on full pay after completion of one-year confirmed service with the bank. Earned Leave should generally be taken during the year and unutilized EL may be carried over to the following year.  </w:t>
      </w:r>
    </w:p>
    <w:p w14:paraId="33B63D57">
      <w:pPr>
        <w:numPr>
          <w:ilvl w:val="0"/>
          <w:numId w:val="28"/>
        </w:numPr>
        <w:spacing w:after="16" w:line="248" w:lineRule="auto"/>
        <w:ind w:right="14" w:hanging="360"/>
        <w:rPr>
          <w:sz w:val="22"/>
          <w:szCs w:val="22"/>
        </w:rPr>
      </w:pPr>
      <w:r>
        <w:rPr>
          <w:sz w:val="22"/>
          <w:szCs w:val="22"/>
        </w:rPr>
        <w:t xml:space="preserve">Not more than 20 (twenty) Days in a year can be carried over to the following year. </w:t>
      </w:r>
    </w:p>
    <w:p w14:paraId="715BF045">
      <w:pPr>
        <w:numPr>
          <w:ilvl w:val="0"/>
          <w:numId w:val="28"/>
        </w:numPr>
        <w:spacing w:after="15" w:line="247" w:lineRule="auto"/>
        <w:ind w:right="14" w:hanging="360"/>
        <w:rPr>
          <w:sz w:val="22"/>
          <w:szCs w:val="22"/>
        </w:rPr>
      </w:pPr>
      <w:r>
        <w:rPr>
          <w:sz w:val="22"/>
          <w:szCs w:val="22"/>
        </w:rPr>
        <w:t xml:space="preserve">Unutilized Earned Leave, beyond the stipulated 20 (twenty) days in a year, will lapse automatically.  </w:t>
      </w:r>
    </w:p>
    <w:p w14:paraId="6F1D73B6">
      <w:pPr>
        <w:numPr>
          <w:ilvl w:val="0"/>
          <w:numId w:val="28"/>
        </w:numPr>
        <w:spacing w:after="15" w:line="247" w:lineRule="auto"/>
        <w:ind w:right="14" w:hanging="360"/>
        <w:rPr>
          <w:sz w:val="22"/>
          <w:szCs w:val="22"/>
        </w:rPr>
      </w:pPr>
      <w:r>
        <w:rPr>
          <w:sz w:val="22"/>
          <w:szCs w:val="22"/>
        </w:rPr>
        <w:t xml:space="preserve">The maximum that can be accumulated on full pay shall be 70 (seventy) days at any point of leaving the Bank and  </w:t>
      </w:r>
    </w:p>
    <w:p w14:paraId="57ECF5A4">
      <w:pPr>
        <w:numPr>
          <w:ilvl w:val="0"/>
          <w:numId w:val="28"/>
        </w:numPr>
        <w:spacing w:after="16" w:line="248" w:lineRule="auto"/>
        <w:ind w:right="14" w:hanging="360"/>
        <w:rPr>
          <w:sz w:val="22"/>
          <w:szCs w:val="22"/>
        </w:rPr>
      </w:pPr>
      <w:r>
        <w:rPr>
          <w:sz w:val="22"/>
          <w:szCs w:val="22"/>
        </w:rPr>
        <w:t xml:space="preserve">Leave will be enchased at the rate of the sum total of an employee’s last Basic, house rent and medical allowance amount multiplied by number of Days to be enchased. Any Period in excess of 60 (sixty) days will be automatically forfeited.  </w:t>
      </w:r>
    </w:p>
    <w:p w14:paraId="38987D67">
      <w:pPr>
        <w:spacing w:after="179" w:line="259" w:lineRule="auto"/>
        <w:ind w:left="540" w:firstLine="0"/>
        <w:jc w:val="left"/>
        <w:rPr>
          <w:sz w:val="22"/>
          <w:szCs w:val="22"/>
        </w:rPr>
      </w:pPr>
      <w:r>
        <w:rPr>
          <w:sz w:val="22"/>
          <w:szCs w:val="22"/>
        </w:rPr>
        <w:t xml:space="preserve"> </w:t>
      </w:r>
    </w:p>
    <w:p w14:paraId="6C11C991">
      <w:pPr>
        <w:spacing w:after="120" w:line="259" w:lineRule="auto"/>
        <w:jc w:val="left"/>
        <w:rPr>
          <w:sz w:val="22"/>
          <w:szCs w:val="22"/>
        </w:rPr>
      </w:pPr>
      <w:r>
        <w:rPr>
          <w:sz w:val="22"/>
          <w:szCs w:val="22"/>
        </w:rPr>
        <w:t xml:space="preserve">Employees who are currently employed by the bank are not permitted to cash their leaves at any time. </w:t>
      </w:r>
      <w:r>
        <w:rPr>
          <w:sz w:val="22"/>
          <w:szCs w:val="22"/>
        </w:rPr>
        <w:br w:type="textWrapping"/>
      </w:r>
      <w:r>
        <w:rPr>
          <w:sz w:val="22"/>
          <w:szCs w:val="22"/>
        </w:rPr>
        <w:t>There will typically be a broken leave period between the first and second years to accommodate an employee into the leave years because of the differing dates of joining. Upon completion of the remaining time of the year, the employee will be eligible to receive the benefit of leave for the entire month (based on a regular year) pro rata.</w:t>
      </w:r>
    </w:p>
    <w:p w14:paraId="7B2F0759">
      <w:pPr>
        <w:spacing w:after="120" w:line="259" w:lineRule="auto"/>
        <w:jc w:val="left"/>
        <w:rPr>
          <w:sz w:val="22"/>
          <w:szCs w:val="22"/>
        </w:rPr>
      </w:pPr>
      <w:r>
        <w:rPr>
          <w:sz w:val="22"/>
          <w:szCs w:val="22"/>
        </w:rPr>
        <w:t xml:space="preserve">Leave should be taken of in accordance with the leave roster prepared and made by the Division/Department/Unit/Branch concerned, taking into account the option of each individual as much as possible, and should be forwarded to HR Division prior to the commencement of Leave year.  </w:t>
      </w:r>
    </w:p>
    <w:p w14:paraId="5639DF96">
      <w:pPr>
        <w:spacing w:after="0" w:line="259" w:lineRule="auto"/>
        <w:ind w:left="1352" w:firstLine="0"/>
        <w:jc w:val="left"/>
        <w:rPr>
          <w:sz w:val="22"/>
          <w:szCs w:val="22"/>
        </w:rPr>
      </w:pPr>
      <w:r>
        <w:rPr>
          <w:sz w:val="22"/>
          <w:szCs w:val="22"/>
        </w:rPr>
        <w:t xml:space="preserve"> </w:t>
      </w:r>
    </w:p>
    <w:p w14:paraId="054359E2">
      <w:pPr>
        <w:spacing w:after="212" w:line="259" w:lineRule="auto"/>
        <w:ind w:left="540" w:firstLine="0"/>
        <w:jc w:val="left"/>
        <w:rPr>
          <w:sz w:val="22"/>
          <w:szCs w:val="22"/>
        </w:rPr>
      </w:pPr>
      <w:r>
        <w:rPr>
          <w:sz w:val="22"/>
          <w:szCs w:val="22"/>
        </w:rPr>
        <w:t xml:space="preserve"> </w:t>
      </w:r>
    </w:p>
    <w:p w14:paraId="0F181DEE">
      <w:pPr>
        <w:spacing w:after="184" w:line="259" w:lineRule="auto"/>
        <w:jc w:val="left"/>
        <w:rPr>
          <w:sz w:val="22"/>
          <w:szCs w:val="22"/>
        </w:rPr>
      </w:pPr>
      <w:r>
        <w:rPr>
          <w:sz w:val="22"/>
          <w:szCs w:val="22"/>
        </w:rPr>
        <w:t>If an employee has unused leave that is not protected by the aforementioned rule, it will be forfeited, unless the division, department, unit, or branch head agrees otherwise and notifies the HR division. If such leave is denied for any reason, the period of time that the leave was denied will be documented separately. In extraordinary cases, such as for medical reasons, pilgrimage, religious, matrimonial, or training purposes, or for encashment during an employee's final settlement with a regular resignation or release, the Managing Director may grant the leave.</w:t>
      </w:r>
    </w:p>
    <w:p w14:paraId="3F2165CB">
      <w:pPr>
        <w:spacing w:after="184" w:line="259" w:lineRule="auto"/>
        <w:jc w:val="left"/>
        <w:rPr>
          <w:sz w:val="22"/>
          <w:szCs w:val="22"/>
        </w:rPr>
      </w:pPr>
      <w:r>
        <w:rPr>
          <w:sz w:val="22"/>
          <w:szCs w:val="22"/>
        </w:rPr>
        <w:t>For the purposes of determining leave entitlements, "service" refers to time spent working for the bank. It is required that earned leave be taken in a single period of at least ten days. Earned leave applications must be made using the application form that the HR Division has distributed. Employees may use their earned leave to take weekly or paid festival holidays as a prefix, suffix, or both.</w:t>
      </w:r>
    </w:p>
    <w:p w14:paraId="3B86AE20">
      <w:pPr>
        <w:spacing w:after="159" w:line="259" w:lineRule="auto"/>
        <w:jc w:val="left"/>
        <w:rPr>
          <w:sz w:val="22"/>
          <w:szCs w:val="22"/>
        </w:rPr>
      </w:pPr>
      <w:r>
        <w:rPr>
          <w:sz w:val="22"/>
          <w:szCs w:val="22"/>
        </w:rPr>
        <w:t>The management may waive or depart from the leave regulations outlined in this manual if business needs so dictate. Any deviation or waiver, though, needs to be suggested by the head of the relevant division, department, unit, or branch and authorized by the managing director. In these situations, the unused leave may be added to or carried over to the leave in the following years, even if doing so goes beyond the maximum amount that can be accumulated.</w:t>
      </w:r>
    </w:p>
    <w:p w14:paraId="0794CA59">
      <w:pPr>
        <w:spacing w:after="159" w:line="259" w:lineRule="auto"/>
        <w:jc w:val="left"/>
        <w:rPr>
          <w:sz w:val="22"/>
          <w:szCs w:val="22"/>
        </w:rPr>
      </w:pPr>
      <w:r>
        <w:rPr>
          <w:sz w:val="22"/>
          <w:szCs w:val="22"/>
        </w:rPr>
        <w:t xml:space="preserve">A written recommendation from the functional, divisional, department, unit, or branch head is required for any employee taking a leave of absence overseas. Together with a NOC (permission to leave the station/country), the application must be approved by the HR Division at the Head Office. </w:t>
      </w:r>
      <w:r>
        <w:rPr>
          <w:sz w:val="22"/>
          <w:szCs w:val="22"/>
        </w:rPr>
        <w:br w:type="textWrapping"/>
      </w:r>
      <w:r>
        <w:rPr>
          <w:sz w:val="22"/>
          <w:szCs w:val="22"/>
        </w:rPr>
        <w:t>An employee may cash out their earned leave upon termination or resignation; the amount of the encashment will be determined by their current base salary, housing rent, and any applicable medical benefits.</w:t>
      </w:r>
    </w:p>
    <w:p w14:paraId="43EF4206">
      <w:pPr>
        <w:spacing w:after="39" w:line="259" w:lineRule="auto"/>
        <w:ind w:left="0" w:firstLine="0"/>
        <w:jc w:val="left"/>
        <w:rPr>
          <w:sz w:val="22"/>
          <w:szCs w:val="22"/>
        </w:rPr>
      </w:pPr>
      <w:r>
        <w:rPr>
          <w:sz w:val="22"/>
          <w:szCs w:val="22"/>
        </w:rPr>
        <w:t xml:space="preserve">As instructed by the management, functional, division, department, unit, or branch head, an employee must get approval at least 10 (10) days in advance before taking Annual Earned Leave (AFL) and LFA. They must also transfer responsibility to another staff member. </w:t>
      </w:r>
      <w:r>
        <w:rPr>
          <w:sz w:val="22"/>
          <w:szCs w:val="22"/>
        </w:rPr>
        <w:br w:type="textWrapping"/>
      </w:r>
      <w:r>
        <w:rPr>
          <w:sz w:val="22"/>
          <w:szCs w:val="22"/>
        </w:rPr>
        <w:t>Any holidays that may fall within this time frame will be included in the leave period permitted by EL.</w:t>
      </w:r>
    </w:p>
    <w:p w14:paraId="4BDC1BE1">
      <w:pPr>
        <w:spacing w:after="39" w:line="259" w:lineRule="auto"/>
        <w:ind w:left="0" w:firstLine="0"/>
        <w:jc w:val="left"/>
        <w:rPr>
          <w:sz w:val="22"/>
          <w:szCs w:val="22"/>
        </w:rPr>
      </w:pPr>
      <w:r>
        <w:rPr>
          <w:b/>
          <w:sz w:val="22"/>
          <w:szCs w:val="22"/>
        </w:rPr>
        <w:t xml:space="preserve"> </w:t>
      </w:r>
    </w:p>
    <w:p w14:paraId="562663F3">
      <w:pPr>
        <w:pStyle w:val="4"/>
      </w:pPr>
      <w:bookmarkStart w:id="45" w:name="_Toc204820983"/>
      <w:r>
        <w:t>4.6.2 Casual Leave</w:t>
      </w:r>
      <w:bookmarkEnd w:id="45"/>
      <w:r>
        <w:t xml:space="preserve">  </w:t>
      </w:r>
    </w:p>
    <w:p w14:paraId="36F2D68E">
      <w:pPr>
        <w:spacing w:after="139" w:line="259" w:lineRule="auto"/>
        <w:jc w:val="left"/>
        <w:rPr>
          <w:sz w:val="22"/>
          <w:szCs w:val="22"/>
        </w:rPr>
      </w:pPr>
      <w:r>
        <w:rPr>
          <w:sz w:val="22"/>
          <w:szCs w:val="22"/>
        </w:rPr>
        <w:t xml:space="preserve">For crises and unanticipated events, employees are entitled to up to 10 (10) days of paid casual leave each calendar year. However, such leave cannot be taken for more than three (three) days at a time. </w:t>
      </w:r>
      <w:r>
        <w:rPr>
          <w:sz w:val="22"/>
          <w:szCs w:val="22"/>
        </w:rPr>
        <w:br w:type="textWrapping"/>
      </w:r>
      <w:r>
        <w:rPr>
          <w:sz w:val="22"/>
          <w:szCs w:val="22"/>
        </w:rPr>
        <w:br w:type="textWrapping"/>
      </w:r>
      <w:r>
        <w:rPr>
          <w:sz w:val="22"/>
          <w:szCs w:val="22"/>
        </w:rPr>
        <w:t>The responsible Head of the Division, Department, Unit, or Branch Manager should be notified by the employee (in writing, verbally, or over the phone) of any casualty or unanticipated incident, along with the necessary leave period.</w:t>
      </w:r>
    </w:p>
    <w:p w14:paraId="795C9DAE">
      <w:pPr>
        <w:spacing w:after="117" w:line="259" w:lineRule="auto"/>
        <w:jc w:val="left"/>
        <w:rPr>
          <w:sz w:val="22"/>
          <w:szCs w:val="22"/>
        </w:rPr>
      </w:pPr>
      <w:r>
        <w:rPr>
          <w:sz w:val="22"/>
          <w:szCs w:val="22"/>
        </w:rPr>
        <w:t xml:space="preserve">Casual leave can only be used within the calendar year in which it occurs and cannot be accrued. Casual leave that has not been used throughout a calendar year will expire on December 31st of that year. It is not allowed to extend casual leave for more than three days. </w:t>
      </w:r>
      <w:r>
        <w:rPr>
          <w:sz w:val="22"/>
          <w:szCs w:val="22"/>
        </w:rPr>
        <w:br w:type="textWrapping"/>
      </w:r>
      <w:r>
        <w:rPr>
          <w:sz w:val="22"/>
          <w:szCs w:val="22"/>
        </w:rPr>
        <w:t>The entire period will be converted into earned leave as may be due and into leave without pay, if no other leave is due, if any casual leave is extended and the total period (including the period for which casual leave was originally granted) exceeds the period for which casual leave is due and admissible in a single spell.</w:t>
      </w:r>
    </w:p>
    <w:p w14:paraId="6F9823F7">
      <w:pPr>
        <w:spacing w:after="117" w:line="259" w:lineRule="auto"/>
        <w:jc w:val="left"/>
        <w:rPr>
          <w:sz w:val="22"/>
          <w:szCs w:val="22"/>
        </w:rPr>
      </w:pPr>
      <w:r>
        <w:rPr>
          <w:sz w:val="22"/>
          <w:szCs w:val="22"/>
        </w:rPr>
        <w:t>With his or her casual leave, one can take use of both prefixing and suffixing weekly or festival holidays.</w:t>
      </w:r>
    </w:p>
    <w:p w14:paraId="5F324E55">
      <w:pPr>
        <w:spacing w:after="117" w:line="259" w:lineRule="auto"/>
        <w:jc w:val="left"/>
        <w:rPr>
          <w:sz w:val="22"/>
          <w:szCs w:val="22"/>
        </w:rPr>
      </w:pPr>
    </w:p>
    <w:p w14:paraId="27F408D1">
      <w:pPr>
        <w:spacing w:after="0" w:line="259" w:lineRule="auto"/>
        <w:ind w:left="540" w:firstLine="0"/>
        <w:jc w:val="left"/>
        <w:rPr>
          <w:sz w:val="22"/>
          <w:szCs w:val="22"/>
        </w:rPr>
      </w:pPr>
      <w:r>
        <w:rPr>
          <w:b/>
          <w:sz w:val="22"/>
          <w:szCs w:val="22"/>
        </w:rPr>
        <w:t xml:space="preserve"> </w:t>
      </w:r>
    </w:p>
    <w:p w14:paraId="58031004">
      <w:pPr>
        <w:pStyle w:val="4"/>
      </w:pPr>
      <w:bookmarkStart w:id="46" w:name="_Toc204820984"/>
      <w:r>
        <w:t>4.6.3 Sick Leave (SL)</w:t>
      </w:r>
      <w:bookmarkEnd w:id="46"/>
      <w:r>
        <w:t xml:space="preserve">  </w:t>
      </w:r>
    </w:p>
    <w:p w14:paraId="088A5E58">
      <w:pPr>
        <w:spacing w:after="158" w:line="259" w:lineRule="auto"/>
        <w:ind w:left="540" w:firstLine="0"/>
        <w:jc w:val="left"/>
        <w:rPr>
          <w:sz w:val="22"/>
          <w:szCs w:val="22"/>
        </w:rPr>
      </w:pPr>
      <w:r>
        <w:rPr>
          <w:sz w:val="22"/>
          <w:szCs w:val="22"/>
        </w:rPr>
        <w:t xml:space="preserve"> </w:t>
      </w:r>
    </w:p>
    <w:p w14:paraId="3F52173B">
      <w:pPr>
        <w:ind w:right="324"/>
        <w:rPr>
          <w:sz w:val="22"/>
          <w:szCs w:val="22"/>
        </w:rPr>
      </w:pPr>
      <w:r>
        <w:rPr>
          <w:sz w:val="22"/>
          <w:szCs w:val="22"/>
        </w:rPr>
        <w:t xml:space="preserve">In each calendar year a maximum of 15 working days will be allowed to an employee as Sick Leave. For the purpose of the requirement for medical testimony, absence of leave more than 2 days will be counted. Sick leave cannot be accumulated and the unspent sick leave shall lapse on December 31 of each year.  </w:t>
      </w:r>
    </w:p>
    <w:p w14:paraId="1C543050">
      <w:pPr>
        <w:spacing w:after="139" w:line="259" w:lineRule="auto"/>
        <w:ind w:firstLine="0"/>
        <w:jc w:val="left"/>
        <w:rPr>
          <w:sz w:val="22"/>
          <w:szCs w:val="22"/>
        </w:rPr>
      </w:pPr>
      <w:r>
        <w:rPr>
          <w:sz w:val="22"/>
          <w:szCs w:val="22"/>
        </w:rPr>
        <w:t xml:space="preserve">Normal compensation will be as follows if the absence is not due to personal misbehaviour and a medical certificate confirming the employee's incapacity to work has been obtained:  </w:t>
      </w:r>
    </w:p>
    <w:p w14:paraId="49E8FA3B">
      <w:pPr>
        <w:spacing w:after="139" w:line="259" w:lineRule="auto"/>
        <w:ind w:firstLine="0"/>
        <w:jc w:val="left"/>
        <w:rPr>
          <w:sz w:val="22"/>
          <w:szCs w:val="22"/>
        </w:rPr>
      </w:pPr>
      <w:r>
        <w:rPr>
          <w:sz w:val="22"/>
          <w:szCs w:val="22"/>
        </w:rPr>
        <w:t xml:space="preserve"> After the first 30 days of the year, you are entitled to 15 days of paid time off (basic and house rent). only basic salary for the next 30 days. Unpaid for up to 180 days while still in active service status and for more than 60 days.  </w:t>
      </w:r>
    </w:p>
    <w:p w14:paraId="09D4762A">
      <w:pPr>
        <w:spacing w:after="139" w:line="259" w:lineRule="auto"/>
        <w:ind w:firstLine="0"/>
        <w:rPr>
          <w:sz w:val="22"/>
          <w:szCs w:val="22"/>
        </w:rPr>
      </w:pPr>
      <w:r>
        <w:rPr>
          <w:sz w:val="22"/>
          <w:szCs w:val="22"/>
        </w:rPr>
        <w:t xml:space="preserve">The provision of a true and legitimate certificate from the bank's authorized physician, clinic, or hospital is a prerequisite for the previously described approval process. </w:t>
      </w:r>
    </w:p>
    <w:p w14:paraId="36C5DCBC">
      <w:pPr>
        <w:spacing w:after="139" w:line="259" w:lineRule="auto"/>
        <w:ind w:firstLine="0"/>
        <w:rPr>
          <w:sz w:val="22"/>
          <w:szCs w:val="22"/>
        </w:rPr>
      </w:pPr>
      <w:r>
        <w:rPr>
          <w:sz w:val="22"/>
          <w:szCs w:val="22"/>
        </w:rPr>
        <w:t xml:space="preserve"> Unless the Managing Director decides otherwise, the employee will be released from service if, at the end of that time, they are still deemed unsuitable for duty.  </w:t>
      </w:r>
    </w:p>
    <w:p w14:paraId="12020FEC">
      <w:pPr>
        <w:spacing w:after="139" w:line="259" w:lineRule="auto"/>
        <w:ind w:left="0" w:firstLine="0"/>
        <w:rPr>
          <w:sz w:val="22"/>
          <w:szCs w:val="22"/>
        </w:rPr>
      </w:pPr>
      <w:r>
        <w:rPr>
          <w:sz w:val="22"/>
          <w:szCs w:val="22"/>
        </w:rPr>
        <w:t xml:space="preserve">If an employee becomes ill, they should contact their supervisor right away.  A certificate from the attending physician must be given to the supervising manager if they are absent on sick leave for more than two days in a row.  </w:t>
      </w:r>
    </w:p>
    <w:p w14:paraId="742998D0">
      <w:pPr>
        <w:spacing w:after="77" w:line="259" w:lineRule="auto"/>
        <w:ind w:left="540" w:firstLine="0"/>
        <w:jc w:val="left"/>
        <w:rPr>
          <w:sz w:val="22"/>
          <w:szCs w:val="22"/>
        </w:rPr>
      </w:pPr>
      <w:r>
        <w:rPr>
          <w:sz w:val="22"/>
          <w:szCs w:val="22"/>
        </w:rPr>
        <w:t xml:space="preserve"> </w:t>
      </w:r>
    </w:p>
    <w:p w14:paraId="7AD859B9">
      <w:pPr>
        <w:pStyle w:val="4"/>
      </w:pPr>
      <w:bookmarkStart w:id="47" w:name="_Toc204820985"/>
      <w:r>
        <w:t>4.6.4 Maternity Leave</w:t>
      </w:r>
      <w:bookmarkEnd w:id="47"/>
      <w:r>
        <w:t xml:space="preserve">  </w:t>
      </w:r>
    </w:p>
    <w:p w14:paraId="05C0F131">
      <w:pPr>
        <w:spacing w:after="111" w:line="259" w:lineRule="auto"/>
        <w:ind w:firstLine="0"/>
        <w:rPr>
          <w:sz w:val="22"/>
          <w:szCs w:val="22"/>
        </w:rPr>
      </w:pPr>
      <w:r>
        <w:rPr>
          <w:sz w:val="22"/>
          <w:szCs w:val="22"/>
        </w:rPr>
        <w:t xml:space="preserve">A female employee is entitled to 180 days of paid maternity leave, of which 50% may be taken during pregnancy and the remaining time during the postpartum period.  However, depending on the applicant's needs and backed by a certificate from the attending physician, the leave may be taken before to or following confinement.  </w:t>
      </w:r>
    </w:p>
    <w:p w14:paraId="55F19D98">
      <w:pPr>
        <w:spacing w:after="111" w:line="259" w:lineRule="auto"/>
        <w:ind w:firstLine="0"/>
        <w:rPr>
          <w:sz w:val="22"/>
          <w:szCs w:val="22"/>
        </w:rPr>
      </w:pPr>
      <w:r>
        <w:rPr>
          <w:sz w:val="22"/>
          <w:szCs w:val="22"/>
        </w:rPr>
        <w:t xml:space="preserve"> Before the date of delivery, a female employee must inform her supervisor of her pregnancy at least 70 (seventy) days or 10 (ten) weeks in advance.  </w:t>
      </w:r>
    </w:p>
    <w:p w14:paraId="63028BF6">
      <w:pPr>
        <w:spacing w:after="111" w:line="259" w:lineRule="auto"/>
        <w:rPr>
          <w:sz w:val="22"/>
          <w:szCs w:val="22"/>
        </w:rPr>
      </w:pPr>
      <w:r>
        <w:rPr>
          <w:sz w:val="22"/>
          <w:szCs w:val="22"/>
        </w:rPr>
        <w:t xml:space="preserve">The Supervising Manager should be shown a document from her attending physician that details the date of delivery. </w:t>
      </w:r>
    </w:p>
    <w:p w14:paraId="03CEF679">
      <w:pPr>
        <w:ind w:right="332"/>
        <w:rPr>
          <w:sz w:val="22"/>
          <w:szCs w:val="22"/>
        </w:rPr>
      </w:pPr>
      <w:r>
        <w:rPr>
          <w:sz w:val="22"/>
          <w:szCs w:val="22"/>
        </w:rPr>
        <w:t xml:space="preserve">The above provisions shall apply to all permanent female staff and also to a female employee who is not yet confirmed but have completed 6 (six) months continuous service with the Bank. Maternity benefit shall not be allowed if the female employee has 2 (two) or more children alive at the time of delivery of expected childbirth. However, Maternity leave shall be granted to the extent of the entitlement of a female employee 2 (two) times during the entire service career with the Bank.  </w:t>
      </w:r>
    </w:p>
    <w:p w14:paraId="35D23D8D">
      <w:pPr>
        <w:spacing w:after="102" w:line="259" w:lineRule="auto"/>
        <w:ind w:left="540" w:firstLine="0"/>
        <w:jc w:val="left"/>
        <w:rPr>
          <w:sz w:val="32"/>
          <w:szCs w:val="32"/>
        </w:rPr>
      </w:pPr>
      <w:r>
        <w:rPr>
          <w:b/>
          <w:sz w:val="22"/>
          <w:szCs w:val="22"/>
        </w:rPr>
        <w:t xml:space="preserve"> </w:t>
      </w:r>
    </w:p>
    <w:p w14:paraId="5D900989">
      <w:pPr>
        <w:pStyle w:val="4"/>
      </w:pPr>
      <w:bookmarkStart w:id="48" w:name="_Toc204820986"/>
      <w:r>
        <w:t>4.6.5Limitation to Entitlement</w:t>
      </w:r>
      <w:bookmarkEnd w:id="48"/>
      <w:r>
        <w:t xml:space="preserve">  </w:t>
      </w:r>
    </w:p>
    <w:p w14:paraId="68429534">
      <w:pPr>
        <w:spacing w:after="83" w:line="259" w:lineRule="auto"/>
        <w:ind w:firstLine="0"/>
        <w:jc w:val="left"/>
        <w:rPr>
          <w:sz w:val="22"/>
          <w:szCs w:val="22"/>
        </w:rPr>
      </w:pPr>
      <w:r>
        <w:rPr>
          <w:sz w:val="22"/>
          <w:szCs w:val="22"/>
        </w:rPr>
        <w:t>No paternity option leave of any sort will be given to an employee for the duration of his employment with the bank.</w:t>
      </w:r>
    </w:p>
    <w:p w14:paraId="71324024">
      <w:pPr>
        <w:spacing w:after="83" w:line="259" w:lineRule="auto"/>
        <w:ind w:left="540" w:firstLine="0"/>
        <w:jc w:val="left"/>
        <w:rPr>
          <w:sz w:val="22"/>
          <w:szCs w:val="22"/>
        </w:rPr>
      </w:pPr>
      <w:r>
        <w:rPr>
          <w:sz w:val="22"/>
          <w:szCs w:val="22"/>
        </w:rPr>
        <w:t xml:space="preserve"> </w:t>
      </w:r>
    </w:p>
    <w:p w14:paraId="2FD38836">
      <w:pPr>
        <w:pStyle w:val="4"/>
      </w:pPr>
      <w:bookmarkStart w:id="49" w:name="_Toc204820987"/>
      <w:r>
        <w:t>4.6.7Quarantine Leave</w:t>
      </w:r>
      <w:bookmarkEnd w:id="49"/>
      <w:r>
        <w:t xml:space="preserve">  </w:t>
      </w:r>
    </w:p>
    <w:p w14:paraId="3C9AA976">
      <w:pPr>
        <w:spacing w:after="15" w:line="247" w:lineRule="auto"/>
        <w:ind w:right="167"/>
        <w:rPr>
          <w:sz w:val="22"/>
          <w:szCs w:val="22"/>
        </w:rPr>
      </w:pPr>
      <w:r>
        <w:rPr>
          <w:sz w:val="22"/>
          <w:szCs w:val="22"/>
        </w:rPr>
        <w:t xml:space="preserve">If an employee or any member of their family has a communicable condition, they may be granted paid quarantine leave for a maximum of 14 (two weeks) days if they are ordered to stay away from work.  </w:t>
      </w:r>
    </w:p>
    <w:p w14:paraId="3A09DCB3">
      <w:pPr>
        <w:spacing w:after="15" w:line="247" w:lineRule="auto"/>
        <w:ind w:right="167"/>
        <w:rPr>
          <w:sz w:val="22"/>
          <w:szCs w:val="22"/>
        </w:rPr>
      </w:pPr>
      <w:r>
        <w:rPr>
          <w:sz w:val="22"/>
          <w:szCs w:val="22"/>
        </w:rPr>
        <w:t xml:space="preserve"> His or her attending physician must endorse a request for quarantine leave.  Quarantine leave does not count as an absence from work for an employee. </w:t>
      </w:r>
    </w:p>
    <w:p w14:paraId="09DC18B7">
      <w:pPr>
        <w:pStyle w:val="3"/>
        <w:rPr>
          <w:rFonts w:ascii="Times New Roman" w:hAnsi="Times New Roman" w:cs="Times New Roman"/>
        </w:rPr>
      </w:pPr>
    </w:p>
    <w:p w14:paraId="5BACCCB7">
      <w:pPr>
        <w:pStyle w:val="4"/>
      </w:pPr>
      <w:bookmarkStart w:id="50" w:name="_Toc204820988"/>
      <w:r>
        <w:rPr>
          <w:rFonts w:eastAsia="Times New Roman"/>
        </w:rPr>
        <w:t>4.6.8Pilgrimage Leave</w:t>
      </w:r>
      <w:bookmarkEnd w:id="50"/>
    </w:p>
    <w:p w14:paraId="2764913A">
      <w:pPr>
        <w:spacing w:after="0" w:line="259" w:lineRule="auto"/>
        <w:ind w:left="540" w:firstLine="0"/>
        <w:jc w:val="left"/>
        <w:rPr>
          <w:sz w:val="22"/>
          <w:szCs w:val="22"/>
        </w:rPr>
      </w:pPr>
      <w:r>
        <w:rPr>
          <w:sz w:val="22"/>
          <w:szCs w:val="22"/>
        </w:rPr>
        <w:t xml:space="preserve"> </w:t>
      </w:r>
    </w:p>
    <w:p w14:paraId="43BD70F0">
      <w:pPr>
        <w:pStyle w:val="6"/>
        <w:ind w:right="0"/>
        <w:rPr>
          <w:rFonts w:eastAsia="Times New Roman" w:cs="Times New Roman"/>
          <w:color w:val="000000"/>
          <w:sz w:val="22"/>
          <w:szCs w:val="22"/>
        </w:rPr>
      </w:pPr>
      <w:r>
        <w:rPr>
          <w:rFonts w:eastAsia="Times New Roman" w:cs="Times New Roman"/>
          <w:color w:val="000000"/>
          <w:sz w:val="22"/>
          <w:szCs w:val="22"/>
        </w:rPr>
        <w:t>In order to complete the Hajj or Umrah and/or visit other places of religious interest, an employee of the Bank is entitled to 15 (15) days of pilgrimage leave once during his or her career. However, this leave will not be granted until the employee has been actively employed for at least five years.</w:t>
      </w:r>
    </w:p>
    <w:p w14:paraId="4D5939DE">
      <w:pPr>
        <w:pStyle w:val="4"/>
      </w:pPr>
      <w:bookmarkStart w:id="51" w:name="_Toc204820989"/>
      <w:r>
        <w:rPr>
          <w:rFonts w:eastAsia="Times New Roman"/>
        </w:rPr>
        <w:t>4.6.9Compulsory / Enforced Leave</w:t>
      </w:r>
      <w:bookmarkEnd w:id="51"/>
    </w:p>
    <w:p w14:paraId="18DC76CE">
      <w:pPr>
        <w:spacing w:after="58" w:line="259" w:lineRule="auto"/>
        <w:ind w:firstLine="0"/>
        <w:rPr>
          <w:sz w:val="22"/>
          <w:szCs w:val="22"/>
        </w:rPr>
      </w:pPr>
      <w:r>
        <w:rPr>
          <w:sz w:val="22"/>
          <w:szCs w:val="22"/>
        </w:rPr>
        <w:t>When necessary, in order to protect the bank's interests, management may, at its discretion, place an employee on mandatory or imposed leave; this leave will be deducted from the employee's earned leave.  Records of Compulsory or Enforced Leave must be kept in the employee's personal file.</w:t>
      </w:r>
      <w:r>
        <w:rPr>
          <w:b/>
          <w:sz w:val="22"/>
          <w:szCs w:val="22"/>
        </w:rPr>
        <w:t xml:space="preserve"> </w:t>
      </w:r>
    </w:p>
    <w:p w14:paraId="5CC6704F">
      <w:pPr>
        <w:pStyle w:val="4"/>
      </w:pPr>
      <w:bookmarkStart w:id="52" w:name="_Toc204820990"/>
      <w:bookmarkStart w:id="53" w:name="_Hlk203430649"/>
      <w:r>
        <w:t>4.6.10 Leave without Pay</w:t>
      </w:r>
      <w:bookmarkEnd w:id="52"/>
      <w:r>
        <w:t xml:space="preserve">  </w:t>
      </w:r>
    </w:p>
    <w:bookmarkEnd w:id="53"/>
    <w:p w14:paraId="21ECAF25">
      <w:pPr>
        <w:spacing w:after="119" w:line="259" w:lineRule="auto"/>
        <w:ind w:left="0" w:firstLine="0"/>
        <w:jc w:val="left"/>
        <w:rPr>
          <w:sz w:val="22"/>
          <w:szCs w:val="22"/>
        </w:rPr>
      </w:pPr>
      <w:r>
        <w:rPr>
          <w:sz w:val="22"/>
          <w:szCs w:val="22"/>
        </w:rPr>
        <w:t xml:space="preserve">An employee who is generally seen as outstanding and who works for the Bank may be retained on leave without pay for brief absences from work (for a valid reason).  This category includes leave of absence from duty that is an extension of an authorized leave of absence without notification or approval.  The available appraisal from the previous two years will be used to inform the decision.  Authorization and Limitations  </w:t>
      </w:r>
    </w:p>
    <w:p w14:paraId="1007DFEF">
      <w:pPr>
        <w:ind w:left="541" w:right="323" w:hanging="449"/>
        <w:jc w:val="left"/>
        <w:rPr>
          <w:sz w:val="22"/>
          <w:szCs w:val="22"/>
        </w:rPr>
      </w:pPr>
      <w:r>
        <w:rPr>
          <w:b/>
          <w:sz w:val="22"/>
          <w:szCs w:val="22"/>
        </w:rPr>
        <w:t xml:space="preserve">a).  </w:t>
      </w:r>
      <w:r>
        <w:rPr>
          <w:sz w:val="22"/>
          <w:szCs w:val="22"/>
        </w:rPr>
        <w:t xml:space="preserve">Leave without pay has to be granted by the Management for periods of up to 30 days when the employee does not have sufficient acquired leave to cover an absence (legitimate and acceptable) which was not been approved.  </w:t>
      </w:r>
    </w:p>
    <w:p w14:paraId="19267DDD">
      <w:pPr>
        <w:spacing w:after="155" w:line="259" w:lineRule="auto"/>
        <w:ind w:left="0" w:firstLine="0"/>
        <w:jc w:val="left"/>
        <w:rPr>
          <w:sz w:val="22"/>
          <w:szCs w:val="22"/>
        </w:rPr>
      </w:pPr>
      <w:r>
        <w:rPr>
          <w:b/>
          <w:sz w:val="22"/>
          <w:szCs w:val="22"/>
        </w:rPr>
        <w:t xml:space="preserve"> </w:t>
      </w:r>
    </w:p>
    <w:p w14:paraId="74B736F0">
      <w:pPr>
        <w:ind w:left="102" w:right="14"/>
        <w:jc w:val="left"/>
        <w:rPr>
          <w:sz w:val="22"/>
          <w:szCs w:val="22"/>
        </w:rPr>
      </w:pPr>
      <w:r>
        <w:rPr>
          <w:b/>
          <w:sz w:val="22"/>
          <w:szCs w:val="22"/>
        </w:rPr>
        <w:t xml:space="preserve">b). </w:t>
      </w:r>
      <w:r>
        <w:rPr>
          <w:sz w:val="22"/>
          <w:szCs w:val="22"/>
        </w:rPr>
        <w:t xml:space="preserve">Leave without pay must be granted by the Management for periods of more than 30     Calendar days, but not more than a year, for the following purposes:  </w:t>
      </w:r>
    </w:p>
    <w:p w14:paraId="1E91E67F">
      <w:pPr>
        <w:pStyle w:val="4"/>
      </w:pPr>
      <w:bookmarkStart w:id="54" w:name="_Toc204820991"/>
      <w:r>
        <w:rPr>
          <w:rFonts w:eastAsia="Times New Roman"/>
        </w:rPr>
        <w:t>4.6.11 Extraordinary Leave</w:t>
      </w:r>
      <w:bookmarkEnd w:id="54"/>
    </w:p>
    <w:p w14:paraId="4608E906">
      <w:pPr>
        <w:spacing w:after="15" w:line="247" w:lineRule="auto"/>
        <w:ind w:right="169"/>
        <w:rPr>
          <w:sz w:val="22"/>
          <w:szCs w:val="22"/>
        </w:rPr>
      </w:pPr>
      <w:r>
        <w:rPr>
          <w:sz w:val="22"/>
          <w:szCs w:val="22"/>
        </w:rPr>
        <w:t>Unusual Leave A confirmed employee may be allowed a maximum of 180 (one hundred eighty) days at the Managing Director's discretion if no additional leave is owed to them. Extraordinary leave durations must be limited so that the overall leave term, including other leave taken in combination, does not surpass 360 (three hundred sixty) days. During an unusual leave of absence, no compensation or benefits are permitted. In some situations, the board may approve these paid leaves.</w:t>
      </w:r>
    </w:p>
    <w:p w14:paraId="04A14B40">
      <w:pPr>
        <w:spacing w:after="15" w:line="247" w:lineRule="auto"/>
        <w:ind w:right="169"/>
        <w:rPr>
          <w:sz w:val="22"/>
          <w:szCs w:val="22"/>
        </w:rPr>
      </w:pPr>
      <w:r>
        <w:rPr>
          <w:sz w:val="22"/>
          <w:szCs w:val="22"/>
        </w:rPr>
        <w:t xml:space="preserve">The period spent on extraordinary leave must not be counted towards active service and increments, provided but that the board may, from its position, grant extraordinary leave to an employee for acquiring an approve course of study, which may be counted towards active service and increments, with or without salary. </w:t>
      </w:r>
    </w:p>
    <w:p w14:paraId="3AD09890">
      <w:pPr>
        <w:spacing w:after="15" w:line="247" w:lineRule="auto"/>
        <w:ind w:right="169"/>
        <w:rPr>
          <w:sz w:val="22"/>
          <w:szCs w:val="22"/>
        </w:rPr>
      </w:pPr>
      <w:r>
        <w:rPr>
          <w:sz w:val="22"/>
          <w:szCs w:val="22"/>
        </w:rPr>
        <w:t xml:space="preserve">This restriction shall not be applied in the case of an employee/banker, who is permitted to go through training.  </w:t>
      </w:r>
    </w:p>
    <w:p w14:paraId="7B2B99FE">
      <w:pPr>
        <w:pStyle w:val="4"/>
      </w:pPr>
      <w:r>
        <w:t xml:space="preserve"> </w:t>
      </w:r>
      <w:bookmarkStart w:id="55" w:name="_Toc204820992"/>
      <w:r>
        <w:rPr>
          <w:rFonts w:eastAsia="Times New Roman"/>
        </w:rPr>
        <w:t>4.6.12 Study Leave</w:t>
      </w:r>
      <w:bookmarkEnd w:id="55"/>
      <w:r>
        <w:rPr>
          <w:rFonts w:eastAsia="Times New Roman"/>
        </w:rPr>
        <w:t xml:space="preserve"> </w:t>
      </w:r>
    </w:p>
    <w:p w14:paraId="157A11BE">
      <w:pPr>
        <w:spacing w:after="97" w:line="259" w:lineRule="auto"/>
        <w:jc w:val="left"/>
        <w:rPr>
          <w:sz w:val="22"/>
          <w:szCs w:val="22"/>
        </w:rPr>
      </w:pPr>
      <w:r>
        <w:rPr>
          <w:sz w:val="22"/>
          <w:szCs w:val="22"/>
        </w:rPr>
        <w:t>An employee who has been in continuous service for at least three (three) years may be granted study leave without pay by the Board's Executive Committee upon the recommendation of Management. This leave would allow the employee to study or take a special course of instruction, either inside or outside of Bangladesh, under terms and conditions that the Board may specify and that could benefit the Bank in terms of the employee's qualifications.</w:t>
      </w:r>
    </w:p>
    <w:p w14:paraId="5D940BB1">
      <w:pPr>
        <w:spacing w:after="97" w:line="259" w:lineRule="auto"/>
        <w:jc w:val="left"/>
        <w:rPr>
          <w:iCs/>
          <w:sz w:val="22"/>
          <w:szCs w:val="22"/>
        </w:rPr>
      </w:pPr>
      <w:r>
        <w:rPr>
          <w:iCs/>
          <w:sz w:val="22"/>
          <w:szCs w:val="22"/>
        </w:rPr>
        <w:t xml:space="preserve">Until HRD has given its approval about the acceptability of the leave (leave balance), no leave will be issued to an employee. </w:t>
      </w:r>
      <w:r>
        <w:rPr>
          <w:iCs/>
          <w:sz w:val="22"/>
          <w:szCs w:val="22"/>
        </w:rPr>
        <w:br w:type="textWrapping"/>
      </w:r>
      <w:r>
        <w:rPr>
          <w:iCs/>
          <w:sz w:val="22"/>
          <w:szCs w:val="22"/>
        </w:rPr>
        <w:t xml:space="preserve">Any time off must be returned by midday at the latest. If not, joining will be counted starting the following day. </w:t>
      </w:r>
      <w:r>
        <w:rPr>
          <w:iCs/>
          <w:sz w:val="22"/>
          <w:szCs w:val="22"/>
        </w:rPr>
        <w:br w:type="textWrapping"/>
      </w:r>
      <w:r>
        <w:rPr>
          <w:iCs/>
          <w:sz w:val="22"/>
          <w:szCs w:val="22"/>
        </w:rPr>
        <w:t>It is not possible to claim leave as a right or privilege. The authority with the capacity to grant leave retains the right to deny or revoke it when the demands of the service so demand.</w:t>
      </w:r>
    </w:p>
    <w:p w14:paraId="1BC9CC36">
      <w:pPr>
        <w:spacing w:after="97" w:line="259" w:lineRule="auto"/>
        <w:jc w:val="left"/>
        <w:rPr>
          <w:b/>
          <w:sz w:val="22"/>
          <w:szCs w:val="22"/>
        </w:rPr>
      </w:pPr>
      <w:r>
        <w:rPr>
          <w:b/>
          <w:sz w:val="22"/>
          <w:szCs w:val="22"/>
        </w:rPr>
        <w:t xml:space="preserve"> </w:t>
      </w:r>
    </w:p>
    <w:p w14:paraId="30A8087C">
      <w:pPr>
        <w:spacing w:after="97" w:line="259" w:lineRule="auto"/>
        <w:jc w:val="left"/>
        <w:rPr>
          <w:sz w:val="22"/>
          <w:szCs w:val="22"/>
        </w:rPr>
      </w:pPr>
      <w:r>
        <w:rPr>
          <w:b/>
          <w:sz w:val="22"/>
          <w:szCs w:val="22"/>
        </w:rPr>
        <w:t xml:space="preserve"> </w:t>
      </w:r>
    </w:p>
    <w:p w14:paraId="481DDA44">
      <w:pPr>
        <w:spacing w:after="0" w:line="259" w:lineRule="auto"/>
        <w:ind w:left="540" w:firstLine="0"/>
        <w:jc w:val="left"/>
        <w:rPr>
          <w:sz w:val="32"/>
          <w:szCs w:val="32"/>
        </w:rPr>
      </w:pPr>
    </w:p>
    <w:p w14:paraId="3C4B33DA">
      <w:pPr>
        <w:pStyle w:val="4"/>
      </w:pPr>
      <w:bookmarkStart w:id="56" w:name="_Hlk203430873"/>
      <w:bookmarkStart w:id="57" w:name="_Toc204820993"/>
      <w:r>
        <w:t xml:space="preserve">4.6.13 Unauthorized </w:t>
      </w:r>
      <w:bookmarkEnd w:id="56"/>
      <w:r>
        <w:t>Absences:</w:t>
      </w:r>
      <w:bookmarkEnd w:id="57"/>
      <w:r>
        <w:t xml:space="preserve"> </w:t>
      </w:r>
    </w:p>
    <w:p w14:paraId="2A105997">
      <w:pPr>
        <w:pStyle w:val="6"/>
        <w:ind w:right="0"/>
        <w:rPr>
          <w:rFonts w:eastAsia="Times New Roman" w:cs="Times New Roman"/>
          <w:color w:val="000000"/>
          <w:sz w:val="22"/>
          <w:szCs w:val="22"/>
        </w:rPr>
      </w:pPr>
      <w:r>
        <w:rPr>
          <w:rFonts w:eastAsia="Times New Roman" w:cs="Times New Roman"/>
          <w:color w:val="000000"/>
          <w:sz w:val="22"/>
          <w:szCs w:val="22"/>
        </w:rPr>
        <w:t>Unless otherwise instructed, any employee who misses work for three consecutive days without a valid reason or prior authorization will forfeit their compensation for the day or days of absence. This will not affect their ability to continue serving their employer.   Such absences on a regular basis will be considered a violation and may lead to disciplinary action.</w:t>
      </w:r>
    </w:p>
    <w:p w14:paraId="7A261021">
      <w:pPr>
        <w:pStyle w:val="4"/>
      </w:pPr>
      <w:bookmarkStart w:id="58" w:name="_Toc204820994"/>
      <w:r>
        <w:t>4.6.14 Leave procedure</w:t>
      </w:r>
      <w:bookmarkEnd w:id="58"/>
      <w:r>
        <w:t xml:space="preserve"> </w:t>
      </w:r>
    </w:p>
    <w:p w14:paraId="7D1B125F">
      <w:pPr>
        <w:spacing w:after="99" w:line="259" w:lineRule="auto"/>
        <w:jc w:val="left"/>
        <w:rPr>
          <w:sz w:val="22"/>
          <w:szCs w:val="22"/>
        </w:rPr>
      </w:pPr>
    </w:p>
    <w:p w14:paraId="232CD00E">
      <w:pPr>
        <w:ind w:right="14" w:firstLine="0"/>
        <w:rPr>
          <w:sz w:val="22"/>
          <w:szCs w:val="22"/>
        </w:rPr>
      </w:pPr>
      <w:r>
        <w:rPr>
          <w:b/>
          <w:sz w:val="22"/>
          <w:szCs w:val="22"/>
        </w:rPr>
        <w:t>i)</w:t>
      </w:r>
      <w:r>
        <w:rPr>
          <w:rFonts w:eastAsia="Arial"/>
          <w:b/>
          <w:sz w:val="22"/>
          <w:szCs w:val="22"/>
        </w:rPr>
        <w:t xml:space="preserve"> </w:t>
      </w:r>
      <w:r>
        <w:rPr>
          <w:sz w:val="22"/>
          <w:szCs w:val="22"/>
        </w:rPr>
        <w:t xml:space="preserve">The leave account of an employee must be maintained in such Form as the Management specify from time to time.  </w:t>
      </w:r>
    </w:p>
    <w:p w14:paraId="09366E79">
      <w:pPr>
        <w:ind w:left="11" w:right="1790" w:hanging="89"/>
        <w:rPr>
          <w:sz w:val="22"/>
          <w:szCs w:val="22"/>
        </w:rPr>
      </w:pPr>
      <w:r>
        <w:rPr>
          <w:b/>
          <w:sz w:val="22"/>
          <w:szCs w:val="22"/>
        </w:rPr>
        <w:t xml:space="preserve"> ii)</w:t>
      </w:r>
      <w:r>
        <w:rPr>
          <w:rFonts w:eastAsia="Arial"/>
          <w:b/>
          <w:sz w:val="22"/>
          <w:szCs w:val="22"/>
        </w:rPr>
        <w:t xml:space="preserve"> </w:t>
      </w:r>
      <w:r>
        <w:rPr>
          <w:sz w:val="22"/>
          <w:szCs w:val="22"/>
        </w:rPr>
        <w:t xml:space="preserve">HR Division must maintain the leave account / record of each employee.  </w:t>
      </w:r>
    </w:p>
    <w:p w14:paraId="0838D314">
      <w:pPr>
        <w:spacing w:after="117" w:line="259" w:lineRule="auto"/>
        <w:ind w:left="0" w:firstLine="0"/>
        <w:jc w:val="left"/>
        <w:rPr>
          <w:sz w:val="22"/>
          <w:szCs w:val="22"/>
        </w:rPr>
      </w:pPr>
      <w:r>
        <w:rPr>
          <w:b/>
          <w:sz w:val="22"/>
          <w:szCs w:val="22"/>
        </w:rPr>
        <w:t xml:space="preserve"> </w:t>
      </w:r>
    </w:p>
    <w:p w14:paraId="070665CF">
      <w:pPr>
        <w:numPr>
          <w:ilvl w:val="1"/>
          <w:numId w:val="29"/>
        </w:numPr>
        <w:spacing w:after="15" w:line="247" w:lineRule="auto"/>
        <w:ind w:left="370" w:right="198" w:hanging="360"/>
        <w:rPr>
          <w:sz w:val="22"/>
          <w:szCs w:val="22"/>
        </w:rPr>
      </w:pPr>
      <w:r>
        <w:rPr>
          <w:sz w:val="22"/>
          <w:szCs w:val="22"/>
        </w:rPr>
        <w:t xml:space="preserve">Leave of any kind (Earned / Sick) to an employee cannot be approved but if the HR Division concerned certifies admissibility of the same.  </w:t>
      </w:r>
    </w:p>
    <w:p w14:paraId="1B7C6AE0">
      <w:pPr>
        <w:spacing w:after="117" w:line="259" w:lineRule="auto"/>
        <w:ind w:left="0" w:firstLine="0"/>
        <w:jc w:val="left"/>
        <w:rPr>
          <w:sz w:val="22"/>
          <w:szCs w:val="22"/>
        </w:rPr>
      </w:pPr>
      <w:r>
        <w:rPr>
          <w:b/>
          <w:sz w:val="22"/>
          <w:szCs w:val="22"/>
        </w:rPr>
        <w:t xml:space="preserve"> </w:t>
      </w:r>
    </w:p>
    <w:p w14:paraId="0F1CE174">
      <w:pPr>
        <w:numPr>
          <w:ilvl w:val="1"/>
          <w:numId w:val="29"/>
        </w:numPr>
        <w:spacing w:after="15" w:line="247" w:lineRule="auto"/>
        <w:ind w:left="370" w:right="198" w:hanging="360"/>
        <w:rPr>
          <w:sz w:val="22"/>
          <w:szCs w:val="22"/>
        </w:rPr>
      </w:pPr>
      <w:r>
        <w:rPr>
          <w:sz w:val="22"/>
          <w:szCs w:val="22"/>
        </w:rPr>
        <w:t xml:space="preserve"> application for Earned/Sick leave or for an extension of leave (Earned/Sick) must be sent to the HR Division to approve the leave through the immediate supervisor with his/her recommendation, if any, of the employee applying for the leave.  </w:t>
      </w:r>
    </w:p>
    <w:p w14:paraId="7C867738">
      <w:pPr>
        <w:spacing w:after="36" w:line="259" w:lineRule="auto"/>
        <w:jc w:val="left"/>
        <w:rPr>
          <w:sz w:val="22"/>
          <w:szCs w:val="22"/>
        </w:rPr>
      </w:pPr>
      <w:r>
        <w:rPr>
          <w:b/>
          <w:sz w:val="22"/>
          <w:szCs w:val="22"/>
        </w:rPr>
        <w:t xml:space="preserve"> Leave Approval </w:t>
      </w:r>
    </w:p>
    <w:p w14:paraId="48E3E38C">
      <w:pPr>
        <w:spacing w:after="36" w:line="259" w:lineRule="auto"/>
        <w:ind w:firstLine="0"/>
        <w:jc w:val="left"/>
        <w:rPr>
          <w:rFonts w:eastAsia="Arial"/>
          <w:sz w:val="22"/>
          <w:szCs w:val="22"/>
        </w:rPr>
      </w:pPr>
      <w:r>
        <w:rPr>
          <w:rFonts w:eastAsia="Arial"/>
          <w:sz w:val="22"/>
          <w:szCs w:val="22"/>
        </w:rPr>
        <w:t>Managing Director or Head of Human Resources Division, or as the Managing Director may occasionally assign.</w:t>
      </w:r>
    </w:p>
    <w:p w14:paraId="741F04BD">
      <w:pPr>
        <w:spacing w:after="36" w:line="259" w:lineRule="auto"/>
        <w:ind w:firstLine="0"/>
        <w:jc w:val="left"/>
        <w:rPr>
          <w:sz w:val="22"/>
          <w:szCs w:val="22"/>
        </w:rPr>
      </w:pPr>
      <w:r>
        <w:rPr>
          <w:b/>
          <w:sz w:val="22"/>
          <w:szCs w:val="22"/>
        </w:rPr>
        <w:t xml:space="preserve"> </w:t>
      </w:r>
    </w:p>
    <w:p w14:paraId="6505CC7B">
      <w:pPr>
        <w:spacing w:after="12" w:line="249" w:lineRule="auto"/>
        <w:jc w:val="left"/>
        <w:rPr>
          <w:sz w:val="22"/>
          <w:szCs w:val="22"/>
        </w:rPr>
      </w:pPr>
      <w:r>
        <w:rPr>
          <w:b/>
          <w:sz w:val="22"/>
          <w:szCs w:val="22"/>
        </w:rPr>
        <w:t xml:space="preserve"> Encashment of Leave: </w:t>
      </w:r>
      <w:r>
        <w:rPr>
          <w:sz w:val="22"/>
          <w:szCs w:val="22"/>
        </w:rPr>
        <w:t xml:space="preserve"> </w:t>
      </w:r>
    </w:p>
    <w:p w14:paraId="504EA73F">
      <w:pPr>
        <w:spacing w:after="17" w:line="251" w:lineRule="auto"/>
        <w:rPr>
          <w:sz w:val="22"/>
          <w:szCs w:val="22"/>
        </w:rPr>
      </w:pPr>
      <w:r>
        <w:rPr>
          <w:sz w:val="22"/>
          <w:szCs w:val="22"/>
        </w:rPr>
        <w:t>In the event of resignation, termination, retirement, or death, employees will be compensated financially for any earned leave that is solely theirs (up to a maximum of 70 days). Financial compensation for earned leave encashment, current or existing basic pay, housing rent, conveyance allowance, ceiling, and employee medical allowance will all be taken into account when calculating encashment. No other benefit or allowance will be taken into account.</w:t>
      </w:r>
    </w:p>
    <w:p w14:paraId="54D31011">
      <w:pPr>
        <w:spacing w:after="17" w:line="251" w:lineRule="auto"/>
        <w:rPr>
          <w:sz w:val="22"/>
          <w:szCs w:val="22"/>
        </w:rPr>
      </w:pPr>
    </w:p>
    <w:p w14:paraId="7345AB38">
      <w:pPr>
        <w:spacing w:after="17" w:line="251" w:lineRule="auto"/>
        <w:jc w:val="center"/>
        <w:rPr>
          <w:sz w:val="22"/>
          <w:szCs w:val="22"/>
        </w:rPr>
      </w:pPr>
      <w:r>
        <w:rPr>
          <w:sz w:val="22"/>
          <w:szCs w:val="22"/>
        </w:rPr>
        <w:br w:type="page"/>
      </w:r>
      <w:r>
        <w:rPr>
          <w:sz w:val="22"/>
          <w:szCs w:val="22"/>
        </w:rPr>
        <w:t xml:space="preserve"> </w:t>
      </w:r>
    </w:p>
    <w:p w14:paraId="4E70C1E7">
      <w:pPr>
        <w:pStyle w:val="2"/>
        <w:jc w:val="center"/>
        <w:rPr>
          <w:rFonts w:ascii="Times New Roman" w:hAnsi="Times New Roman" w:cs="Times New Roman"/>
          <w:b/>
          <w:bCs/>
          <w:sz w:val="36"/>
          <w:szCs w:val="36"/>
        </w:rPr>
      </w:pPr>
      <w:bookmarkStart w:id="59" w:name="_Toc204820995"/>
      <w:r>
        <w:rPr>
          <w:rFonts w:ascii="Times New Roman" w:hAnsi="Times New Roman" w:cs="Times New Roman"/>
          <w:b/>
          <w:bCs/>
          <w:sz w:val="36"/>
          <w:szCs w:val="36"/>
        </w:rPr>
        <w:t>Chapter 05</w:t>
      </w:r>
      <w:bookmarkEnd w:id="59"/>
    </w:p>
    <w:p w14:paraId="4D499B33">
      <w:pPr>
        <w:pStyle w:val="2"/>
        <w:jc w:val="center"/>
        <w:rPr>
          <w:rFonts w:ascii="Times New Roman" w:hAnsi="Times New Roman" w:cs="Times New Roman"/>
          <w:b/>
          <w:bCs/>
          <w:sz w:val="36"/>
          <w:szCs w:val="36"/>
        </w:rPr>
      </w:pPr>
      <w:bookmarkStart w:id="60" w:name="_Toc204820996"/>
      <w:r>
        <w:rPr>
          <w:rFonts w:ascii="Times New Roman" w:hAnsi="Times New Roman" w:cs="Times New Roman"/>
          <w:b/>
          <w:bCs/>
          <w:sz w:val="36"/>
          <w:szCs w:val="36"/>
        </w:rPr>
        <w:t>Findings, Recommendations &amp; Conclusion</w:t>
      </w:r>
      <w:bookmarkEnd w:id="60"/>
    </w:p>
    <w:p w14:paraId="2418C78A"/>
    <w:p w14:paraId="563E8700">
      <w:pPr>
        <w:pStyle w:val="3"/>
        <w:rPr>
          <w:rFonts w:ascii="Times New Roman" w:hAnsi="Times New Roman" w:cs="Times New Roman"/>
        </w:rPr>
      </w:pPr>
      <w:bookmarkStart w:id="61" w:name="_Toc204820997"/>
      <w:r>
        <w:rPr>
          <w:rFonts w:ascii="Times New Roman" w:hAnsi="Times New Roman" w:cs="Times New Roman"/>
        </w:rPr>
        <w:t>6.1 Findings</w:t>
      </w:r>
      <w:bookmarkEnd w:id="61"/>
      <w:r>
        <w:rPr>
          <w:rFonts w:ascii="Times New Roman" w:hAnsi="Times New Roman" w:cs="Times New Roman"/>
        </w:rPr>
        <w:t xml:space="preserve">  </w:t>
      </w:r>
    </w:p>
    <w:p w14:paraId="2822B31F">
      <w:pPr>
        <w:spacing w:line="364" w:lineRule="auto"/>
        <w:ind w:left="0" w:right="47" w:firstLine="0"/>
        <w:rPr>
          <w:sz w:val="22"/>
          <w:szCs w:val="22"/>
        </w:rPr>
      </w:pPr>
      <w:r>
        <w:rPr>
          <w:sz w:val="22"/>
          <w:szCs w:val="22"/>
        </w:rPr>
        <w:t>During my three-month internship at Trust Bank PLC, I had the opportunity to observe and understand the bank’s operations, especially in relation to its human resource management, recruitment process, and strategic approach to market competition. Based on my experience and the information gathered from employees, documents, and observation, several important issues have been identified that affect the bank's overall performance and efficiency. These findings highlight areas where improvements are needed to ensure sustainable growth and better alignment with modern banking practices.</w:t>
      </w:r>
    </w:p>
    <w:p w14:paraId="7DDDDFF1">
      <w:pPr>
        <w:pStyle w:val="35"/>
        <w:numPr>
          <w:ilvl w:val="0"/>
          <w:numId w:val="30"/>
        </w:numPr>
        <w:spacing w:line="364" w:lineRule="auto"/>
        <w:ind w:right="47"/>
        <w:rPr>
          <w:sz w:val="22"/>
          <w:szCs w:val="22"/>
        </w:rPr>
      </w:pPr>
      <w:r>
        <w:rPr>
          <w:sz w:val="22"/>
          <w:szCs w:val="22"/>
        </w:rPr>
        <w:t>Trust Bank PLC is facing difficulties in sourcing qualified candidates due to a limited talent pool. Although the bank collaborates with educational institutions and job platforms, the shortage of skilled applicants continues to affect the recruitment process.</w:t>
      </w:r>
    </w:p>
    <w:p w14:paraId="43E50E2C">
      <w:pPr>
        <w:pStyle w:val="35"/>
        <w:numPr>
          <w:ilvl w:val="0"/>
          <w:numId w:val="31"/>
        </w:numPr>
        <w:spacing w:line="364" w:lineRule="auto"/>
        <w:ind w:right="47"/>
        <w:rPr>
          <w:sz w:val="22"/>
          <w:szCs w:val="22"/>
        </w:rPr>
      </w:pPr>
      <w:r>
        <w:rPr>
          <w:sz w:val="22"/>
          <w:szCs w:val="22"/>
        </w:rPr>
        <w:t>There is a noticeable gap between the skills of fresh graduates and the practical needs of the banking industry. This mismatch is caused by limited learning opportunities, outdated academic content, and evolving job roles that require more technical and specialized knowledge.</w:t>
      </w:r>
    </w:p>
    <w:p w14:paraId="455D7DEF">
      <w:pPr>
        <w:pStyle w:val="35"/>
        <w:numPr>
          <w:ilvl w:val="0"/>
          <w:numId w:val="32"/>
        </w:numPr>
        <w:spacing w:line="364" w:lineRule="auto"/>
        <w:ind w:right="47"/>
        <w:rPr>
          <w:sz w:val="22"/>
          <w:szCs w:val="22"/>
        </w:rPr>
      </w:pPr>
      <w:r>
        <w:rPr>
          <w:sz w:val="22"/>
          <w:szCs w:val="22"/>
        </w:rPr>
        <w:t>Trust Bank has long followed a low-cost strategy to remain competitive. However, in the face of growing competition and technological advancements, this approach is no longer sufficient. The lack of innovation in products, services, and employee development is contributing to a decline in market share.</w:t>
      </w:r>
    </w:p>
    <w:p w14:paraId="1D362579">
      <w:pPr>
        <w:spacing w:line="364" w:lineRule="auto"/>
        <w:ind w:left="0" w:right="47" w:firstLine="0"/>
        <w:rPr>
          <w:sz w:val="22"/>
          <w:szCs w:val="22"/>
        </w:rPr>
      </w:pPr>
    </w:p>
    <w:p w14:paraId="564BFFDC">
      <w:pPr>
        <w:pStyle w:val="3"/>
        <w:rPr>
          <w:rFonts w:ascii="Times New Roman" w:hAnsi="Times New Roman" w:cs="Times New Roman"/>
        </w:rPr>
      </w:pPr>
      <w:bookmarkStart w:id="62" w:name="_Toc204820998"/>
      <w:r>
        <w:rPr>
          <w:rFonts w:ascii="Times New Roman" w:hAnsi="Times New Roman" w:cs="Times New Roman"/>
        </w:rPr>
        <w:t>6.2 Recommendations</w:t>
      </w:r>
      <w:bookmarkEnd w:id="62"/>
      <w:r>
        <w:rPr>
          <w:rFonts w:ascii="Times New Roman" w:hAnsi="Times New Roman" w:cs="Times New Roman"/>
        </w:rPr>
        <w:t xml:space="preserve"> </w:t>
      </w:r>
    </w:p>
    <w:p w14:paraId="48608FA2">
      <w:pPr>
        <w:rPr>
          <w:sz w:val="22"/>
          <w:szCs w:val="22"/>
        </w:rPr>
      </w:pPr>
      <w:r>
        <w:rPr>
          <w:sz w:val="22"/>
          <w:szCs w:val="22"/>
        </w:rPr>
        <w:t>The findings from the internship period reveal some key challenges in Trust Bank PLC’s recruitment strategy, skill development efforts, and competitive positioning. These issues, if not addressed properly, could impact the bank’s long-term growth and operational efficiency. Based on these observations, the following recommendations are suggested to help Trust Bank PLC strengthen its workforce, improve internal capabilities, and stay competitive in the evolving banking sector.</w:t>
      </w:r>
    </w:p>
    <w:p w14:paraId="2A7DC81D">
      <w:pPr>
        <w:pStyle w:val="35"/>
        <w:numPr>
          <w:ilvl w:val="0"/>
          <w:numId w:val="32"/>
        </w:numPr>
        <w:rPr>
          <w:sz w:val="22"/>
          <w:szCs w:val="22"/>
        </w:rPr>
      </w:pPr>
      <w:r>
        <w:rPr>
          <w:sz w:val="22"/>
          <w:szCs w:val="22"/>
        </w:rPr>
        <w:t>Trust Bank PLC should priorities organizing a strong talent channel by communicating, making partnerships and successfully collaborating with universities, professional institutions, and third-party job placement providers in order to fill up the open positions, overcoming the difficulties by the help of a small talent pool. Furthermore, by introducing internship programs and treating them similarly to offering attractive salary, assigning interns projects, tasks monitoring them consistently, and developing interns for the probable future contractual or permanent roles—the bank will undoubtedly get benefited from the reduction in the talent pool crisis over time.</w:t>
      </w:r>
    </w:p>
    <w:p w14:paraId="57EB4B02">
      <w:pPr>
        <w:pStyle w:val="35"/>
        <w:numPr>
          <w:ilvl w:val="0"/>
          <w:numId w:val="32"/>
        </w:numPr>
        <w:rPr>
          <w:sz w:val="22"/>
          <w:szCs w:val="22"/>
        </w:rPr>
      </w:pPr>
      <w:r>
        <w:rPr>
          <w:sz w:val="22"/>
          <w:szCs w:val="22"/>
        </w:rPr>
        <w:t>The primary reasons of the skill mismatch problem include a lack of learning opportunities, a convergence of corporate and academic processes, and evolving job descriptions. Trust Bank PLC, however, has a significant opportunity here. By using the bank's specialist training school and collaborating with other training providers, the management of the bank can set up training and development programs in subjects including risk assessment, digital marketing, credit and card operations, blockchain, and other IT-based training. To encourage and motivate bankers to participate in training programs, new incentive programs must also be put in place. This attempt will assist Trust Bank PLC in acquiring a more knowledgeable and competent workforce in order to increase operational efficiency.</w:t>
      </w:r>
    </w:p>
    <w:p w14:paraId="33EC27B4">
      <w:pPr>
        <w:rPr>
          <w:sz w:val="22"/>
          <w:szCs w:val="22"/>
        </w:rPr>
      </w:pPr>
    </w:p>
    <w:p w14:paraId="0DA39A21">
      <w:pPr>
        <w:pStyle w:val="35"/>
        <w:numPr>
          <w:ilvl w:val="0"/>
          <w:numId w:val="32"/>
        </w:numPr>
        <w:rPr>
          <w:sz w:val="22"/>
          <w:szCs w:val="22"/>
        </w:rPr>
      </w:pPr>
      <w:r>
        <w:rPr>
          <w:sz w:val="22"/>
          <w:szCs w:val="22"/>
        </w:rPr>
        <w:t xml:space="preserve"> The bank must implement a differentiation strategy and innovate its client service, financial products, and automation of banking procedures. Employing innovative, technically skilled, and astute bankers and offering them attractive benefits and compensation packages that leverage Trust Bank PLC's advanced systems and boost operational, stakeholder, and customer productivity as well as risk assessments will allow the company to capitalize on its technological innovations, which are comparable to those of most of its competitors.</w:t>
      </w:r>
    </w:p>
    <w:p w14:paraId="6F85059D">
      <w:pPr>
        <w:pStyle w:val="3"/>
        <w:ind w:firstLine="0"/>
        <w:rPr>
          <w:rFonts w:ascii="Times New Roman" w:hAnsi="Times New Roman" w:cs="Times New Roman"/>
        </w:rPr>
      </w:pPr>
      <w:bookmarkStart w:id="63" w:name="_Toc204820999"/>
      <w:r>
        <w:rPr>
          <w:rFonts w:ascii="Times New Roman" w:hAnsi="Times New Roman" w:cs="Times New Roman"/>
        </w:rPr>
        <w:t>5.3 Conclusion</w:t>
      </w:r>
      <w:bookmarkEnd w:id="63"/>
      <w:r>
        <w:rPr>
          <w:rFonts w:ascii="Times New Roman" w:hAnsi="Times New Roman" w:cs="Times New Roman"/>
        </w:rPr>
        <w:t xml:space="preserve">  </w:t>
      </w:r>
    </w:p>
    <w:p w14:paraId="5D355397">
      <w:pPr>
        <w:pStyle w:val="35"/>
        <w:spacing w:line="364" w:lineRule="auto"/>
        <w:ind w:left="370" w:right="47" w:firstLine="0"/>
        <w:rPr>
          <w:sz w:val="22"/>
          <w:szCs w:val="22"/>
        </w:rPr>
      </w:pPr>
      <w:r>
        <w:rPr>
          <w:sz w:val="22"/>
          <w:szCs w:val="22"/>
        </w:rPr>
        <w:t>The Human Resources Division is a crucial instrument that supports the bank and bankers at Trust Bank PLC. It is a significant division of Trust Bank. By allocating resources and using their technological expertise and banking experience to notify pertinent parties about important information, HR managers enhance banking operations, client experience, trend analysis, and risk management. The Human Resources division of Trust Bank PLC regularly carries out crucial tasks like creating organizational structure, recruiting and selection, HR planning, training and development, database management, HR services, payroll and allowance processing, and designing compensation and fringe benefits. These tasks are made possible by intelligent systems like HRIS, Flora banking, HR Orbis, career management portal, and Trust Bank Intra messaging, as well as other reliable domestically built systems that speed up and reduce errors of banking operations.  Additionally, because HR managers gain a great deal of knowledge about the banking sector and standard operating procedures, HRD often educates bankers on a range of administrative subjects and advocates on behalf of the board members and senior management team on matters pertaining to HR planning and organizational development.</w:t>
      </w:r>
    </w:p>
    <w:p w14:paraId="026DCB60">
      <w:pPr>
        <w:rPr>
          <w:sz w:val="22"/>
          <w:szCs w:val="22"/>
        </w:rPr>
      </w:pPr>
    </w:p>
    <w:p w14:paraId="1E44E2EF">
      <w:pPr>
        <w:rPr>
          <w:sz w:val="22"/>
          <w:szCs w:val="22"/>
        </w:rPr>
      </w:pPr>
    </w:p>
    <w:p w14:paraId="3014B397">
      <w:pPr>
        <w:rPr>
          <w:sz w:val="22"/>
          <w:szCs w:val="22"/>
        </w:rPr>
      </w:pPr>
    </w:p>
    <w:p w14:paraId="73A0CED3">
      <w:pPr>
        <w:pStyle w:val="3"/>
        <w:rPr>
          <w:rFonts w:ascii="Times New Roman" w:hAnsi="Times New Roman" w:cs="Times New Roman"/>
        </w:rPr>
      </w:pPr>
      <w:bookmarkStart w:id="64" w:name="_Toc204821000"/>
      <w:r>
        <w:rPr>
          <w:rFonts w:ascii="Times New Roman" w:hAnsi="Times New Roman" w:cs="Times New Roman"/>
        </w:rPr>
        <w:t>6.4 Reference</w:t>
      </w:r>
      <w:bookmarkEnd w:id="64"/>
    </w:p>
    <w:p w14:paraId="1B1A2308">
      <w:pPr>
        <w:numPr>
          <w:ilvl w:val="0"/>
          <w:numId w:val="33"/>
        </w:numPr>
        <w:spacing w:after="252"/>
        <w:ind w:right="266"/>
        <w:jc w:val="left"/>
        <w:rPr>
          <w:sz w:val="22"/>
          <w:szCs w:val="22"/>
        </w:rPr>
      </w:pPr>
      <w:r>
        <w:rPr>
          <w:sz w:val="22"/>
          <w:szCs w:val="22"/>
        </w:rPr>
        <w:t xml:space="preserve">Trust Bank Ltd. Official Website. Retrieved from </w:t>
      </w:r>
      <w:r>
        <w:fldChar w:fldCharType="begin"/>
      </w:r>
      <w:r>
        <w:instrText xml:space="preserve"> HYPERLINK "http://www.tbl.com/" \h </w:instrText>
      </w:r>
      <w:r>
        <w:fldChar w:fldCharType="separate"/>
      </w:r>
      <w:r>
        <w:rPr>
          <w:color w:val="0000FF"/>
          <w:sz w:val="22"/>
          <w:szCs w:val="22"/>
          <w:u w:val="single" w:color="0000FF"/>
        </w:rPr>
        <w:t>www.tblbd.com</w:t>
      </w:r>
      <w:r>
        <w:rPr>
          <w:color w:val="0000FF"/>
          <w:sz w:val="22"/>
          <w:szCs w:val="22"/>
          <w:u w:val="single" w:color="0000FF"/>
        </w:rPr>
        <w:fldChar w:fldCharType="end"/>
      </w:r>
    </w:p>
    <w:p w14:paraId="75128A8A">
      <w:pPr>
        <w:pStyle w:val="35"/>
        <w:numPr>
          <w:ilvl w:val="0"/>
          <w:numId w:val="33"/>
        </w:numPr>
        <w:spacing w:after="221" w:line="259" w:lineRule="auto"/>
        <w:ind w:right="0"/>
        <w:jc w:val="left"/>
        <w:rPr>
          <w:sz w:val="22"/>
          <w:szCs w:val="22"/>
        </w:rPr>
      </w:pPr>
      <w:r>
        <w:rPr>
          <w:i/>
          <w:sz w:val="22"/>
          <w:szCs w:val="22"/>
        </w:rPr>
        <w:t>Trust Bank sets sights on bancassurance leadership</w:t>
      </w:r>
      <w:r>
        <w:rPr>
          <w:sz w:val="22"/>
          <w:szCs w:val="22"/>
        </w:rPr>
        <w:t xml:space="preserve">. (n.d.). New Age | the Most Popular Outspoken English Daily in Bangladesh. </w:t>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https://www.newagebd.net/article/226137/trust</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fldChar w:fldCharType="end"/>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bank</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sets</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sights</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on</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bancassurance</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rPr>
          <w:color w:val="0563C1"/>
          <w:sz w:val="22"/>
          <w:szCs w:val="22"/>
          <w:u w:val="single" w:color="0563C1"/>
        </w:rPr>
        <w:t>leadership</w:t>
      </w:r>
      <w:r>
        <w:rPr>
          <w:color w:val="0563C1"/>
          <w:sz w:val="22"/>
          <w:szCs w:val="22"/>
          <w:u w:val="single" w:color="0563C1"/>
        </w:rPr>
        <w:fldChar w:fldCharType="end"/>
      </w:r>
      <w:r>
        <w:fldChar w:fldCharType="begin"/>
      </w:r>
      <w:r>
        <w:instrText xml:space="preserve"> HYPERLINK "https://www.newagebd.net/article/226137/trust-bank-sets-sights-on-bancassurance-leadership" \h </w:instrText>
      </w:r>
      <w:r>
        <w:fldChar w:fldCharType="separate"/>
      </w:r>
      <w:r>
        <w:rPr>
          <w:sz w:val="22"/>
          <w:szCs w:val="22"/>
        </w:rPr>
        <w:t xml:space="preserve"> </w:t>
      </w:r>
      <w:r>
        <w:rPr>
          <w:sz w:val="22"/>
          <w:szCs w:val="22"/>
        </w:rPr>
        <w:fldChar w:fldCharType="end"/>
      </w:r>
      <w:r>
        <w:rPr>
          <w:sz w:val="22"/>
          <w:szCs w:val="22"/>
        </w:rPr>
        <w:t xml:space="preserve"> </w:t>
      </w:r>
    </w:p>
    <w:p w14:paraId="01B0B020">
      <w:pPr>
        <w:pStyle w:val="35"/>
        <w:numPr>
          <w:ilvl w:val="0"/>
          <w:numId w:val="33"/>
        </w:numPr>
        <w:spacing w:after="214" w:line="259" w:lineRule="auto"/>
        <w:ind w:right="0"/>
        <w:jc w:val="left"/>
        <w:rPr>
          <w:sz w:val="22"/>
          <w:szCs w:val="22"/>
        </w:rPr>
      </w:pPr>
      <w:r>
        <w:rPr>
          <w:sz w:val="22"/>
          <w:szCs w:val="22"/>
        </w:rPr>
        <w:t xml:space="preserve">Eva, T. P. (2018). Recruitment and Selection Strategies and Practices in the Private Sector Commercial Banks of Bangladesh: Evidence from Human Resource Practitioners. </w:t>
      </w:r>
      <w:r>
        <w:rPr>
          <w:i/>
          <w:sz w:val="22"/>
          <w:szCs w:val="22"/>
        </w:rPr>
        <w:t>European Business &amp; Management (Print)</w:t>
      </w:r>
      <w:r>
        <w:rPr>
          <w:sz w:val="22"/>
          <w:szCs w:val="22"/>
        </w:rPr>
        <w:t xml:space="preserve">, </w:t>
      </w:r>
      <w:r>
        <w:rPr>
          <w:i/>
          <w:sz w:val="22"/>
          <w:szCs w:val="22"/>
        </w:rPr>
        <w:t>4</w:t>
      </w:r>
      <w:r>
        <w:rPr>
          <w:sz w:val="22"/>
          <w:szCs w:val="22"/>
        </w:rPr>
        <w:t xml:space="preserve">(1), 28. </w:t>
      </w:r>
    </w:p>
    <w:p w14:paraId="1B584BE2">
      <w:pPr>
        <w:numPr>
          <w:ilvl w:val="0"/>
          <w:numId w:val="33"/>
        </w:numPr>
        <w:spacing w:after="252" w:line="259" w:lineRule="auto"/>
        <w:ind w:right="0"/>
        <w:jc w:val="left"/>
        <w:rPr>
          <w:sz w:val="22"/>
          <w:szCs w:val="22"/>
        </w:rPr>
      </w:pPr>
      <w:r>
        <w:rPr>
          <w:sz w:val="22"/>
          <w:szCs w:val="22"/>
        </w:rPr>
        <w:t xml:space="preserve">Ray, S., Bagchi, S., Alam, S., &amp; Luna, U. S. (2021). Human Resource Management Practices in Banking Sector of Bangladesh: A Critical review. </w:t>
      </w:r>
      <w:r>
        <w:rPr>
          <w:i/>
          <w:sz w:val="22"/>
          <w:szCs w:val="22"/>
        </w:rPr>
        <w:t>ResearchGate</w:t>
      </w:r>
      <w:r>
        <w:rPr>
          <w:sz w:val="22"/>
          <w:szCs w:val="22"/>
        </w:rPr>
        <w:t xml:space="preserve">. </w:t>
      </w:r>
      <w:r>
        <w:fldChar w:fldCharType="begin"/>
      </w:r>
      <w:r>
        <w:instrText xml:space="preserve"> HYPERLINK "https://doi.org/10.9790/487X" </w:instrText>
      </w:r>
      <w:r>
        <w:fldChar w:fldCharType="separate"/>
      </w:r>
      <w:r>
        <w:rPr>
          <w:rStyle w:val="15"/>
          <w:sz w:val="22"/>
          <w:szCs w:val="22"/>
        </w:rPr>
        <w:t>https://doi.org/10.9790/487X</w:t>
      </w:r>
      <w:r>
        <w:rPr>
          <w:rStyle w:val="15"/>
          <w:sz w:val="22"/>
          <w:szCs w:val="22"/>
        </w:rPr>
        <w:fldChar w:fldCharType="end"/>
      </w:r>
      <w:r>
        <w:fldChar w:fldCharType="begin"/>
      </w:r>
      <w:r>
        <w:instrText xml:space="preserve"> HYPERLINK "https://doi.org/10.9790/487X-2307020107" \h </w:instrText>
      </w:r>
      <w:r>
        <w:fldChar w:fldCharType="separate"/>
      </w:r>
      <w:r>
        <w:rPr>
          <w:color w:val="0563C1"/>
          <w:sz w:val="22"/>
          <w:szCs w:val="22"/>
          <w:u w:val="single" w:color="0563C1"/>
        </w:rPr>
        <w:t>-</w:t>
      </w:r>
      <w:r>
        <w:rPr>
          <w:color w:val="0563C1"/>
          <w:sz w:val="22"/>
          <w:szCs w:val="22"/>
          <w:u w:val="single" w:color="0563C1"/>
        </w:rPr>
        <w:fldChar w:fldCharType="end"/>
      </w:r>
      <w:r>
        <w:fldChar w:fldCharType="begin"/>
      </w:r>
      <w:r>
        <w:instrText xml:space="preserve"> HYPERLINK "https://doi.org/10.9790/487X-2307020107" \h </w:instrText>
      </w:r>
      <w:r>
        <w:fldChar w:fldCharType="separate"/>
      </w:r>
      <w:r>
        <w:rPr>
          <w:color w:val="0563C1"/>
          <w:sz w:val="22"/>
          <w:szCs w:val="22"/>
          <w:u w:val="single" w:color="0563C1"/>
        </w:rPr>
        <w:t>2307020107</w:t>
      </w:r>
      <w:r>
        <w:rPr>
          <w:color w:val="0563C1"/>
          <w:sz w:val="22"/>
          <w:szCs w:val="22"/>
          <w:u w:val="single" w:color="0563C1"/>
        </w:rPr>
        <w:fldChar w:fldCharType="end"/>
      </w:r>
      <w:r>
        <w:fldChar w:fldCharType="begin"/>
      </w:r>
      <w:r>
        <w:instrText xml:space="preserve"> HYPERLINK "https://doi.org/10.9790/487X-2307020107" \h </w:instrText>
      </w:r>
      <w:r>
        <w:fldChar w:fldCharType="separate"/>
      </w:r>
      <w:r>
        <w:rPr>
          <w:sz w:val="22"/>
          <w:szCs w:val="22"/>
        </w:rPr>
        <w:t xml:space="preserve"> </w:t>
      </w:r>
      <w:r>
        <w:rPr>
          <w:sz w:val="22"/>
          <w:szCs w:val="22"/>
        </w:rPr>
        <w:fldChar w:fldCharType="end"/>
      </w:r>
      <w:r>
        <w:rPr>
          <w:sz w:val="22"/>
          <w:szCs w:val="22"/>
        </w:rPr>
        <w:t xml:space="preserve"> </w:t>
      </w:r>
    </w:p>
    <w:p w14:paraId="2CAA9AE9">
      <w:pPr>
        <w:pStyle w:val="35"/>
        <w:spacing w:after="214" w:line="259" w:lineRule="auto"/>
        <w:ind w:right="0" w:firstLine="0"/>
        <w:jc w:val="left"/>
        <w:rPr>
          <w:sz w:val="22"/>
          <w:szCs w:val="22"/>
        </w:rPr>
      </w:pPr>
    </w:p>
    <w:p w14:paraId="5AE6FDD9">
      <w:pPr>
        <w:spacing w:after="221" w:line="259" w:lineRule="auto"/>
        <w:ind w:right="0"/>
        <w:jc w:val="left"/>
        <w:rPr>
          <w:sz w:val="22"/>
          <w:szCs w:val="22"/>
        </w:rPr>
      </w:pPr>
    </w:p>
    <w:p w14:paraId="102BCF1D">
      <w:pPr>
        <w:ind w:left="0" w:firstLine="0"/>
        <w:rPr>
          <w:b/>
          <w:bCs/>
          <w:sz w:val="22"/>
          <w:szCs w:val="22"/>
        </w:rPr>
      </w:pPr>
    </w:p>
    <w:p w14:paraId="15A13DCC">
      <w:pPr>
        <w:pStyle w:val="6"/>
        <w:ind w:right="0"/>
        <w:rPr>
          <w:rFonts w:cs="Times New Roman"/>
          <w:sz w:val="22"/>
          <w:szCs w:val="22"/>
        </w:rPr>
      </w:pPr>
    </w:p>
    <w:p w14:paraId="74BE35EE">
      <w:pPr>
        <w:spacing w:line="364" w:lineRule="auto"/>
        <w:ind w:left="0" w:right="47" w:firstLine="0"/>
        <w:rPr>
          <w:sz w:val="22"/>
          <w:szCs w:val="22"/>
        </w:rPr>
      </w:pPr>
    </w:p>
    <w:p w14:paraId="74ECDA98">
      <w:pPr>
        <w:spacing w:line="364" w:lineRule="auto"/>
        <w:ind w:left="0" w:right="47" w:firstLine="0"/>
        <w:rPr>
          <w:sz w:val="22"/>
          <w:szCs w:val="22"/>
        </w:rPr>
      </w:pPr>
    </w:p>
    <w:p w14:paraId="2AA151C1">
      <w:pPr>
        <w:spacing w:line="364" w:lineRule="auto"/>
        <w:ind w:left="420" w:right="47" w:firstLine="0"/>
        <w:rPr>
          <w:sz w:val="22"/>
          <w:szCs w:val="22"/>
        </w:rPr>
      </w:pPr>
    </w:p>
    <w:p w14:paraId="2CA8DDCC">
      <w:pPr>
        <w:rPr>
          <w:sz w:val="22"/>
          <w:szCs w:val="22"/>
        </w:rPr>
      </w:pPr>
    </w:p>
    <w:p w14:paraId="544C378F">
      <w:pPr>
        <w:spacing w:after="451" w:line="362" w:lineRule="auto"/>
        <w:ind w:left="-5" w:right="47"/>
        <w:rPr>
          <w:sz w:val="22"/>
          <w:szCs w:val="22"/>
        </w:rPr>
      </w:pPr>
    </w:p>
    <w:p w14:paraId="661A62AC">
      <w:pPr>
        <w:rPr>
          <w:sz w:val="22"/>
          <w:szCs w:val="22"/>
        </w:rPr>
      </w:pPr>
    </w:p>
    <w:p w14:paraId="5BD244FA">
      <w:pPr>
        <w:spacing w:after="451" w:line="362" w:lineRule="auto"/>
        <w:ind w:left="0" w:right="47" w:firstLine="0"/>
        <w:rPr>
          <w:sz w:val="22"/>
          <w:szCs w:val="22"/>
        </w:rPr>
      </w:pPr>
    </w:p>
    <w:p w14:paraId="5A8A3BDA">
      <w:pPr>
        <w:spacing w:after="18" w:line="259" w:lineRule="auto"/>
        <w:ind w:left="540" w:firstLine="0"/>
        <w:jc w:val="left"/>
        <w:rPr>
          <w:sz w:val="22"/>
          <w:szCs w:val="22"/>
        </w:rPr>
      </w:pPr>
    </w:p>
    <w:p w14:paraId="424427FA">
      <w:pPr>
        <w:spacing w:after="450" w:line="363" w:lineRule="auto"/>
        <w:ind w:left="0" w:right="47" w:firstLine="0"/>
        <w:rPr>
          <w:sz w:val="22"/>
          <w:szCs w:val="22"/>
        </w:rPr>
      </w:pPr>
    </w:p>
    <w:p w14:paraId="14A32D7C">
      <w:pPr>
        <w:rPr>
          <w:sz w:val="22"/>
          <w:szCs w:val="22"/>
        </w:rPr>
      </w:pPr>
    </w:p>
    <w:sectPr>
      <w:pgSz w:w="12240" w:h="15840"/>
      <w:pgMar w:top="1440" w:right="1440" w:bottom="1440" w:left="1440" w:header="720" w:footer="720"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7794C">
    <w:pPr>
      <w:pStyle w:val="13"/>
      <w:jc w:val="right"/>
    </w:pPr>
  </w:p>
  <w:p w14:paraId="20424B23">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7271942"/>
      <w:docPartObj>
        <w:docPartGallery w:val="AutoText"/>
      </w:docPartObj>
    </w:sdtPr>
    <w:sdtContent>
      <w:p w14:paraId="03AD770D">
        <w:pPr>
          <w:pStyle w:val="13"/>
          <w:jc w:val="right"/>
        </w:pPr>
        <w:r>
          <w:fldChar w:fldCharType="begin"/>
        </w:r>
        <w:r>
          <w:instrText xml:space="preserve"> PAGE   \* MERGEFORMAT </w:instrText>
        </w:r>
        <w:r>
          <w:fldChar w:fldCharType="separate"/>
        </w:r>
        <w:r>
          <w:t>2</w:t>
        </w:r>
        <w:r>
          <w:fldChar w:fldCharType="end"/>
        </w:r>
      </w:p>
    </w:sdtContent>
  </w:sdt>
  <w:p w14:paraId="4CB36F0B">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B417AA"/>
    <w:multiLevelType w:val="multilevel"/>
    <w:tmpl w:val="00B417AA"/>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08FD7D55"/>
    <w:multiLevelType w:val="multilevel"/>
    <w:tmpl w:val="08FD7D55"/>
    <w:lvl w:ilvl="0" w:tentative="0">
      <w:start w:val="1"/>
      <w:numFmt w:val="bullet"/>
      <w:lvlText w:val=""/>
      <w:lvlJc w:val="left"/>
      <w:pPr>
        <w:ind w:left="360"/>
      </w:pPr>
      <w:rPr>
        <w:rFonts w:ascii="Wingdings" w:hAnsi="Wingdings" w:eastAsia="Wingdings" w:cs="Wingdings"/>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540"/>
      </w:pPr>
      <w:rPr>
        <w:rFonts w:ascii="Wingdings" w:hAnsi="Wingdings" w:eastAsia="Wingdings" w:cs="Wingdings"/>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260"/>
      </w:pPr>
      <w:rPr>
        <w:rFonts w:ascii="Wingdings" w:hAnsi="Wingdings" w:eastAsia="Wingdings" w:cs="Wingdings"/>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1980"/>
      </w:pPr>
      <w:rPr>
        <w:rFonts w:ascii="Wingdings" w:hAnsi="Wingdings" w:eastAsia="Wingdings" w:cs="Wingdings"/>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2700"/>
      </w:pPr>
      <w:rPr>
        <w:rFonts w:ascii="Wingdings" w:hAnsi="Wingdings" w:eastAsia="Wingdings" w:cs="Wingdings"/>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420"/>
      </w:pPr>
      <w:rPr>
        <w:rFonts w:ascii="Wingdings" w:hAnsi="Wingdings" w:eastAsia="Wingdings" w:cs="Wingdings"/>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140"/>
      </w:pPr>
      <w:rPr>
        <w:rFonts w:ascii="Wingdings" w:hAnsi="Wingdings" w:eastAsia="Wingdings" w:cs="Wingdings"/>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4860"/>
      </w:pPr>
      <w:rPr>
        <w:rFonts w:ascii="Wingdings" w:hAnsi="Wingdings" w:eastAsia="Wingdings" w:cs="Wingdings"/>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5580"/>
      </w:pPr>
      <w:rPr>
        <w:rFonts w:ascii="Wingdings" w:hAnsi="Wingdings" w:eastAsia="Wingdings" w:cs="Wingdings"/>
        <w:b w:val="0"/>
        <w:i w:val="0"/>
        <w:strike w:val="0"/>
        <w:dstrike w:val="0"/>
        <w:color w:val="000000"/>
        <w:sz w:val="24"/>
        <w:szCs w:val="24"/>
        <w:u w:val="none" w:color="000000"/>
        <w:shd w:val="clear" w:color="auto" w:fill="auto"/>
        <w:vertAlign w:val="baseline"/>
      </w:rPr>
    </w:lvl>
  </w:abstractNum>
  <w:abstractNum w:abstractNumId="2">
    <w:nsid w:val="0AD661C1"/>
    <w:multiLevelType w:val="multilevel"/>
    <w:tmpl w:val="0AD661C1"/>
    <w:lvl w:ilvl="0" w:tentative="0">
      <w:start w:val="1"/>
      <w:numFmt w:val="bullet"/>
      <w:lvlText w:val="•"/>
      <w:lvlJc w:val="left"/>
      <w:pPr>
        <w:ind w:left="720"/>
      </w:pPr>
      <w:rPr>
        <w:rFonts w:ascii="Arial" w:hAnsi="Arial" w:eastAsia="Arial" w:cs="Arial"/>
        <w:b w:val="0"/>
        <w:i w:val="0"/>
        <w:strike w:val="0"/>
        <w:dstrike w:val="0"/>
        <w:color w:val="0E101A"/>
        <w:sz w:val="20"/>
        <w:szCs w:val="20"/>
        <w:u w:val="none" w:color="000000"/>
        <w:shd w:val="clear" w:color="auto" w:fill="auto"/>
        <w:vertAlign w:val="baseline"/>
      </w:rPr>
    </w:lvl>
    <w:lvl w:ilvl="1" w:tentative="0">
      <w:start w:val="1"/>
      <w:numFmt w:val="bullet"/>
      <w:lvlText w:val="o"/>
      <w:lvlJc w:val="left"/>
      <w:pPr>
        <w:ind w:left="144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lvl w:ilvl="2" w:tentative="0">
      <w:start w:val="1"/>
      <w:numFmt w:val="bullet"/>
      <w:lvlText w:val="▪"/>
      <w:lvlJc w:val="left"/>
      <w:pPr>
        <w:ind w:left="216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lvl w:ilvl="3" w:tentative="0">
      <w:start w:val="1"/>
      <w:numFmt w:val="bullet"/>
      <w:lvlText w:val="•"/>
      <w:lvlJc w:val="left"/>
      <w:pPr>
        <w:ind w:left="2880"/>
      </w:pPr>
      <w:rPr>
        <w:rFonts w:ascii="Arial" w:hAnsi="Arial" w:eastAsia="Arial" w:cs="Arial"/>
        <w:b w:val="0"/>
        <w:i w:val="0"/>
        <w:strike w:val="0"/>
        <w:dstrike w:val="0"/>
        <w:color w:val="0E101A"/>
        <w:sz w:val="20"/>
        <w:szCs w:val="20"/>
        <w:u w:val="none" w:color="000000"/>
        <w:shd w:val="clear" w:color="auto" w:fill="auto"/>
        <w:vertAlign w:val="baseline"/>
      </w:rPr>
    </w:lvl>
    <w:lvl w:ilvl="4" w:tentative="0">
      <w:start w:val="1"/>
      <w:numFmt w:val="bullet"/>
      <w:lvlText w:val="o"/>
      <w:lvlJc w:val="left"/>
      <w:pPr>
        <w:ind w:left="360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lvl w:ilvl="5" w:tentative="0">
      <w:start w:val="1"/>
      <w:numFmt w:val="bullet"/>
      <w:lvlText w:val="▪"/>
      <w:lvlJc w:val="left"/>
      <w:pPr>
        <w:ind w:left="432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lvl w:ilvl="6" w:tentative="0">
      <w:start w:val="1"/>
      <w:numFmt w:val="bullet"/>
      <w:lvlText w:val="•"/>
      <w:lvlJc w:val="left"/>
      <w:pPr>
        <w:ind w:left="5040"/>
      </w:pPr>
      <w:rPr>
        <w:rFonts w:ascii="Arial" w:hAnsi="Arial" w:eastAsia="Arial" w:cs="Arial"/>
        <w:b w:val="0"/>
        <w:i w:val="0"/>
        <w:strike w:val="0"/>
        <w:dstrike w:val="0"/>
        <w:color w:val="0E101A"/>
        <w:sz w:val="20"/>
        <w:szCs w:val="20"/>
        <w:u w:val="none" w:color="000000"/>
        <w:shd w:val="clear" w:color="auto" w:fill="auto"/>
        <w:vertAlign w:val="baseline"/>
      </w:rPr>
    </w:lvl>
    <w:lvl w:ilvl="7" w:tentative="0">
      <w:start w:val="1"/>
      <w:numFmt w:val="bullet"/>
      <w:lvlText w:val="o"/>
      <w:lvlJc w:val="left"/>
      <w:pPr>
        <w:ind w:left="576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lvl w:ilvl="8" w:tentative="0">
      <w:start w:val="1"/>
      <w:numFmt w:val="bullet"/>
      <w:lvlText w:val="▪"/>
      <w:lvlJc w:val="left"/>
      <w:pPr>
        <w:ind w:left="648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abstractNum>
  <w:abstractNum w:abstractNumId="3">
    <w:nsid w:val="0E0172E9"/>
    <w:multiLevelType w:val="multilevel"/>
    <w:tmpl w:val="0E0172E9"/>
    <w:lvl w:ilvl="0" w:tentative="0">
      <w:start w:val="1"/>
      <w:numFmt w:val="decimal"/>
      <w:lvlText w:val="%1"/>
      <w:lvlJc w:val="left"/>
      <w:pPr>
        <w:ind w:left="36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1" w:tentative="0">
      <w:start w:val="3"/>
      <w:numFmt w:val="lowerRoman"/>
      <w:lvlText w:val="%2)"/>
      <w:lvlJc w:val="left"/>
      <w:pPr>
        <w:ind w:left="126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53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25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97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69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41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13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85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abstractNum>
  <w:abstractNum w:abstractNumId="4">
    <w:nsid w:val="0E1030F3"/>
    <w:multiLevelType w:val="multilevel"/>
    <w:tmpl w:val="0E1030F3"/>
    <w:lvl w:ilvl="0" w:tentative="0">
      <w:start w:val="1"/>
      <w:numFmt w:val="bullet"/>
      <w:lvlText w:val=""/>
      <w:lvlJc w:val="left"/>
      <w:pPr>
        <w:ind w:left="420"/>
      </w:pPr>
      <w:rPr>
        <w:rFonts w:hint="default" w:ascii="Symbol" w:hAnsi="Symbo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Wingdings" w:hAnsi="Wingdings" w:eastAsia="Wingdings" w:cs="Wingdings"/>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Wingdings" w:hAnsi="Wingdings" w:eastAsia="Wingdings" w:cs="Wingdings"/>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Wingdings" w:hAnsi="Wingdings" w:eastAsia="Wingdings" w:cs="Wingdings"/>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Wingdings" w:hAnsi="Wingdings" w:eastAsia="Wingdings" w:cs="Wingdings"/>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Wingdings" w:hAnsi="Wingdings" w:eastAsia="Wingdings" w:cs="Wingdings"/>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Wingdings" w:hAnsi="Wingdings" w:eastAsia="Wingdings" w:cs="Wingdings"/>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Wingdings" w:hAnsi="Wingdings" w:eastAsia="Wingdings" w:cs="Wingdings"/>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Wingdings" w:hAnsi="Wingdings" w:eastAsia="Wingdings" w:cs="Wingdings"/>
        <w:b w:val="0"/>
        <w:i w:val="0"/>
        <w:strike w:val="0"/>
        <w:dstrike w:val="0"/>
        <w:color w:val="000000"/>
        <w:sz w:val="24"/>
        <w:szCs w:val="24"/>
        <w:u w:val="none" w:color="000000"/>
        <w:shd w:val="clear" w:color="auto" w:fill="auto"/>
        <w:vertAlign w:val="baseline"/>
      </w:rPr>
    </w:lvl>
  </w:abstractNum>
  <w:abstractNum w:abstractNumId="5">
    <w:nsid w:val="12C53501"/>
    <w:multiLevelType w:val="multilevel"/>
    <w:tmpl w:val="12C5350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5A758D3"/>
    <w:multiLevelType w:val="multilevel"/>
    <w:tmpl w:val="15A758D3"/>
    <w:lvl w:ilvl="0" w:tentative="0">
      <w:start w:val="1"/>
      <w:numFmt w:val="bullet"/>
      <w:lvlText w:val=""/>
      <w:lvlJc w:val="left"/>
      <w:pPr>
        <w:ind w:left="420"/>
      </w:pPr>
      <w:rPr>
        <w:rFonts w:hint="default" w:ascii="Symbol" w:hAnsi="Symbo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Wingdings" w:hAnsi="Wingdings" w:eastAsia="Wingdings" w:cs="Wingdings"/>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Wingdings" w:hAnsi="Wingdings" w:eastAsia="Wingdings" w:cs="Wingdings"/>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Wingdings" w:hAnsi="Wingdings" w:eastAsia="Wingdings" w:cs="Wingdings"/>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Wingdings" w:hAnsi="Wingdings" w:eastAsia="Wingdings" w:cs="Wingdings"/>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Wingdings" w:hAnsi="Wingdings" w:eastAsia="Wingdings" w:cs="Wingdings"/>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Wingdings" w:hAnsi="Wingdings" w:eastAsia="Wingdings" w:cs="Wingdings"/>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Wingdings" w:hAnsi="Wingdings" w:eastAsia="Wingdings" w:cs="Wingdings"/>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Wingdings" w:hAnsi="Wingdings" w:eastAsia="Wingdings" w:cs="Wingdings"/>
        <w:b w:val="0"/>
        <w:i w:val="0"/>
        <w:strike w:val="0"/>
        <w:dstrike w:val="0"/>
        <w:color w:val="000000"/>
        <w:sz w:val="24"/>
        <w:szCs w:val="24"/>
        <w:u w:val="none" w:color="000000"/>
        <w:shd w:val="clear" w:color="auto" w:fill="auto"/>
        <w:vertAlign w:val="baseline"/>
      </w:rPr>
    </w:lvl>
  </w:abstractNum>
  <w:abstractNum w:abstractNumId="7">
    <w:nsid w:val="16893DFF"/>
    <w:multiLevelType w:val="multilevel"/>
    <w:tmpl w:val="16893DFF"/>
    <w:lvl w:ilvl="0" w:tentative="0">
      <w:start w:val="1"/>
      <w:numFmt w:val="bullet"/>
      <w:lvlText w:val="•"/>
      <w:lvlJc w:val="left"/>
      <w:pPr>
        <w:ind w:left="720" w:hanging="360"/>
      </w:pPr>
      <w:rPr>
        <w:rFonts w:ascii="Arial" w:hAnsi="Arial" w:eastAsia="Arial" w:cs="Arial"/>
        <w:b w:val="0"/>
        <w:i w:val="0"/>
        <w:strike w:val="0"/>
        <w:dstrike w:val="0"/>
        <w:color w:val="0E101A"/>
        <w:sz w:val="20"/>
        <w:szCs w:val="20"/>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29E44D1F"/>
    <w:multiLevelType w:val="multilevel"/>
    <w:tmpl w:val="29E44D1F"/>
    <w:lvl w:ilvl="0" w:tentative="0">
      <w:start w:val="1"/>
      <w:numFmt w:val="bullet"/>
      <w:lvlText w:val=""/>
      <w:lvlJc w:val="left"/>
      <w:pPr>
        <w:ind w:left="812"/>
      </w:pPr>
      <w:rPr>
        <w:rFonts w:hint="default" w:ascii="Symbol" w:hAnsi="Symbo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Wingdings" w:hAnsi="Wingdings" w:eastAsia="Wingdings" w:cs="Wingdings"/>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Wingdings" w:hAnsi="Wingdings" w:eastAsia="Wingdings" w:cs="Wingdings"/>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Wingdings" w:hAnsi="Wingdings" w:eastAsia="Wingdings" w:cs="Wingdings"/>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Wingdings" w:hAnsi="Wingdings" w:eastAsia="Wingdings" w:cs="Wingdings"/>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Wingdings" w:hAnsi="Wingdings" w:eastAsia="Wingdings" w:cs="Wingdings"/>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Wingdings" w:hAnsi="Wingdings" w:eastAsia="Wingdings" w:cs="Wingdings"/>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Wingdings" w:hAnsi="Wingdings" w:eastAsia="Wingdings" w:cs="Wingdings"/>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Wingdings" w:hAnsi="Wingdings" w:eastAsia="Wingdings" w:cs="Wingdings"/>
        <w:b w:val="0"/>
        <w:i w:val="0"/>
        <w:strike w:val="0"/>
        <w:dstrike w:val="0"/>
        <w:color w:val="000000"/>
        <w:sz w:val="24"/>
        <w:szCs w:val="24"/>
        <w:u w:val="none" w:color="000000"/>
        <w:shd w:val="clear" w:color="auto" w:fill="auto"/>
        <w:vertAlign w:val="baseline"/>
      </w:rPr>
    </w:lvl>
  </w:abstractNum>
  <w:abstractNum w:abstractNumId="9">
    <w:nsid w:val="2C376B3D"/>
    <w:multiLevelType w:val="multilevel"/>
    <w:tmpl w:val="2C376B3D"/>
    <w:lvl w:ilvl="0" w:tentative="0">
      <w:start w:val="1"/>
      <w:numFmt w:val="bullet"/>
      <w:lvlText w:val=""/>
      <w:lvlJc w:val="left"/>
      <w:pPr>
        <w:ind w:left="361" w:hanging="360"/>
      </w:pPr>
      <w:rPr>
        <w:rFonts w:ascii="Wingdings" w:hAnsi="Wingdings" w:eastAsia="Wingdings" w:cs="Wingdings"/>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1" w:hanging="360"/>
      </w:pPr>
      <w:rPr>
        <w:rFonts w:hint="default" w:ascii="Courier New" w:hAnsi="Courier New" w:cs="Courier New"/>
      </w:rPr>
    </w:lvl>
    <w:lvl w:ilvl="2" w:tentative="0">
      <w:start w:val="1"/>
      <w:numFmt w:val="bullet"/>
      <w:lvlText w:val=""/>
      <w:lvlJc w:val="left"/>
      <w:pPr>
        <w:ind w:left="1801" w:hanging="360"/>
      </w:pPr>
      <w:rPr>
        <w:rFonts w:hint="default" w:ascii="Wingdings" w:hAnsi="Wingdings"/>
      </w:rPr>
    </w:lvl>
    <w:lvl w:ilvl="3" w:tentative="0">
      <w:start w:val="1"/>
      <w:numFmt w:val="bullet"/>
      <w:lvlText w:val=""/>
      <w:lvlJc w:val="left"/>
      <w:pPr>
        <w:ind w:left="2521" w:hanging="360"/>
      </w:pPr>
      <w:rPr>
        <w:rFonts w:hint="default" w:ascii="Symbol" w:hAnsi="Symbol"/>
      </w:rPr>
    </w:lvl>
    <w:lvl w:ilvl="4" w:tentative="0">
      <w:start w:val="1"/>
      <w:numFmt w:val="bullet"/>
      <w:lvlText w:val="o"/>
      <w:lvlJc w:val="left"/>
      <w:pPr>
        <w:ind w:left="3241" w:hanging="360"/>
      </w:pPr>
      <w:rPr>
        <w:rFonts w:hint="default" w:ascii="Courier New" w:hAnsi="Courier New" w:cs="Courier New"/>
      </w:rPr>
    </w:lvl>
    <w:lvl w:ilvl="5" w:tentative="0">
      <w:start w:val="1"/>
      <w:numFmt w:val="bullet"/>
      <w:lvlText w:val=""/>
      <w:lvlJc w:val="left"/>
      <w:pPr>
        <w:ind w:left="3961" w:hanging="360"/>
      </w:pPr>
      <w:rPr>
        <w:rFonts w:hint="default" w:ascii="Wingdings" w:hAnsi="Wingdings"/>
      </w:rPr>
    </w:lvl>
    <w:lvl w:ilvl="6" w:tentative="0">
      <w:start w:val="1"/>
      <w:numFmt w:val="bullet"/>
      <w:lvlText w:val=""/>
      <w:lvlJc w:val="left"/>
      <w:pPr>
        <w:ind w:left="4681" w:hanging="360"/>
      </w:pPr>
      <w:rPr>
        <w:rFonts w:hint="default" w:ascii="Symbol" w:hAnsi="Symbol"/>
      </w:rPr>
    </w:lvl>
    <w:lvl w:ilvl="7" w:tentative="0">
      <w:start w:val="1"/>
      <w:numFmt w:val="bullet"/>
      <w:lvlText w:val="o"/>
      <w:lvlJc w:val="left"/>
      <w:pPr>
        <w:ind w:left="5401" w:hanging="360"/>
      </w:pPr>
      <w:rPr>
        <w:rFonts w:hint="default" w:ascii="Courier New" w:hAnsi="Courier New" w:cs="Courier New"/>
      </w:rPr>
    </w:lvl>
    <w:lvl w:ilvl="8" w:tentative="0">
      <w:start w:val="1"/>
      <w:numFmt w:val="bullet"/>
      <w:lvlText w:val=""/>
      <w:lvlJc w:val="left"/>
      <w:pPr>
        <w:ind w:left="6121" w:hanging="360"/>
      </w:pPr>
      <w:rPr>
        <w:rFonts w:hint="default" w:ascii="Wingdings" w:hAnsi="Wingdings"/>
      </w:rPr>
    </w:lvl>
  </w:abstractNum>
  <w:abstractNum w:abstractNumId="10">
    <w:nsid w:val="2FE479E4"/>
    <w:multiLevelType w:val="multilevel"/>
    <w:tmpl w:val="2FE479E4"/>
    <w:lvl w:ilvl="0" w:tentative="0">
      <w:start w:val="1"/>
      <w:numFmt w:val="bullet"/>
      <w:lvlText w:val=""/>
      <w:lvlJc w:val="left"/>
      <w:pPr>
        <w:ind w:left="992"/>
      </w:pPr>
      <w:rPr>
        <w:rFonts w:hint="default" w:ascii="Symbol" w:hAnsi="Symbol"/>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1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7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9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1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3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7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7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9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1">
    <w:nsid w:val="32941B89"/>
    <w:multiLevelType w:val="multilevel"/>
    <w:tmpl w:val="32941B8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35570E7B"/>
    <w:multiLevelType w:val="multilevel"/>
    <w:tmpl w:val="35570E7B"/>
    <w:lvl w:ilvl="0" w:tentative="0">
      <w:start w:val="1"/>
      <w:numFmt w:val="bullet"/>
      <w:lvlText w:val=""/>
      <w:lvlJc w:val="left"/>
      <w:pPr>
        <w:ind w:left="802" w:hanging="360"/>
      </w:pPr>
      <w:rPr>
        <w:rFonts w:hint="default" w:ascii="Symbol" w:hAnsi="Symbol"/>
      </w:rPr>
    </w:lvl>
    <w:lvl w:ilvl="1" w:tentative="0">
      <w:start w:val="1"/>
      <w:numFmt w:val="bullet"/>
      <w:lvlText w:val="o"/>
      <w:lvlJc w:val="left"/>
      <w:pPr>
        <w:ind w:left="1522" w:hanging="360"/>
      </w:pPr>
      <w:rPr>
        <w:rFonts w:hint="default" w:ascii="Courier New" w:hAnsi="Courier New" w:cs="Courier New"/>
      </w:rPr>
    </w:lvl>
    <w:lvl w:ilvl="2" w:tentative="0">
      <w:start w:val="1"/>
      <w:numFmt w:val="bullet"/>
      <w:lvlText w:val=""/>
      <w:lvlJc w:val="left"/>
      <w:pPr>
        <w:ind w:left="2242" w:hanging="360"/>
      </w:pPr>
      <w:rPr>
        <w:rFonts w:hint="default" w:ascii="Wingdings" w:hAnsi="Wingdings"/>
      </w:rPr>
    </w:lvl>
    <w:lvl w:ilvl="3" w:tentative="0">
      <w:start w:val="1"/>
      <w:numFmt w:val="bullet"/>
      <w:lvlText w:val=""/>
      <w:lvlJc w:val="left"/>
      <w:pPr>
        <w:ind w:left="2962" w:hanging="360"/>
      </w:pPr>
      <w:rPr>
        <w:rFonts w:hint="default" w:ascii="Symbol" w:hAnsi="Symbol"/>
      </w:rPr>
    </w:lvl>
    <w:lvl w:ilvl="4" w:tentative="0">
      <w:start w:val="1"/>
      <w:numFmt w:val="bullet"/>
      <w:lvlText w:val="o"/>
      <w:lvlJc w:val="left"/>
      <w:pPr>
        <w:ind w:left="3682" w:hanging="360"/>
      </w:pPr>
      <w:rPr>
        <w:rFonts w:hint="default" w:ascii="Courier New" w:hAnsi="Courier New" w:cs="Courier New"/>
      </w:rPr>
    </w:lvl>
    <w:lvl w:ilvl="5" w:tentative="0">
      <w:start w:val="1"/>
      <w:numFmt w:val="bullet"/>
      <w:lvlText w:val=""/>
      <w:lvlJc w:val="left"/>
      <w:pPr>
        <w:ind w:left="4402" w:hanging="360"/>
      </w:pPr>
      <w:rPr>
        <w:rFonts w:hint="default" w:ascii="Wingdings" w:hAnsi="Wingdings"/>
      </w:rPr>
    </w:lvl>
    <w:lvl w:ilvl="6" w:tentative="0">
      <w:start w:val="1"/>
      <w:numFmt w:val="bullet"/>
      <w:lvlText w:val=""/>
      <w:lvlJc w:val="left"/>
      <w:pPr>
        <w:ind w:left="5122" w:hanging="360"/>
      </w:pPr>
      <w:rPr>
        <w:rFonts w:hint="default" w:ascii="Symbol" w:hAnsi="Symbol"/>
      </w:rPr>
    </w:lvl>
    <w:lvl w:ilvl="7" w:tentative="0">
      <w:start w:val="1"/>
      <w:numFmt w:val="bullet"/>
      <w:lvlText w:val="o"/>
      <w:lvlJc w:val="left"/>
      <w:pPr>
        <w:ind w:left="5842" w:hanging="360"/>
      </w:pPr>
      <w:rPr>
        <w:rFonts w:hint="default" w:ascii="Courier New" w:hAnsi="Courier New" w:cs="Courier New"/>
      </w:rPr>
    </w:lvl>
    <w:lvl w:ilvl="8" w:tentative="0">
      <w:start w:val="1"/>
      <w:numFmt w:val="bullet"/>
      <w:lvlText w:val=""/>
      <w:lvlJc w:val="left"/>
      <w:pPr>
        <w:ind w:left="6562" w:hanging="360"/>
      </w:pPr>
      <w:rPr>
        <w:rFonts w:hint="default" w:ascii="Wingdings" w:hAnsi="Wingdings"/>
      </w:rPr>
    </w:lvl>
  </w:abstractNum>
  <w:abstractNum w:abstractNumId="13">
    <w:nsid w:val="37806B4F"/>
    <w:multiLevelType w:val="multilevel"/>
    <w:tmpl w:val="37806B4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37CA07FA"/>
    <w:multiLevelType w:val="multilevel"/>
    <w:tmpl w:val="37CA07FA"/>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5">
    <w:nsid w:val="3CEC675A"/>
    <w:multiLevelType w:val="multilevel"/>
    <w:tmpl w:val="3CEC675A"/>
    <w:lvl w:ilvl="0" w:tentative="0">
      <w:start w:val="1"/>
      <w:numFmt w:val="bullet"/>
      <w:lvlText w:val="•"/>
      <w:lvlJc w:val="left"/>
      <w:pPr>
        <w:ind w:left="652"/>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37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09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812"/>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53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25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972"/>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69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41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abstractNum>
  <w:abstractNum w:abstractNumId="16">
    <w:nsid w:val="44EA1AAF"/>
    <w:multiLevelType w:val="multilevel"/>
    <w:tmpl w:val="44EA1AAF"/>
    <w:lvl w:ilvl="0" w:tentative="0">
      <w:start w:val="1"/>
      <w:numFmt w:val="bullet"/>
      <w:lvlText w:val="•"/>
      <w:lvlJc w:val="left"/>
      <w:pPr>
        <w:ind w:left="720"/>
      </w:pPr>
      <w:rPr>
        <w:rFonts w:ascii="Arial" w:hAnsi="Arial" w:eastAsia="Arial" w:cs="Arial"/>
        <w:b w:val="0"/>
        <w:i w:val="0"/>
        <w:strike w:val="0"/>
        <w:dstrike w:val="0"/>
        <w:color w:val="0E101A"/>
        <w:sz w:val="20"/>
        <w:szCs w:val="20"/>
        <w:u w:val="none" w:color="000000"/>
        <w:shd w:val="clear" w:color="auto" w:fill="auto"/>
        <w:vertAlign w:val="baseline"/>
      </w:rPr>
    </w:lvl>
    <w:lvl w:ilvl="1" w:tentative="0">
      <w:start w:val="1"/>
      <w:numFmt w:val="bullet"/>
      <w:lvlText w:val="o"/>
      <w:lvlJc w:val="left"/>
      <w:pPr>
        <w:ind w:left="144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lvl w:ilvl="2" w:tentative="0">
      <w:start w:val="1"/>
      <w:numFmt w:val="bullet"/>
      <w:lvlText w:val="▪"/>
      <w:lvlJc w:val="left"/>
      <w:pPr>
        <w:ind w:left="216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lvl w:ilvl="3" w:tentative="0">
      <w:start w:val="1"/>
      <w:numFmt w:val="bullet"/>
      <w:lvlText w:val="•"/>
      <w:lvlJc w:val="left"/>
      <w:pPr>
        <w:ind w:left="2880"/>
      </w:pPr>
      <w:rPr>
        <w:rFonts w:ascii="Arial" w:hAnsi="Arial" w:eastAsia="Arial" w:cs="Arial"/>
        <w:b w:val="0"/>
        <w:i w:val="0"/>
        <w:strike w:val="0"/>
        <w:dstrike w:val="0"/>
        <w:color w:val="0E101A"/>
        <w:sz w:val="20"/>
        <w:szCs w:val="20"/>
        <w:u w:val="none" w:color="000000"/>
        <w:shd w:val="clear" w:color="auto" w:fill="auto"/>
        <w:vertAlign w:val="baseline"/>
      </w:rPr>
    </w:lvl>
    <w:lvl w:ilvl="4" w:tentative="0">
      <w:start w:val="1"/>
      <w:numFmt w:val="bullet"/>
      <w:lvlText w:val="o"/>
      <w:lvlJc w:val="left"/>
      <w:pPr>
        <w:ind w:left="360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lvl w:ilvl="5" w:tentative="0">
      <w:start w:val="1"/>
      <w:numFmt w:val="bullet"/>
      <w:lvlText w:val="▪"/>
      <w:lvlJc w:val="left"/>
      <w:pPr>
        <w:ind w:left="432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lvl w:ilvl="6" w:tentative="0">
      <w:start w:val="1"/>
      <w:numFmt w:val="bullet"/>
      <w:lvlText w:val="•"/>
      <w:lvlJc w:val="left"/>
      <w:pPr>
        <w:ind w:left="5040"/>
      </w:pPr>
      <w:rPr>
        <w:rFonts w:ascii="Arial" w:hAnsi="Arial" w:eastAsia="Arial" w:cs="Arial"/>
        <w:b w:val="0"/>
        <w:i w:val="0"/>
        <w:strike w:val="0"/>
        <w:dstrike w:val="0"/>
        <w:color w:val="0E101A"/>
        <w:sz w:val="20"/>
        <w:szCs w:val="20"/>
        <w:u w:val="none" w:color="000000"/>
        <w:shd w:val="clear" w:color="auto" w:fill="auto"/>
        <w:vertAlign w:val="baseline"/>
      </w:rPr>
    </w:lvl>
    <w:lvl w:ilvl="7" w:tentative="0">
      <w:start w:val="1"/>
      <w:numFmt w:val="bullet"/>
      <w:lvlText w:val="o"/>
      <w:lvlJc w:val="left"/>
      <w:pPr>
        <w:ind w:left="576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lvl w:ilvl="8" w:tentative="0">
      <w:start w:val="1"/>
      <w:numFmt w:val="bullet"/>
      <w:lvlText w:val="▪"/>
      <w:lvlJc w:val="left"/>
      <w:pPr>
        <w:ind w:left="6480"/>
      </w:pPr>
      <w:rPr>
        <w:rFonts w:ascii="Segoe UI Symbol" w:hAnsi="Segoe UI Symbol" w:eastAsia="Segoe UI Symbol" w:cs="Segoe UI Symbol"/>
        <w:b w:val="0"/>
        <w:i w:val="0"/>
        <w:strike w:val="0"/>
        <w:dstrike w:val="0"/>
        <w:color w:val="0E101A"/>
        <w:sz w:val="20"/>
        <w:szCs w:val="20"/>
        <w:u w:val="none" w:color="000000"/>
        <w:shd w:val="clear" w:color="auto" w:fill="auto"/>
        <w:vertAlign w:val="baseline"/>
      </w:rPr>
    </w:lvl>
  </w:abstractNum>
  <w:abstractNum w:abstractNumId="17">
    <w:nsid w:val="45482824"/>
    <w:multiLevelType w:val="multilevel"/>
    <w:tmpl w:val="45482824"/>
    <w:lvl w:ilvl="0" w:tentative="0">
      <w:start w:val="1"/>
      <w:numFmt w:val="bullet"/>
      <w:lvlText w:val=""/>
      <w:lvlJc w:val="left"/>
      <w:pPr>
        <w:ind w:left="361" w:hanging="360"/>
      </w:pPr>
      <w:rPr>
        <w:rFonts w:ascii="Wingdings" w:hAnsi="Wingdings" w:eastAsia="Wingdings" w:cs="Wingdings"/>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1" w:hanging="360"/>
      </w:pPr>
      <w:rPr>
        <w:rFonts w:hint="default" w:ascii="Courier New" w:hAnsi="Courier New" w:cs="Courier New"/>
      </w:rPr>
    </w:lvl>
    <w:lvl w:ilvl="2" w:tentative="0">
      <w:start w:val="1"/>
      <w:numFmt w:val="bullet"/>
      <w:lvlText w:val=""/>
      <w:lvlJc w:val="left"/>
      <w:pPr>
        <w:ind w:left="1801" w:hanging="360"/>
      </w:pPr>
      <w:rPr>
        <w:rFonts w:hint="default" w:ascii="Wingdings" w:hAnsi="Wingdings"/>
      </w:rPr>
    </w:lvl>
    <w:lvl w:ilvl="3" w:tentative="0">
      <w:start w:val="1"/>
      <w:numFmt w:val="bullet"/>
      <w:lvlText w:val=""/>
      <w:lvlJc w:val="left"/>
      <w:pPr>
        <w:ind w:left="2521" w:hanging="360"/>
      </w:pPr>
      <w:rPr>
        <w:rFonts w:hint="default" w:ascii="Symbol" w:hAnsi="Symbol"/>
      </w:rPr>
    </w:lvl>
    <w:lvl w:ilvl="4" w:tentative="0">
      <w:start w:val="1"/>
      <w:numFmt w:val="bullet"/>
      <w:lvlText w:val="o"/>
      <w:lvlJc w:val="left"/>
      <w:pPr>
        <w:ind w:left="3241" w:hanging="360"/>
      </w:pPr>
      <w:rPr>
        <w:rFonts w:hint="default" w:ascii="Courier New" w:hAnsi="Courier New" w:cs="Courier New"/>
      </w:rPr>
    </w:lvl>
    <w:lvl w:ilvl="5" w:tentative="0">
      <w:start w:val="1"/>
      <w:numFmt w:val="bullet"/>
      <w:lvlText w:val=""/>
      <w:lvlJc w:val="left"/>
      <w:pPr>
        <w:ind w:left="3961" w:hanging="360"/>
      </w:pPr>
      <w:rPr>
        <w:rFonts w:hint="default" w:ascii="Wingdings" w:hAnsi="Wingdings"/>
      </w:rPr>
    </w:lvl>
    <w:lvl w:ilvl="6" w:tentative="0">
      <w:start w:val="1"/>
      <w:numFmt w:val="bullet"/>
      <w:lvlText w:val=""/>
      <w:lvlJc w:val="left"/>
      <w:pPr>
        <w:ind w:left="4681" w:hanging="360"/>
      </w:pPr>
      <w:rPr>
        <w:rFonts w:hint="default" w:ascii="Symbol" w:hAnsi="Symbol"/>
      </w:rPr>
    </w:lvl>
    <w:lvl w:ilvl="7" w:tentative="0">
      <w:start w:val="1"/>
      <w:numFmt w:val="bullet"/>
      <w:lvlText w:val="o"/>
      <w:lvlJc w:val="left"/>
      <w:pPr>
        <w:ind w:left="5401" w:hanging="360"/>
      </w:pPr>
      <w:rPr>
        <w:rFonts w:hint="default" w:ascii="Courier New" w:hAnsi="Courier New" w:cs="Courier New"/>
      </w:rPr>
    </w:lvl>
    <w:lvl w:ilvl="8" w:tentative="0">
      <w:start w:val="1"/>
      <w:numFmt w:val="bullet"/>
      <w:lvlText w:val=""/>
      <w:lvlJc w:val="left"/>
      <w:pPr>
        <w:ind w:left="6121" w:hanging="360"/>
      </w:pPr>
      <w:rPr>
        <w:rFonts w:hint="default" w:ascii="Wingdings" w:hAnsi="Wingdings"/>
      </w:rPr>
    </w:lvl>
  </w:abstractNum>
  <w:abstractNum w:abstractNumId="18">
    <w:nsid w:val="492A0ED7"/>
    <w:multiLevelType w:val="multilevel"/>
    <w:tmpl w:val="492A0ED7"/>
    <w:lvl w:ilvl="0" w:tentative="0">
      <w:start w:val="1"/>
      <w:numFmt w:val="bullet"/>
      <w:lvlText w:val="•"/>
      <w:lvlJc w:val="left"/>
      <w:pPr>
        <w:ind w:left="720" w:hanging="360"/>
      </w:pPr>
      <w:rPr>
        <w:rFonts w:ascii="Arial" w:hAnsi="Arial" w:eastAsia="Arial" w:cs="Arial"/>
        <w:b w:val="0"/>
        <w:i w:val="0"/>
        <w:strike w:val="0"/>
        <w:dstrike w:val="0"/>
        <w:color w:val="0E101A"/>
        <w:sz w:val="20"/>
        <w:szCs w:val="20"/>
        <w:u w:val="none" w:color="000000"/>
        <w:shd w:val="clear" w:color="auto" w:fill="auto"/>
        <w:vertAlign w:val="baseli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4BD874C6"/>
    <w:multiLevelType w:val="multilevel"/>
    <w:tmpl w:val="4BD874C6"/>
    <w:lvl w:ilvl="0" w:tentative="0">
      <w:start w:val="1"/>
      <w:numFmt w:val="bullet"/>
      <w:lvlText w:val=""/>
      <w:lvlJc w:val="left"/>
      <w:pPr>
        <w:ind w:left="421"/>
      </w:pPr>
      <w:rPr>
        <w:rFonts w:ascii="Wingdings" w:hAnsi="Wingdings" w:eastAsia="Wingdings" w:cs="Wingdings"/>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188"/>
      </w:pPr>
      <w:rPr>
        <w:rFonts w:ascii="Wingdings" w:hAnsi="Wingdings" w:eastAsia="Wingdings" w:cs="Wingdings"/>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908"/>
      </w:pPr>
      <w:rPr>
        <w:rFonts w:ascii="Wingdings" w:hAnsi="Wingdings" w:eastAsia="Wingdings" w:cs="Wingdings"/>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628"/>
      </w:pPr>
      <w:rPr>
        <w:rFonts w:ascii="Wingdings" w:hAnsi="Wingdings" w:eastAsia="Wingdings" w:cs="Wingdings"/>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348"/>
      </w:pPr>
      <w:rPr>
        <w:rFonts w:ascii="Wingdings" w:hAnsi="Wingdings" w:eastAsia="Wingdings" w:cs="Wingdings"/>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068"/>
      </w:pPr>
      <w:rPr>
        <w:rFonts w:ascii="Wingdings" w:hAnsi="Wingdings" w:eastAsia="Wingdings" w:cs="Wingdings"/>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788"/>
      </w:pPr>
      <w:rPr>
        <w:rFonts w:ascii="Wingdings" w:hAnsi="Wingdings" w:eastAsia="Wingdings" w:cs="Wingdings"/>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508"/>
      </w:pPr>
      <w:rPr>
        <w:rFonts w:ascii="Wingdings" w:hAnsi="Wingdings" w:eastAsia="Wingdings" w:cs="Wingdings"/>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228"/>
      </w:pPr>
      <w:rPr>
        <w:rFonts w:ascii="Wingdings" w:hAnsi="Wingdings" w:eastAsia="Wingdings" w:cs="Wingdings"/>
        <w:b w:val="0"/>
        <w:i w:val="0"/>
        <w:strike w:val="0"/>
        <w:dstrike w:val="0"/>
        <w:color w:val="000000"/>
        <w:sz w:val="24"/>
        <w:szCs w:val="24"/>
        <w:u w:val="none" w:color="000000"/>
        <w:shd w:val="clear" w:color="auto" w:fill="auto"/>
        <w:vertAlign w:val="baseline"/>
      </w:rPr>
    </w:lvl>
  </w:abstractNum>
  <w:abstractNum w:abstractNumId="20">
    <w:nsid w:val="4C400458"/>
    <w:multiLevelType w:val="multilevel"/>
    <w:tmpl w:val="4C400458"/>
    <w:lvl w:ilvl="0" w:tentative="0">
      <w:start w:val="1"/>
      <w:numFmt w:val="bullet"/>
      <w:lvlText w:val=""/>
      <w:lvlJc w:val="left"/>
      <w:pPr>
        <w:ind w:left="361" w:hanging="360"/>
      </w:pPr>
      <w:rPr>
        <w:rFonts w:ascii="Wingdings" w:hAnsi="Wingdings" w:eastAsia="Wingdings" w:cs="Wingdings"/>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1" w:hanging="360"/>
      </w:pPr>
      <w:rPr>
        <w:rFonts w:hint="default" w:ascii="Courier New" w:hAnsi="Courier New" w:cs="Courier New"/>
      </w:rPr>
    </w:lvl>
    <w:lvl w:ilvl="2" w:tentative="0">
      <w:start w:val="1"/>
      <w:numFmt w:val="bullet"/>
      <w:lvlText w:val=""/>
      <w:lvlJc w:val="left"/>
      <w:pPr>
        <w:ind w:left="1801" w:hanging="360"/>
      </w:pPr>
      <w:rPr>
        <w:rFonts w:hint="default" w:ascii="Wingdings" w:hAnsi="Wingdings"/>
      </w:rPr>
    </w:lvl>
    <w:lvl w:ilvl="3" w:tentative="0">
      <w:start w:val="1"/>
      <w:numFmt w:val="bullet"/>
      <w:lvlText w:val=""/>
      <w:lvlJc w:val="left"/>
      <w:pPr>
        <w:ind w:left="2521" w:hanging="360"/>
      </w:pPr>
      <w:rPr>
        <w:rFonts w:hint="default" w:ascii="Symbol" w:hAnsi="Symbol"/>
      </w:rPr>
    </w:lvl>
    <w:lvl w:ilvl="4" w:tentative="0">
      <w:start w:val="1"/>
      <w:numFmt w:val="bullet"/>
      <w:lvlText w:val="o"/>
      <w:lvlJc w:val="left"/>
      <w:pPr>
        <w:ind w:left="3241" w:hanging="360"/>
      </w:pPr>
      <w:rPr>
        <w:rFonts w:hint="default" w:ascii="Courier New" w:hAnsi="Courier New" w:cs="Courier New"/>
      </w:rPr>
    </w:lvl>
    <w:lvl w:ilvl="5" w:tentative="0">
      <w:start w:val="1"/>
      <w:numFmt w:val="bullet"/>
      <w:lvlText w:val=""/>
      <w:lvlJc w:val="left"/>
      <w:pPr>
        <w:ind w:left="3961" w:hanging="360"/>
      </w:pPr>
      <w:rPr>
        <w:rFonts w:hint="default" w:ascii="Wingdings" w:hAnsi="Wingdings"/>
      </w:rPr>
    </w:lvl>
    <w:lvl w:ilvl="6" w:tentative="0">
      <w:start w:val="1"/>
      <w:numFmt w:val="bullet"/>
      <w:lvlText w:val=""/>
      <w:lvlJc w:val="left"/>
      <w:pPr>
        <w:ind w:left="4681" w:hanging="360"/>
      </w:pPr>
      <w:rPr>
        <w:rFonts w:hint="default" w:ascii="Symbol" w:hAnsi="Symbol"/>
      </w:rPr>
    </w:lvl>
    <w:lvl w:ilvl="7" w:tentative="0">
      <w:start w:val="1"/>
      <w:numFmt w:val="bullet"/>
      <w:lvlText w:val="o"/>
      <w:lvlJc w:val="left"/>
      <w:pPr>
        <w:ind w:left="5401" w:hanging="360"/>
      </w:pPr>
      <w:rPr>
        <w:rFonts w:hint="default" w:ascii="Courier New" w:hAnsi="Courier New" w:cs="Courier New"/>
      </w:rPr>
    </w:lvl>
    <w:lvl w:ilvl="8" w:tentative="0">
      <w:start w:val="1"/>
      <w:numFmt w:val="bullet"/>
      <w:lvlText w:val=""/>
      <w:lvlJc w:val="left"/>
      <w:pPr>
        <w:ind w:left="6121" w:hanging="360"/>
      </w:pPr>
      <w:rPr>
        <w:rFonts w:hint="default" w:ascii="Wingdings" w:hAnsi="Wingdings"/>
      </w:rPr>
    </w:lvl>
  </w:abstractNum>
  <w:abstractNum w:abstractNumId="21">
    <w:nsid w:val="501A47BE"/>
    <w:multiLevelType w:val="multilevel"/>
    <w:tmpl w:val="501A47BE"/>
    <w:lvl w:ilvl="0" w:tentative="0">
      <w:start w:val="1"/>
      <w:numFmt w:val="bullet"/>
      <w:lvlText w:val=""/>
      <w:lvlJc w:val="left"/>
      <w:pPr>
        <w:ind w:left="705" w:hanging="360"/>
      </w:pPr>
      <w:rPr>
        <w:rFonts w:hint="default" w:ascii="Symbol" w:hAnsi="Symbol"/>
      </w:rPr>
    </w:lvl>
    <w:lvl w:ilvl="1" w:tentative="0">
      <w:start w:val="1"/>
      <w:numFmt w:val="bullet"/>
      <w:lvlText w:val="o"/>
      <w:lvlJc w:val="left"/>
      <w:pPr>
        <w:ind w:left="1425" w:hanging="360"/>
      </w:pPr>
      <w:rPr>
        <w:rFonts w:hint="default" w:ascii="Courier New" w:hAnsi="Courier New" w:cs="Courier New"/>
      </w:rPr>
    </w:lvl>
    <w:lvl w:ilvl="2" w:tentative="0">
      <w:start w:val="1"/>
      <w:numFmt w:val="bullet"/>
      <w:lvlText w:val=""/>
      <w:lvlJc w:val="left"/>
      <w:pPr>
        <w:ind w:left="2145" w:hanging="360"/>
      </w:pPr>
      <w:rPr>
        <w:rFonts w:hint="default" w:ascii="Wingdings" w:hAnsi="Wingdings"/>
      </w:rPr>
    </w:lvl>
    <w:lvl w:ilvl="3" w:tentative="0">
      <w:start w:val="1"/>
      <w:numFmt w:val="bullet"/>
      <w:lvlText w:val=""/>
      <w:lvlJc w:val="left"/>
      <w:pPr>
        <w:ind w:left="2865" w:hanging="360"/>
      </w:pPr>
      <w:rPr>
        <w:rFonts w:hint="default" w:ascii="Symbol" w:hAnsi="Symbol"/>
      </w:rPr>
    </w:lvl>
    <w:lvl w:ilvl="4" w:tentative="0">
      <w:start w:val="1"/>
      <w:numFmt w:val="bullet"/>
      <w:lvlText w:val="o"/>
      <w:lvlJc w:val="left"/>
      <w:pPr>
        <w:ind w:left="3585" w:hanging="360"/>
      </w:pPr>
      <w:rPr>
        <w:rFonts w:hint="default" w:ascii="Courier New" w:hAnsi="Courier New" w:cs="Courier New"/>
      </w:rPr>
    </w:lvl>
    <w:lvl w:ilvl="5" w:tentative="0">
      <w:start w:val="1"/>
      <w:numFmt w:val="bullet"/>
      <w:lvlText w:val=""/>
      <w:lvlJc w:val="left"/>
      <w:pPr>
        <w:ind w:left="4305" w:hanging="360"/>
      </w:pPr>
      <w:rPr>
        <w:rFonts w:hint="default" w:ascii="Wingdings" w:hAnsi="Wingdings"/>
      </w:rPr>
    </w:lvl>
    <w:lvl w:ilvl="6" w:tentative="0">
      <w:start w:val="1"/>
      <w:numFmt w:val="bullet"/>
      <w:lvlText w:val=""/>
      <w:lvlJc w:val="left"/>
      <w:pPr>
        <w:ind w:left="5025" w:hanging="360"/>
      </w:pPr>
      <w:rPr>
        <w:rFonts w:hint="default" w:ascii="Symbol" w:hAnsi="Symbol"/>
      </w:rPr>
    </w:lvl>
    <w:lvl w:ilvl="7" w:tentative="0">
      <w:start w:val="1"/>
      <w:numFmt w:val="bullet"/>
      <w:lvlText w:val="o"/>
      <w:lvlJc w:val="left"/>
      <w:pPr>
        <w:ind w:left="5745" w:hanging="360"/>
      </w:pPr>
      <w:rPr>
        <w:rFonts w:hint="default" w:ascii="Courier New" w:hAnsi="Courier New" w:cs="Courier New"/>
      </w:rPr>
    </w:lvl>
    <w:lvl w:ilvl="8" w:tentative="0">
      <w:start w:val="1"/>
      <w:numFmt w:val="bullet"/>
      <w:lvlText w:val=""/>
      <w:lvlJc w:val="left"/>
      <w:pPr>
        <w:ind w:left="6465" w:hanging="360"/>
      </w:pPr>
      <w:rPr>
        <w:rFonts w:hint="default" w:ascii="Wingdings" w:hAnsi="Wingdings"/>
      </w:rPr>
    </w:lvl>
  </w:abstractNum>
  <w:abstractNum w:abstractNumId="22">
    <w:nsid w:val="53511CAB"/>
    <w:multiLevelType w:val="multilevel"/>
    <w:tmpl w:val="53511CAB"/>
    <w:lvl w:ilvl="0" w:tentative="0">
      <w:start w:val="1"/>
      <w:numFmt w:val="bullet"/>
      <w:lvlText w:val=""/>
      <w:lvlJc w:val="left"/>
      <w:pPr>
        <w:ind w:left="370" w:hanging="360"/>
      </w:pPr>
      <w:rPr>
        <w:rFonts w:hint="default" w:ascii="Symbol" w:hAnsi="Symbol"/>
      </w:rPr>
    </w:lvl>
    <w:lvl w:ilvl="1" w:tentative="0">
      <w:start w:val="1"/>
      <w:numFmt w:val="bullet"/>
      <w:lvlText w:val="o"/>
      <w:lvlJc w:val="left"/>
      <w:pPr>
        <w:ind w:left="1090" w:hanging="360"/>
      </w:pPr>
      <w:rPr>
        <w:rFonts w:hint="default" w:ascii="Courier New" w:hAnsi="Courier New" w:cs="Courier New"/>
      </w:rPr>
    </w:lvl>
    <w:lvl w:ilvl="2" w:tentative="0">
      <w:start w:val="1"/>
      <w:numFmt w:val="bullet"/>
      <w:lvlText w:val=""/>
      <w:lvlJc w:val="left"/>
      <w:pPr>
        <w:ind w:left="1810" w:hanging="360"/>
      </w:pPr>
      <w:rPr>
        <w:rFonts w:hint="default" w:ascii="Wingdings" w:hAnsi="Wingdings"/>
      </w:rPr>
    </w:lvl>
    <w:lvl w:ilvl="3" w:tentative="0">
      <w:start w:val="1"/>
      <w:numFmt w:val="bullet"/>
      <w:lvlText w:val=""/>
      <w:lvlJc w:val="left"/>
      <w:pPr>
        <w:ind w:left="2530" w:hanging="360"/>
      </w:pPr>
      <w:rPr>
        <w:rFonts w:hint="default" w:ascii="Symbol" w:hAnsi="Symbol"/>
      </w:rPr>
    </w:lvl>
    <w:lvl w:ilvl="4" w:tentative="0">
      <w:start w:val="1"/>
      <w:numFmt w:val="bullet"/>
      <w:lvlText w:val="o"/>
      <w:lvlJc w:val="left"/>
      <w:pPr>
        <w:ind w:left="3250" w:hanging="360"/>
      </w:pPr>
      <w:rPr>
        <w:rFonts w:hint="default" w:ascii="Courier New" w:hAnsi="Courier New" w:cs="Courier New"/>
      </w:rPr>
    </w:lvl>
    <w:lvl w:ilvl="5" w:tentative="0">
      <w:start w:val="1"/>
      <w:numFmt w:val="bullet"/>
      <w:lvlText w:val=""/>
      <w:lvlJc w:val="left"/>
      <w:pPr>
        <w:ind w:left="3970" w:hanging="360"/>
      </w:pPr>
      <w:rPr>
        <w:rFonts w:hint="default" w:ascii="Wingdings" w:hAnsi="Wingdings"/>
      </w:rPr>
    </w:lvl>
    <w:lvl w:ilvl="6" w:tentative="0">
      <w:start w:val="1"/>
      <w:numFmt w:val="bullet"/>
      <w:lvlText w:val=""/>
      <w:lvlJc w:val="left"/>
      <w:pPr>
        <w:ind w:left="4690" w:hanging="360"/>
      </w:pPr>
      <w:rPr>
        <w:rFonts w:hint="default" w:ascii="Symbol" w:hAnsi="Symbol"/>
      </w:rPr>
    </w:lvl>
    <w:lvl w:ilvl="7" w:tentative="0">
      <w:start w:val="1"/>
      <w:numFmt w:val="bullet"/>
      <w:lvlText w:val="o"/>
      <w:lvlJc w:val="left"/>
      <w:pPr>
        <w:ind w:left="5410" w:hanging="360"/>
      </w:pPr>
      <w:rPr>
        <w:rFonts w:hint="default" w:ascii="Courier New" w:hAnsi="Courier New" w:cs="Courier New"/>
      </w:rPr>
    </w:lvl>
    <w:lvl w:ilvl="8" w:tentative="0">
      <w:start w:val="1"/>
      <w:numFmt w:val="bullet"/>
      <w:lvlText w:val=""/>
      <w:lvlJc w:val="left"/>
      <w:pPr>
        <w:ind w:left="6130" w:hanging="360"/>
      </w:pPr>
      <w:rPr>
        <w:rFonts w:hint="default" w:ascii="Wingdings" w:hAnsi="Wingdings"/>
      </w:rPr>
    </w:lvl>
  </w:abstractNum>
  <w:abstractNum w:abstractNumId="23">
    <w:nsid w:val="53C72E43"/>
    <w:multiLevelType w:val="multilevel"/>
    <w:tmpl w:val="53C72E43"/>
    <w:lvl w:ilvl="0" w:tentative="0">
      <w:start w:val="1"/>
      <w:numFmt w:val="bullet"/>
      <w:lvlText w:val=""/>
      <w:lvlJc w:val="left"/>
      <w:pPr>
        <w:ind w:left="361" w:hanging="360"/>
      </w:pPr>
      <w:rPr>
        <w:rFonts w:ascii="Wingdings" w:hAnsi="Wingdings" w:eastAsia="Wingdings" w:cs="Wingdings"/>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1" w:hanging="360"/>
      </w:pPr>
      <w:rPr>
        <w:rFonts w:hint="default" w:ascii="Courier New" w:hAnsi="Courier New" w:cs="Courier New"/>
      </w:rPr>
    </w:lvl>
    <w:lvl w:ilvl="2" w:tentative="0">
      <w:start w:val="1"/>
      <w:numFmt w:val="bullet"/>
      <w:lvlText w:val=""/>
      <w:lvlJc w:val="left"/>
      <w:pPr>
        <w:ind w:left="1801" w:hanging="360"/>
      </w:pPr>
      <w:rPr>
        <w:rFonts w:hint="default" w:ascii="Wingdings" w:hAnsi="Wingdings"/>
      </w:rPr>
    </w:lvl>
    <w:lvl w:ilvl="3" w:tentative="0">
      <w:start w:val="1"/>
      <w:numFmt w:val="bullet"/>
      <w:lvlText w:val=""/>
      <w:lvlJc w:val="left"/>
      <w:pPr>
        <w:ind w:left="2521" w:hanging="360"/>
      </w:pPr>
      <w:rPr>
        <w:rFonts w:hint="default" w:ascii="Symbol" w:hAnsi="Symbol"/>
      </w:rPr>
    </w:lvl>
    <w:lvl w:ilvl="4" w:tentative="0">
      <w:start w:val="1"/>
      <w:numFmt w:val="bullet"/>
      <w:lvlText w:val="o"/>
      <w:lvlJc w:val="left"/>
      <w:pPr>
        <w:ind w:left="3241" w:hanging="360"/>
      </w:pPr>
      <w:rPr>
        <w:rFonts w:hint="default" w:ascii="Courier New" w:hAnsi="Courier New" w:cs="Courier New"/>
      </w:rPr>
    </w:lvl>
    <w:lvl w:ilvl="5" w:tentative="0">
      <w:start w:val="1"/>
      <w:numFmt w:val="bullet"/>
      <w:lvlText w:val=""/>
      <w:lvlJc w:val="left"/>
      <w:pPr>
        <w:ind w:left="3961" w:hanging="360"/>
      </w:pPr>
      <w:rPr>
        <w:rFonts w:hint="default" w:ascii="Wingdings" w:hAnsi="Wingdings"/>
      </w:rPr>
    </w:lvl>
    <w:lvl w:ilvl="6" w:tentative="0">
      <w:start w:val="1"/>
      <w:numFmt w:val="bullet"/>
      <w:lvlText w:val=""/>
      <w:lvlJc w:val="left"/>
      <w:pPr>
        <w:ind w:left="4681" w:hanging="360"/>
      </w:pPr>
      <w:rPr>
        <w:rFonts w:hint="default" w:ascii="Symbol" w:hAnsi="Symbol"/>
      </w:rPr>
    </w:lvl>
    <w:lvl w:ilvl="7" w:tentative="0">
      <w:start w:val="1"/>
      <w:numFmt w:val="bullet"/>
      <w:lvlText w:val="o"/>
      <w:lvlJc w:val="left"/>
      <w:pPr>
        <w:ind w:left="5401" w:hanging="360"/>
      </w:pPr>
      <w:rPr>
        <w:rFonts w:hint="default" w:ascii="Courier New" w:hAnsi="Courier New" w:cs="Courier New"/>
      </w:rPr>
    </w:lvl>
    <w:lvl w:ilvl="8" w:tentative="0">
      <w:start w:val="1"/>
      <w:numFmt w:val="bullet"/>
      <w:lvlText w:val=""/>
      <w:lvlJc w:val="left"/>
      <w:pPr>
        <w:ind w:left="6121" w:hanging="360"/>
      </w:pPr>
      <w:rPr>
        <w:rFonts w:hint="default" w:ascii="Wingdings" w:hAnsi="Wingdings"/>
      </w:rPr>
    </w:lvl>
  </w:abstractNum>
  <w:abstractNum w:abstractNumId="24">
    <w:nsid w:val="55EE4A64"/>
    <w:multiLevelType w:val="multilevel"/>
    <w:tmpl w:val="55EE4A64"/>
    <w:lvl w:ilvl="0" w:tentative="0">
      <w:start w:val="1"/>
      <w:numFmt w:val="bullet"/>
      <w:lvlText w:val="•"/>
      <w:lvlJc w:val="left"/>
      <w:pPr>
        <w:ind w:left="483"/>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25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97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690"/>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41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13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850"/>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57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29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abstractNum>
  <w:abstractNum w:abstractNumId="25">
    <w:nsid w:val="62B74CA0"/>
    <w:multiLevelType w:val="multilevel"/>
    <w:tmpl w:val="62B74CA0"/>
    <w:lvl w:ilvl="0" w:tentative="0">
      <w:start w:val="1"/>
      <w:numFmt w:val="upperLetter"/>
      <w:lvlText w:val="%1"/>
      <w:lvlJc w:val="left"/>
      <w:pPr>
        <w:ind w:left="5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84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56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28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00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72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44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16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88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6">
    <w:nsid w:val="6C3D2E01"/>
    <w:multiLevelType w:val="multilevel"/>
    <w:tmpl w:val="6C3D2E01"/>
    <w:lvl w:ilvl="0" w:tentative="0">
      <w:start w:val="1"/>
      <w:numFmt w:val="bullet"/>
      <w:lvlText w:val=""/>
      <w:lvlJc w:val="left"/>
      <w:pPr>
        <w:ind w:left="420"/>
      </w:pPr>
      <w:rPr>
        <w:rFonts w:ascii="Wingdings" w:hAnsi="Wingdings" w:eastAsia="Wingdings" w:cs="Wingdings"/>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187"/>
      </w:pPr>
      <w:rPr>
        <w:rFonts w:ascii="Wingdings" w:hAnsi="Wingdings" w:eastAsia="Wingdings" w:cs="Wingdings"/>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907"/>
      </w:pPr>
      <w:rPr>
        <w:rFonts w:ascii="Wingdings" w:hAnsi="Wingdings" w:eastAsia="Wingdings" w:cs="Wingdings"/>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627"/>
      </w:pPr>
      <w:rPr>
        <w:rFonts w:ascii="Wingdings" w:hAnsi="Wingdings" w:eastAsia="Wingdings" w:cs="Wingdings"/>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347"/>
      </w:pPr>
      <w:rPr>
        <w:rFonts w:ascii="Wingdings" w:hAnsi="Wingdings" w:eastAsia="Wingdings" w:cs="Wingdings"/>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067"/>
      </w:pPr>
      <w:rPr>
        <w:rFonts w:ascii="Wingdings" w:hAnsi="Wingdings" w:eastAsia="Wingdings" w:cs="Wingdings"/>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787"/>
      </w:pPr>
      <w:rPr>
        <w:rFonts w:ascii="Wingdings" w:hAnsi="Wingdings" w:eastAsia="Wingdings" w:cs="Wingdings"/>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507"/>
      </w:pPr>
      <w:rPr>
        <w:rFonts w:ascii="Wingdings" w:hAnsi="Wingdings" w:eastAsia="Wingdings" w:cs="Wingdings"/>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227"/>
      </w:pPr>
      <w:rPr>
        <w:rFonts w:ascii="Wingdings" w:hAnsi="Wingdings" w:eastAsia="Wingdings" w:cs="Wingdings"/>
        <w:b w:val="0"/>
        <w:i w:val="0"/>
        <w:strike w:val="0"/>
        <w:dstrike w:val="0"/>
        <w:color w:val="000000"/>
        <w:sz w:val="24"/>
        <w:szCs w:val="24"/>
        <w:u w:val="none" w:color="000000"/>
        <w:shd w:val="clear" w:color="auto" w:fill="auto"/>
        <w:vertAlign w:val="baseline"/>
      </w:rPr>
    </w:lvl>
  </w:abstractNum>
  <w:abstractNum w:abstractNumId="27">
    <w:nsid w:val="6C7F143A"/>
    <w:multiLevelType w:val="multilevel"/>
    <w:tmpl w:val="6C7F143A"/>
    <w:lvl w:ilvl="0" w:tentative="0">
      <w:start w:val="1"/>
      <w:numFmt w:val="bullet"/>
      <w:lvlText w:val=""/>
      <w:lvlJc w:val="left"/>
      <w:pPr>
        <w:ind w:left="705" w:hanging="360"/>
      </w:pPr>
      <w:rPr>
        <w:rFonts w:hint="default" w:ascii="Symbol" w:hAnsi="Symbol"/>
      </w:rPr>
    </w:lvl>
    <w:lvl w:ilvl="1" w:tentative="0">
      <w:start w:val="1"/>
      <w:numFmt w:val="bullet"/>
      <w:lvlText w:val="o"/>
      <w:lvlJc w:val="left"/>
      <w:pPr>
        <w:ind w:left="1425" w:hanging="360"/>
      </w:pPr>
      <w:rPr>
        <w:rFonts w:hint="default" w:ascii="Courier New" w:hAnsi="Courier New" w:cs="Courier New"/>
      </w:rPr>
    </w:lvl>
    <w:lvl w:ilvl="2" w:tentative="0">
      <w:start w:val="1"/>
      <w:numFmt w:val="bullet"/>
      <w:lvlText w:val=""/>
      <w:lvlJc w:val="left"/>
      <w:pPr>
        <w:ind w:left="2145" w:hanging="360"/>
      </w:pPr>
      <w:rPr>
        <w:rFonts w:hint="default" w:ascii="Wingdings" w:hAnsi="Wingdings"/>
      </w:rPr>
    </w:lvl>
    <w:lvl w:ilvl="3" w:tentative="0">
      <w:start w:val="1"/>
      <w:numFmt w:val="bullet"/>
      <w:lvlText w:val=""/>
      <w:lvlJc w:val="left"/>
      <w:pPr>
        <w:ind w:left="2865" w:hanging="360"/>
      </w:pPr>
      <w:rPr>
        <w:rFonts w:hint="default" w:ascii="Symbol" w:hAnsi="Symbol"/>
      </w:rPr>
    </w:lvl>
    <w:lvl w:ilvl="4" w:tentative="0">
      <w:start w:val="1"/>
      <w:numFmt w:val="bullet"/>
      <w:lvlText w:val="o"/>
      <w:lvlJc w:val="left"/>
      <w:pPr>
        <w:ind w:left="3585" w:hanging="360"/>
      </w:pPr>
      <w:rPr>
        <w:rFonts w:hint="default" w:ascii="Courier New" w:hAnsi="Courier New" w:cs="Courier New"/>
      </w:rPr>
    </w:lvl>
    <w:lvl w:ilvl="5" w:tentative="0">
      <w:start w:val="1"/>
      <w:numFmt w:val="bullet"/>
      <w:lvlText w:val=""/>
      <w:lvlJc w:val="left"/>
      <w:pPr>
        <w:ind w:left="4305" w:hanging="360"/>
      </w:pPr>
      <w:rPr>
        <w:rFonts w:hint="default" w:ascii="Wingdings" w:hAnsi="Wingdings"/>
      </w:rPr>
    </w:lvl>
    <w:lvl w:ilvl="6" w:tentative="0">
      <w:start w:val="1"/>
      <w:numFmt w:val="bullet"/>
      <w:lvlText w:val=""/>
      <w:lvlJc w:val="left"/>
      <w:pPr>
        <w:ind w:left="5025" w:hanging="360"/>
      </w:pPr>
      <w:rPr>
        <w:rFonts w:hint="default" w:ascii="Symbol" w:hAnsi="Symbol"/>
      </w:rPr>
    </w:lvl>
    <w:lvl w:ilvl="7" w:tentative="0">
      <w:start w:val="1"/>
      <w:numFmt w:val="bullet"/>
      <w:lvlText w:val="o"/>
      <w:lvlJc w:val="left"/>
      <w:pPr>
        <w:ind w:left="5745" w:hanging="360"/>
      </w:pPr>
      <w:rPr>
        <w:rFonts w:hint="default" w:ascii="Courier New" w:hAnsi="Courier New" w:cs="Courier New"/>
      </w:rPr>
    </w:lvl>
    <w:lvl w:ilvl="8" w:tentative="0">
      <w:start w:val="1"/>
      <w:numFmt w:val="bullet"/>
      <w:lvlText w:val=""/>
      <w:lvlJc w:val="left"/>
      <w:pPr>
        <w:ind w:left="6465" w:hanging="360"/>
      </w:pPr>
      <w:rPr>
        <w:rFonts w:hint="default" w:ascii="Wingdings" w:hAnsi="Wingdings"/>
      </w:rPr>
    </w:lvl>
  </w:abstractNum>
  <w:abstractNum w:abstractNumId="28">
    <w:nsid w:val="6C8164D5"/>
    <w:multiLevelType w:val="multilevel"/>
    <w:tmpl w:val="6C8164D5"/>
    <w:lvl w:ilvl="0" w:tentative="0">
      <w:start w:val="1"/>
      <w:numFmt w:val="bullet"/>
      <w:lvlText w:val=""/>
      <w:lvlJc w:val="left"/>
      <w:pPr>
        <w:ind w:left="361" w:hanging="360"/>
      </w:pPr>
      <w:rPr>
        <w:rFonts w:hint="default" w:ascii="Wingdings" w:hAnsi="Wingdings" w:eastAsia="Wingdings" w:cs="Wingdings"/>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1" w:hanging="360"/>
      </w:pPr>
      <w:rPr>
        <w:rFonts w:hint="default" w:ascii="Courier New" w:hAnsi="Courier New" w:cs="Courier New"/>
      </w:rPr>
    </w:lvl>
    <w:lvl w:ilvl="2" w:tentative="0">
      <w:start w:val="1"/>
      <w:numFmt w:val="bullet"/>
      <w:lvlText w:val=""/>
      <w:lvlJc w:val="left"/>
      <w:pPr>
        <w:ind w:left="1801" w:hanging="360"/>
      </w:pPr>
      <w:rPr>
        <w:rFonts w:hint="default" w:ascii="Wingdings" w:hAnsi="Wingdings"/>
      </w:rPr>
    </w:lvl>
    <w:lvl w:ilvl="3" w:tentative="0">
      <w:start w:val="1"/>
      <w:numFmt w:val="bullet"/>
      <w:lvlText w:val=""/>
      <w:lvlJc w:val="left"/>
      <w:pPr>
        <w:ind w:left="2521" w:hanging="360"/>
      </w:pPr>
      <w:rPr>
        <w:rFonts w:hint="default" w:ascii="Symbol" w:hAnsi="Symbol"/>
      </w:rPr>
    </w:lvl>
    <w:lvl w:ilvl="4" w:tentative="0">
      <w:start w:val="1"/>
      <w:numFmt w:val="bullet"/>
      <w:lvlText w:val="o"/>
      <w:lvlJc w:val="left"/>
      <w:pPr>
        <w:ind w:left="3241" w:hanging="360"/>
      </w:pPr>
      <w:rPr>
        <w:rFonts w:hint="default" w:ascii="Courier New" w:hAnsi="Courier New" w:cs="Courier New"/>
      </w:rPr>
    </w:lvl>
    <w:lvl w:ilvl="5" w:tentative="0">
      <w:start w:val="1"/>
      <w:numFmt w:val="bullet"/>
      <w:lvlText w:val=""/>
      <w:lvlJc w:val="left"/>
      <w:pPr>
        <w:ind w:left="3961" w:hanging="360"/>
      </w:pPr>
      <w:rPr>
        <w:rFonts w:hint="default" w:ascii="Wingdings" w:hAnsi="Wingdings"/>
      </w:rPr>
    </w:lvl>
    <w:lvl w:ilvl="6" w:tentative="0">
      <w:start w:val="1"/>
      <w:numFmt w:val="bullet"/>
      <w:lvlText w:val=""/>
      <w:lvlJc w:val="left"/>
      <w:pPr>
        <w:ind w:left="4681" w:hanging="360"/>
      </w:pPr>
      <w:rPr>
        <w:rFonts w:hint="default" w:ascii="Symbol" w:hAnsi="Symbol"/>
      </w:rPr>
    </w:lvl>
    <w:lvl w:ilvl="7" w:tentative="0">
      <w:start w:val="1"/>
      <w:numFmt w:val="bullet"/>
      <w:lvlText w:val="o"/>
      <w:lvlJc w:val="left"/>
      <w:pPr>
        <w:ind w:left="5401" w:hanging="360"/>
      </w:pPr>
      <w:rPr>
        <w:rFonts w:hint="default" w:ascii="Courier New" w:hAnsi="Courier New" w:cs="Courier New"/>
      </w:rPr>
    </w:lvl>
    <w:lvl w:ilvl="8" w:tentative="0">
      <w:start w:val="1"/>
      <w:numFmt w:val="bullet"/>
      <w:lvlText w:val=""/>
      <w:lvlJc w:val="left"/>
      <w:pPr>
        <w:ind w:left="6121" w:hanging="360"/>
      </w:pPr>
      <w:rPr>
        <w:rFonts w:hint="default" w:ascii="Wingdings" w:hAnsi="Wingdings"/>
      </w:rPr>
    </w:lvl>
  </w:abstractNum>
  <w:abstractNum w:abstractNumId="29">
    <w:nsid w:val="71424E7E"/>
    <w:multiLevelType w:val="multilevel"/>
    <w:tmpl w:val="71424E7E"/>
    <w:lvl w:ilvl="0" w:tentative="0">
      <w:start w:val="1"/>
      <w:numFmt w:val="bullet"/>
      <w:lvlText w:val=""/>
      <w:lvlJc w:val="left"/>
      <w:pPr>
        <w:ind w:left="840"/>
      </w:pPr>
      <w:rPr>
        <w:rFonts w:hint="default" w:ascii="Symbol" w:hAnsi="Symbo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500"/>
      </w:pPr>
      <w:rPr>
        <w:rFonts w:ascii="Wingdings" w:hAnsi="Wingdings" w:eastAsia="Wingdings" w:cs="Wingdings"/>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220"/>
      </w:pPr>
      <w:rPr>
        <w:rFonts w:ascii="Wingdings" w:hAnsi="Wingdings" w:eastAsia="Wingdings" w:cs="Wingdings"/>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940"/>
      </w:pPr>
      <w:rPr>
        <w:rFonts w:ascii="Wingdings" w:hAnsi="Wingdings" w:eastAsia="Wingdings" w:cs="Wingdings"/>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660"/>
      </w:pPr>
      <w:rPr>
        <w:rFonts w:ascii="Wingdings" w:hAnsi="Wingdings" w:eastAsia="Wingdings" w:cs="Wingdings"/>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380"/>
      </w:pPr>
      <w:rPr>
        <w:rFonts w:ascii="Wingdings" w:hAnsi="Wingdings" w:eastAsia="Wingdings" w:cs="Wingdings"/>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100"/>
      </w:pPr>
      <w:rPr>
        <w:rFonts w:ascii="Wingdings" w:hAnsi="Wingdings" w:eastAsia="Wingdings" w:cs="Wingdings"/>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820"/>
      </w:pPr>
      <w:rPr>
        <w:rFonts w:ascii="Wingdings" w:hAnsi="Wingdings" w:eastAsia="Wingdings" w:cs="Wingdings"/>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540"/>
      </w:pPr>
      <w:rPr>
        <w:rFonts w:ascii="Wingdings" w:hAnsi="Wingdings" w:eastAsia="Wingdings" w:cs="Wingdings"/>
        <w:b w:val="0"/>
        <w:i w:val="0"/>
        <w:strike w:val="0"/>
        <w:dstrike w:val="0"/>
        <w:color w:val="000000"/>
        <w:sz w:val="24"/>
        <w:szCs w:val="24"/>
        <w:u w:val="none" w:color="000000"/>
        <w:shd w:val="clear" w:color="auto" w:fill="auto"/>
        <w:vertAlign w:val="baseline"/>
      </w:rPr>
    </w:lvl>
  </w:abstractNum>
  <w:abstractNum w:abstractNumId="30">
    <w:nsid w:val="75EC2121"/>
    <w:multiLevelType w:val="multilevel"/>
    <w:tmpl w:val="75EC2121"/>
    <w:lvl w:ilvl="0" w:tentative="0">
      <w:start w:val="1"/>
      <w:numFmt w:val="bullet"/>
      <w:lvlText w:val=""/>
      <w:lvlJc w:val="left"/>
      <w:pPr>
        <w:ind w:left="361" w:hanging="360"/>
      </w:pPr>
      <w:rPr>
        <w:rFonts w:ascii="Wingdings" w:hAnsi="Wingdings" w:eastAsia="Wingdings" w:cs="Wingdings"/>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1" w:hanging="360"/>
      </w:pPr>
      <w:rPr>
        <w:rFonts w:hint="default" w:ascii="Courier New" w:hAnsi="Courier New" w:cs="Courier New"/>
      </w:rPr>
    </w:lvl>
    <w:lvl w:ilvl="2" w:tentative="0">
      <w:start w:val="1"/>
      <w:numFmt w:val="bullet"/>
      <w:lvlText w:val=""/>
      <w:lvlJc w:val="left"/>
      <w:pPr>
        <w:ind w:left="1801" w:hanging="360"/>
      </w:pPr>
      <w:rPr>
        <w:rFonts w:hint="default" w:ascii="Wingdings" w:hAnsi="Wingdings"/>
      </w:rPr>
    </w:lvl>
    <w:lvl w:ilvl="3" w:tentative="0">
      <w:start w:val="1"/>
      <w:numFmt w:val="bullet"/>
      <w:lvlText w:val=""/>
      <w:lvlJc w:val="left"/>
      <w:pPr>
        <w:ind w:left="2521" w:hanging="360"/>
      </w:pPr>
      <w:rPr>
        <w:rFonts w:hint="default" w:ascii="Symbol" w:hAnsi="Symbol"/>
      </w:rPr>
    </w:lvl>
    <w:lvl w:ilvl="4" w:tentative="0">
      <w:start w:val="1"/>
      <w:numFmt w:val="bullet"/>
      <w:lvlText w:val="o"/>
      <w:lvlJc w:val="left"/>
      <w:pPr>
        <w:ind w:left="3241" w:hanging="360"/>
      </w:pPr>
      <w:rPr>
        <w:rFonts w:hint="default" w:ascii="Courier New" w:hAnsi="Courier New" w:cs="Courier New"/>
      </w:rPr>
    </w:lvl>
    <w:lvl w:ilvl="5" w:tentative="0">
      <w:start w:val="1"/>
      <w:numFmt w:val="bullet"/>
      <w:lvlText w:val=""/>
      <w:lvlJc w:val="left"/>
      <w:pPr>
        <w:ind w:left="3961" w:hanging="360"/>
      </w:pPr>
      <w:rPr>
        <w:rFonts w:hint="default" w:ascii="Wingdings" w:hAnsi="Wingdings"/>
      </w:rPr>
    </w:lvl>
    <w:lvl w:ilvl="6" w:tentative="0">
      <w:start w:val="1"/>
      <w:numFmt w:val="bullet"/>
      <w:lvlText w:val=""/>
      <w:lvlJc w:val="left"/>
      <w:pPr>
        <w:ind w:left="4681" w:hanging="360"/>
      </w:pPr>
      <w:rPr>
        <w:rFonts w:hint="default" w:ascii="Symbol" w:hAnsi="Symbol"/>
      </w:rPr>
    </w:lvl>
    <w:lvl w:ilvl="7" w:tentative="0">
      <w:start w:val="1"/>
      <w:numFmt w:val="bullet"/>
      <w:lvlText w:val="o"/>
      <w:lvlJc w:val="left"/>
      <w:pPr>
        <w:ind w:left="5401" w:hanging="360"/>
      </w:pPr>
      <w:rPr>
        <w:rFonts w:hint="default" w:ascii="Courier New" w:hAnsi="Courier New" w:cs="Courier New"/>
      </w:rPr>
    </w:lvl>
    <w:lvl w:ilvl="8" w:tentative="0">
      <w:start w:val="1"/>
      <w:numFmt w:val="bullet"/>
      <w:lvlText w:val=""/>
      <w:lvlJc w:val="left"/>
      <w:pPr>
        <w:ind w:left="6121" w:hanging="360"/>
      </w:pPr>
      <w:rPr>
        <w:rFonts w:hint="default" w:ascii="Wingdings" w:hAnsi="Wingdings"/>
      </w:rPr>
    </w:lvl>
  </w:abstractNum>
  <w:abstractNum w:abstractNumId="31">
    <w:nsid w:val="79080827"/>
    <w:multiLevelType w:val="multilevel"/>
    <w:tmpl w:val="79080827"/>
    <w:lvl w:ilvl="0" w:tentative="0">
      <w:start w:val="1"/>
      <w:numFmt w:val="bullet"/>
      <w:lvlText w:val="•"/>
      <w:lvlJc w:val="left"/>
      <w:pPr>
        <w:ind w:left="782"/>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64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36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082"/>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80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52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242"/>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96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68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abstractNum>
  <w:abstractNum w:abstractNumId="32">
    <w:nsid w:val="7F594CEB"/>
    <w:multiLevelType w:val="multilevel"/>
    <w:tmpl w:val="7F594CEB"/>
    <w:lvl w:ilvl="0" w:tentative="0">
      <w:start w:val="1"/>
      <w:numFmt w:val="bullet"/>
      <w:lvlText w:val=""/>
      <w:lvlJc w:val="left"/>
      <w:pPr>
        <w:ind w:left="900"/>
      </w:pPr>
      <w:rPr>
        <w:rFonts w:hint="default" w:ascii="Symbol" w:hAnsi="Symbol"/>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17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9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61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33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05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77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9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21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num w:numId="1">
    <w:abstractNumId w:val="11"/>
  </w:num>
  <w:num w:numId="2">
    <w:abstractNumId w:val="21"/>
  </w:num>
  <w:num w:numId="3">
    <w:abstractNumId w:val="12"/>
  </w:num>
  <w:num w:numId="4">
    <w:abstractNumId w:val="8"/>
  </w:num>
  <w:num w:numId="5">
    <w:abstractNumId w:val="29"/>
  </w:num>
  <w:num w:numId="6">
    <w:abstractNumId w:val="10"/>
  </w:num>
  <w:num w:numId="7">
    <w:abstractNumId w:val="19"/>
  </w:num>
  <w:num w:numId="8">
    <w:abstractNumId w:val="26"/>
  </w:num>
  <w:num w:numId="9">
    <w:abstractNumId w:val="28"/>
  </w:num>
  <w:num w:numId="10">
    <w:abstractNumId w:val="17"/>
  </w:num>
  <w:num w:numId="11">
    <w:abstractNumId w:val="20"/>
  </w:num>
  <w:num w:numId="12">
    <w:abstractNumId w:val="9"/>
  </w:num>
  <w:num w:numId="13">
    <w:abstractNumId w:val="23"/>
  </w:num>
  <w:num w:numId="14">
    <w:abstractNumId w:val="30"/>
  </w:num>
  <w:num w:numId="15">
    <w:abstractNumId w:val="6"/>
  </w:num>
  <w:num w:numId="16">
    <w:abstractNumId w:val="4"/>
  </w:num>
  <w:num w:numId="17">
    <w:abstractNumId w:val="27"/>
  </w:num>
  <w:num w:numId="18">
    <w:abstractNumId w:val="5"/>
  </w:num>
  <w:num w:numId="19">
    <w:abstractNumId w:val="31"/>
  </w:num>
  <w:num w:numId="20">
    <w:abstractNumId w:val="32"/>
  </w:num>
  <w:num w:numId="21">
    <w:abstractNumId w:val="25"/>
  </w:num>
  <w:num w:numId="22">
    <w:abstractNumId w:val="2"/>
  </w:num>
  <w:num w:numId="23">
    <w:abstractNumId w:val="24"/>
  </w:num>
  <w:num w:numId="24">
    <w:abstractNumId w:val="18"/>
  </w:num>
  <w:num w:numId="25">
    <w:abstractNumId w:val="7"/>
  </w:num>
  <w:num w:numId="26">
    <w:abstractNumId w:val="15"/>
  </w:num>
  <w:num w:numId="27">
    <w:abstractNumId w:val="16"/>
  </w:num>
  <w:num w:numId="28">
    <w:abstractNumId w:val="1"/>
  </w:num>
  <w:num w:numId="29">
    <w:abstractNumId w:val="3"/>
  </w:num>
  <w:num w:numId="30">
    <w:abstractNumId w:val="0"/>
  </w:num>
  <w:num w:numId="31">
    <w:abstractNumId w:val="14"/>
  </w:num>
  <w:num w:numId="32">
    <w:abstractNumId w:val="22"/>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97"/>
    <w:rsid w:val="00001427"/>
    <w:rsid w:val="00001FB1"/>
    <w:rsid w:val="000076C4"/>
    <w:rsid w:val="00007D90"/>
    <w:rsid w:val="00010FE8"/>
    <w:rsid w:val="0001242B"/>
    <w:rsid w:val="00012A0B"/>
    <w:rsid w:val="00012FD3"/>
    <w:rsid w:val="00017C86"/>
    <w:rsid w:val="000210C6"/>
    <w:rsid w:val="00023F4F"/>
    <w:rsid w:val="00031430"/>
    <w:rsid w:val="0003388B"/>
    <w:rsid w:val="00034DBF"/>
    <w:rsid w:val="000364F3"/>
    <w:rsid w:val="00040129"/>
    <w:rsid w:val="00040B9B"/>
    <w:rsid w:val="00044E7B"/>
    <w:rsid w:val="00052510"/>
    <w:rsid w:val="00052A91"/>
    <w:rsid w:val="00053B33"/>
    <w:rsid w:val="000615EC"/>
    <w:rsid w:val="000635E0"/>
    <w:rsid w:val="00065F88"/>
    <w:rsid w:val="000705B0"/>
    <w:rsid w:val="00072099"/>
    <w:rsid w:val="0007223D"/>
    <w:rsid w:val="00073201"/>
    <w:rsid w:val="00074B4C"/>
    <w:rsid w:val="00077B33"/>
    <w:rsid w:val="0008258B"/>
    <w:rsid w:val="00084F70"/>
    <w:rsid w:val="00087307"/>
    <w:rsid w:val="00096AE0"/>
    <w:rsid w:val="000A36E6"/>
    <w:rsid w:val="000A3A92"/>
    <w:rsid w:val="000A40AA"/>
    <w:rsid w:val="000B4AAD"/>
    <w:rsid w:val="000B6326"/>
    <w:rsid w:val="000B64FB"/>
    <w:rsid w:val="000C1CD4"/>
    <w:rsid w:val="000C2340"/>
    <w:rsid w:val="000C4C22"/>
    <w:rsid w:val="000C6267"/>
    <w:rsid w:val="000D0DB3"/>
    <w:rsid w:val="000D2196"/>
    <w:rsid w:val="000D6067"/>
    <w:rsid w:val="000D6101"/>
    <w:rsid w:val="000D6972"/>
    <w:rsid w:val="000E5310"/>
    <w:rsid w:val="000E62C4"/>
    <w:rsid w:val="000F3219"/>
    <w:rsid w:val="000F79E2"/>
    <w:rsid w:val="00105A51"/>
    <w:rsid w:val="001105C2"/>
    <w:rsid w:val="00111B8C"/>
    <w:rsid w:val="00111FA5"/>
    <w:rsid w:val="00113D47"/>
    <w:rsid w:val="0011688B"/>
    <w:rsid w:val="001209DB"/>
    <w:rsid w:val="00126AFB"/>
    <w:rsid w:val="0013562B"/>
    <w:rsid w:val="00137244"/>
    <w:rsid w:val="00144176"/>
    <w:rsid w:val="0015048C"/>
    <w:rsid w:val="001505D7"/>
    <w:rsid w:val="00156281"/>
    <w:rsid w:val="001578FE"/>
    <w:rsid w:val="0016019F"/>
    <w:rsid w:val="00165992"/>
    <w:rsid w:val="00165D49"/>
    <w:rsid w:val="00167586"/>
    <w:rsid w:val="001717FE"/>
    <w:rsid w:val="00173129"/>
    <w:rsid w:val="00173A86"/>
    <w:rsid w:val="0017432D"/>
    <w:rsid w:val="001762B6"/>
    <w:rsid w:val="00180926"/>
    <w:rsid w:val="00180C76"/>
    <w:rsid w:val="0018155E"/>
    <w:rsid w:val="00181593"/>
    <w:rsid w:val="0018176B"/>
    <w:rsid w:val="00182C6B"/>
    <w:rsid w:val="00182FD5"/>
    <w:rsid w:val="00183FD6"/>
    <w:rsid w:val="001849F3"/>
    <w:rsid w:val="001862C6"/>
    <w:rsid w:val="001875D8"/>
    <w:rsid w:val="00190C37"/>
    <w:rsid w:val="0019315E"/>
    <w:rsid w:val="00193C10"/>
    <w:rsid w:val="001A2B35"/>
    <w:rsid w:val="001A2BDD"/>
    <w:rsid w:val="001A42F2"/>
    <w:rsid w:val="001A4DA4"/>
    <w:rsid w:val="001B0333"/>
    <w:rsid w:val="001B1257"/>
    <w:rsid w:val="001B303C"/>
    <w:rsid w:val="001B4B10"/>
    <w:rsid w:val="001C09F4"/>
    <w:rsid w:val="001C5207"/>
    <w:rsid w:val="001C52C8"/>
    <w:rsid w:val="001D37EE"/>
    <w:rsid w:val="001E4760"/>
    <w:rsid w:val="001E653E"/>
    <w:rsid w:val="001F1C0E"/>
    <w:rsid w:val="001F218B"/>
    <w:rsid w:val="001F4B37"/>
    <w:rsid w:val="001F58B4"/>
    <w:rsid w:val="001F67EF"/>
    <w:rsid w:val="001F763D"/>
    <w:rsid w:val="00204EEF"/>
    <w:rsid w:val="002054CD"/>
    <w:rsid w:val="002128AD"/>
    <w:rsid w:val="0021363D"/>
    <w:rsid w:val="00213D75"/>
    <w:rsid w:val="0021494D"/>
    <w:rsid w:val="00214F5E"/>
    <w:rsid w:val="00215079"/>
    <w:rsid w:val="00215E4C"/>
    <w:rsid w:val="00220CD9"/>
    <w:rsid w:val="002215BD"/>
    <w:rsid w:val="00222114"/>
    <w:rsid w:val="00222C39"/>
    <w:rsid w:val="00225175"/>
    <w:rsid w:val="00225313"/>
    <w:rsid w:val="00227359"/>
    <w:rsid w:val="00232945"/>
    <w:rsid w:val="002340A2"/>
    <w:rsid w:val="00234357"/>
    <w:rsid w:val="002350DC"/>
    <w:rsid w:val="00236DCB"/>
    <w:rsid w:val="00244904"/>
    <w:rsid w:val="00246F15"/>
    <w:rsid w:val="00246F71"/>
    <w:rsid w:val="00247EF2"/>
    <w:rsid w:val="0025050A"/>
    <w:rsid w:val="00252CF8"/>
    <w:rsid w:val="0025693A"/>
    <w:rsid w:val="00272D25"/>
    <w:rsid w:val="0027569E"/>
    <w:rsid w:val="002776AE"/>
    <w:rsid w:val="00282324"/>
    <w:rsid w:val="00282377"/>
    <w:rsid w:val="00285379"/>
    <w:rsid w:val="00293CA7"/>
    <w:rsid w:val="00293F3D"/>
    <w:rsid w:val="0029663F"/>
    <w:rsid w:val="00297412"/>
    <w:rsid w:val="002A655A"/>
    <w:rsid w:val="002A7AEB"/>
    <w:rsid w:val="002B21C0"/>
    <w:rsid w:val="002B29AE"/>
    <w:rsid w:val="002B447D"/>
    <w:rsid w:val="002C007C"/>
    <w:rsid w:val="002C07DC"/>
    <w:rsid w:val="002C1B8C"/>
    <w:rsid w:val="002C5F6D"/>
    <w:rsid w:val="002C76BD"/>
    <w:rsid w:val="002E391A"/>
    <w:rsid w:val="002E43E7"/>
    <w:rsid w:val="002E59EC"/>
    <w:rsid w:val="002E7CB0"/>
    <w:rsid w:val="002F0DE0"/>
    <w:rsid w:val="002F10E0"/>
    <w:rsid w:val="002F1246"/>
    <w:rsid w:val="002F4B81"/>
    <w:rsid w:val="002F5BA4"/>
    <w:rsid w:val="002F65F3"/>
    <w:rsid w:val="00300C36"/>
    <w:rsid w:val="00301376"/>
    <w:rsid w:val="00311967"/>
    <w:rsid w:val="00313AE7"/>
    <w:rsid w:val="003141EA"/>
    <w:rsid w:val="00314B54"/>
    <w:rsid w:val="00331521"/>
    <w:rsid w:val="00334A9A"/>
    <w:rsid w:val="003352BA"/>
    <w:rsid w:val="00341A3E"/>
    <w:rsid w:val="003446AD"/>
    <w:rsid w:val="003465F5"/>
    <w:rsid w:val="00352B71"/>
    <w:rsid w:val="00354545"/>
    <w:rsid w:val="00364EFB"/>
    <w:rsid w:val="00373BF0"/>
    <w:rsid w:val="00381E5D"/>
    <w:rsid w:val="00382650"/>
    <w:rsid w:val="00383CF0"/>
    <w:rsid w:val="00385179"/>
    <w:rsid w:val="00385ECF"/>
    <w:rsid w:val="00390490"/>
    <w:rsid w:val="003A5A85"/>
    <w:rsid w:val="003B1E87"/>
    <w:rsid w:val="003B225A"/>
    <w:rsid w:val="003B3174"/>
    <w:rsid w:val="003B3C79"/>
    <w:rsid w:val="003B7195"/>
    <w:rsid w:val="003C0A96"/>
    <w:rsid w:val="003C132F"/>
    <w:rsid w:val="003C5550"/>
    <w:rsid w:val="003D029A"/>
    <w:rsid w:val="003E06C9"/>
    <w:rsid w:val="003E15E2"/>
    <w:rsid w:val="003E183D"/>
    <w:rsid w:val="003E2B50"/>
    <w:rsid w:val="003E3C85"/>
    <w:rsid w:val="003E540C"/>
    <w:rsid w:val="003F7096"/>
    <w:rsid w:val="00401A75"/>
    <w:rsid w:val="00404DAC"/>
    <w:rsid w:val="00404EC4"/>
    <w:rsid w:val="00404FAD"/>
    <w:rsid w:val="00405725"/>
    <w:rsid w:val="004068EE"/>
    <w:rsid w:val="0041153F"/>
    <w:rsid w:val="00411CD2"/>
    <w:rsid w:val="0041700F"/>
    <w:rsid w:val="0042026C"/>
    <w:rsid w:val="004219FB"/>
    <w:rsid w:val="00423643"/>
    <w:rsid w:val="00430D5B"/>
    <w:rsid w:val="0043183C"/>
    <w:rsid w:val="004327CC"/>
    <w:rsid w:val="004349C6"/>
    <w:rsid w:val="00442690"/>
    <w:rsid w:val="004478D1"/>
    <w:rsid w:val="0045461D"/>
    <w:rsid w:val="00457309"/>
    <w:rsid w:val="00460E44"/>
    <w:rsid w:val="00464F75"/>
    <w:rsid w:val="0046642E"/>
    <w:rsid w:val="004703C0"/>
    <w:rsid w:val="00471BCB"/>
    <w:rsid w:val="00473767"/>
    <w:rsid w:val="00490EB0"/>
    <w:rsid w:val="00497040"/>
    <w:rsid w:val="004A0577"/>
    <w:rsid w:val="004A0C52"/>
    <w:rsid w:val="004A37D3"/>
    <w:rsid w:val="004A3E0E"/>
    <w:rsid w:val="004A6402"/>
    <w:rsid w:val="004B3CEF"/>
    <w:rsid w:val="004B4400"/>
    <w:rsid w:val="004C142A"/>
    <w:rsid w:val="004C1C5F"/>
    <w:rsid w:val="004C3248"/>
    <w:rsid w:val="004C577F"/>
    <w:rsid w:val="004D46F4"/>
    <w:rsid w:val="004F0FB8"/>
    <w:rsid w:val="004F20C2"/>
    <w:rsid w:val="004F3C5B"/>
    <w:rsid w:val="004F40AE"/>
    <w:rsid w:val="004F584F"/>
    <w:rsid w:val="004F77D4"/>
    <w:rsid w:val="00501762"/>
    <w:rsid w:val="005024BE"/>
    <w:rsid w:val="00504537"/>
    <w:rsid w:val="0051492D"/>
    <w:rsid w:val="00516825"/>
    <w:rsid w:val="005307AF"/>
    <w:rsid w:val="0053103C"/>
    <w:rsid w:val="005337E5"/>
    <w:rsid w:val="0054194A"/>
    <w:rsid w:val="00542B41"/>
    <w:rsid w:val="00545ACF"/>
    <w:rsid w:val="00550559"/>
    <w:rsid w:val="00550684"/>
    <w:rsid w:val="00551C87"/>
    <w:rsid w:val="0055249C"/>
    <w:rsid w:val="00557035"/>
    <w:rsid w:val="00563B79"/>
    <w:rsid w:val="00571709"/>
    <w:rsid w:val="00571CE7"/>
    <w:rsid w:val="005734F4"/>
    <w:rsid w:val="0057700F"/>
    <w:rsid w:val="005840B4"/>
    <w:rsid w:val="00586245"/>
    <w:rsid w:val="00593E3E"/>
    <w:rsid w:val="00595832"/>
    <w:rsid w:val="00595FD3"/>
    <w:rsid w:val="00596017"/>
    <w:rsid w:val="0059798E"/>
    <w:rsid w:val="005A12B7"/>
    <w:rsid w:val="005A5C5F"/>
    <w:rsid w:val="005A5D68"/>
    <w:rsid w:val="005B026D"/>
    <w:rsid w:val="005B2517"/>
    <w:rsid w:val="005B3DFE"/>
    <w:rsid w:val="005B4173"/>
    <w:rsid w:val="005B5F56"/>
    <w:rsid w:val="005C5118"/>
    <w:rsid w:val="005D146E"/>
    <w:rsid w:val="005E05FE"/>
    <w:rsid w:val="005E2BAB"/>
    <w:rsid w:val="005F17CD"/>
    <w:rsid w:val="005F340E"/>
    <w:rsid w:val="006017FE"/>
    <w:rsid w:val="00602B3A"/>
    <w:rsid w:val="006063FA"/>
    <w:rsid w:val="00611C58"/>
    <w:rsid w:val="0062324E"/>
    <w:rsid w:val="00624876"/>
    <w:rsid w:val="0062662E"/>
    <w:rsid w:val="0062692E"/>
    <w:rsid w:val="006315C5"/>
    <w:rsid w:val="006366E4"/>
    <w:rsid w:val="00640753"/>
    <w:rsid w:val="00644C4C"/>
    <w:rsid w:val="006473DA"/>
    <w:rsid w:val="00650DA2"/>
    <w:rsid w:val="00651027"/>
    <w:rsid w:val="006548A0"/>
    <w:rsid w:val="00656A9D"/>
    <w:rsid w:val="006608DF"/>
    <w:rsid w:val="00660AA0"/>
    <w:rsid w:val="006636A4"/>
    <w:rsid w:val="0066501B"/>
    <w:rsid w:val="00666CC0"/>
    <w:rsid w:val="006671D6"/>
    <w:rsid w:val="00670B5B"/>
    <w:rsid w:val="00670E5A"/>
    <w:rsid w:val="0067710B"/>
    <w:rsid w:val="00686771"/>
    <w:rsid w:val="006906A3"/>
    <w:rsid w:val="00692BC9"/>
    <w:rsid w:val="00692D74"/>
    <w:rsid w:val="00693912"/>
    <w:rsid w:val="006A1BE2"/>
    <w:rsid w:val="006A3663"/>
    <w:rsid w:val="006A7FA4"/>
    <w:rsid w:val="006B02C1"/>
    <w:rsid w:val="006B346F"/>
    <w:rsid w:val="006B6D87"/>
    <w:rsid w:val="006B7222"/>
    <w:rsid w:val="006B7F7B"/>
    <w:rsid w:val="006C3BA2"/>
    <w:rsid w:val="006C7E83"/>
    <w:rsid w:val="006D0D18"/>
    <w:rsid w:val="006D1663"/>
    <w:rsid w:val="006D46F9"/>
    <w:rsid w:val="006D672B"/>
    <w:rsid w:val="006E01FA"/>
    <w:rsid w:val="006F2DE0"/>
    <w:rsid w:val="006F3E91"/>
    <w:rsid w:val="006F4871"/>
    <w:rsid w:val="006F490D"/>
    <w:rsid w:val="006F4D1F"/>
    <w:rsid w:val="006F5664"/>
    <w:rsid w:val="006F74AE"/>
    <w:rsid w:val="00701FC8"/>
    <w:rsid w:val="007030DB"/>
    <w:rsid w:val="007058BE"/>
    <w:rsid w:val="00710534"/>
    <w:rsid w:val="00711C4F"/>
    <w:rsid w:val="00721A64"/>
    <w:rsid w:val="007225B2"/>
    <w:rsid w:val="007262CC"/>
    <w:rsid w:val="00736EF8"/>
    <w:rsid w:val="00742266"/>
    <w:rsid w:val="00744784"/>
    <w:rsid w:val="007464DC"/>
    <w:rsid w:val="007500B0"/>
    <w:rsid w:val="0075359A"/>
    <w:rsid w:val="0075466C"/>
    <w:rsid w:val="00756C5A"/>
    <w:rsid w:val="00767311"/>
    <w:rsid w:val="00770C06"/>
    <w:rsid w:val="00771E0D"/>
    <w:rsid w:val="00777394"/>
    <w:rsid w:val="007832F8"/>
    <w:rsid w:val="00785C2C"/>
    <w:rsid w:val="00786350"/>
    <w:rsid w:val="00786B15"/>
    <w:rsid w:val="00787EDF"/>
    <w:rsid w:val="0079086A"/>
    <w:rsid w:val="00793E4B"/>
    <w:rsid w:val="007A4D05"/>
    <w:rsid w:val="007A7104"/>
    <w:rsid w:val="007A746E"/>
    <w:rsid w:val="007B497F"/>
    <w:rsid w:val="007B6047"/>
    <w:rsid w:val="007C0655"/>
    <w:rsid w:val="007C3903"/>
    <w:rsid w:val="007C45B5"/>
    <w:rsid w:val="007D182E"/>
    <w:rsid w:val="007D2611"/>
    <w:rsid w:val="007D4027"/>
    <w:rsid w:val="007D5269"/>
    <w:rsid w:val="007D7003"/>
    <w:rsid w:val="007E4425"/>
    <w:rsid w:val="007E69C6"/>
    <w:rsid w:val="007E74F4"/>
    <w:rsid w:val="007F6232"/>
    <w:rsid w:val="00807A8A"/>
    <w:rsid w:val="00813D3B"/>
    <w:rsid w:val="00817A0C"/>
    <w:rsid w:val="0082030F"/>
    <w:rsid w:val="00820FCA"/>
    <w:rsid w:val="00823EA4"/>
    <w:rsid w:val="008272CB"/>
    <w:rsid w:val="00830157"/>
    <w:rsid w:val="008352FC"/>
    <w:rsid w:val="00840068"/>
    <w:rsid w:val="00841EB7"/>
    <w:rsid w:val="00844E1F"/>
    <w:rsid w:val="00846265"/>
    <w:rsid w:val="00846B92"/>
    <w:rsid w:val="00847DA7"/>
    <w:rsid w:val="0085253E"/>
    <w:rsid w:val="00853712"/>
    <w:rsid w:val="00854B19"/>
    <w:rsid w:val="008601E8"/>
    <w:rsid w:val="00876D30"/>
    <w:rsid w:val="00891BF2"/>
    <w:rsid w:val="00892DC3"/>
    <w:rsid w:val="00896247"/>
    <w:rsid w:val="008A0D41"/>
    <w:rsid w:val="008A2D0C"/>
    <w:rsid w:val="008A7618"/>
    <w:rsid w:val="008B159F"/>
    <w:rsid w:val="008B24F2"/>
    <w:rsid w:val="008C4C5E"/>
    <w:rsid w:val="008D11A6"/>
    <w:rsid w:val="008D16BA"/>
    <w:rsid w:val="008D3B30"/>
    <w:rsid w:val="008D62F9"/>
    <w:rsid w:val="008D7A98"/>
    <w:rsid w:val="008E36C0"/>
    <w:rsid w:val="008E39AA"/>
    <w:rsid w:val="008E76A0"/>
    <w:rsid w:val="008E7F50"/>
    <w:rsid w:val="008F06FE"/>
    <w:rsid w:val="008F142C"/>
    <w:rsid w:val="008F1650"/>
    <w:rsid w:val="008F2533"/>
    <w:rsid w:val="008F39FD"/>
    <w:rsid w:val="008F464B"/>
    <w:rsid w:val="008F4A17"/>
    <w:rsid w:val="008F7F37"/>
    <w:rsid w:val="00922C21"/>
    <w:rsid w:val="00932D1C"/>
    <w:rsid w:val="0093351E"/>
    <w:rsid w:val="00937542"/>
    <w:rsid w:val="00943497"/>
    <w:rsid w:val="0094540B"/>
    <w:rsid w:val="0094651F"/>
    <w:rsid w:val="00954C15"/>
    <w:rsid w:val="00955644"/>
    <w:rsid w:val="00963378"/>
    <w:rsid w:val="00964C48"/>
    <w:rsid w:val="009658C2"/>
    <w:rsid w:val="00966F74"/>
    <w:rsid w:val="009724BE"/>
    <w:rsid w:val="00972A18"/>
    <w:rsid w:val="009734A4"/>
    <w:rsid w:val="00973D23"/>
    <w:rsid w:val="0097573A"/>
    <w:rsid w:val="009765F1"/>
    <w:rsid w:val="009807BF"/>
    <w:rsid w:val="0098206F"/>
    <w:rsid w:val="009822AE"/>
    <w:rsid w:val="0098591B"/>
    <w:rsid w:val="00985FD4"/>
    <w:rsid w:val="0098638E"/>
    <w:rsid w:val="009943CD"/>
    <w:rsid w:val="009972C9"/>
    <w:rsid w:val="009B0068"/>
    <w:rsid w:val="009B5997"/>
    <w:rsid w:val="009B7889"/>
    <w:rsid w:val="009C322C"/>
    <w:rsid w:val="009C5713"/>
    <w:rsid w:val="009C686C"/>
    <w:rsid w:val="009C7FED"/>
    <w:rsid w:val="009D27EA"/>
    <w:rsid w:val="009D2F41"/>
    <w:rsid w:val="009D48CE"/>
    <w:rsid w:val="009D606E"/>
    <w:rsid w:val="009D67E6"/>
    <w:rsid w:val="009D78D7"/>
    <w:rsid w:val="009E381A"/>
    <w:rsid w:val="009E4910"/>
    <w:rsid w:val="009E7F1B"/>
    <w:rsid w:val="009F2B16"/>
    <w:rsid w:val="009F2BF6"/>
    <w:rsid w:val="009F37C8"/>
    <w:rsid w:val="009F4A84"/>
    <w:rsid w:val="00A029A3"/>
    <w:rsid w:val="00A0344C"/>
    <w:rsid w:val="00A05BE0"/>
    <w:rsid w:val="00A0734A"/>
    <w:rsid w:val="00A10393"/>
    <w:rsid w:val="00A11A8B"/>
    <w:rsid w:val="00A11ACE"/>
    <w:rsid w:val="00A16A6B"/>
    <w:rsid w:val="00A17997"/>
    <w:rsid w:val="00A17F98"/>
    <w:rsid w:val="00A2325D"/>
    <w:rsid w:val="00A3249D"/>
    <w:rsid w:val="00A33F02"/>
    <w:rsid w:val="00A35B9B"/>
    <w:rsid w:val="00A37CA4"/>
    <w:rsid w:val="00A40D94"/>
    <w:rsid w:val="00A41CE2"/>
    <w:rsid w:val="00A4539E"/>
    <w:rsid w:val="00A5774D"/>
    <w:rsid w:val="00A6109C"/>
    <w:rsid w:val="00A65545"/>
    <w:rsid w:val="00A67F29"/>
    <w:rsid w:val="00A70A6F"/>
    <w:rsid w:val="00A72412"/>
    <w:rsid w:val="00A734C7"/>
    <w:rsid w:val="00A91931"/>
    <w:rsid w:val="00A93024"/>
    <w:rsid w:val="00A95BDE"/>
    <w:rsid w:val="00A95D26"/>
    <w:rsid w:val="00A95F02"/>
    <w:rsid w:val="00AA0170"/>
    <w:rsid w:val="00AB0D99"/>
    <w:rsid w:val="00AB1649"/>
    <w:rsid w:val="00AC0A1C"/>
    <w:rsid w:val="00AC3804"/>
    <w:rsid w:val="00AD5C4D"/>
    <w:rsid w:val="00AE294D"/>
    <w:rsid w:val="00AF0FB6"/>
    <w:rsid w:val="00AF5B4C"/>
    <w:rsid w:val="00AF7FE9"/>
    <w:rsid w:val="00B06E86"/>
    <w:rsid w:val="00B10769"/>
    <w:rsid w:val="00B13D4C"/>
    <w:rsid w:val="00B174C1"/>
    <w:rsid w:val="00B21BF9"/>
    <w:rsid w:val="00B2356F"/>
    <w:rsid w:val="00B243A3"/>
    <w:rsid w:val="00B276FD"/>
    <w:rsid w:val="00B347DB"/>
    <w:rsid w:val="00B35AFA"/>
    <w:rsid w:val="00B35DC9"/>
    <w:rsid w:val="00B3797F"/>
    <w:rsid w:val="00B41631"/>
    <w:rsid w:val="00B50695"/>
    <w:rsid w:val="00B5524B"/>
    <w:rsid w:val="00B554C1"/>
    <w:rsid w:val="00B6048C"/>
    <w:rsid w:val="00B611EB"/>
    <w:rsid w:val="00B63A60"/>
    <w:rsid w:val="00B64000"/>
    <w:rsid w:val="00B65C87"/>
    <w:rsid w:val="00B672BA"/>
    <w:rsid w:val="00B70A39"/>
    <w:rsid w:val="00B742AD"/>
    <w:rsid w:val="00B754E7"/>
    <w:rsid w:val="00B76D2D"/>
    <w:rsid w:val="00B77B8A"/>
    <w:rsid w:val="00B77F29"/>
    <w:rsid w:val="00B8118C"/>
    <w:rsid w:val="00B8208D"/>
    <w:rsid w:val="00B84154"/>
    <w:rsid w:val="00B85CC7"/>
    <w:rsid w:val="00B87678"/>
    <w:rsid w:val="00B87EE8"/>
    <w:rsid w:val="00B87F81"/>
    <w:rsid w:val="00B901B9"/>
    <w:rsid w:val="00B93A55"/>
    <w:rsid w:val="00B96797"/>
    <w:rsid w:val="00BA106F"/>
    <w:rsid w:val="00BA4C36"/>
    <w:rsid w:val="00BB23FF"/>
    <w:rsid w:val="00BB3A82"/>
    <w:rsid w:val="00BC2BE7"/>
    <w:rsid w:val="00BC47C7"/>
    <w:rsid w:val="00BC6BCD"/>
    <w:rsid w:val="00BD1281"/>
    <w:rsid w:val="00BD7CEF"/>
    <w:rsid w:val="00BE0C19"/>
    <w:rsid w:val="00BE2012"/>
    <w:rsid w:val="00BE491E"/>
    <w:rsid w:val="00BF0F23"/>
    <w:rsid w:val="00BF491E"/>
    <w:rsid w:val="00BF5667"/>
    <w:rsid w:val="00BF5E06"/>
    <w:rsid w:val="00BF67F5"/>
    <w:rsid w:val="00C068BA"/>
    <w:rsid w:val="00C11756"/>
    <w:rsid w:val="00C119F0"/>
    <w:rsid w:val="00C11CEB"/>
    <w:rsid w:val="00C23EE7"/>
    <w:rsid w:val="00C26BF8"/>
    <w:rsid w:val="00C276EB"/>
    <w:rsid w:val="00C3044A"/>
    <w:rsid w:val="00C36D74"/>
    <w:rsid w:val="00C40804"/>
    <w:rsid w:val="00C41511"/>
    <w:rsid w:val="00C41716"/>
    <w:rsid w:val="00C41C49"/>
    <w:rsid w:val="00C42D3C"/>
    <w:rsid w:val="00C44BA0"/>
    <w:rsid w:val="00C45CA5"/>
    <w:rsid w:val="00C45D66"/>
    <w:rsid w:val="00C50852"/>
    <w:rsid w:val="00C51148"/>
    <w:rsid w:val="00C56810"/>
    <w:rsid w:val="00C60062"/>
    <w:rsid w:val="00C60561"/>
    <w:rsid w:val="00C60D0A"/>
    <w:rsid w:val="00C62CFC"/>
    <w:rsid w:val="00C6398C"/>
    <w:rsid w:val="00C63E48"/>
    <w:rsid w:val="00C66EA5"/>
    <w:rsid w:val="00C70B00"/>
    <w:rsid w:val="00C72253"/>
    <w:rsid w:val="00C74AFA"/>
    <w:rsid w:val="00C76F6C"/>
    <w:rsid w:val="00C81DBD"/>
    <w:rsid w:val="00C823F4"/>
    <w:rsid w:val="00C86347"/>
    <w:rsid w:val="00C95312"/>
    <w:rsid w:val="00CA249A"/>
    <w:rsid w:val="00CA361C"/>
    <w:rsid w:val="00CA60F9"/>
    <w:rsid w:val="00CA7838"/>
    <w:rsid w:val="00CB01DB"/>
    <w:rsid w:val="00CB0ECC"/>
    <w:rsid w:val="00CB24E9"/>
    <w:rsid w:val="00CB2E7A"/>
    <w:rsid w:val="00CC1569"/>
    <w:rsid w:val="00CC18B6"/>
    <w:rsid w:val="00CC7AD1"/>
    <w:rsid w:val="00CD1B75"/>
    <w:rsid w:val="00CD210E"/>
    <w:rsid w:val="00CD36AB"/>
    <w:rsid w:val="00CE0A0A"/>
    <w:rsid w:val="00CE2168"/>
    <w:rsid w:val="00CE31F7"/>
    <w:rsid w:val="00CE4630"/>
    <w:rsid w:val="00CE46EA"/>
    <w:rsid w:val="00CE5016"/>
    <w:rsid w:val="00CF1F16"/>
    <w:rsid w:val="00CF3632"/>
    <w:rsid w:val="00CF4350"/>
    <w:rsid w:val="00CF5A91"/>
    <w:rsid w:val="00CF7457"/>
    <w:rsid w:val="00D00B91"/>
    <w:rsid w:val="00D00F86"/>
    <w:rsid w:val="00D02508"/>
    <w:rsid w:val="00D06E54"/>
    <w:rsid w:val="00D114FE"/>
    <w:rsid w:val="00D11F21"/>
    <w:rsid w:val="00D127F8"/>
    <w:rsid w:val="00D1661E"/>
    <w:rsid w:val="00D17065"/>
    <w:rsid w:val="00D30288"/>
    <w:rsid w:val="00D31296"/>
    <w:rsid w:val="00D35F44"/>
    <w:rsid w:val="00D36034"/>
    <w:rsid w:val="00D37EAC"/>
    <w:rsid w:val="00D40F6F"/>
    <w:rsid w:val="00D4526F"/>
    <w:rsid w:val="00D4667E"/>
    <w:rsid w:val="00D5257C"/>
    <w:rsid w:val="00D53756"/>
    <w:rsid w:val="00D54BBD"/>
    <w:rsid w:val="00D557F0"/>
    <w:rsid w:val="00D566F9"/>
    <w:rsid w:val="00D60BBE"/>
    <w:rsid w:val="00D60BC5"/>
    <w:rsid w:val="00D60C96"/>
    <w:rsid w:val="00D62A50"/>
    <w:rsid w:val="00D64A5C"/>
    <w:rsid w:val="00D71047"/>
    <w:rsid w:val="00D7171B"/>
    <w:rsid w:val="00D77460"/>
    <w:rsid w:val="00D776E2"/>
    <w:rsid w:val="00D82BC3"/>
    <w:rsid w:val="00D84EBA"/>
    <w:rsid w:val="00D85D89"/>
    <w:rsid w:val="00D873F0"/>
    <w:rsid w:val="00D87A5C"/>
    <w:rsid w:val="00D935F2"/>
    <w:rsid w:val="00D96433"/>
    <w:rsid w:val="00DA3574"/>
    <w:rsid w:val="00DA60CA"/>
    <w:rsid w:val="00DB03F6"/>
    <w:rsid w:val="00DB13DA"/>
    <w:rsid w:val="00DB19D8"/>
    <w:rsid w:val="00DB2F16"/>
    <w:rsid w:val="00DB7208"/>
    <w:rsid w:val="00DC4017"/>
    <w:rsid w:val="00DC5E36"/>
    <w:rsid w:val="00DC767B"/>
    <w:rsid w:val="00DD1EA9"/>
    <w:rsid w:val="00DD31D7"/>
    <w:rsid w:val="00DD34E5"/>
    <w:rsid w:val="00DE1596"/>
    <w:rsid w:val="00DE2184"/>
    <w:rsid w:val="00DE433B"/>
    <w:rsid w:val="00DF4C88"/>
    <w:rsid w:val="00DF5E97"/>
    <w:rsid w:val="00DF7473"/>
    <w:rsid w:val="00E0116C"/>
    <w:rsid w:val="00E074C9"/>
    <w:rsid w:val="00E10FD3"/>
    <w:rsid w:val="00E11766"/>
    <w:rsid w:val="00E11BE8"/>
    <w:rsid w:val="00E13642"/>
    <w:rsid w:val="00E2074E"/>
    <w:rsid w:val="00E221F7"/>
    <w:rsid w:val="00E2526A"/>
    <w:rsid w:val="00E308B3"/>
    <w:rsid w:val="00E35FEF"/>
    <w:rsid w:val="00E43B54"/>
    <w:rsid w:val="00E576E1"/>
    <w:rsid w:val="00E628B2"/>
    <w:rsid w:val="00E63919"/>
    <w:rsid w:val="00E65997"/>
    <w:rsid w:val="00E66BE8"/>
    <w:rsid w:val="00E67B46"/>
    <w:rsid w:val="00E67D1E"/>
    <w:rsid w:val="00E71528"/>
    <w:rsid w:val="00E733F6"/>
    <w:rsid w:val="00E74153"/>
    <w:rsid w:val="00E7483E"/>
    <w:rsid w:val="00E76421"/>
    <w:rsid w:val="00E76936"/>
    <w:rsid w:val="00E80CEA"/>
    <w:rsid w:val="00E81728"/>
    <w:rsid w:val="00E87B8B"/>
    <w:rsid w:val="00E9019D"/>
    <w:rsid w:val="00E90398"/>
    <w:rsid w:val="00E92132"/>
    <w:rsid w:val="00E96D6D"/>
    <w:rsid w:val="00EA17D0"/>
    <w:rsid w:val="00EB0779"/>
    <w:rsid w:val="00EB09E4"/>
    <w:rsid w:val="00EB1A01"/>
    <w:rsid w:val="00EB6B88"/>
    <w:rsid w:val="00EB7EE2"/>
    <w:rsid w:val="00EC1AB3"/>
    <w:rsid w:val="00EC345A"/>
    <w:rsid w:val="00EC7004"/>
    <w:rsid w:val="00EC780B"/>
    <w:rsid w:val="00EC7D4E"/>
    <w:rsid w:val="00ED7726"/>
    <w:rsid w:val="00EE4297"/>
    <w:rsid w:val="00EE50DC"/>
    <w:rsid w:val="00EE54A0"/>
    <w:rsid w:val="00EE7531"/>
    <w:rsid w:val="00EE79A4"/>
    <w:rsid w:val="00EF2AE3"/>
    <w:rsid w:val="00EF3AD0"/>
    <w:rsid w:val="00F00939"/>
    <w:rsid w:val="00F039AC"/>
    <w:rsid w:val="00F03A44"/>
    <w:rsid w:val="00F0455A"/>
    <w:rsid w:val="00F04AC6"/>
    <w:rsid w:val="00F05872"/>
    <w:rsid w:val="00F07CC0"/>
    <w:rsid w:val="00F11205"/>
    <w:rsid w:val="00F11302"/>
    <w:rsid w:val="00F2166D"/>
    <w:rsid w:val="00F21DDD"/>
    <w:rsid w:val="00F22EBC"/>
    <w:rsid w:val="00F32E8C"/>
    <w:rsid w:val="00F33896"/>
    <w:rsid w:val="00F349E8"/>
    <w:rsid w:val="00F3741C"/>
    <w:rsid w:val="00F40257"/>
    <w:rsid w:val="00F42C0A"/>
    <w:rsid w:val="00F52E96"/>
    <w:rsid w:val="00F541B4"/>
    <w:rsid w:val="00F568B1"/>
    <w:rsid w:val="00F641B1"/>
    <w:rsid w:val="00F642A0"/>
    <w:rsid w:val="00F678B8"/>
    <w:rsid w:val="00F7537B"/>
    <w:rsid w:val="00F81693"/>
    <w:rsid w:val="00F82B86"/>
    <w:rsid w:val="00F85821"/>
    <w:rsid w:val="00F85EC9"/>
    <w:rsid w:val="00FA4196"/>
    <w:rsid w:val="00FA7026"/>
    <w:rsid w:val="00FA7446"/>
    <w:rsid w:val="00FB263C"/>
    <w:rsid w:val="00FB30F8"/>
    <w:rsid w:val="00FB7CEE"/>
    <w:rsid w:val="00FC5829"/>
    <w:rsid w:val="00FC7939"/>
    <w:rsid w:val="00FD3769"/>
    <w:rsid w:val="00FD53B5"/>
    <w:rsid w:val="00FD5936"/>
    <w:rsid w:val="00FE00A9"/>
    <w:rsid w:val="00FE688C"/>
    <w:rsid w:val="00FE7F83"/>
    <w:rsid w:val="00FF0A1B"/>
    <w:rsid w:val="00FF2208"/>
    <w:rsid w:val="00FF3CAC"/>
    <w:rsid w:val="27B5204F"/>
    <w:rsid w:val="59672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16" w:line="265" w:lineRule="auto"/>
      <w:ind w:left="10" w:right="60" w:hanging="10"/>
      <w:jc w:val="both"/>
    </w:pPr>
    <w:rPr>
      <w:rFonts w:ascii="Times New Roman" w:hAnsi="Times New Roman" w:eastAsia="Times New Roman" w:cs="Times New Roman"/>
      <w:color w:val="000000"/>
      <w:kern w:val="2"/>
      <w:sz w:val="24"/>
      <w:szCs w:val="24"/>
      <w:lang w:val="en-US" w:eastAsia="en-US" w:bidi="ar-SA"/>
      <w14:ligatures w14:val="standardContextual"/>
    </w:rPr>
  </w:style>
  <w:style w:type="paragraph" w:styleId="2">
    <w:name w:val="heading 1"/>
    <w:basedOn w:val="1"/>
    <w:next w:val="1"/>
    <w:link w:val="22"/>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3"/>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4"/>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5"/>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6"/>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7"/>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8"/>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42"/>
    <w:unhideWhenUsed/>
    <w:uiPriority w:val="99"/>
    <w:pPr>
      <w:tabs>
        <w:tab w:val="center" w:pos="4680"/>
        <w:tab w:val="right" w:pos="9360"/>
      </w:tabs>
      <w:spacing w:after="0" w:line="240" w:lineRule="auto"/>
    </w:pPr>
  </w:style>
  <w:style w:type="paragraph" w:styleId="14">
    <w:name w:val="header"/>
    <w:basedOn w:val="1"/>
    <w:link w:val="41"/>
    <w:unhideWhenUsed/>
    <w:uiPriority w:val="99"/>
    <w:pPr>
      <w:tabs>
        <w:tab w:val="center" w:pos="4680"/>
        <w:tab w:val="right" w:pos="9360"/>
      </w:tabs>
      <w:spacing w:after="0" w:line="240" w:lineRule="auto"/>
    </w:pPr>
  </w:style>
  <w:style w:type="character" w:styleId="15">
    <w:name w:val="Hyperlink"/>
    <w:basedOn w:val="11"/>
    <w:unhideWhenUsed/>
    <w:uiPriority w:val="99"/>
    <w:rPr>
      <w:color w:val="0563C1" w:themeColor="hyperlink"/>
      <w:u w:val="single"/>
      <w14:textFill>
        <w14:solidFill>
          <w14:schemeClr w14:val="hlink"/>
        </w14:solidFill>
      </w14:textFill>
    </w:rPr>
  </w:style>
  <w:style w:type="paragraph" w:styleId="16">
    <w:name w:val="Normal (Web)"/>
    <w:basedOn w:val="1"/>
    <w:semiHidden/>
    <w:unhideWhenUsed/>
    <w:uiPriority w:val="99"/>
  </w:style>
  <w:style w:type="paragraph" w:styleId="17">
    <w:name w:val="Subtitle"/>
    <w:basedOn w:val="1"/>
    <w:next w:val="1"/>
    <w:link w:val="32"/>
    <w:qFormat/>
    <w:uiPriority w:val="11"/>
    <w:pPr>
      <w:ind w:left="10" w:hanging="1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31"/>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9">
    <w:name w:val="toc 1"/>
    <w:basedOn w:val="1"/>
    <w:next w:val="1"/>
    <w:autoRedefine/>
    <w:unhideWhenUsed/>
    <w:uiPriority w:val="39"/>
    <w:pPr>
      <w:spacing w:after="100"/>
      <w:ind w:left="0"/>
    </w:pPr>
  </w:style>
  <w:style w:type="paragraph" w:styleId="20">
    <w:name w:val="toc 2"/>
    <w:basedOn w:val="1"/>
    <w:next w:val="1"/>
    <w:autoRedefine/>
    <w:unhideWhenUsed/>
    <w:uiPriority w:val="39"/>
    <w:pPr>
      <w:spacing w:after="100"/>
      <w:ind w:left="240"/>
    </w:pPr>
  </w:style>
  <w:style w:type="paragraph" w:styleId="21">
    <w:name w:val="toc 3"/>
    <w:basedOn w:val="1"/>
    <w:next w:val="1"/>
    <w:autoRedefine/>
    <w:unhideWhenUsed/>
    <w:uiPriority w:val="39"/>
    <w:pPr>
      <w:spacing w:after="100"/>
      <w:ind w:left="480"/>
    </w:pPr>
  </w:style>
  <w:style w:type="character" w:customStyle="1" w:styleId="22">
    <w:name w:val="Heading 1 Char"/>
    <w:basedOn w:val="11"/>
    <w:link w:val="2"/>
    <w:qFormat/>
    <w:uiPriority w:val="0"/>
    <w:rPr>
      <w:rFonts w:asciiTheme="majorHAnsi" w:hAnsiTheme="majorHAnsi" w:eastAsiaTheme="majorEastAsia" w:cstheme="majorBidi"/>
      <w:color w:val="2F5597" w:themeColor="accent1" w:themeShade="BF"/>
      <w:sz w:val="40"/>
      <w:szCs w:val="40"/>
    </w:rPr>
  </w:style>
  <w:style w:type="character" w:customStyle="1" w:styleId="23">
    <w:name w:val="Heading 2 Char"/>
    <w:basedOn w:val="11"/>
    <w:link w:val="3"/>
    <w:qFormat/>
    <w:uiPriority w:val="9"/>
    <w:rPr>
      <w:rFonts w:asciiTheme="majorHAnsi" w:hAnsiTheme="majorHAnsi" w:eastAsiaTheme="majorEastAsia" w:cstheme="majorBidi"/>
      <w:color w:val="2F5597" w:themeColor="accent1" w:themeShade="BF"/>
      <w:sz w:val="32"/>
      <w:szCs w:val="32"/>
    </w:rPr>
  </w:style>
  <w:style w:type="character" w:customStyle="1" w:styleId="24">
    <w:name w:val="Heading 3 Char"/>
    <w:basedOn w:val="11"/>
    <w:link w:val="4"/>
    <w:qFormat/>
    <w:uiPriority w:val="9"/>
    <w:rPr>
      <w:rFonts w:eastAsiaTheme="majorEastAsia" w:cstheme="majorBidi"/>
      <w:color w:val="2F5597" w:themeColor="accent1" w:themeShade="BF"/>
      <w:sz w:val="28"/>
      <w:szCs w:val="28"/>
    </w:rPr>
  </w:style>
  <w:style w:type="character" w:customStyle="1" w:styleId="25">
    <w:name w:val="Heading 4 Char"/>
    <w:basedOn w:val="11"/>
    <w:link w:val="5"/>
    <w:semiHidden/>
    <w:qFormat/>
    <w:uiPriority w:val="9"/>
    <w:rPr>
      <w:rFonts w:eastAsiaTheme="majorEastAsia" w:cstheme="majorBidi"/>
      <w:i/>
      <w:iCs/>
      <w:color w:val="2F5597" w:themeColor="accent1" w:themeShade="BF"/>
    </w:rPr>
  </w:style>
  <w:style w:type="character" w:customStyle="1" w:styleId="26">
    <w:name w:val="Heading 5 Char"/>
    <w:basedOn w:val="11"/>
    <w:link w:val="6"/>
    <w:qFormat/>
    <w:uiPriority w:val="9"/>
    <w:rPr>
      <w:rFonts w:eastAsiaTheme="majorEastAsia" w:cstheme="majorBidi"/>
      <w:color w:val="2F5597" w:themeColor="accent1" w:themeShade="BF"/>
    </w:rPr>
  </w:style>
  <w:style w:type="character" w:customStyle="1" w:styleId="27">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Title Char"/>
    <w:basedOn w:val="11"/>
    <w:link w:val="18"/>
    <w:qFormat/>
    <w:uiPriority w:val="10"/>
    <w:rPr>
      <w:rFonts w:asciiTheme="majorHAnsi" w:hAnsiTheme="majorHAnsi" w:eastAsiaTheme="majorEastAsia" w:cstheme="majorBidi"/>
      <w:spacing w:val="-10"/>
      <w:kern w:val="28"/>
      <w:sz w:val="56"/>
      <w:szCs w:val="56"/>
    </w:rPr>
  </w:style>
  <w:style w:type="character" w:customStyle="1" w:styleId="32">
    <w:name w:val="Subtitle Char"/>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Quote Char"/>
    <w:basedOn w:val="11"/>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
    <w:basedOn w:val="11"/>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Intense Quote Char"/>
    <w:basedOn w:val="11"/>
    <w:link w:val="37"/>
    <w:uiPriority w:val="30"/>
    <w:rPr>
      <w:i/>
      <w:iCs/>
      <w:color w:val="2F5597" w:themeColor="accent1" w:themeShade="BF"/>
    </w:rPr>
  </w:style>
  <w:style w:type="character" w:customStyle="1" w:styleId="39">
    <w:name w:val="Intense Reference"/>
    <w:basedOn w:val="11"/>
    <w:qFormat/>
    <w:uiPriority w:val="32"/>
    <w:rPr>
      <w:b/>
      <w:bCs/>
      <w:smallCaps/>
      <w:color w:val="2F5597" w:themeColor="accent1" w:themeShade="BF"/>
      <w:spacing w:val="5"/>
    </w:rPr>
  </w:style>
  <w:style w:type="table" w:customStyle="1" w:styleId="40">
    <w:name w:val="TableGrid"/>
    <w:uiPriority w:val="0"/>
    <w:pPr>
      <w:spacing w:after="0" w:line="240" w:lineRule="auto"/>
    </w:pPr>
    <w:rPr>
      <w:rFonts w:eastAsiaTheme="minorEastAsia"/>
    </w:rPr>
    <w:tblPr>
      <w:tblCellMar>
        <w:top w:w="0" w:type="dxa"/>
        <w:left w:w="0" w:type="dxa"/>
        <w:bottom w:w="0" w:type="dxa"/>
        <w:right w:w="0" w:type="dxa"/>
      </w:tblCellMar>
    </w:tblPr>
  </w:style>
  <w:style w:type="character" w:customStyle="1" w:styleId="41">
    <w:name w:val="Header Char"/>
    <w:basedOn w:val="11"/>
    <w:link w:val="14"/>
    <w:uiPriority w:val="99"/>
    <w:rPr>
      <w:rFonts w:ascii="Times New Roman" w:hAnsi="Times New Roman" w:eastAsia="Times New Roman" w:cs="Times New Roman"/>
      <w:color w:val="000000"/>
    </w:rPr>
  </w:style>
  <w:style w:type="character" w:customStyle="1" w:styleId="42">
    <w:name w:val="Footer Char"/>
    <w:basedOn w:val="11"/>
    <w:link w:val="13"/>
    <w:uiPriority w:val="99"/>
    <w:rPr>
      <w:rFonts w:ascii="Times New Roman" w:hAnsi="Times New Roman" w:eastAsia="Times New Roman" w:cs="Times New Roman"/>
      <w:color w:val="000000"/>
    </w:rPr>
  </w:style>
  <w:style w:type="character" w:customStyle="1" w:styleId="43">
    <w:name w:val="Unresolved Mention"/>
    <w:basedOn w:val="11"/>
    <w:semiHidden/>
    <w:unhideWhenUsed/>
    <w:uiPriority w:val="99"/>
    <w:rPr>
      <w:color w:val="605E5C"/>
      <w:shd w:val="clear" w:color="auto" w:fill="E1DFDD"/>
    </w:rPr>
  </w:style>
  <w:style w:type="paragraph" w:customStyle="1" w:styleId="44">
    <w:name w:val="TOC Heading"/>
    <w:basedOn w:val="2"/>
    <w:next w:val="1"/>
    <w:unhideWhenUsed/>
    <w:qFormat/>
    <w:uiPriority w:val="39"/>
    <w:pPr>
      <w:spacing w:before="240" w:after="0" w:line="259" w:lineRule="auto"/>
      <w:ind w:left="0" w:right="0" w:firstLine="0"/>
      <w:jc w:val="left"/>
      <w:outlineLvl w:val="9"/>
    </w:pPr>
    <w:rPr>
      <w:kern w:val="0"/>
      <w:sz w:val="32"/>
      <w:szCs w:val="32"/>
      <w14:ligatures w14: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66770730356312"/>
          <c:y val="0"/>
        </c:manualLayout>
      </c:layout>
      <c:overlay val="0"/>
      <c:spPr>
        <a:noFill/>
        <a:ln>
          <a:noFill/>
        </a:ln>
        <a:effectLst/>
      </c:spPr>
      <c:txPr>
        <a:bodyPr rot="0" spcFirstLastPara="1" vertOverflow="ellipsis" vert="horz" wrap="square" anchor="ctr" anchorCtr="1"/>
        <a:lstStyle/>
        <a:p>
          <a:pPr>
            <a:defRPr lang="en-US" sz="1600" b="1" i="0" u="none" strike="noStrike" kern="1200" cap="all"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compensation Structure</c:v>
                </c:pt>
              </c:strCache>
            </c:strRef>
          </c:tx>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3"/>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4"/>
              <c:layout>
                <c:manualLayout>
                  <c:x val="0.0324149108589951"/>
                  <c:y val="0.0205973223480947"/>
                </c:manualLayout>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spc="0" baseline="0">
                      <a:solidFill>
                        <a:schemeClr val="accent5"/>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en-US"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Basic Salary</c:v>
                </c:pt>
                <c:pt idx="1">
                  <c:v>House Rent Allowence</c:v>
                </c:pt>
                <c:pt idx="2">
                  <c:v>Medical Allowence</c:v>
                </c:pt>
                <c:pt idx="3">
                  <c:v>Convenience fee</c:v>
                </c:pt>
                <c:pt idx="4">
                  <c:v>Other Benefits and Bouns </c:v>
                </c:pt>
              </c:strCache>
            </c:strRef>
          </c:cat>
          <c:val>
            <c:numRef>
              <c:f>Sheet1!$B$2:$B$6</c:f>
              <c:numCache>
                <c:formatCode>0%</c:formatCode>
                <c:ptCount val="5"/>
                <c:pt idx="0">
                  <c:v>0.5</c:v>
                </c:pt>
                <c:pt idx="1">
                  <c:v>0.25</c:v>
                </c:pt>
                <c:pt idx="2">
                  <c:v>0.1</c:v>
                </c:pt>
                <c:pt idx="3">
                  <c:v>0.1</c:v>
                </c:pt>
                <c:pt idx="4">
                  <c:v>0.05</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0f761357-3d8d-44d0-97f6-39a3a4be599f}"/>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FBB094-FE99-4D8F-9B64-BCFAC5D0EEC1}">
  <ds:schemaRefs/>
</ds:datastoreItem>
</file>

<file path=docProps/app.xml><?xml version="1.0" encoding="utf-8"?>
<Properties xmlns="http://schemas.openxmlformats.org/officeDocument/2006/extended-properties" xmlns:vt="http://schemas.openxmlformats.org/officeDocument/2006/docPropsVTypes">
  <Template>Normal</Template>
  <Pages>44</Pages>
  <Words>12249</Words>
  <Characters>69824</Characters>
  <Lines>581</Lines>
  <Paragraphs>163</Paragraphs>
  <TotalTime>4</TotalTime>
  <ScaleCrop>false</ScaleCrop>
  <LinksUpToDate>false</LinksUpToDate>
  <CharactersWithSpaces>81910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2025-07-19T19:21:00Z</dcterms:created>
  <dc:creator>salman21 zubaer</dc:creator>
  <cp:lastModifiedBy>surface</cp:lastModifiedBy>
  <dcterms:modified xsi:type="dcterms:W3CDTF">2025-07-31T14:35:00Z</dcterms:modified>
  <cp:revision>253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33419B308E3846F4AEC1C9DDB5C9D1A3_12</vt:lpwstr>
  </property>
</Properties>
</file>