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drawings/drawing11.xml" ContentType="application/vnd.openxmlformats-officedocument.drawingml.chartshapes+xml"/>
  <Override PartName="/word/charts/chart13.xml" ContentType="application/vnd.openxmlformats-officedocument.drawingml.chart+xml"/>
  <Override PartName="/word/drawings/drawing12.xml" ContentType="application/vnd.openxmlformats-officedocument.drawingml.chartshapes+xml"/>
  <Override PartName="/word/charts/chart14.xml" ContentType="application/vnd.openxmlformats-officedocument.drawingml.chart+xml"/>
  <Override PartName="/word/drawings/drawing13.xml" ContentType="application/vnd.openxmlformats-officedocument.drawingml.chartshapes+xml"/>
  <Override PartName="/word/charts/chart15.xml" ContentType="application/vnd.openxmlformats-officedocument.drawingml.chart+xml"/>
  <Override PartName="/word/drawings/drawing14.xml" ContentType="application/vnd.openxmlformats-officedocument.drawingml.chartshapes+xml"/>
  <Override PartName="/word/charts/chart16.xml" ContentType="application/vnd.openxmlformats-officedocument.drawingml.chart+xml"/>
  <Override PartName="/word/drawings/drawing15.xml" ContentType="application/vnd.openxmlformats-officedocument.drawingml.chartshapes+xml"/>
  <Override PartName="/word/charts/chart17.xml" ContentType="application/vnd.openxmlformats-officedocument.drawingml.chart+xml"/>
  <Override PartName="/word/drawings/drawing16.xml" ContentType="application/vnd.openxmlformats-officedocument.drawingml.chartshapes+xml"/>
  <Override PartName="/word/charts/chart18.xml" ContentType="application/vnd.openxmlformats-officedocument.drawingml.chart+xml"/>
  <Override PartName="/word/drawings/drawing17.xml" ContentType="application/vnd.openxmlformats-officedocument.drawingml.chartshapes+xml"/>
  <Override PartName="/word/charts/chart19.xml" ContentType="application/vnd.openxmlformats-officedocument.drawingml.chart+xml"/>
  <Override PartName="/word/drawings/drawing18.xml" ContentType="application/vnd.openxmlformats-officedocument.drawingml.chartshapes+xml"/>
  <Override PartName="/word/charts/chart20.xml" ContentType="application/vnd.openxmlformats-officedocument.drawingml.chart+xml"/>
  <Override PartName="/word/drawings/drawing19.xml" ContentType="application/vnd.openxmlformats-officedocument.drawingml.chartshapes+xml"/>
  <Override PartName="/word/charts/chart21.xml" ContentType="application/vnd.openxmlformats-officedocument.drawingml.chart+xml"/>
  <Override PartName="/word/drawings/drawing20.xml" ContentType="application/vnd.openxmlformats-officedocument.drawingml.chartshapes+xml"/>
  <Override PartName="/word/charts/chart22.xml" ContentType="application/vnd.openxmlformats-officedocument.drawingml.chart+xml"/>
  <Override PartName="/word/drawings/drawing21.xml" ContentType="application/vnd.openxmlformats-officedocument.drawingml.chartshapes+xml"/>
  <Override PartName="/word/charts/chart23.xml" ContentType="application/vnd.openxmlformats-officedocument.drawingml.chart+xml"/>
  <Override PartName="/word/drawings/drawing22.xml" ContentType="application/vnd.openxmlformats-officedocument.drawingml.chartshapes+xml"/>
  <Override PartName="/word/charts/chart24.xml" ContentType="application/vnd.openxmlformats-officedocument.drawingml.chart+xml"/>
  <Override PartName="/word/drawings/drawing23.xml" ContentType="application/vnd.openxmlformats-officedocument.drawingml.chartshapes+xml"/>
  <Override PartName="/word/charts/chart25.xml" ContentType="application/vnd.openxmlformats-officedocument.drawingml.chart+xml"/>
  <Override PartName="/word/drawings/drawing24.xml" ContentType="application/vnd.openxmlformats-officedocument.drawingml.chartshapes+xml"/>
  <Override PartName="/word/charts/chart26.xml" ContentType="application/vnd.openxmlformats-officedocument.drawingml.chart+xml"/>
  <Override PartName="/word/drawings/drawing25.xml" ContentType="application/vnd.openxmlformats-officedocument.drawingml.chartshapes+xml"/>
  <Override PartName="/word/charts/chart27.xml" ContentType="application/vnd.openxmlformats-officedocument.drawingml.chart+xml"/>
  <Override PartName="/word/drawings/drawing26.xml" ContentType="application/vnd.openxmlformats-officedocument.drawingml.chartshapes+xml"/>
  <Override PartName="/word/charts/chart28.xml" ContentType="application/vnd.openxmlformats-officedocument.drawingml.chart+xml"/>
  <Override PartName="/word/drawings/drawing27.xml" ContentType="application/vnd.openxmlformats-officedocument.drawingml.chartshapes+xml"/>
  <Override PartName="/word/charts/chart29.xml" ContentType="application/vnd.openxmlformats-officedocument.drawingml.chart+xml"/>
  <Override PartName="/word/drawings/drawing28.xml" ContentType="application/vnd.openxmlformats-officedocument.drawingml.chartshapes+xml"/>
  <Override PartName="/word/charts/chart30.xml" ContentType="application/vnd.openxmlformats-officedocument.drawingml.chart+xml"/>
  <Override PartName="/word/drawings/drawing29.xml" ContentType="application/vnd.openxmlformats-officedocument.drawingml.chartshapes+xml"/>
  <Override PartName="/word/charts/chart31.xml" ContentType="application/vnd.openxmlformats-officedocument.drawingml.chart+xml"/>
  <Override PartName="/word/drawings/drawing30.xml" ContentType="application/vnd.openxmlformats-officedocument.drawingml.chartshapes+xml"/>
  <Override PartName="/word/charts/chart32.xml" ContentType="application/vnd.openxmlformats-officedocument.drawingml.chart+xml"/>
  <Override PartName="/word/drawings/drawing31.xml" ContentType="application/vnd.openxmlformats-officedocument.drawingml.chartshapes+xml"/>
  <Override PartName="/word/charts/chart33.xml" ContentType="application/vnd.openxmlformats-officedocument.drawingml.chart+xml"/>
  <Override PartName="/word/drawings/drawing32.xml" ContentType="application/vnd.openxmlformats-officedocument.drawingml.chartshapes+xml"/>
  <Override PartName="/word/charts/chart34.xml" ContentType="application/vnd.openxmlformats-officedocument.drawingml.chart+xml"/>
  <Override PartName="/word/drawings/drawing33.xml" ContentType="application/vnd.openxmlformats-officedocument.drawingml.chartshapes+xml"/>
  <Override PartName="/word/charts/chart35.xml" ContentType="application/vnd.openxmlformats-officedocument.drawingml.chart+xml"/>
  <Override PartName="/word/drawings/drawing34.xml" ContentType="application/vnd.openxmlformats-officedocument.drawingml.chartshapes+xml"/>
  <Override PartName="/word/charts/chart36.xml" ContentType="application/vnd.openxmlformats-officedocument.drawingml.chart+xml"/>
  <Override PartName="/word/drawings/drawing35.xml" ContentType="application/vnd.openxmlformats-officedocument.drawingml.chartshapes+xml"/>
  <Override PartName="/word/charts/chart37.xml" ContentType="application/vnd.openxmlformats-officedocument.drawingml.chart+xml"/>
  <Override PartName="/word/drawings/drawing36.xml" ContentType="application/vnd.openxmlformats-officedocument.drawingml.chartshapes+xml"/>
  <Override PartName="/word/charts/chart38.xml" ContentType="application/vnd.openxmlformats-officedocument.drawingml.chart+xml"/>
  <Override PartName="/word/drawings/drawing37.xml" ContentType="application/vnd.openxmlformats-officedocument.drawingml.chartshapes+xml"/>
  <Override PartName="/word/charts/chart39.xml" ContentType="application/vnd.openxmlformats-officedocument.drawingml.chart+xml"/>
  <Override PartName="/word/drawings/drawing38.xml" ContentType="application/vnd.openxmlformats-officedocument.drawingml.chartshapes+xml"/>
  <Override PartName="/word/charts/chart40.xml" ContentType="application/vnd.openxmlformats-officedocument.drawingml.chart+xml"/>
  <Override PartName="/word/drawings/drawing39.xml" ContentType="application/vnd.openxmlformats-officedocument.drawingml.chartshapes+xml"/>
  <Override PartName="/word/charts/chart41.xml" ContentType="application/vnd.openxmlformats-officedocument.drawingml.chart+xml"/>
  <Override PartName="/word/drawings/drawing40.xml" ContentType="application/vnd.openxmlformats-officedocument.drawingml.chartshapes+xml"/>
  <Override PartName="/word/charts/chart42.xml" ContentType="application/vnd.openxmlformats-officedocument.drawingml.chart+xml"/>
  <Override PartName="/word/drawings/drawing41.xml" ContentType="application/vnd.openxmlformats-officedocument.drawingml.chartshapes+xml"/>
  <Override PartName="/word/charts/chart43.xml" ContentType="application/vnd.openxmlformats-officedocument.drawingml.chart+xml"/>
  <Override PartName="/word/drawings/drawing42.xml" ContentType="application/vnd.openxmlformats-officedocument.drawingml.chartshapes+xml"/>
  <Override PartName="/word/charts/chart44.xml" ContentType="application/vnd.openxmlformats-officedocument.drawingml.chart+xml"/>
  <Override PartName="/word/drawings/drawing43.xml" ContentType="application/vnd.openxmlformats-officedocument.drawingml.chartshapes+xml"/>
  <Override PartName="/word/charts/chart45.xml" ContentType="application/vnd.openxmlformats-officedocument.drawingml.chart+xml"/>
  <Override PartName="/word/drawings/drawing44.xml" ContentType="application/vnd.openxmlformats-officedocument.drawingml.chartshapes+xml"/>
  <Override PartName="/word/charts/chart46.xml" ContentType="application/vnd.openxmlformats-officedocument.drawingml.chart+xml"/>
  <Override PartName="/word/drawings/drawing45.xml" ContentType="application/vnd.openxmlformats-officedocument.drawingml.chartshapes+xml"/>
  <Override PartName="/word/charts/chart47.xml" ContentType="application/vnd.openxmlformats-officedocument.drawingml.chart+xml"/>
  <Override PartName="/word/drawings/drawing46.xml" ContentType="application/vnd.openxmlformats-officedocument.drawingml.chartshapes+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EAB" w:rsidRPr="00B40A41" w:rsidRDefault="003A1EAB" w:rsidP="003A1EAB">
      <w:pPr>
        <w:spacing w:line="360" w:lineRule="auto"/>
        <w:jc w:val="center"/>
        <w:rPr>
          <w:rFonts w:asciiTheme="majorHAnsi" w:hAnsiTheme="majorHAnsi" w:cs="Times New Roman"/>
          <w:b/>
          <w:sz w:val="56"/>
          <w:szCs w:val="52"/>
        </w:rPr>
      </w:pPr>
      <w:r w:rsidRPr="00B40A41">
        <w:rPr>
          <w:rFonts w:asciiTheme="majorHAnsi" w:hAnsiTheme="majorHAnsi" w:cs="Times New Roman"/>
          <w:b/>
          <w:sz w:val="56"/>
          <w:szCs w:val="52"/>
        </w:rPr>
        <w:t>A Report</w:t>
      </w:r>
    </w:p>
    <w:p w:rsidR="003A1EAB" w:rsidRPr="00B40A41" w:rsidRDefault="003A1EAB" w:rsidP="003A1EAB">
      <w:pPr>
        <w:spacing w:line="360" w:lineRule="auto"/>
        <w:jc w:val="center"/>
        <w:rPr>
          <w:rFonts w:asciiTheme="majorHAnsi" w:hAnsiTheme="majorHAnsi" w:cs="Times New Roman"/>
          <w:b/>
          <w:sz w:val="56"/>
          <w:szCs w:val="52"/>
        </w:rPr>
      </w:pPr>
      <w:r w:rsidRPr="00B40A41">
        <w:rPr>
          <w:rFonts w:asciiTheme="majorHAnsi" w:hAnsiTheme="majorHAnsi" w:cs="Times New Roman"/>
          <w:b/>
          <w:sz w:val="56"/>
          <w:szCs w:val="52"/>
        </w:rPr>
        <w:t>on</w:t>
      </w:r>
    </w:p>
    <w:p w:rsidR="002E3E4E" w:rsidRDefault="003A1EAB" w:rsidP="003A1EAB">
      <w:pPr>
        <w:spacing w:line="360" w:lineRule="auto"/>
        <w:jc w:val="center"/>
        <w:rPr>
          <w:rFonts w:ascii="Times New Roman" w:hAnsi="Times New Roman" w:cs="Times New Roman"/>
        </w:rPr>
      </w:pPr>
      <w:r w:rsidRPr="00B40A41">
        <w:rPr>
          <w:rFonts w:asciiTheme="majorHAnsi" w:hAnsiTheme="majorHAnsi" w:cs="Times New Roman"/>
          <w:b/>
          <w:sz w:val="56"/>
          <w:szCs w:val="52"/>
        </w:rPr>
        <w:t>Performance</w:t>
      </w:r>
      <w:r w:rsidR="00E3788E">
        <w:rPr>
          <w:rFonts w:asciiTheme="majorHAnsi" w:hAnsiTheme="majorHAnsi" w:cs="Times New Roman"/>
          <w:b/>
          <w:sz w:val="56"/>
          <w:szCs w:val="52"/>
        </w:rPr>
        <w:t xml:space="preserve"> </w:t>
      </w:r>
      <w:r w:rsidRPr="00B40A41">
        <w:rPr>
          <w:rFonts w:asciiTheme="majorHAnsi" w:hAnsiTheme="majorHAnsi" w:cs="Times New Roman"/>
          <w:b/>
          <w:sz w:val="56"/>
          <w:szCs w:val="52"/>
        </w:rPr>
        <w:t>analysis among</w:t>
      </w:r>
      <w:r w:rsidR="00E3788E">
        <w:rPr>
          <w:rFonts w:asciiTheme="majorHAnsi" w:hAnsiTheme="majorHAnsi" w:cs="Times New Roman"/>
          <w:b/>
          <w:sz w:val="56"/>
          <w:szCs w:val="52"/>
        </w:rPr>
        <w:t xml:space="preserve"> </w:t>
      </w:r>
      <w:r w:rsidRPr="00B40A41">
        <w:rPr>
          <w:rFonts w:asciiTheme="majorHAnsi" w:hAnsiTheme="majorHAnsi" w:cs="Times New Roman"/>
          <w:b/>
          <w:sz w:val="56"/>
          <w:szCs w:val="52"/>
        </w:rPr>
        <w:t>Mutual Fund</w:t>
      </w:r>
      <w:r w:rsidR="00E3788E">
        <w:rPr>
          <w:rFonts w:asciiTheme="majorHAnsi" w:hAnsiTheme="majorHAnsi" w:cs="Times New Roman"/>
          <w:b/>
          <w:sz w:val="56"/>
          <w:szCs w:val="52"/>
        </w:rPr>
        <w:t xml:space="preserve"> </w:t>
      </w:r>
      <w:r w:rsidRPr="00B40A41">
        <w:rPr>
          <w:rFonts w:asciiTheme="majorHAnsi" w:hAnsiTheme="majorHAnsi" w:cs="Times New Roman"/>
          <w:b/>
          <w:sz w:val="56"/>
          <w:szCs w:val="52"/>
        </w:rPr>
        <w:t>Managers of</w:t>
      </w:r>
      <w:r w:rsidR="00E3788E">
        <w:rPr>
          <w:rFonts w:asciiTheme="majorHAnsi" w:hAnsiTheme="majorHAnsi" w:cs="Times New Roman"/>
          <w:b/>
          <w:sz w:val="56"/>
          <w:szCs w:val="52"/>
        </w:rPr>
        <w:t xml:space="preserve"> </w:t>
      </w:r>
      <w:r w:rsidRPr="00B40A41">
        <w:rPr>
          <w:rFonts w:asciiTheme="majorHAnsi" w:hAnsiTheme="majorHAnsi" w:cs="Times New Roman"/>
          <w:b/>
          <w:sz w:val="56"/>
          <w:szCs w:val="52"/>
        </w:rPr>
        <w:t>Bangaladesh</w:t>
      </w:r>
      <w:r w:rsidR="002E3E4E">
        <w:rPr>
          <w:rFonts w:ascii="Times New Roman" w:hAnsi="Times New Roman" w:cs="Times New Roman"/>
        </w:rPr>
        <w:br w:type="page"/>
      </w:r>
    </w:p>
    <w:p w:rsidR="002E3E4E" w:rsidRPr="007473FB" w:rsidRDefault="002E3E4E" w:rsidP="004B7285">
      <w:pPr>
        <w:tabs>
          <w:tab w:val="left" w:pos="3472"/>
        </w:tabs>
        <w:spacing w:line="360" w:lineRule="auto"/>
        <w:jc w:val="center"/>
        <w:rPr>
          <w:rFonts w:ascii="Times New Roman" w:hAnsi="Times New Roman" w:cs="Times New Roman"/>
        </w:rPr>
      </w:pPr>
      <w:r w:rsidRPr="007473FB">
        <w:rPr>
          <w:rFonts w:ascii="Times New Roman" w:hAnsi="Times New Roman" w:cs="Times New Roman"/>
          <w:noProof/>
        </w:rPr>
        <w:lastRenderedPageBreak/>
        <w:drawing>
          <wp:inline distT="0" distB="0" distL="0" distR="0">
            <wp:extent cx="1719551" cy="1604914"/>
            <wp:effectExtent l="0" t="0" r="8255" b="0"/>
            <wp:docPr id="1" name="Picture 1" descr="Untitled:Users:mac:Desktop:ccb90694a1073ee8603b8c7f9ec0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ac:Desktop:ccb90694a1073ee8603b8c7f9ec0bd8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0060" cy="1605389"/>
                    </a:xfrm>
                    <a:prstGeom prst="rect">
                      <a:avLst/>
                    </a:prstGeom>
                    <a:noFill/>
                    <a:ln>
                      <a:noFill/>
                    </a:ln>
                  </pic:spPr>
                </pic:pic>
              </a:graphicData>
            </a:graphic>
          </wp:inline>
        </w:drawing>
      </w:r>
    </w:p>
    <w:p w:rsidR="002E3E4E" w:rsidRPr="000466FF" w:rsidRDefault="002E3E4E" w:rsidP="004B7285">
      <w:pPr>
        <w:tabs>
          <w:tab w:val="left" w:pos="3472"/>
        </w:tabs>
        <w:spacing w:line="360" w:lineRule="auto"/>
        <w:jc w:val="center"/>
        <w:rPr>
          <w:rFonts w:ascii="Times New Roman" w:hAnsi="Times New Roman" w:cs="Times New Roman"/>
          <w:b/>
          <w:sz w:val="32"/>
        </w:rPr>
      </w:pPr>
      <w:r w:rsidRPr="000466FF">
        <w:rPr>
          <w:rFonts w:ascii="Times New Roman" w:hAnsi="Times New Roman" w:cs="Times New Roman"/>
          <w:b/>
          <w:sz w:val="32"/>
        </w:rPr>
        <w:t>United International University</w:t>
      </w:r>
    </w:p>
    <w:p w:rsidR="000466FF" w:rsidRPr="000466FF" w:rsidRDefault="002E3E4E" w:rsidP="000466FF">
      <w:pPr>
        <w:spacing w:line="360" w:lineRule="auto"/>
        <w:jc w:val="center"/>
        <w:rPr>
          <w:rFonts w:asciiTheme="majorHAnsi" w:hAnsiTheme="majorHAnsi" w:cs="Times New Roman"/>
          <w:b/>
          <w:sz w:val="32"/>
          <w:szCs w:val="28"/>
        </w:rPr>
      </w:pPr>
      <w:r w:rsidRPr="000466FF">
        <w:rPr>
          <w:rFonts w:asciiTheme="majorHAnsi" w:hAnsiTheme="majorHAnsi" w:cs="Times New Roman"/>
          <w:b/>
          <w:sz w:val="32"/>
          <w:szCs w:val="28"/>
        </w:rPr>
        <w:t>A Report</w:t>
      </w:r>
      <w:r w:rsidR="000466FF" w:rsidRPr="000466FF">
        <w:rPr>
          <w:rFonts w:asciiTheme="majorHAnsi" w:hAnsiTheme="majorHAnsi" w:cs="Times New Roman"/>
          <w:b/>
          <w:sz w:val="32"/>
          <w:szCs w:val="28"/>
        </w:rPr>
        <w:t xml:space="preserve"> on</w:t>
      </w:r>
    </w:p>
    <w:p w:rsidR="000466FF" w:rsidRPr="000466FF" w:rsidRDefault="00742042" w:rsidP="000466FF">
      <w:pPr>
        <w:spacing w:line="360" w:lineRule="auto"/>
        <w:jc w:val="center"/>
        <w:rPr>
          <w:rFonts w:asciiTheme="majorHAnsi" w:hAnsiTheme="majorHAnsi" w:cs="Times New Roman"/>
          <w:b/>
          <w:sz w:val="32"/>
          <w:szCs w:val="28"/>
        </w:rPr>
      </w:pPr>
      <w:r w:rsidRPr="000466FF">
        <w:rPr>
          <w:rFonts w:asciiTheme="majorHAnsi" w:hAnsiTheme="majorHAnsi" w:cs="Times New Roman"/>
          <w:b/>
          <w:sz w:val="32"/>
          <w:szCs w:val="28"/>
        </w:rPr>
        <w:t xml:space="preserve">Performance </w:t>
      </w:r>
      <w:r w:rsidR="000466FF" w:rsidRPr="000466FF">
        <w:rPr>
          <w:rFonts w:asciiTheme="majorHAnsi" w:hAnsiTheme="majorHAnsi" w:cs="Times New Roman"/>
          <w:b/>
          <w:sz w:val="32"/>
          <w:szCs w:val="28"/>
        </w:rPr>
        <w:t>a</w:t>
      </w:r>
      <w:r w:rsidRPr="000466FF">
        <w:rPr>
          <w:rFonts w:asciiTheme="majorHAnsi" w:hAnsiTheme="majorHAnsi" w:cs="Times New Roman"/>
          <w:b/>
          <w:sz w:val="32"/>
          <w:szCs w:val="28"/>
        </w:rPr>
        <w:t>nalysis</w:t>
      </w:r>
      <w:r w:rsidR="000466FF" w:rsidRPr="000466FF">
        <w:rPr>
          <w:rFonts w:asciiTheme="majorHAnsi" w:hAnsiTheme="majorHAnsi" w:cs="Times New Roman"/>
          <w:b/>
          <w:sz w:val="32"/>
          <w:szCs w:val="28"/>
        </w:rPr>
        <w:t xml:space="preserve"> among</w:t>
      </w:r>
      <w:r w:rsidR="00E3788E">
        <w:rPr>
          <w:rFonts w:asciiTheme="majorHAnsi" w:hAnsiTheme="majorHAnsi" w:cs="Times New Roman"/>
          <w:b/>
          <w:sz w:val="32"/>
          <w:szCs w:val="28"/>
        </w:rPr>
        <w:t xml:space="preserve"> </w:t>
      </w:r>
    </w:p>
    <w:p w:rsidR="000466FF" w:rsidRPr="000466FF" w:rsidRDefault="000466FF" w:rsidP="000466FF">
      <w:pPr>
        <w:spacing w:line="360" w:lineRule="auto"/>
        <w:jc w:val="center"/>
        <w:rPr>
          <w:rFonts w:asciiTheme="majorHAnsi" w:hAnsiTheme="majorHAnsi" w:cs="Times New Roman"/>
          <w:b/>
          <w:sz w:val="32"/>
          <w:szCs w:val="28"/>
        </w:rPr>
      </w:pPr>
      <w:r w:rsidRPr="000466FF">
        <w:rPr>
          <w:rFonts w:asciiTheme="majorHAnsi" w:hAnsiTheme="majorHAnsi" w:cs="Times New Roman"/>
          <w:b/>
          <w:sz w:val="32"/>
          <w:szCs w:val="28"/>
        </w:rPr>
        <w:t>Mutual Fund Managers of</w:t>
      </w:r>
    </w:p>
    <w:p w:rsidR="002E3E4E" w:rsidRPr="000466FF" w:rsidRDefault="000466FF" w:rsidP="000466FF">
      <w:pPr>
        <w:spacing w:line="360" w:lineRule="auto"/>
        <w:jc w:val="center"/>
        <w:rPr>
          <w:rFonts w:asciiTheme="majorHAnsi" w:hAnsiTheme="majorHAnsi" w:cs="Times New Roman"/>
          <w:b/>
          <w:sz w:val="32"/>
          <w:szCs w:val="28"/>
        </w:rPr>
      </w:pPr>
      <w:r w:rsidRPr="000466FF">
        <w:rPr>
          <w:rFonts w:asciiTheme="majorHAnsi" w:hAnsiTheme="majorHAnsi" w:cs="Times New Roman"/>
          <w:b/>
          <w:sz w:val="32"/>
          <w:szCs w:val="28"/>
        </w:rPr>
        <w:t xml:space="preserve">Bangladesh </w:t>
      </w:r>
    </w:p>
    <w:p w:rsidR="002E3E4E" w:rsidRPr="00412BBD" w:rsidRDefault="002E3E4E" w:rsidP="004B7285">
      <w:pPr>
        <w:tabs>
          <w:tab w:val="left" w:pos="5234"/>
          <w:tab w:val="left" w:pos="6209"/>
        </w:tabs>
        <w:spacing w:line="360" w:lineRule="auto"/>
        <w:rPr>
          <w:rFonts w:cs="Times New Roman"/>
          <w:b/>
          <w:sz w:val="24"/>
          <w:szCs w:val="24"/>
          <w:u w:val="thick"/>
        </w:rPr>
      </w:pPr>
      <w:r w:rsidRPr="00412BBD">
        <w:rPr>
          <w:rFonts w:cs="Times New Roman"/>
          <w:b/>
          <w:sz w:val="24"/>
          <w:szCs w:val="24"/>
          <w:u w:val="thick"/>
        </w:rPr>
        <w:t>Supervised By:</w:t>
      </w:r>
    </w:p>
    <w:p w:rsidR="002E3E4E" w:rsidRPr="00412BBD" w:rsidRDefault="002E3E4E" w:rsidP="004B7285">
      <w:pPr>
        <w:tabs>
          <w:tab w:val="left" w:pos="5234"/>
        </w:tabs>
        <w:spacing w:line="360" w:lineRule="auto"/>
        <w:rPr>
          <w:rFonts w:cs="Times New Roman"/>
          <w:sz w:val="24"/>
          <w:szCs w:val="24"/>
        </w:rPr>
      </w:pPr>
      <w:r w:rsidRPr="00412BBD">
        <w:rPr>
          <w:rFonts w:cs="Times New Roman"/>
          <w:sz w:val="24"/>
          <w:szCs w:val="24"/>
        </w:rPr>
        <w:t>Mosabbir Ahmed</w:t>
      </w:r>
      <w:r w:rsidR="00412BBD">
        <w:rPr>
          <w:rFonts w:cs="Times New Roman"/>
          <w:sz w:val="24"/>
          <w:szCs w:val="24"/>
        </w:rPr>
        <w:tab/>
      </w:r>
    </w:p>
    <w:p w:rsidR="002E3E4E" w:rsidRPr="00412BBD" w:rsidRDefault="002E3E4E" w:rsidP="004B7285">
      <w:pPr>
        <w:tabs>
          <w:tab w:val="left" w:pos="3472"/>
        </w:tabs>
        <w:spacing w:line="360" w:lineRule="auto"/>
        <w:rPr>
          <w:rFonts w:cs="Times New Roman"/>
          <w:sz w:val="24"/>
          <w:szCs w:val="24"/>
        </w:rPr>
      </w:pPr>
      <w:r w:rsidRPr="00412BBD">
        <w:rPr>
          <w:rFonts w:cs="Times New Roman"/>
          <w:sz w:val="24"/>
          <w:szCs w:val="24"/>
        </w:rPr>
        <w:t>Assistant professor</w:t>
      </w:r>
    </w:p>
    <w:p w:rsidR="002E3E4E" w:rsidRPr="00412BBD" w:rsidRDefault="002E3E4E" w:rsidP="004B7285">
      <w:pPr>
        <w:tabs>
          <w:tab w:val="left" w:pos="3472"/>
        </w:tabs>
        <w:spacing w:line="360" w:lineRule="auto"/>
        <w:rPr>
          <w:rFonts w:cs="Times New Roman"/>
          <w:sz w:val="24"/>
          <w:szCs w:val="24"/>
        </w:rPr>
      </w:pPr>
      <w:r w:rsidRPr="00412BBD">
        <w:rPr>
          <w:rFonts w:cs="Times New Roman"/>
          <w:sz w:val="24"/>
          <w:szCs w:val="24"/>
        </w:rPr>
        <w:t>School of Business &amp; Economics.</w:t>
      </w:r>
    </w:p>
    <w:p w:rsidR="00412BBD" w:rsidRPr="00412BBD" w:rsidRDefault="00412BBD" w:rsidP="004B7285">
      <w:pPr>
        <w:tabs>
          <w:tab w:val="left" w:pos="3472"/>
        </w:tabs>
        <w:spacing w:line="360" w:lineRule="auto"/>
        <w:rPr>
          <w:rFonts w:cs="Times New Roman"/>
          <w:b/>
          <w:sz w:val="24"/>
          <w:szCs w:val="24"/>
          <w:u w:val="thick"/>
        </w:rPr>
      </w:pPr>
      <w:r w:rsidRPr="00412BBD">
        <w:rPr>
          <w:rFonts w:cs="Times New Roman"/>
          <w:sz w:val="24"/>
          <w:szCs w:val="24"/>
        </w:rPr>
        <w:t>United International University</w:t>
      </w:r>
      <w:r>
        <w:rPr>
          <w:rFonts w:ascii="Times New Roman" w:hAnsi="Times New Roman" w:cs="Times New Roman"/>
        </w:rPr>
        <w:t xml:space="preserve">.                                                                            </w:t>
      </w:r>
      <w:r>
        <w:rPr>
          <w:rFonts w:ascii="Times New Roman" w:hAnsi="Times New Roman" w:cs="Times New Roman"/>
        </w:rPr>
        <w:tab/>
      </w:r>
      <w:r w:rsidRPr="00412BBD">
        <w:rPr>
          <w:rFonts w:cs="Times New Roman"/>
          <w:b/>
          <w:sz w:val="24"/>
          <w:szCs w:val="24"/>
          <w:u w:val="thick"/>
        </w:rPr>
        <w:t>Submitted By:</w:t>
      </w:r>
    </w:p>
    <w:p w:rsidR="00412BBD" w:rsidRPr="00412BBD" w:rsidRDefault="00412BBD" w:rsidP="004B7285">
      <w:pPr>
        <w:tabs>
          <w:tab w:val="left" w:pos="3472"/>
        </w:tabs>
        <w:spacing w:line="360" w:lineRule="auto"/>
        <w:jc w:val="right"/>
        <w:rPr>
          <w:rFonts w:cs="Times New Roman"/>
          <w:sz w:val="24"/>
          <w:szCs w:val="24"/>
        </w:rPr>
      </w:pPr>
      <w:r w:rsidRPr="00412BBD">
        <w:rPr>
          <w:rFonts w:cs="Times New Roman"/>
          <w:sz w:val="24"/>
          <w:szCs w:val="24"/>
        </w:rPr>
        <w:t>Khan Arafat Rahman Dip</w:t>
      </w:r>
    </w:p>
    <w:p w:rsidR="00412BBD" w:rsidRPr="00412BBD" w:rsidRDefault="00412BBD" w:rsidP="004B7285">
      <w:pPr>
        <w:tabs>
          <w:tab w:val="left" w:pos="3472"/>
        </w:tabs>
        <w:spacing w:line="360" w:lineRule="auto"/>
        <w:jc w:val="right"/>
        <w:rPr>
          <w:rFonts w:cs="Times New Roman"/>
          <w:sz w:val="24"/>
          <w:szCs w:val="24"/>
        </w:rPr>
      </w:pPr>
      <w:r w:rsidRPr="00412BBD">
        <w:rPr>
          <w:rFonts w:cs="Times New Roman"/>
          <w:sz w:val="24"/>
          <w:szCs w:val="24"/>
        </w:rPr>
        <w:t>ID No: 111 132 120</w:t>
      </w:r>
    </w:p>
    <w:p w:rsidR="00412BBD" w:rsidRDefault="00412BBD" w:rsidP="004B7285">
      <w:pPr>
        <w:tabs>
          <w:tab w:val="left" w:pos="3472"/>
        </w:tabs>
        <w:spacing w:line="360" w:lineRule="auto"/>
        <w:jc w:val="right"/>
        <w:rPr>
          <w:rFonts w:cs="Times New Roman"/>
          <w:sz w:val="24"/>
          <w:szCs w:val="24"/>
        </w:rPr>
      </w:pPr>
      <w:r w:rsidRPr="00412BBD">
        <w:rPr>
          <w:rFonts w:cs="Times New Roman"/>
          <w:sz w:val="24"/>
          <w:szCs w:val="24"/>
        </w:rPr>
        <w:t>BBA program, United International University.</w:t>
      </w:r>
    </w:p>
    <w:p w:rsidR="002E3E4E" w:rsidRPr="000466FF" w:rsidRDefault="002E3E4E" w:rsidP="004B7285">
      <w:pPr>
        <w:tabs>
          <w:tab w:val="left" w:pos="3472"/>
        </w:tabs>
        <w:spacing w:line="360" w:lineRule="auto"/>
        <w:rPr>
          <w:rFonts w:cs="Times New Roman"/>
          <w:sz w:val="24"/>
          <w:szCs w:val="24"/>
        </w:rPr>
      </w:pPr>
      <w:r w:rsidRPr="0063053C">
        <w:rPr>
          <w:rFonts w:ascii="Times New Roman" w:hAnsi="Times New Roman" w:cs="Times New Roman"/>
          <w:b/>
          <w:sz w:val="24"/>
          <w:szCs w:val="24"/>
          <w:u w:val="thick"/>
        </w:rPr>
        <w:t>Date of Submission</w:t>
      </w:r>
      <w:r w:rsidRPr="000466FF">
        <w:rPr>
          <w:rFonts w:ascii="Times New Roman" w:hAnsi="Times New Roman" w:cs="Times New Roman"/>
          <w:b/>
          <w:sz w:val="24"/>
          <w:szCs w:val="24"/>
        </w:rPr>
        <w:t>:</w:t>
      </w:r>
      <w:r w:rsidR="000466FF" w:rsidRPr="000466FF">
        <w:rPr>
          <w:rFonts w:ascii="Times New Roman" w:hAnsi="Times New Roman" w:cs="Times New Roman"/>
          <w:sz w:val="24"/>
          <w:szCs w:val="24"/>
        </w:rPr>
        <w:t xml:space="preserve"> 29</w:t>
      </w:r>
      <w:r w:rsidR="00CD4878">
        <w:rPr>
          <w:rFonts w:ascii="Times New Roman" w:hAnsi="Times New Roman" w:cs="Times New Roman"/>
          <w:sz w:val="24"/>
          <w:szCs w:val="24"/>
          <w:vertAlign w:val="superscript"/>
        </w:rPr>
        <w:t>t</w:t>
      </w:r>
      <w:r w:rsidR="000466FF" w:rsidRPr="000466FF">
        <w:rPr>
          <w:rFonts w:ascii="Times New Roman" w:hAnsi="Times New Roman" w:cs="Times New Roman"/>
          <w:sz w:val="24"/>
          <w:szCs w:val="24"/>
          <w:vertAlign w:val="superscript"/>
        </w:rPr>
        <w:t>h</w:t>
      </w:r>
      <w:r w:rsidR="000466FF" w:rsidRPr="000466FF">
        <w:rPr>
          <w:rFonts w:ascii="Times New Roman" w:hAnsi="Times New Roman" w:cs="Times New Roman"/>
          <w:sz w:val="24"/>
          <w:szCs w:val="24"/>
        </w:rPr>
        <w:t xml:space="preserve"> January, 2019</w:t>
      </w:r>
    </w:p>
    <w:p w:rsidR="00DE6CA9" w:rsidRPr="0063053C" w:rsidRDefault="002E3E4E" w:rsidP="00EE7DDC">
      <w:pPr>
        <w:spacing w:line="360" w:lineRule="auto"/>
        <w:rPr>
          <w:rFonts w:ascii="Times New Roman" w:hAnsi="Times New Roman" w:cs="Times New Roman"/>
        </w:rPr>
      </w:pPr>
      <w:r>
        <w:rPr>
          <w:rFonts w:ascii="Times New Roman" w:hAnsi="Times New Roman" w:cs="Times New Roman"/>
        </w:rPr>
        <w:br w:type="page"/>
      </w:r>
      <w:r w:rsidR="00DE6CA9" w:rsidRPr="00D1319A">
        <w:rPr>
          <w:rFonts w:ascii="Times New Roman" w:hAnsi="Times New Roman" w:cs="Times New Roman"/>
          <w:b/>
          <w:sz w:val="24"/>
          <w:szCs w:val="24"/>
        </w:rPr>
        <w:lastRenderedPageBreak/>
        <w:t>Letter of Transmittal</w:t>
      </w:r>
    </w:p>
    <w:p w:rsidR="00DE6CA9" w:rsidRPr="00D1319A" w:rsidRDefault="00485C5F"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485C5F">
        <w:rPr>
          <w:rFonts w:ascii="Times New Roman" w:hAnsi="Times New Roman" w:cs="Times New Roman"/>
          <w:sz w:val="24"/>
          <w:szCs w:val="24"/>
          <w:vertAlign w:val="superscript"/>
        </w:rPr>
        <w:t>st</w:t>
      </w:r>
      <w:r>
        <w:rPr>
          <w:rFonts w:ascii="Times New Roman" w:hAnsi="Times New Roman" w:cs="Times New Roman"/>
          <w:sz w:val="24"/>
          <w:szCs w:val="24"/>
        </w:rPr>
        <w:t xml:space="preserve">January </w:t>
      </w:r>
      <w:r w:rsidR="00DE6CA9" w:rsidRPr="00D1319A">
        <w:rPr>
          <w:rFonts w:ascii="Times New Roman" w:hAnsi="Times New Roman" w:cs="Times New Roman"/>
          <w:sz w:val="24"/>
          <w:szCs w:val="24"/>
        </w:rPr>
        <w:t>, 2019</w:t>
      </w:r>
    </w:p>
    <w:p w:rsidR="00DE6CA9" w:rsidRPr="00D1319A" w:rsidRDefault="00DE6CA9"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To </w:t>
      </w:r>
    </w:p>
    <w:p w:rsidR="00DE6CA9" w:rsidRPr="00D1319A" w:rsidRDefault="00DE6CA9" w:rsidP="004B7285">
      <w:pPr>
        <w:spacing w:after="0" w:line="360" w:lineRule="auto"/>
        <w:jc w:val="both"/>
        <w:rPr>
          <w:rFonts w:ascii="Times New Roman" w:hAnsi="Times New Roman" w:cs="Times New Roman"/>
          <w:sz w:val="24"/>
          <w:szCs w:val="24"/>
        </w:rPr>
      </w:pPr>
      <w:r w:rsidRPr="00D1319A">
        <w:rPr>
          <w:rFonts w:ascii="Times New Roman" w:hAnsi="Times New Roman" w:cs="Times New Roman"/>
          <w:sz w:val="24"/>
          <w:szCs w:val="24"/>
        </w:rPr>
        <w:t>Mosabbir Ahmed</w:t>
      </w:r>
    </w:p>
    <w:p w:rsidR="00DE6CA9" w:rsidRPr="00D1319A" w:rsidRDefault="00DE6CA9" w:rsidP="004B7285">
      <w:pPr>
        <w:spacing w:after="0" w:line="360" w:lineRule="auto"/>
        <w:jc w:val="both"/>
        <w:rPr>
          <w:rFonts w:ascii="Times New Roman" w:hAnsi="Times New Roman" w:cs="Times New Roman"/>
          <w:sz w:val="24"/>
          <w:szCs w:val="24"/>
        </w:rPr>
      </w:pPr>
      <w:r w:rsidRPr="00D1319A">
        <w:rPr>
          <w:rFonts w:ascii="Times New Roman" w:hAnsi="Times New Roman" w:cs="Times New Roman"/>
          <w:sz w:val="24"/>
          <w:szCs w:val="24"/>
        </w:rPr>
        <w:t>Assistant professor, school of Business &amp; Economics.</w:t>
      </w:r>
    </w:p>
    <w:p w:rsidR="00DE6CA9" w:rsidRPr="00D1319A" w:rsidRDefault="00DE6CA9" w:rsidP="004B7285">
      <w:pPr>
        <w:spacing w:after="0" w:line="360" w:lineRule="auto"/>
        <w:jc w:val="both"/>
        <w:rPr>
          <w:rFonts w:ascii="Times New Roman" w:hAnsi="Times New Roman" w:cs="Times New Roman"/>
          <w:sz w:val="24"/>
          <w:szCs w:val="24"/>
        </w:rPr>
      </w:pPr>
      <w:r w:rsidRPr="00D1319A">
        <w:rPr>
          <w:rFonts w:ascii="Times New Roman" w:hAnsi="Times New Roman" w:cs="Times New Roman"/>
          <w:sz w:val="24"/>
          <w:szCs w:val="24"/>
        </w:rPr>
        <w:t>United International University.</w:t>
      </w:r>
    </w:p>
    <w:p w:rsidR="00DE6CA9" w:rsidRPr="00D1319A" w:rsidRDefault="00DE6CA9" w:rsidP="004B7285">
      <w:pPr>
        <w:spacing w:after="0" w:line="360" w:lineRule="auto"/>
        <w:jc w:val="both"/>
        <w:rPr>
          <w:rFonts w:ascii="Times New Roman" w:hAnsi="Times New Roman" w:cs="Times New Roman"/>
          <w:sz w:val="24"/>
          <w:szCs w:val="24"/>
        </w:rPr>
      </w:pPr>
    </w:p>
    <w:p w:rsidR="00C92B2C" w:rsidRPr="00D1319A" w:rsidRDefault="00DE6CA9"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Subject: </w:t>
      </w:r>
      <w:r w:rsidR="00C92B2C" w:rsidRPr="00D1319A">
        <w:rPr>
          <w:rFonts w:ascii="Times New Roman" w:hAnsi="Times New Roman" w:cs="Times New Roman"/>
          <w:sz w:val="24"/>
          <w:szCs w:val="24"/>
        </w:rPr>
        <w:t>Submission of project report on perf</w:t>
      </w:r>
      <w:r w:rsidR="00692473">
        <w:rPr>
          <w:rFonts w:ascii="Times New Roman" w:hAnsi="Times New Roman" w:cs="Times New Roman"/>
          <w:sz w:val="24"/>
          <w:szCs w:val="24"/>
        </w:rPr>
        <w:t>ormance analysis among mutual fund managers of Bangladesh.</w:t>
      </w:r>
    </w:p>
    <w:p w:rsidR="00DE6CA9" w:rsidRPr="00D1319A" w:rsidRDefault="00DE6CA9"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Dear Sir,</w:t>
      </w:r>
    </w:p>
    <w:p w:rsidR="00C92B2C" w:rsidRPr="00D1319A" w:rsidRDefault="00C92B2C"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It gives me immense pleasure </w:t>
      </w:r>
      <w:r w:rsidR="00DC61FA">
        <w:rPr>
          <w:rFonts w:ascii="Times New Roman" w:hAnsi="Times New Roman" w:cs="Times New Roman"/>
          <w:sz w:val="24"/>
          <w:szCs w:val="24"/>
        </w:rPr>
        <w:t>to submit my project paper on “P</w:t>
      </w:r>
      <w:r w:rsidRPr="00D1319A">
        <w:rPr>
          <w:rFonts w:ascii="Times New Roman" w:hAnsi="Times New Roman" w:cs="Times New Roman"/>
          <w:sz w:val="24"/>
          <w:szCs w:val="24"/>
        </w:rPr>
        <w:t>erformance analysis</w:t>
      </w:r>
      <w:r w:rsidR="00B40A41">
        <w:rPr>
          <w:rFonts w:ascii="Times New Roman" w:hAnsi="Times New Roman" w:cs="Times New Roman"/>
          <w:sz w:val="24"/>
          <w:szCs w:val="24"/>
        </w:rPr>
        <w:t xml:space="preserve"> among mutual fund managers of Bangladesh</w:t>
      </w:r>
      <w:r w:rsidRPr="00D1319A">
        <w:rPr>
          <w:rFonts w:ascii="Times New Roman" w:hAnsi="Times New Roman" w:cs="Times New Roman"/>
          <w:sz w:val="24"/>
          <w:szCs w:val="24"/>
        </w:rPr>
        <w:t>” which has assign to me as a fulfillment of the course “ Bachelor of Business Administration “</w:t>
      </w:r>
    </w:p>
    <w:p w:rsidR="00DE6CA9" w:rsidRPr="00D1319A" w:rsidRDefault="00DE6CA9"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I have prepared this report on this basis of the knowledge, I gathered from my practical knowledge and I would like to express my sincere gratitude to you for your continuous support and guidance. . To prepare the report, I have collected data and studied journal and analyzed these and ultimately finalize the report.</w:t>
      </w:r>
    </w:p>
    <w:p w:rsidR="00DE6CA9" w:rsidRPr="00D1319A" w:rsidRDefault="00DE6CA9" w:rsidP="004B7285">
      <w:pPr>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I would like to thank you for my guidance and concern to prepare this report. Enthusiastically hope that you would be kind enough to approve the report.</w:t>
      </w:r>
    </w:p>
    <w:p w:rsidR="00DE6CA9" w:rsidRPr="00D1319A" w:rsidRDefault="00DE6CA9" w:rsidP="004B7285">
      <w:pPr>
        <w:spacing w:line="360" w:lineRule="auto"/>
        <w:rPr>
          <w:rFonts w:ascii="Times New Roman" w:hAnsi="Times New Roman" w:cs="Times New Roman"/>
          <w:sz w:val="24"/>
          <w:szCs w:val="24"/>
        </w:rPr>
      </w:pPr>
    </w:p>
    <w:p w:rsidR="00DE6CA9" w:rsidRPr="00D1319A" w:rsidRDefault="00DE6CA9" w:rsidP="004B7285">
      <w:pPr>
        <w:spacing w:line="360" w:lineRule="auto"/>
        <w:rPr>
          <w:rFonts w:ascii="Times New Roman" w:hAnsi="Times New Roman" w:cs="Times New Roman"/>
          <w:sz w:val="24"/>
          <w:szCs w:val="24"/>
        </w:rPr>
      </w:pPr>
      <w:r w:rsidRPr="00D1319A">
        <w:rPr>
          <w:rFonts w:ascii="Times New Roman" w:hAnsi="Times New Roman" w:cs="Times New Roman"/>
          <w:sz w:val="24"/>
          <w:szCs w:val="24"/>
        </w:rPr>
        <w:t>Sincerely yours,</w:t>
      </w:r>
    </w:p>
    <w:p w:rsidR="00DE6CA9" w:rsidRPr="00D1319A" w:rsidRDefault="00DE6CA9" w:rsidP="004B7285">
      <w:pPr>
        <w:spacing w:after="0" w:line="360" w:lineRule="auto"/>
        <w:rPr>
          <w:rFonts w:ascii="Times New Roman" w:hAnsi="Times New Roman" w:cs="Times New Roman"/>
          <w:sz w:val="24"/>
          <w:szCs w:val="24"/>
        </w:rPr>
      </w:pPr>
      <w:r w:rsidRPr="00D1319A">
        <w:rPr>
          <w:rFonts w:ascii="Times New Roman" w:hAnsi="Times New Roman" w:cs="Times New Roman"/>
          <w:sz w:val="24"/>
          <w:szCs w:val="24"/>
        </w:rPr>
        <w:t>Khan Arafat Rahman</w:t>
      </w:r>
    </w:p>
    <w:p w:rsidR="00DE6CA9" w:rsidRPr="00D1319A" w:rsidRDefault="00DE6CA9" w:rsidP="004B7285">
      <w:pPr>
        <w:spacing w:after="0" w:line="360" w:lineRule="auto"/>
        <w:rPr>
          <w:rFonts w:ascii="Times New Roman" w:hAnsi="Times New Roman" w:cs="Times New Roman"/>
          <w:sz w:val="24"/>
          <w:szCs w:val="24"/>
        </w:rPr>
      </w:pPr>
      <w:r w:rsidRPr="00D1319A">
        <w:rPr>
          <w:rFonts w:ascii="Times New Roman" w:hAnsi="Times New Roman" w:cs="Times New Roman"/>
          <w:sz w:val="24"/>
          <w:szCs w:val="24"/>
        </w:rPr>
        <w:t>ID: 111 132 120</w:t>
      </w:r>
    </w:p>
    <w:p w:rsidR="00DE6CA9" w:rsidRPr="00D1319A" w:rsidRDefault="00DE6CA9" w:rsidP="004B7285">
      <w:pPr>
        <w:spacing w:after="0" w:line="360" w:lineRule="auto"/>
        <w:rPr>
          <w:rFonts w:ascii="Times New Roman" w:hAnsi="Times New Roman" w:cs="Times New Roman"/>
          <w:sz w:val="24"/>
          <w:szCs w:val="24"/>
        </w:rPr>
      </w:pPr>
      <w:r w:rsidRPr="00D1319A">
        <w:rPr>
          <w:rFonts w:ascii="Times New Roman" w:hAnsi="Times New Roman" w:cs="Times New Roman"/>
          <w:sz w:val="24"/>
          <w:szCs w:val="24"/>
        </w:rPr>
        <w:t>BBA program</w:t>
      </w:r>
    </w:p>
    <w:p w:rsidR="00DE6CA9" w:rsidRPr="00D1319A" w:rsidRDefault="00DE6CA9" w:rsidP="004B7285">
      <w:pPr>
        <w:spacing w:after="0" w:line="360" w:lineRule="auto"/>
        <w:rPr>
          <w:rFonts w:ascii="Times New Roman" w:hAnsi="Times New Roman" w:cs="Times New Roman"/>
          <w:sz w:val="24"/>
          <w:szCs w:val="24"/>
        </w:rPr>
      </w:pPr>
      <w:r w:rsidRPr="00D1319A">
        <w:rPr>
          <w:rFonts w:ascii="Times New Roman" w:hAnsi="Times New Roman" w:cs="Times New Roman"/>
          <w:sz w:val="24"/>
          <w:szCs w:val="24"/>
        </w:rPr>
        <w:t>School of Business &amp; Economics</w:t>
      </w:r>
    </w:p>
    <w:p w:rsidR="00DE6CA9" w:rsidRPr="00D1319A" w:rsidRDefault="00DE6CA9" w:rsidP="004B7285">
      <w:pPr>
        <w:spacing w:after="0" w:line="360" w:lineRule="auto"/>
        <w:rPr>
          <w:rFonts w:ascii="Times New Roman" w:hAnsi="Times New Roman" w:cs="Times New Roman"/>
          <w:sz w:val="24"/>
          <w:szCs w:val="24"/>
        </w:rPr>
      </w:pPr>
      <w:r w:rsidRPr="00D1319A">
        <w:rPr>
          <w:rFonts w:ascii="Times New Roman" w:hAnsi="Times New Roman" w:cs="Times New Roman"/>
          <w:sz w:val="24"/>
          <w:szCs w:val="24"/>
        </w:rPr>
        <w:t>United International University.</w:t>
      </w:r>
    </w:p>
    <w:p w:rsidR="002E3E4E" w:rsidRPr="00D1319A" w:rsidRDefault="002E3E4E" w:rsidP="004B7285">
      <w:pPr>
        <w:spacing w:line="360" w:lineRule="auto"/>
        <w:jc w:val="center"/>
        <w:rPr>
          <w:rFonts w:ascii="Times New Roman" w:hAnsi="Times New Roman" w:cs="Times New Roman"/>
          <w:b/>
          <w:sz w:val="24"/>
          <w:szCs w:val="24"/>
        </w:rPr>
      </w:pPr>
    </w:p>
    <w:p w:rsidR="00131AA0" w:rsidRPr="00D1319A" w:rsidRDefault="00131AA0" w:rsidP="004B7285">
      <w:pPr>
        <w:spacing w:line="360" w:lineRule="auto"/>
        <w:jc w:val="center"/>
        <w:rPr>
          <w:rFonts w:ascii="Times New Roman" w:hAnsi="Times New Roman" w:cs="Times New Roman"/>
          <w:b/>
          <w:sz w:val="24"/>
          <w:szCs w:val="24"/>
        </w:rPr>
      </w:pPr>
    </w:p>
    <w:p w:rsidR="0000636B" w:rsidRPr="00D1319A" w:rsidRDefault="0000636B" w:rsidP="004B7285">
      <w:pPr>
        <w:tabs>
          <w:tab w:val="left" w:pos="3472"/>
        </w:tabs>
        <w:spacing w:line="360" w:lineRule="auto"/>
        <w:rPr>
          <w:rFonts w:ascii="Times New Roman" w:hAnsi="Times New Roman" w:cs="Times New Roman"/>
          <w:b/>
          <w:i/>
          <w:sz w:val="24"/>
          <w:szCs w:val="24"/>
        </w:rPr>
      </w:pPr>
      <w:r w:rsidRPr="00D1319A">
        <w:rPr>
          <w:rFonts w:ascii="Times New Roman" w:hAnsi="Times New Roman" w:cs="Times New Roman"/>
          <w:b/>
          <w:i/>
          <w:sz w:val="24"/>
          <w:szCs w:val="24"/>
        </w:rPr>
        <w:t>Student’s Declaration</w:t>
      </w:r>
    </w:p>
    <w:p w:rsidR="0000636B" w:rsidRPr="00D1319A" w:rsidRDefault="0000636B"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I am </w:t>
      </w:r>
      <w:r w:rsidR="001A1ABD" w:rsidRPr="00D1319A">
        <w:rPr>
          <w:rFonts w:ascii="Times New Roman" w:hAnsi="Times New Roman" w:cs="Times New Roman"/>
          <w:sz w:val="24"/>
          <w:szCs w:val="24"/>
        </w:rPr>
        <w:t>Khan</w:t>
      </w:r>
      <w:r w:rsidRPr="00D1319A">
        <w:rPr>
          <w:rFonts w:ascii="Times New Roman" w:hAnsi="Times New Roman" w:cs="Times New Roman"/>
          <w:sz w:val="24"/>
          <w:szCs w:val="24"/>
        </w:rPr>
        <w:t xml:space="preserve"> Arafat Rahman </w:t>
      </w:r>
      <w:r w:rsidR="001A1ABD" w:rsidRPr="00D1319A">
        <w:rPr>
          <w:rFonts w:ascii="Times New Roman" w:hAnsi="Times New Roman" w:cs="Times New Roman"/>
          <w:sz w:val="24"/>
          <w:szCs w:val="24"/>
        </w:rPr>
        <w:t>Dip;</w:t>
      </w:r>
      <w:r w:rsidRPr="00D1319A">
        <w:rPr>
          <w:rFonts w:ascii="Times New Roman" w:hAnsi="Times New Roman" w:cs="Times New Roman"/>
          <w:sz w:val="24"/>
          <w:szCs w:val="24"/>
        </w:rPr>
        <w:t xml:space="preserve"> hereby declare that the report titled “performance analysis </w:t>
      </w:r>
      <w:r w:rsidR="00692473">
        <w:rPr>
          <w:rFonts w:ascii="Times New Roman" w:hAnsi="Times New Roman" w:cs="Times New Roman"/>
          <w:sz w:val="24"/>
          <w:szCs w:val="24"/>
        </w:rPr>
        <w:t>among mutual fund managers of Bangladesh</w:t>
      </w:r>
      <w:r w:rsidR="001A1ABD" w:rsidRPr="00D1319A">
        <w:rPr>
          <w:rFonts w:ascii="Times New Roman" w:hAnsi="Times New Roman" w:cs="Times New Roman"/>
          <w:sz w:val="24"/>
          <w:szCs w:val="24"/>
        </w:rPr>
        <w:t>” is</w:t>
      </w:r>
      <w:r w:rsidRPr="00D1319A">
        <w:rPr>
          <w:rFonts w:ascii="Times New Roman" w:hAnsi="Times New Roman" w:cs="Times New Roman"/>
          <w:sz w:val="24"/>
          <w:szCs w:val="24"/>
        </w:rPr>
        <w:t xml:space="preserve"> uniquely prepared by me</w:t>
      </w:r>
      <w:r w:rsidR="001A1ABD" w:rsidRPr="00D1319A">
        <w:rPr>
          <w:rFonts w:ascii="Times New Roman" w:hAnsi="Times New Roman" w:cs="Times New Roman"/>
          <w:sz w:val="24"/>
          <w:szCs w:val="24"/>
        </w:rPr>
        <w:t>, perusal</w:t>
      </w:r>
      <w:r w:rsidRPr="00D1319A">
        <w:rPr>
          <w:rFonts w:ascii="Times New Roman" w:hAnsi="Times New Roman" w:cs="Times New Roman"/>
          <w:sz w:val="24"/>
          <w:szCs w:val="24"/>
        </w:rPr>
        <w:t xml:space="preserve"> under the</w:t>
      </w:r>
      <w:r w:rsidR="001A1ABD" w:rsidRPr="00D1319A">
        <w:rPr>
          <w:rFonts w:ascii="Times New Roman" w:hAnsi="Times New Roman" w:cs="Times New Roman"/>
          <w:sz w:val="24"/>
          <w:szCs w:val="24"/>
        </w:rPr>
        <w:t xml:space="preserve"> instructor of Mosabbir Ahmed,</w:t>
      </w:r>
      <w:r w:rsidRPr="00D1319A">
        <w:rPr>
          <w:rFonts w:ascii="Times New Roman" w:hAnsi="Times New Roman" w:cs="Times New Roman"/>
          <w:sz w:val="24"/>
          <w:szCs w:val="24"/>
        </w:rPr>
        <w:t xml:space="preserve"> As</w:t>
      </w:r>
      <w:r w:rsidR="001A1ABD" w:rsidRPr="00D1319A">
        <w:rPr>
          <w:rFonts w:ascii="Times New Roman" w:hAnsi="Times New Roman" w:cs="Times New Roman"/>
          <w:sz w:val="24"/>
          <w:szCs w:val="24"/>
        </w:rPr>
        <w:t>sistant Professor, school of Business &amp; Economics</w:t>
      </w:r>
      <w:r w:rsidRPr="00D1319A">
        <w:rPr>
          <w:rFonts w:ascii="Times New Roman" w:hAnsi="Times New Roman" w:cs="Times New Roman"/>
          <w:sz w:val="24"/>
          <w:szCs w:val="24"/>
        </w:rPr>
        <w:t>, United International University.</w:t>
      </w:r>
    </w:p>
    <w:p w:rsidR="006503E7" w:rsidRPr="00D1319A" w:rsidRDefault="006503E7" w:rsidP="004B7285">
      <w:pPr>
        <w:tabs>
          <w:tab w:val="left" w:pos="3472"/>
        </w:tabs>
        <w:spacing w:line="360" w:lineRule="auto"/>
        <w:jc w:val="both"/>
        <w:rPr>
          <w:rFonts w:ascii="Times New Roman" w:hAnsi="Times New Roman" w:cs="Times New Roman"/>
          <w:sz w:val="24"/>
          <w:szCs w:val="24"/>
        </w:rPr>
      </w:pPr>
    </w:p>
    <w:p w:rsidR="0000636B" w:rsidRPr="00D1319A" w:rsidRDefault="00FF1120"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I also Resolute that, this project is only disposed for any academic recruitment not for other and I have not </w:t>
      </w:r>
      <w:r w:rsidR="006503E7" w:rsidRPr="00D1319A">
        <w:rPr>
          <w:rFonts w:ascii="Times New Roman" w:hAnsi="Times New Roman" w:cs="Times New Roman"/>
          <w:sz w:val="24"/>
          <w:szCs w:val="24"/>
        </w:rPr>
        <w:t>submitted</w:t>
      </w:r>
      <w:r w:rsidRPr="00D1319A">
        <w:rPr>
          <w:rFonts w:ascii="Times New Roman" w:hAnsi="Times New Roman" w:cs="Times New Roman"/>
          <w:sz w:val="24"/>
          <w:szCs w:val="24"/>
        </w:rPr>
        <w:t xml:space="preserve"> this report in any other place before. And I also assure that this report was not submitted to any other academic purpose. </w:t>
      </w:r>
    </w:p>
    <w:p w:rsidR="0000636B" w:rsidRPr="00D1319A" w:rsidRDefault="0000636B" w:rsidP="004B7285">
      <w:pPr>
        <w:tabs>
          <w:tab w:val="left" w:pos="3472"/>
        </w:tabs>
        <w:spacing w:line="360" w:lineRule="auto"/>
        <w:rPr>
          <w:rFonts w:ascii="Times New Roman" w:hAnsi="Times New Roman" w:cs="Times New Roman"/>
          <w:sz w:val="24"/>
          <w:szCs w:val="24"/>
        </w:rPr>
      </w:pPr>
    </w:p>
    <w:p w:rsidR="0000636B" w:rsidRPr="00D1319A" w:rsidRDefault="0000636B" w:rsidP="004B7285">
      <w:pPr>
        <w:tabs>
          <w:tab w:val="left" w:pos="3472"/>
        </w:tabs>
        <w:spacing w:line="360" w:lineRule="auto"/>
        <w:rPr>
          <w:rFonts w:ascii="Times New Roman" w:hAnsi="Times New Roman" w:cs="Times New Roman"/>
          <w:sz w:val="24"/>
          <w:szCs w:val="24"/>
        </w:rPr>
      </w:pPr>
    </w:p>
    <w:p w:rsidR="0000636B" w:rsidRPr="00D1319A" w:rsidRDefault="0000636B" w:rsidP="004B7285">
      <w:pPr>
        <w:tabs>
          <w:tab w:val="left" w:pos="3472"/>
        </w:tabs>
        <w:spacing w:line="360" w:lineRule="auto"/>
        <w:rPr>
          <w:rFonts w:ascii="Times New Roman" w:hAnsi="Times New Roman" w:cs="Times New Roman"/>
          <w:sz w:val="24"/>
          <w:szCs w:val="24"/>
        </w:rPr>
      </w:pPr>
    </w:p>
    <w:p w:rsidR="0000636B" w:rsidRPr="00D1319A" w:rsidRDefault="0000636B" w:rsidP="004B7285">
      <w:pPr>
        <w:tabs>
          <w:tab w:val="left" w:pos="3472"/>
        </w:tabs>
        <w:spacing w:line="360" w:lineRule="auto"/>
        <w:rPr>
          <w:rFonts w:ascii="Times New Roman" w:hAnsi="Times New Roman" w:cs="Times New Roman"/>
          <w:sz w:val="24"/>
          <w:szCs w:val="24"/>
        </w:rPr>
      </w:pPr>
    </w:p>
    <w:p w:rsidR="0000636B" w:rsidRPr="00D1319A" w:rsidRDefault="0000636B" w:rsidP="004B7285">
      <w:pPr>
        <w:tabs>
          <w:tab w:val="left" w:pos="3472"/>
        </w:tabs>
        <w:spacing w:line="360" w:lineRule="auto"/>
        <w:rPr>
          <w:rFonts w:ascii="Times New Roman" w:hAnsi="Times New Roman" w:cs="Times New Roman"/>
          <w:sz w:val="24"/>
          <w:szCs w:val="24"/>
        </w:rPr>
      </w:pPr>
      <w:r w:rsidRPr="00D1319A">
        <w:rPr>
          <w:rFonts w:ascii="Times New Roman" w:hAnsi="Times New Roman" w:cs="Times New Roman"/>
          <w:sz w:val="24"/>
          <w:szCs w:val="24"/>
        </w:rPr>
        <w:t>_________________</w:t>
      </w:r>
    </w:p>
    <w:p w:rsidR="008F491B" w:rsidRPr="00D1319A" w:rsidRDefault="008F491B"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Khan Arafat Rahman Dip</w:t>
      </w:r>
    </w:p>
    <w:p w:rsidR="0000636B" w:rsidRPr="00D1319A" w:rsidRDefault="008F491B"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ID No: 111 132 120</w:t>
      </w:r>
    </w:p>
    <w:p w:rsidR="008F491B" w:rsidRPr="00D1319A" w:rsidRDefault="008F491B"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 xml:space="preserve">BBA </w:t>
      </w:r>
      <w:r w:rsidR="006D1BAB" w:rsidRPr="00D1319A">
        <w:rPr>
          <w:rFonts w:ascii="Times New Roman" w:hAnsi="Times New Roman" w:cs="Times New Roman"/>
          <w:sz w:val="24"/>
          <w:szCs w:val="24"/>
        </w:rPr>
        <w:t>Program, School Of Business &amp; Economics</w:t>
      </w:r>
    </w:p>
    <w:p w:rsidR="0000636B" w:rsidRPr="00D1319A" w:rsidRDefault="0000636B" w:rsidP="004B7285">
      <w:pPr>
        <w:tabs>
          <w:tab w:val="left" w:pos="3472"/>
        </w:tabs>
        <w:spacing w:line="360" w:lineRule="auto"/>
        <w:jc w:val="both"/>
        <w:rPr>
          <w:rFonts w:ascii="Times New Roman" w:hAnsi="Times New Roman" w:cs="Times New Roman"/>
          <w:sz w:val="24"/>
          <w:szCs w:val="24"/>
        </w:rPr>
      </w:pPr>
      <w:r w:rsidRPr="00D1319A">
        <w:rPr>
          <w:rFonts w:ascii="Times New Roman" w:hAnsi="Times New Roman" w:cs="Times New Roman"/>
          <w:sz w:val="24"/>
          <w:szCs w:val="24"/>
        </w:rPr>
        <w:t>United International University.</w:t>
      </w:r>
    </w:p>
    <w:p w:rsidR="00131AA0" w:rsidRDefault="00131AA0" w:rsidP="004B7285">
      <w:pPr>
        <w:spacing w:line="360" w:lineRule="auto"/>
        <w:jc w:val="center"/>
        <w:rPr>
          <w:rFonts w:ascii="Times New Roman" w:hAnsi="Times New Roman" w:cs="Times New Roman"/>
          <w:b/>
          <w:sz w:val="28"/>
          <w:szCs w:val="28"/>
        </w:rPr>
      </w:pPr>
    </w:p>
    <w:p w:rsidR="003A4DAE" w:rsidRPr="00372ABD" w:rsidRDefault="002E3E4E" w:rsidP="004B7285">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955279" w:rsidRPr="00DE1470" w:rsidRDefault="00955279" w:rsidP="004B7285">
      <w:pPr>
        <w:pStyle w:val="Title"/>
        <w:spacing w:line="360" w:lineRule="auto"/>
      </w:pPr>
      <w:r w:rsidRPr="00DE1470">
        <w:lastRenderedPageBreak/>
        <w:t>Acknowledgement</w:t>
      </w:r>
    </w:p>
    <w:p w:rsidR="004D1EA5" w:rsidRPr="00DE1470" w:rsidRDefault="004D1EA5"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 xml:space="preserve">All praise to Almighty, </w:t>
      </w:r>
    </w:p>
    <w:p w:rsidR="004D1EA5" w:rsidRPr="00DE1470" w:rsidRDefault="004D1EA5"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 xml:space="preserve">First of all I would like to vastly grateful to my supervisor Mosabbir </w:t>
      </w:r>
      <w:r w:rsidR="00CD712B" w:rsidRPr="00DE1470">
        <w:rPr>
          <w:rFonts w:ascii="Times New Roman" w:hAnsi="Times New Roman" w:cs="Times New Roman"/>
          <w:sz w:val="24"/>
          <w:szCs w:val="24"/>
        </w:rPr>
        <w:t>Ahmed,</w:t>
      </w:r>
      <w:r w:rsidRPr="00DE1470">
        <w:rPr>
          <w:rFonts w:ascii="Times New Roman" w:hAnsi="Times New Roman" w:cs="Times New Roman"/>
          <w:sz w:val="24"/>
          <w:szCs w:val="24"/>
        </w:rPr>
        <w:t xml:space="preserve"> Assistant </w:t>
      </w:r>
      <w:r w:rsidR="00CD712B" w:rsidRPr="00DE1470">
        <w:rPr>
          <w:rFonts w:ascii="Times New Roman" w:hAnsi="Times New Roman" w:cs="Times New Roman"/>
          <w:sz w:val="24"/>
          <w:szCs w:val="24"/>
        </w:rPr>
        <w:t>professor, school</w:t>
      </w:r>
      <w:r w:rsidRPr="00DE1470">
        <w:rPr>
          <w:rFonts w:ascii="Times New Roman" w:hAnsi="Times New Roman" w:cs="Times New Roman"/>
          <w:sz w:val="24"/>
          <w:szCs w:val="24"/>
        </w:rPr>
        <w:t xml:space="preserve"> of </w:t>
      </w:r>
      <w:r w:rsidR="00CD712B" w:rsidRPr="00DE1470">
        <w:rPr>
          <w:rFonts w:ascii="Times New Roman" w:hAnsi="Times New Roman" w:cs="Times New Roman"/>
          <w:sz w:val="24"/>
          <w:szCs w:val="24"/>
        </w:rPr>
        <w:t>Business,</w:t>
      </w:r>
      <w:r w:rsidRPr="00DE1470">
        <w:rPr>
          <w:rFonts w:ascii="Times New Roman" w:hAnsi="Times New Roman" w:cs="Times New Roman"/>
          <w:sz w:val="24"/>
          <w:szCs w:val="24"/>
        </w:rPr>
        <w:t xml:space="preserve"> United International </w:t>
      </w:r>
      <w:r w:rsidR="00CD712B" w:rsidRPr="00DE1470">
        <w:rPr>
          <w:rFonts w:ascii="Times New Roman" w:hAnsi="Times New Roman" w:cs="Times New Roman"/>
          <w:sz w:val="24"/>
          <w:szCs w:val="24"/>
        </w:rPr>
        <w:t>University,</w:t>
      </w:r>
      <w:r w:rsidRPr="00DE1470">
        <w:rPr>
          <w:rFonts w:ascii="Times New Roman" w:hAnsi="Times New Roman" w:cs="Times New Roman"/>
          <w:sz w:val="24"/>
          <w:szCs w:val="24"/>
        </w:rPr>
        <w:t xml:space="preserve"> for his guidance, </w:t>
      </w:r>
      <w:r w:rsidR="00CD712B" w:rsidRPr="00DE1470">
        <w:rPr>
          <w:rFonts w:ascii="Times New Roman" w:hAnsi="Times New Roman" w:cs="Times New Roman"/>
          <w:sz w:val="24"/>
          <w:szCs w:val="24"/>
        </w:rPr>
        <w:t>valuable</w:t>
      </w:r>
      <w:r w:rsidRPr="00DE1470">
        <w:rPr>
          <w:rFonts w:ascii="Times New Roman" w:hAnsi="Times New Roman" w:cs="Times New Roman"/>
          <w:sz w:val="24"/>
          <w:szCs w:val="24"/>
        </w:rPr>
        <w:t xml:space="preserve"> and thoughtful comments and suggestions. I am very appreciative to him for giving me </w:t>
      </w:r>
      <w:r w:rsidR="00F6358B" w:rsidRPr="00DE1470">
        <w:rPr>
          <w:rFonts w:ascii="Times New Roman" w:hAnsi="Times New Roman" w:cs="Times New Roman"/>
          <w:sz w:val="24"/>
          <w:szCs w:val="24"/>
        </w:rPr>
        <w:t>inspiration and promotes throughout my research. His inexhaustible patience and concern to detail enable me to complete this report and get it into its present form.</w:t>
      </w:r>
    </w:p>
    <w:p w:rsidR="002A6C46" w:rsidRPr="00DE1470" w:rsidRDefault="00CD712B"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Finally,</w:t>
      </w:r>
      <w:r w:rsidR="00F6358B" w:rsidRPr="00DE1470">
        <w:rPr>
          <w:rFonts w:ascii="Times New Roman" w:hAnsi="Times New Roman" w:cs="Times New Roman"/>
          <w:sz w:val="24"/>
          <w:szCs w:val="24"/>
        </w:rPr>
        <w:t xml:space="preserve"> I also want to </w:t>
      </w:r>
      <w:r w:rsidR="002A6C46" w:rsidRPr="00DE1470">
        <w:rPr>
          <w:rFonts w:ascii="Times New Roman" w:hAnsi="Times New Roman" w:cs="Times New Roman"/>
          <w:sz w:val="24"/>
          <w:szCs w:val="24"/>
        </w:rPr>
        <w:t>thankful to all of my classmates who helped me to know how to start this report by according of the requirement.</w:t>
      </w:r>
    </w:p>
    <w:p w:rsidR="00F6358B" w:rsidRPr="00DE1470" w:rsidRDefault="002A6C46"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 xml:space="preserve">Despite my sincere </w:t>
      </w:r>
      <w:r w:rsidR="00CD712B" w:rsidRPr="00DE1470">
        <w:rPr>
          <w:rFonts w:ascii="Times New Roman" w:hAnsi="Times New Roman" w:cs="Times New Roman"/>
          <w:sz w:val="24"/>
          <w:szCs w:val="24"/>
        </w:rPr>
        <w:t>efforts, there may appear some shortfalls in the report and i also apologize for any such unconventional errors.</w:t>
      </w:r>
    </w:p>
    <w:p w:rsidR="00955279" w:rsidRPr="00DE1470" w:rsidRDefault="00955279" w:rsidP="004B7285">
      <w:pPr>
        <w:spacing w:line="360" w:lineRule="auto"/>
        <w:jc w:val="both"/>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5304B9" w:rsidRPr="00DE1470" w:rsidRDefault="005304B9" w:rsidP="004B7285">
      <w:pPr>
        <w:spacing w:line="360" w:lineRule="auto"/>
        <w:rPr>
          <w:rFonts w:ascii="Times New Roman" w:hAnsi="Times New Roman" w:cs="Times New Roman"/>
          <w:b/>
          <w:sz w:val="24"/>
          <w:szCs w:val="24"/>
        </w:rPr>
      </w:pPr>
    </w:p>
    <w:p w:rsidR="003A4DAE" w:rsidRDefault="003A4DAE" w:rsidP="004B7285">
      <w:pPr>
        <w:spacing w:line="360" w:lineRule="auto"/>
        <w:jc w:val="center"/>
        <w:rPr>
          <w:rFonts w:ascii="Times New Roman" w:hAnsi="Times New Roman" w:cs="Times New Roman"/>
          <w:b/>
          <w:sz w:val="28"/>
          <w:szCs w:val="28"/>
        </w:rPr>
      </w:pPr>
    </w:p>
    <w:p w:rsidR="003A4BC1" w:rsidRPr="004F0D95" w:rsidRDefault="003A4BC1" w:rsidP="004B7285">
      <w:pPr>
        <w:pStyle w:val="Title"/>
        <w:spacing w:line="360" w:lineRule="auto"/>
      </w:pPr>
      <w:r w:rsidRPr="00DE1470">
        <w:lastRenderedPageBreak/>
        <w:t>Executive Summary</w:t>
      </w:r>
    </w:p>
    <w:p w:rsidR="003A4BC1" w:rsidRPr="00DE1470" w:rsidRDefault="003A4BC1" w:rsidP="004B7285">
      <w:pPr>
        <w:spacing w:line="360" w:lineRule="auto"/>
        <w:jc w:val="center"/>
        <w:rPr>
          <w:rFonts w:ascii="Times New Roman" w:hAnsi="Times New Roman" w:cs="Times New Roman"/>
          <w:sz w:val="24"/>
          <w:szCs w:val="24"/>
        </w:rPr>
      </w:pPr>
    </w:p>
    <w:p w:rsidR="0063053C" w:rsidRPr="00245080" w:rsidRDefault="0063053C" w:rsidP="0063053C">
      <w:pPr>
        <w:spacing w:after="0" w:line="360" w:lineRule="auto"/>
        <w:jc w:val="both"/>
        <w:rPr>
          <w:rFonts w:ascii="Times New Roman" w:hAnsi="Times New Roman" w:cs="Times New Roman"/>
          <w:sz w:val="24"/>
          <w:szCs w:val="24"/>
        </w:rPr>
      </w:pPr>
      <w:r w:rsidRPr="00245080">
        <w:rPr>
          <w:rFonts w:ascii="Times New Roman" w:hAnsi="Times New Roman" w:cs="Times New Roman"/>
          <w:sz w:val="24"/>
          <w:szCs w:val="24"/>
        </w:rPr>
        <w:t>This project paper is prepared as requirement of BBA program of United International University. This project provides an overall Perf</w:t>
      </w:r>
      <w:r w:rsidR="00DC61FA">
        <w:rPr>
          <w:rFonts w:ascii="Times New Roman" w:hAnsi="Times New Roman" w:cs="Times New Roman"/>
          <w:sz w:val="24"/>
          <w:szCs w:val="24"/>
        </w:rPr>
        <w:t>ormance analysis among</w:t>
      </w:r>
      <w:r w:rsidR="003729EA">
        <w:rPr>
          <w:rFonts w:ascii="Times New Roman" w:hAnsi="Times New Roman" w:cs="Times New Roman"/>
          <w:sz w:val="24"/>
          <w:szCs w:val="24"/>
        </w:rPr>
        <w:t xml:space="preserve"> mutual fund</w:t>
      </w:r>
      <w:r w:rsidRPr="00245080">
        <w:rPr>
          <w:rFonts w:ascii="Times New Roman" w:hAnsi="Times New Roman" w:cs="Times New Roman"/>
          <w:sz w:val="24"/>
          <w:szCs w:val="24"/>
        </w:rPr>
        <w:t xml:space="preserve"> Manager</w:t>
      </w:r>
      <w:r w:rsidR="003729EA">
        <w:rPr>
          <w:rFonts w:ascii="Times New Roman" w:hAnsi="Times New Roman" w:cs="Times New Roman"/>
          <w:sz w:val="24"/>
          <w:szCs w:val="24"/>
        </w:rPr>
        <w:t>s</w:t>
      </w:r>
      <w:r w:rsidRPr="00245080">
        <w:rPr>
          <w:rFonts w:ascii="Times New Roman" w:hAnsi="Times New Roman" w:cs="Times New Roman"/>
          <w:sz w:val="24"/>
          <w:szCs w:val="24"/>
        </w:rPr>
        <w:t xml:space="preserve"> of  </w:t>
      </w:r>
      <w:r w:rsidR="00DC61FA">
        <w:rPr>
          <w:rFonts w:ascii="Times New Roman" w:hAnsi="Times New Roman" w:cs="Times New Roman"/>
          <w:sz w:val="24"/>
          <w:szCs w:val="24"/>
        </w:rPr>
        <w:t>Bangladesh</w:t>
      </w:r>
      <w:r w:rsidRPr="00245080">
        <w:rPr>
          <w:rFonts w:ascii="Times New Roman" w:hAnsi="Times New Roman" w:cs="Times New Roman"/>
          <w:sz w:val="24"/>
          <w:szCs w:val="24"/>
        </w:rPr>
        <w:t xml:space="preserve"> </w:t>
      </w:r>
      <w:r w:rsidR="00DC61FA">
        <w:rPr>
          <w:rFonts w:ascii="Times New Roman" w:hAnsi="Times New Roman" w:cs="Times New Roman"/>
          <w:sz w:val="24"/>
          <w:szCs w:val="24"/>
        </w:rPr>
        <w:t>(</w:t>
      </w:r>
      <w:r w:rsidRPr="00245080">
        <w:rPr>
          <w:rFonts w:ascii="Times New Roman" w:hAnsi="Times New Roman" w:cs="Times New Roman"/>
          <w:sz w:val="24"/>
          <w:szCs w:val="24"/>
        </w:rPr>
        <w:t>ICB, AIMS &amp; RELIANCE</w:t>
      </w:r>
      <w:r w:rsidR="00DC61FA">
        <w:rPr>
          <w:rFonts w:ascii="Times New Roman" w:hAnsi="Times New Roman" w:cs="Times New Roman"/>
          <w:sz w:val="24"/>
          <w:szCs w:val="24"/>
        </w:rPr>
        <w:t>)</w:t>
      </w:r>
      <w:r w:rsidRPr="00245080">
        <w:rPr>
          <w:rFonts w:ascii="Times New Roman" w:hAnsi="Times New Roman" w:cs="Times New Roman"/>
          <w:sz w:val="24"/>
          <w:szCs w:val="24"/>
        </w:rPr>
        <w:t xml:space="preserve"> based on five years financial data.</w:t>
      </w:r>
    </w:p>
    <w:p w:rsidR="0063053C" w:rsidRPr="00245080" w:rsidRDefault="0063053C" w:rsidP="0063053C">
      <w:pPr>
        <w:spacing w:after="0" w:line="360" w:lineRule="auto"/>
        <w:jc w:val="both"/>
        <w:rPr>
          <w:rFonts w:ascii="Times New Roman" w:hAnsi="Times New Roman" w:cs="Times New Roman"/>
          <w:sz w:val="24"/>
          <w:szCs w:val="24"/>
        </w:rPr>
      </w:pPr>
    </w:p>
    <w:p w:rsidR="0063053C" w:rsidRDefault="0063053C" w:rsidP="0063053C">
      <w:pPr>
        <w:spacing w:after="0" w:line="360" w:lineRule="auto"/>
        <w:jc w:val="both"/>
        <w:rPr>
          <w:rFonts w:ascii="Times New Roman" w:hAnsi="Times New Roman" w:cs="Times New Roman"/>
          <w:sz w:val="24"/>
          <w:szCs w:val="24"/>
        </w:rPr>
      </w:pPr>
      <w:r w:rsidRPr="00245080">
        <w:rPr>
          <w:rFonts w:ascii="Times New Roman" w:hAnsi="Times New Roman" w:cs="Times New Roman"/>
          <w:sz w:val="24"/>
          <w:szCs w:val="24"/>
        </w:rPr>
        <w:t>We know that, mutual fund is a professionally managed investment fund that pools money from many investors to purchase securiti</w:t>
      </w:r>
      <w:r w:rsidR="00CD212A">
        <w:rPr>
          <w:rFonts w:ascii="Times New Roman" w:hAnsi="Times New Roman" w:cs="Times New Roman"/>
          <w:sz w:val="24"/>
          <w:szCs w:val="24"/>
        </w:rPr>
        <w:t>es. These investment</w:t>
      </w:r>
      <w:r w:rsidR="008E16D1">
        <w:rPr>
          <w:rFonts w:ascii="Times New Roman" w:hAnsi="Times New Roman" w:cs="Times New Roman"/>
          <w:sz w:val="24"/>
          <w:szCs w:val="24"/>
        </w:rPr>
        <w:t>should be</w:t>
      </w:r>
      <w:r w:rsidRPr="00245080">
        <w:rPr>
          <w:rFonts w:ascii="Times New Roman" w:hAnsi="Times New Roman" w:cs="Times New Roman"/>
          <w:sz w:val="24"/>
          <w:szCs w:val="24"/>
        </w:rPr>
        <w:t>fundamental</w:t>
      </w:r>
      <w:r w:rsidR="008E16D1">
        <w:rPr>
          <w:rFonts w:ascii="Times New Roman" w:hAnsi="Times New Roman" w:cs="Times New Roman"/>
          <w:sz w:val="24"/>
          <w:szCs w:val="24"/>
        </w:rPr>
        <w:t>ly</w:t>
      </w:r>
      <w:r w:rsidRPr="00245080">
        <w:rPr>
          <w:rFonts w:ascii="Times New Roman" w:hAnsi="Times New Roman" w:cs="Times New Roman"/>
          <w:sz w:val="24"/>
          <w:szCs w:val="24"/>
        </w:rPr>
        <w:t xml:space="preserve"> in nature. Mutual funds have favorable and unfavorable compared to direct investing in individual securities. The primary advantages of mutual funds are that the provide economies of scale, a higher level of diversification, they provide liquidity, and they are managed by professional investors.</w:t>
      </w:r>
    </w:p>
    <w:p w:rsidR="0063053C" w:rsidRPr="00245080" w:rsidRDefault="0063053C" w:rsidP="0063053C">
      <w:pPr>
        <w:spacing w:after="0" w:line="360" w:lineRule="auto"/>
        <w:jc w:val="both"/>
        <w:rPr>
          <w:rFonts w:ascii="Times New Roman" w:hAnsi="Times New Roman" w:cs="Times New Roman"/>
          <w:sz w:val="24"/>
          <w:szCs w:val="24"/>
        </w:rPr>
      </w:pPr>
    </w:p>
    <w:p w:rsidR="0063053C" w:rsidRDefault="0063053C" w:rsidP="0063053C">
      <w:pPr>
        <w:spacing w:after="0" w:line="360" w:lineRule="auto"/>
        <w:jc w:val="both"/>
        <w:rPr>
          <w:rFonts w:ascii="Times New Roman" w:hAnsi="Times New Roman" w:cs="Times New Roman"/>
          <w:sz w:val="24"/>
          <w:szCs w:val="24"/>
        </w:rPr>
      </w:pPr>
      <w:r w:rsidRPr="00245080">
        <w:rPr>
          <w:rFonts w:ascii="Times New Roman" w:hAnsi="Times New Roman" w:cs="Times New Roman"/>
          <w:sz w:val="24"/>
          <w:szCs w:val="24"/>
        </w:rPr>
        <w:t>Primary structures of mutual fund include open-end funds, unit investment trusts, and closed-end funds. Exchange-traded funds are open-end funds or unit investment confidence that bartering on an exchange. Mutual funds are also classified by their principle investments as money market funds, bond or fixed income fund, stock or equity funds, hybrid funds or other. Funds may also be sorted as index funds, which are passively managed funds that match the performance of an index, or actively managed funds.</w:t>
      </w:r>
    </w:p>
    <w:p w:rsidR="0063053C" w:rsidRPr="00245080" w:rsidRDefault="0063053C" w:rsidP="0063053C">
      <w:pPr>
        <w:spacing w:after="0" w:line="360" w:lineRule="auto"/>
        <w:jc w:val="both"/>
        <w:rPr>
          <w:rFonts w:ascii="Times New Roman" w:hAnsi="Times New Roman" w:cs="Times New Roman"/>
          <w:sz w:val="24"/>
          <w:szCs w:val="24"/>
        </w:rPr>
      </w:pPr>
    </w:p>
    <w:p w:rsidR="0063053C" w:rsidRDefault="0063053C" w:rsidP="0063053C">
      <w:pPr>
        <w:spacing w:after="0" w:line="360" w:lineRule="auto"/>
        <w:jc w:val="both"/>
        <w:rPr>
          <w:rFonts w:ascii="Times New Roman" w:hAnsi="Times New Roman" w:cs="Times New Roman"/>
          <w:color w:val="000000"/>
          <w:sz w:val="24"/>
          <w:szCs w:val="24"/>
          <w:shd w:val="clear" w:color="auto" w:fill="FFFFFF"/>
        </w:rPr>
      </w:pPr>
      <w:r w:rsidRPr="00245080">
        <w:rPr>
          <w:rFonts w:ascii="Times New Roman" w:hAnsi="Times New Roman" w:cs="Times New Roman"/>
          <w:color w:val="000000"/>
          <w:sz w:val="24"/>
          <w:szCs w:val="24"/>
          <w:shd w:val="clear" w:color="auto" w:fill="FFFFFF"/>
        </w:rPr>
        <w:t>Therefore, the research in mutual fund managers has increased significantly. Although this huge demand of mutual fund investing, only a few researches on mutual fund managers have been conducted in Bangladesh. In this paper an attempt</w:t>
      </w:r>
      <w:r w:rsidR="00F3665D">
        <w:rPr>
          <w:rFonts w:ascii="Times New Roman" w:hAnsi="Times New Roman" w:cs="Times New Roman"/>
          <w:color w:val="000000"/>
          <w:sz w:val="24"/>
          <w:szCs w:val="24"/>
          <w:shd w:val="clear" w:color="auto" w:fill="FFFFFF"/>
        </w:rPr>
        <w:t xml:space="preserve"> to</w:t>
      </w:r>
      <w:r w:rsidRPr="00245080">
        <w:rPr>
          <w:rFonts w:ascii="Times New Roman" w:hAnsi="Times New Roman" w:cs="Times New Roman"/>
          <w:color w:val="000000"/>
          <w:sz w:val="24"/>
          <w:szCs w:val="24"/>
          <w:shd w:val="clear" w:color="auto" w:fill="FFFFFF"/>
        </w:rPr>
        <w:t xml:space="preserve"> made </w:t>
      </w:r>
      <w:r w:rsidR="00F3665D">
        <w:rPr>
          <w:rFonts w:ascii="Times New Roman" w:hAnsi="Times New Roman" w:cs="Times New Roman"/>
          <w:color w:val="000000"/>
          <w:sz w:val="24"/>
          <w:szCs w:val="24"/>
          <w:shd w:val="clear" w:color="auto" w:fill="FFFFFF"/>
        </w:rPr>
        <w:t>an evaluation of</w:t>
      </w:r>
      <w:r w:rsidR="003729EA">
        <w:rPr>
          <w:rFonts w:ascii="Times New Roman" w:hAnsi="Times New Roman" w:cs="Times New Roman"/>
          <w:color w:val="000000"/>
          <w:sz w:val="24"/>
          <w:szCs w:val="24"/>
          <w:shd w:val="clear" w:color="auto" w:fill="FFFFFF"/>
        </w:rPr>
        <w:t xml:space="preserve"> the performance of </w:t>
      </w:r>
      <w:r w:rsidR="00F3665D">
        <w:rPr>
          <w:rFonts w:ascii="Times New Roman" w:hAnsi="Times New Roman" w:cs="Times New Roman"/>
          <w:color w:val="000000"/>
          <w:sz w:val="24"/>
          <w:szCs w:val="24"/>
          <w:shd w:val="clear" w:color="auto" w:fill="FFFFFF"/>
        </w:rPr>
        <w:t xml:space="preserve">eight </w:t>
      </w:r>
      <w:r w:rsidRPr="00245080">
        <w:rPr>
          <w:rFonts w:ascii="Times New Roman" w:hAnsi="Times New Roman" w:cs="Times New Roman"/>
          <w:color w:val="000000"/>
          <w:sz w:val="24"/>
          <w:szCs w:val="24"/>
          <w:shd w:val="clear" w:color="auto" w:fill="FFFFFF"/>
        </w:rPr>
        <w:t>close-ends Bangladeshi mutual funds under ICB, AIMS, RELIANCE that traded in DSE (Dhaka stock exchange) based on return over the five years.</w:t>
      </w:r>
    </w:p>
    <w:p w:rsidR="0063053C" w:rsidRPr="00245080" w:rsidRDefault="0063053C" w:rsidP="0063053C">
      <w:pPr>
        <w:spacing w:after="0" w:line="360" w:lineRule="auto"/>
        <w:jc w:val="both"/>
        <w:rPr>
          <w:rFonts w:ascii="Times New Roman" w:hAnsi="Times New Roman" w:cs="Times New Roman"/>
          <w:sz w:val="24"/>
          <w:szCs w:val="24"/>
        </w:rPr>
      </w:pPr>
    </w:p>
    <w:p w:rsidR="0063053C" w:rsidRPr="00245080" w:rsidRDefault="00190D8A" w:rsidP="006305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project paper is</w:t>
      </w:r>
      <w:r w:rsidR="0063053C" w:rsidRPr="00245080">
        <w:rPr>
          <w:rFonts w:ascii="Times New Roman" w:hAnsi="Times New Roman" w:cs="Times New Roman"/>
          <w:sz w:val="24"/>
          <w:szCs w:val="24"/>
        </w:rPr>
        <w:t xml:space="preserve"> divided </w:t>
      </w:r>
      <w:r>
        <w:rPr>
          <w:rFonts w:ascii="Times New Roman" w:hAnsi="Times New Roman" w:cs="Times New Roman"/>
          <w:sz w:val="24"/>
          <w:szCs w:val="24"/>
        </w:rPr>
        <w:t xml:space="preserve">into several parts. First </w:t>
      </w:r>
      <w:r w:rsidRPr="00245080">
        <w:rPr>
          <w:rFonts w:ascii="Times New Roman" w:hAnsi="Times New Roman" w:cs="Times New Roman"/>
          <w:sz w:val="24"/>
          <w:szCs w:val="24"/>
        </w:rPr>
        <w:t>part</w:t>
      </w:r>
      <w:r>
        <w:rPr>
          <w:rFonts w:ascii="Times New Roman" w:hAnsi="Times New Roman" w:cs="Times New Roman"/>
          <w:sz w:val="24"/>
          <w:szCs w:val="24"/>
        </w:rPr>
        <w:t xml:space="preserve"> is </w:t>
      </w:r>
      <w:r w:rsidR="0063053C" w:rsidRPr="00245080">
        <w:rPr>
          <w:rFonts w:ascii="Times New Roman" w:hAnsi="Times New Roman" w:cs="Times New Roman"/>
          <w:sz w:val="24"/>
          <w:szCs w:val="24"/>
        </w:rPr>
        <w:t>the introduction</w:t>
      </w:r>
      <w:r>
        <w:rPr>
          <w:rFonts w:ascii="Times New Roman" w:hAnsi="Times New Roman" w:cs="Times New Roman"/>
          <w:sz w:val="24"/>
          <w:szCs w:val="24"/>
        </w:rPr>
        <w:t>, it includes</w:t>
      </w:r>
      <w:r w:rsidR="0063053C" w:rsidRPr="00245080">
        <w:rPr>
          <w:rFonts w:ascii="Times New Roman" w:hAnsi="Times New Roman" w:cs="Times New Roman"/>
          <w:sz w:val="24"/>
          <w:szCs w:val="24"/>
        </w:rPr>
        <w:t xml:space="preserve"> overview of mutual funds and different aspects and kinds of mutual funds and history. </w:t>
      </w:r>
    </w:p>
    <w:p w:rsidR="0063053C" w:rsidRPr="00245080" w:rsidRDefault="0063053C" w:rsidP="0063053C">
      <w:pPr>
        <w:spacing w:after="0" w:line="360" w:lineRule="auto"/>
        <w:jc w:val="both"/>
        <w:rPr>
          <w:rFonts w:ascii="Times New Roman" w:hAnsi="Times New Roman" w:cs="Times New Roman"/>
          <w:sz w:val="24"/>
          <w:szCs w:val="24"/>
        </w:rPr>
      </w:pPr>
      <w:r w:rsidRPr="00245080">
        <w:rPr>
          <w:rFonts w:ascii="Times New Roman" w:hAnsi="Times New Roman" w:cs="Times New Roman"/>
          <w:sz w:val="24"/>
          <w:szCs w:val="24"/>
        </w:rPr>
        <w:lastRenderedPageBreak/>
        <w:t xml:space="preserve">Moreover, the next part is performance evaluation of mutual funds manager </w:t>
      </w:r>
      <w:r w:rsidR="00190D8A">
        <w:rPr>
          <w:rFonts w:ascii="Times New Roman" w:hAnsi="Times New Roman" w:cs="Times New Roman"/>
          <w:sz w:val="24"/>
          <w:szCs w:val="24"/>
        </w:rPr>
        <w:t>w</w:t>
      </w:r>
      <w:r w:rsidRPr="00245080">
        <w:rPr>
          <w:rFonts w:ascii="Times New Roman" w:hAnsi="Times New Roman" w:cs="Times New Roman"/>
          <w:sz w:val="24"/>
          <w:szCs w:val="24"/>
        </w:rPr>
        <w:t>here the different parts of investment policy, risks factors, role of manager and duty of fund manager</w:t>
      </w:r>
      <w:r w:rsidR="00190D8A">
        <w:rPr>
          <w:rFonts w:ascii="Times New Roman" w:hAnsi="Times New Roman" w:cs="Times New Roman"/>
          <w:sz w:val="24"/>
          <w:szCs w:val="24"/>
        </w:rPr>
        <w:t xml:space="preserve"> has been discussed</w:t>
      </w:r>
      <w:r w:rsidRPr="00245080">
        <w:rPr>
          <w:rFonts w:ascii="Times New Roman" w:hAnsi="Times New Roman" w:cs="Times New Roman"/>
          <w:sz w:val="24"/>
          <w:szCs w:val="24"/>
        </w:rPr>
        <w:t xml:space="preserve">. And then the next part is about "performance evaluation of ICB, AIMS &amp; REALIANCE fund managers” This part is the main part of the report, </w:t>
      </w:r>
      <w:r w:rsidR="007761AA">
        <w:rPr>
          <w:rFonts w:ascii="Times New Roman" w:hAnsi="Times New Roman" w:cs="Times New Roman"/>
          <w:sz w:val="24"/>
          <w:szCs w:val="24"/>
        </w:rPr>
        <w:t xml:space="preserve">that provides adequate information of </w:t>
      </w:r>
      <w:r w:rsidRPr="00245080">
        <w:rPr>
          <w:rFonts w:ascii="Times New Roman" w:hAnsi="Times New Roman" w:cs="Times New Roman"/>
          <w:sz w:val="24"/>
          <w:szCs w:val="24"/>
        </w:rPr>
        <w:t>the company</w:t>
      </w:r>
      <w:r w:rsidR="007761AA">
        <w:rPr>
          <w:rFonts w:ascii="Times New Roman" w:hAnsi="Times New Roman" w:cs="Times New Roman"/>
          <w:sz w:val="24"/>
          <w:szCs w:val="24"/>
        </w:rPr>
        <w:t xml:space="preserve"> whether it</w:t>
      </w:r>
      <w:r w:rsidRPr="00245080">
        <w:rPr>
          <w:rFonts w:ascii="Times New Roman" w:hAnsi="Times New Roman" w:cs="Times New Roman"/>
          <w:sz w:val="24"/>
          <w:szCs w:val="24"/>
        </w:rPr>
        <w:t xml:space="preserve"> is on good or on bad </w:t>
      </w:r>
      <w:r w:rsidR="002C41D6">
        <w:rPr>
          <w:rFonts w:ascii="Times New Roman" w:hAnsi="Times New Roman" w:cs="Times New Roman"/>
          <w:sz w:val="24"/>
          <w:szCs w:val="24"/>
        </w:rPr>
        <w:t>position to evaluate a manager’s performance.</w:t>
      </w:r>
      <w:r w:rsidRPr="00245080">
        <w:rPr>
          <w:rFonts w:ascii="Times New Roman" w:hAnsi="Times New Roman" w:cs="Times New Roman"/>
          <w:sz w:val="24"/>
          <w:szCs w:val="24"/>
        </w:rPr>
        <w:t xml:space="preserve"> And this analysis of a portfolio manager will provide a concise approximation to an investor that which the mutual fund is worth to invest or not.</w:t>
      </w: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Pr="00DE1470" w:rsidRDefault="003A4BC1" w:rsidP="004B7285">
      <w:pPr>
        <w:spacing w:line="360" w:lineRule="auto"/>
        <w:jc w:val="center"/>
        <w:rPr>
          <w:rFonts w:ascii="Times New Roman" w:hAnsi="Times New Roman" w:cs="Times New Roman"/>
          <w:sz w:val="24"/>
          <w:szCs w:val="24"/>
        </w:rPr>
      </w:pPr>
    </w:p>
    <w:p w:rsidR="003A4BC1" w:rsidRDefault="003A4BC1" w:rsidP="004B7285">
      <w:pPr>
        <w:spacing w:line="360" w:lineRule="auto"/>
        <w:jc w:val="center"/>
        <w:rPr>
          <w:rFonts w:ascii="Times New Roman" w:hAnsi="Times New Roman" w:cs="Times New Roman"/>
          <w:sz w:val="24"/>
          <w:szCs w:val="24"/>
        </w:rPr>
      </w:pPr>
    </w:p>
    <w:p w:rsidR="003A4DAE" w:rsidRPr="00DE1470" w:rsidRDefault="003A4DAE" w:rsidP="004B7285">
      <w:pPr>
        <w:spacing w:line="360" w:lineRule="auto"/>
        <w:jc w:val="center"/>
        <w:rPr>
          <w:rFonts w:ascii="Times New Roman" w:hAnsi="Times New Roman" w:cs="Times New Roman"/>
          <w:sz w:val="24"/>
          <w:szCs w:val="24"/>
        </w:rPr>
      </w:pPr>
    </w:p>
    <w:p w:rsidR="004F0D95" w:rsidRDefault="004F0D95" w:rsidP="00E3788E">
      <w:pPr>
        <w:spacing w:line="360" w:lineRule="auto"/>
      </w:pPr>
      <w:r>
        <w:br w:type="page"/>
      </w:r>
      <w:bookmarkStart w:id="0" w:name="_GoBack"/>
      <w:bookmarkEnd w:id="0"/>
    </w:p>
    <w:sdt>
      <w:sdtPr>
        <w:rPr>
          <w:rFonts w:asciiTheme="minorHAnsi" w:eastAsiaTheme="minorHAnsi" w:hAnsiTheme="minorHAnsi" w:cstheme="minorBidi"/>
          <w:b w:val="0"/>
          <w:bCs w:val="0"/>
          <w:color w:val="auto"/>
          <w:sz w:val="22"/>
          <w:szCs w:val="22"/>
          <w:lang w:eastAsia="en-US"/>
        </w:rPr>
        <w:id w:val="2120184205"/>
        <w:docPartObj>
          <w:docPartGallery w:val="Table of Contents"/>
          <w:docPartUnique/>
        </w:docPartObj>
      </w:sdtPr>
      <w:sdtEndPr>
        <w:rPr>
          <w:rFonts w:eastAsiaTheme="minorEastAsia"/>
          <w:noProof/>
        </w:rPr>
      </w:sdtEndPr>
      <w:sdtContent>
        <w:p w:rsidR="004F0D95" w:rsidRDefault="004F0D95" w:rsidP="004B7285">
          <w:pPr>
            <w:pStyle w:val="TOCHeading"/>
            <w:spacing w:line="360" w:lineRule="auto"/>
          </w:pPr>
          <w:r>
            <w:t>Contents</w:t>
          </w:r>
        </w:p>
        <w:p w:rsidR="00C42D2F" w:rsidRDefault="008C5C82">
          <w:pPr>
            <w:pStyle w:val="TOC1"/>
            <w:tabs>
              <w:tab w:val="right" w:leader="dot" w:pos="9350"/>
            </w:tabs>
            <w:rPr>
              <w:noProof/>
              <w:lang w:eastAsia="en-US"/>
            </w:rPr>
          </w:pPr>
          <w:r>
            <w:fldChar w:fldCharType="begin"/>
          </w:r>
          <w:r w:rsidR="004F0D95">
            <w:instrText xml:space="preserve"> TOC \o "1-3" \h \z \u </w:instrText>
          </w:r>
          <w:r>
            <w:fldChar w:fldCharType="separate"/>
          </w:r>
          <w:hyperlink w:anchor="_Toc535797496" w:history="1">
            <w:r w:rsidR="00C42D2F" w:rsidRPr="004F32EA">
              <w:rPr>
                <w:rStyle w:val="Hyperlink"/>
                <w:noProof/>
              </w:rPr>
              <w:t>Chapter 1: INTRODUCTION</w:t>
            </w:r>
            <w:r w:rsidR="00C42D2F">
              <w:rPr>
                <w:noProof/>
                <w:webHidden/>
              </w:rPr>
              <w:tab/>
            </w:r>
            <w:r>
              <w:rPr>
                <w:noProof/>
                <w:webHidden/>
              </w:rPr>
              <w:fldChar w:fldCharType="begin"/>
            </w:r>
            <w:r w:rsidR="00C42D2F">
              <w:rPr>
                <w:noProof/>
                <w:webHidden/>
              </w:rPr>
              <w:instrText xml:space="preserve"> PAGEREF _Toc535797496 \h </w:instrText>
            </w:r>
            <w:r>
              <w:rPr>
                <w:noProof/>
                <w:webHidden/>
              </w:rPr>
            </w:r>
            <w:r>
              <w:rPr>
                <w:noProof/>
                <w:webHidden/>
              </w:rPr>
              <w:fldChar w:fldCharType="separate"/>
            </w:r>
            <w:r w:rsidR="00C42D2F">
              <w:rPr>
                <w:noProof/>
                <w:webHidden/>
              </w:rPr>
              <w:t>1</w:t>
            </w:r>
            <w:r>
              <w:rPr>
                <w:noProof/>
                <w:webHidden/>
              </w:rPr>
              <w:fldChar w:fldCharType="end"/>
            </w:r>
          </w:hyperlink>
        </w:p>
        <w:p w:rsidR="00C42D2F" w:rsidRDefault="002B20B2">
          <w:pPr>
            <w:pStyle w:val="TOC2"/>
            <w:rPr>
              <w:noProof/>
              <w:lang w:eastAsia="en-US"/>
            </w:rPr>
          </w:pPr>
          <w:hyperlink w:anchor="_Toc535797497" w:history="1">
            <w:r w:rsidR="00C42D2F" w:rsidRPr="004F32EA">
              <w:rPr>
                <w:rStyle w:val="Hyperlink"/>
                <w:noProof/>
              </w:rPr>
              <w:t>Origin of the Report</w:t>
            </w:r>
            <w:r w:rsidR="00C42D2F">
              <w:rPr>
                <w:noProof/>
                <w:webHidden/>
              </w:rPr>
              <w:tab/>
            </w:r>
            <w:r w:rsidR="008C5C82">
              <w:rPr>
                <w:noProof/>
                <w:webHidden/>
              </w:rPr>
              <w:fldChar w:fldCharType="begin"/>
            </w:r>
            <w:r w:rsidR="00C42D2F">
              <w:rPr>
                <w:noProof/>
                <w:webHidden/>
              </w:rPr>
              <w:instrText xml:space="preserve"> PAGEREF _Toc535797497 \h </w:instrText>
            </w:r>
            <w:r w:rsidR="008C5C82">
              <w:rPr>
                <w:noProof/>
                <w:webHidden/>
              </w:rPr>
            </w:r>
            <w:r w:rsidR="008C5C82">
              <w:rPr>
                <w:noProof/>
                <w:webHidden/>
              </w:rPr>
              <w:fldChar w:fldCharType="separate"/>
            </w:r>
            <w:r w:rsidR="00C42D2F">
              <w:rPr>
                <w:noProof/>
                <w:webHidden/>
              </w:rPr>
              <w:t>2</w:t>
            </w:r>
            <w:r w:rsidR="008C5C82">
              <w:rPr>
                <w:noProof/>
                <w:webHidden/>
              </w:rPr>
              <w:fldChar w:fldCharType="end"/>
            </w:r>
          </w:hyperlink>
        </w:p>
        <w:p w:rsidR="00C42D2F" w:rsidRDefault="002B20B2">
          <w:pPr>
            <w:pStyle w:val="TOC2"/>
            <w:rPr>
              <w:noProof/>
              <w:lang w:eastAsia="en-US"/>
            </w:rPr>
          </w:pPr>
          <w:hyperlink w:anchor="_Toc535797498" w:history="1">
            <w:r w:rsidR="00C42D2F" w:rsidRPr="004F32EA">
              <w:rPr>
                <w:rStyle w:val="Hyperlink"/>
                <w:noProof/>
              </w:rPr>
              <w:t>Objective of the report</w:t>
            </w:r>
            <w:r w:rsidR="00C42D2F">
              <w:rPr>
                <w:noProof/>
                <w:webHidden/>
              </w:rPr>
              <w:tab/>
            </w:r>
            <w:r w:rsidR="008C5C82">
              <w:rPr>
                <w:noProof/>
                <w:webHidden/>
              </w:rPr>
              <w:fldChar w:fldCharType="begin"/>
            </w:r>
            <w:r w:rsidR="00C42D2F">
              <w:rPr>
                <w:noProof/>
                <w:webHidden/>
              </w:rPr>
              <w:instrText xml:space="preserve"> PAGEREF _Toc535797498 \h </w:instrText>
            </w:r>
            <w:r w:rsidR="008C5C82">
              <w:rPr>
                <w:noProof/>
                <w:webHidden/>
              </w:rPr>
            </w:r>
            <w:r w:rsidR="008C5C82">
              <w:rPr>
                <w:noProof/>
                <w:webHidden/>
              </w:rPr>
              <w:fldChar w:fldCharType="separate"/>
            </w:r>
            <w:r w:rsidR="00C42D2F">
              <w:rPr>
                <w:noProof/>
                <w:webHidden/>
              </w:rPr>
              <w:t>3</w:t>
            </w:r>
            <w:r w:rsidR="008C5C82">
              <w:rPr>
                <w:noProof/>
                <w:webHidden/>
              </w:rPr>
              <w:fldChar w:fldCharType="end"/>
            </w:r>
          </w:hyperlink>
        </w:p>
        <w:p w:rsidR="00C42D2F" w:rsidRDefault="002B20B2">
          <w:pPr>
            <w:pStyle w:val="TOC2"/>
            <w:rPr>
              <w:noProof/>
              <w:lang w:eastAsia="en-US"/>
            </w:rPr>
          </w:pPr>
          <w:hyperlink w:anchor="_Toc535797499" w:history="1">
            <w:r w:rsidR="00C42D2F" w:rsidRPr="004F32EA">
              <w:rPr>
                <w:rStyle w:val="Hyperlink"/>
                <w:noProof/>
              </w:rPr>
              <w:t>Scope of the study:</w:t>
            </w:r>
            <w:r w:rsidR="00C42D2F">
              <w:rPr>
                <w:noProof/>
                <w:webHidden/>
              </w:rPr>
              <w:tab/>
            </w:r>
            <w:r w:rsidR="008C5C82">
              <w:rPr>
                <w:noProof/>
                <w:webHidden/>
              </w:rPr>
              <w:fldChar w:fldCharType="begin"/>
            </w:r>
            <w:r w:rsidR="00C42D2F">
              <w:rPr>
                <w:noProof/>
                <w:webHidden/>
              </w:rPr>
              <w:instrText xml:space="preserve"> PAGEREF _Toc535797499 \h </w:instrText>
            </w:r>
            <w:r w:rsidR="008C5C82">
              <w:rPr>
                <w:noProof/>
                <w:webHidden/>
              </w:rPr>
            </w:r>
            <w:r w:rsidR="008C5C82">
              <w:rPr>
                <w:noProof/>
                <w:webHidden/>
              </w:rPr>
              <w:fldChar w:fldCharType="separate"/>
            </w:r>
            <w:r w:rsidR="00C42D2F">
              <w:rPr>
                <w:noProof/>
                <w:webHidden/>
              </w:rPr>
              <w:t>3</w:t>
            </w:r>
            <w:r w:rsidR="008C5C82">
              <w:rPr>
                <w:noProof/>
                <w:webHidden/>
              </w:rPr>
              <w:fldChar w:fldCharType="end"/>
            </w:r>
          </w:hyperlink>
        </w:p>
        <w:p w:rsidR="00C42D2F" w:rsidRDefault="002B20B2">
          <w:pPr>
            <w:pStyle w:val="TOC2"/>
            <w:rPr>
              <w:noProof/>
              <w:lang w:eastAsia="en-US"/>
            </w:rPr>
          </w:pPr>
          <w:hyperlink w:anchor="_Toc535797500" w:history="1">
            <w:r w:rsidR="00C42D2F" w:rsidRPr="004F32EA">
              <w:rPr>
                <w:rStyle w:val="Hyperlink"/>
                <w:noProof/>
              </w:rPr>
              <w:t>Limitation of the Study:</w:t>
            </w:r>
            <w:r w:rsidR="00C42D2F">
              <w:rPr>
                <w:noProof/>
                <w:webHidden/>
              </w:rPr>
              <w:tab/>
            </w:r>
            <w:r w:rsidR="008C5C82">
              <w:rPr>
                <w:noProof/>
                <w:webHidden/>
              </w:rPr>
              <w:fldChar w:fldCharType="begin"/>
            </w:r>
            <w:r w:rsidR="00C42D2F">
              <w:rPr>
                <w:noProof/>
                <w:webHidden/>
              </w:rPr>
              <w:instrText xml:space="preserve"> PAGEREF _Toc535797500 \h </w:instrText>
            </w:r>
            <w:r w:rsidR="008C5C82">
              <w:rPr>
                <w:noProof/>
                <w:webHidden/>
              </w:rPr>
            </w:r>
            <w:r w:rsidR="008C5C82">
              <w:rPr>
                <w:noProof/>
                <w:webHidden/>
              </w:rPr>
              <w:fldChar w:fldCharType="separate"/>
            </w:r>
            <w:r w:rsidR="00C42D2F">
              <w:rPr>
                <w:noProof/>
                <w:webHidden/>
              </w:rPr>
              <w:t>4</w:t>
            </w:r>
            <w:r w:rsidR="008C5C82">
              <w:rPr>
                <w:noProof/>
                <w:webHidden/>
              </w:rPr>
              <w:fldChar w:fldCharType="end"/>
            </w:r>
          </w:hyperlink>
        </w:p>
        <w:p w:rsidR="00C42D2F" w:rsidRDefault="002B20B2">
          <w:pPr>
            <w:pStyle w:val="TOC2"/>
            <w:rPr>
              <w:noProof/>
              <w:lang w:eastAsia="en-US"/>
            </w:rPr>
          </w:pPr>
          <w:hyperlink w:anchor="_Toc535797501" w:history="1">
            <w:r w:rsidR="00C42D2F" w:rsidRPr="004F32EA">
              <w:rPr>
                <w:rStyle w:val="Hyperlink"/>
                <w:noProof/>
              </w:rPr>
              <w:t>Methodology of the study:</w:t>
            </w:r>
            <w:r w:rsidR="00C42D2F">
              <w:rPr>
                <w:noProof/>
                <w:webHidden/>
              </w:rPr>
              <w:tab/>
            </w:r>
            <w:r w:rsidR="008C5C82">
              <w:rPr>
                <w:noProof/>
                <w:webHidden/>
              </w:rPr>
              <w:fldChar w:fldCharType="begin"/>
            </w:r>
            <w:r w:rsidR="00C42D2F">
              <w:rPr>
                <w:noProof/>
                <w:webHidden/>
              </w:rPr>
              <w:instrText xml:space="preserve"> PAGEREF _Toc535797501 \h </w:instrText>
            </w:r>
            <w:r w:rsidR="008C5C82">
              <w:rPr>
                <w:noProof/>
                <w:webHidden/>
              </w:rPr>
            </w:r>
            <w:r w:rsidR="008C5C82">
              <w:rPr>
                <w:noProof/>
                <w:webHidden/>
              </w:rPr>
              <w:fldChar w:fldCharType="separate"/>
            </w:r>
            <w:r w:rsidR="00C42D2F">
              <w:rPr>
                <w:noProof/>
                <w:webHidden/>
              </w:rPr>
              <w:t>5</w:t>
            </w:r>
            <w:r w:rsidR="008C5C82">
              <w:rPr>
                <w:noProof/>
                <w:webHidden/>
              </w:rPr>
              <w:fldChar w:fldCharType="end"/>
            </w:r>
          </w:hyperlink>
        </w:p>
        <w:p w:rsidR="00C42D2F" w:rsidRDefault="002B20B2">
          <w:pPr>
            <w:pStyle w:val="TOC1"/>
            <w:tabs>
              <w:tab w:val="right" w:leader="dot" w:pos="9350"/>
            </w:tabs>
            <w:rPr>
              <w:noProof/>
              <w:lang w:eastAsia="en-US"/>
            </w:rPr>
          </w:pPr>
          <w:hyperlink w:anchor="_Toc535797504" w:history="1">
            <w:r w:rsidR="00C42D2F" w:rsidRPr="004F32EA">
              <w:rPr>
                <w:rStyle w:val="Hyperlink"/>
                <w:rFonts w:eastAsia="Times New Roman"/>
                <w:noProof/>
                <w:w w:val="101"/>
              </w:rPr>
              <w:t>Chapter 2: Overview of Mutual Funds in Bangladesh</w:t>
            </w:r>
            <w:r w:rsidR="00C42D2F">
              <w:rPr>
                <w:noProof/>
                <w:webHidden/>
              </w:rPr>
              <w:tab/>
            </w:r>
            <w:r w:rsidR="008C5C82">
              <w:rPr>
                <w:noProof/>
                <w:webHidden/>
              </w:rPr>
              <w:fldChar w:fldCharType="begin"/>
            </w:r>
            <w:r w:rsidR="00C42D2F">
              <w:rPr>
                <w:noProof/>
                <w:webHidden/>
              </w:rPr>
              <w:instrText xml:space="preserve"> PAGEREF _Toc535797504 \h </w:instrText>
            </w:r>
            <w:r w:rsidR="008C5C82">
              <w:rPr>
                <w:noProof/>
                <w:webHidden/>
              </w:rPr>
            </w:r>
            <w:r w:rsidR="008C5C82">
              <w:rPr>
                <w:noProof/>
                <w:webHidden/>
              </w:rPr>
              <w:fldChar w:fldCharType="separate"/>
            </w:r>
            <w:r w:rsidR="00C42D2F">
              <w:rPr>
                <w:noProof/>
                <w:webHidden/>
              </w:rPr>
              <w:t>6</w:t>
            </w:r>
            <w:r w:rsidR="008C5C82">
              <w:rPr>
                <w:noProof/>
                <w:webHidden/>
              </w:rPr>
              <w:fldChar w:fldCharType="end"/>
            </w:r>
          </w:hyperlink>
        </w:p>
        <w:p w:rsidR="00C42D2F" w:rsidRDefault="002B20B2">
          <w:pPr>
            <w:pStyle w:val="TOC2"/>
            <w:rPr>
              <w:noProof/>
              <w:lang w:eastAsia="en-US"/>
            </w:rPr>
          </w:pPr>
          <w:hyperlink w:anchor="_Toc535797505" w:history="1">
            <w:r w:rsidR="00C42D2F" w:rsidRPr="004F32EA">
              <w:rPr>
                <w:rStyle w:val="Hyperlink"/>
                <w:rFonts w:eastAsia="Times New Roman"/>
                <w:noProof/>
                <w:w w:val="101"/>
              </w:rPr>
              <w:t>2.1 Historical Background of Mutual Fund in Bangladesh</w:t>
            </w:r>
            <w:r w:rsidR="00C42D2F">
              <w:rPr>
                <w:noProof/>
                <w:webHidden/>
              </w:rPr>
              <w:tab/>
            </w:r>
            <w:r w:rsidR="008C5C82">
              <w:rPr>
                <w:noProof/>
                <w:webHidden/>
              </w:rPr>
              <w:fldChar w:fldCharType="begin"/>
            </w:r>
            <w:r w:rsidR="00C42D2F">
              <w:rPr>
                <w:noProof/>
                <w:webHidden/>
              </w:rPr>
              <w:instrText xml:space="preserve"> PAGEREF _Toc535797505 \h </w:instrText>
            </w:r>
            <w:r w:rsidR="008C5C82">
              <w:rPr>
                <w:noProof/>
                <w:webHidden/>
              </w:rPr>
            </w:r>
            <w:r w:rsidR="008C5C82">
              <w:rPr>
                <w:noProof/>
                <w:webHidden/>
              </w:rPr>
              <w:fldChar w:fldCharType="separate"/>
            </w:r>
            <w:r w:rsidR="00C42D2F">
              <w:rPr>
                <w:noProof/>
                <w:webHidden/>
              </w:rPr>
              <w:t>6</w:t>
            </w:r>
            <w:r w:rsidR="008C5C82">
              <w:rPr>
                <w:noProof/>
                <w:webHidden/>
              </w:rPr>
              <w:fldChar w:fldCharType="end"/>
            </w:r>
          </w:hyperlink>
        </w:p>
        <w:p w:rsidR="00C42D2F" w:rsidRDefault="002B20B2">
          <w:pPr>
            <w:pStyle w:val="TOC2"/>
            <w:rPr>
              <w:noProof/>
              <w:lang w:eastAsia="en-US"/>
            </w:rPr>
          </w:pPr>
          <w:hyperlink w:anchor="_Toc535797506" w:history="1">
            <w:r w:rsidR="00C42D2F" w:rsidRPr="004F32EA">
              <w:rPr>
                <w:rStyle w:val="Hyperlink"/>
                <w:rFonts w:eastAsia="Times New Roman"/>
                <w:noProof/>
                <w:w w:val="101"/>
              </w:rPr>
              <w:t>2.2 Core objective of Mutual Funds</w:t>
            </w:r>
            <w:r w:rsidR="00C42D2F">
              <w:rPr>
                <w:noProof/>
                <w:webHidden/>
              </w:rPr>
              <w:tab/>
            </w:r>
            <w:r w:rsidR="008C5C82">
              <w:rPr>
                <w:noProof/>
                <w:webHidden/>
              </w:rPr>
              <w:fldChar w:fldCharType="begin"/>
            </w:r>
            <w:r w:rsidR="00C42D2F">
              <w:rPr>
                <w:noProof/>
                <w:webHidden/>
              </w:rPr>
              <w:instrText xml:space="preserve"> PAGEREF _Toc535797506 \h </w:instrText>
            </w:r>
            <w:r w:rsidR="008C5C82">
              <w:rPr>
                <w:noProof/>
                <w:webHidden/>
              </w:rPr>
            </w:r>
            <w:r w:rsidR="008C5C82">
              <w:rPr>
                <w:noProof/>
                <w:webHidden/>
              </w:rPr>
              <w:fldChar w:fldCharType="separate"/>
            </w:r>
            <w:r w:rsidR="00C42D2F">
              <w:rPr>
                <w:noProof/>
                <w:webHidden/>
              </w:rPr>
              <w:t>6</w:t>
            </w:r>
            <w:r w:rsidR="008C5C82">
              <w:rPr>
                <w:noProof/>
                <w:webHidden/>
              </w:rPr>
              <w:fldChar w:fldCharType="end"/>
            </w:r>
          </w:hyperlink>
        </w:p>
        <w:p w:rsidR="00C42D2F" w:rsidRDefault="002B20B2">
          <w:pPr>
            <w:pStyle w:val="TOC2"/>
            <w:rPr>
              <w:noProof/>
              <w:lang w:eastAsia="en-US"/>
            </w:rPr>
          </w:pPr>
          <w:hyperlink w:anchor="_Toc535797507" w:history="1">
            <w:r w:rsidR="00C42D2F" w:rsidRPr="004F32EA">
              <w:rPr>
                <w:rStyle w:val="Hyperlink"/>
                <w:rFonts w:eastAsia="Times New Roman"/>
                <w:noProof/>
                <w:w w:val="101"/>
              </w:rPr>
              <w:t>2.3 Types of Mutual Funds in Bangladesh</w:t>
            </w:r>
            <w:r w:rsidR="00C42D2F">
              <w:rPr>
                <w:noProof/>
                <w:webHidden/>
              </w:rPr>
              <w:tab/>
            </w:r>
            <w:r w:rsidR="008C5C82">
              <w:rPr>
                <w:noProof/>
                <w:webHidden/>
              </w:rPr>
              <w:fldChar w:fldCharType="begin"/>
            </w:r>
            <w:r w:rsidR="00C42D2F">
              <w:rPr>
                <w:noProof/>
                <w:webHidden/>
              </w:rPr>
              <w:instrText xml:space="preserve"> PAGEREF _Toc535797507 \h </w:instrText>
            </w:r>
            <w:r w:rsidR="008C5C82">
              <w:rPr>
                <w:noProof/>
                <w:webHidden/>
              </w:rPr>
            </w:r>
            <w:r w:rsidR="008C5C82">
              <w:rPr>
                <w:noProof/>
                <w:webHidden/>
              </w:rPr>
              <w:fldChar w:fldCharType="separate"/>
            </w:r>
            <w:r w:rsidR="00C42D2F">
              <w:rPr>
                <w:noProof/>
                <w:webHidden/>
              </w:rPr>
              <w:t>6</w:t>
            </w:r>
            <w:r w:rsidR="008C5C82">
              <w:rPr>
                <w:noProof/>
                <w:webHidden/>
              </w:rPr>
              <w:fldChar w:fldCharType="end"/>
            </w:r>
          </w:hyperlink>
        </w:p>
        <w:p w:rsidR="00C42D2F" w:rsidRDefault="002B20B2">
          <w:pPr>
            <w:pStyle w:val="TOC2"/>
            <w:rPr>
              <w:noProof/>
              <w:lang w:eastAsia="en-US"/>
            </w:rPr>
          </w:pPr>
          <w:hyperlink w:anchor="_Toc535797508" w:history="1">
            <w:r w:rsidR="00C42D2F" w:rsidRPr="004F32EA">
              <w:rPr>
                <w:rStyle w:val="Hyperlink"/>
                <w:rFonts w:eastAsia="Times New Roman"/>
                <w:noProof/>
                <w:w w:val="101"/>
              </w:rPr>
              <w:t>2.3.1 Open ended fund</w:t>
            </w:r>
            <w:r w:rsidR="00C42D2F">
              <w:rPr>
                <w:noProof/>
                <w:webHidden/>
              </w:rPr>
              <w:tab/>
            </w:r>
            <w:r w:rsidR="008C5C82">
              <w:rPr>
                <w:noProof/>
                <w:webHidden/>
              </w:rPr>
              <w:fldChar w:fldCharType="begin"/>
            </w:r>
            <w:r w:rsidR="00C42D2F">
              <w:rPr>
                <w:noProof/>
                <w:webHidden/>
              </w:rPr>
              <w:instrText xml:space="preserve"> PAGEREF _Toc535797508 \h </w:instrText>
            </w:r>
            <w:r w:rsidR="008C5C82">
              <w:rPr>
                <w:noProof/>
                <w:webHidden/>
              </w:rPr>
            </w:r>
            <w:r w:rsidR="008C5C82">
              <w:rPr>
                <w:noProof/>
                <w:webHidden/>
              </w:rPr>
              <w:fldChar w:fldCharType="separate"/>
            </w:r>
            <w:r w:rsidR="00C42D2F">
              <w:rPr>
                <w:noProof/>
                <w:webHidden/>
              </w:rPr>
              <w:t>7</w:t>
            </w:r>
            <w:r w:rsidR="008C5C82">
              <w:rPr>
                <w:noProof/>
                <w:webHidden/>
              </w:rPr>
              <w:fldChar w:fldCharType="end"/>
            </w:r>
          </w:hyperlink>
        </w:p>
        <w:p w:rsidR="00C42D2F" w:rsidRDefault="002B20B2">
          <w:pPr>
            <w:pStyle w:val="TOC2"/>
            <w:rPr>
              <w:noProof/>
              <w:lang w:eastAsia="en-US"/>
            </w:rPr>
          </w:pPr>
          <w:hyperlink w:anchor="_Toc535797509" w:history="1">
            <w:r w:rsidR="00C42D2F" w:rsidRPr="004F32EA">
              <w:rPr>
                <w:rStyle w:val="Hyperlink"/>
                <w:rFonts w:eastAsia="Times New Roman"/>
                <w:noProof/>
                <w:w w:val="101"/>
              </w:rPr>
              <w:t>2.3.2 Close ended fund</w:t>
            </w:r>
            <w:r w:rsidR="00C42D2F">
              <w:rPr>
                <w:noProof/>
                <w:webHidden/>
              </w:rPr>
              <w:tab/>
            </w:r>
            <w:r w:rsidR="008C5C82">
              <w:rPr>
                <w:noProof/>
                <w:webHidden/>
              </w:rPr>
              <w:fldChar w:fldCharType="begin"/>
            </w:r>
            <w:r w:rsidR="00C42D2F">
              <w:rPr>
                <w:noProof/>
                <w:webHidden/>
              </w:rPr>
              <w:instrText xml:space="preserve"> PAGEREF _Toc535797509 \h </w:instrText>
            </w:r>
            <w:r w:rsidR="008C5C82">
              <w:rPr>
                <w:noProof/>
                <w:webHidden/>
              </w:rPr>
            </w:r>
            <w:r w:rsidR="008C5C82">
              <w:rPr>
                <w:noProof/>
                <w:webHidden/>
              </w:rPr>
              <w:fldChar w:fldCharType="separate"/>
            </w:r>
            <w:r w:rsidR="00C42D2F">
              <w:rPr>
                <w:noProof/>
                <w:webHidden/>
              </w:rPr>
              <w:t>7</w:t>
            </w:r>
            <w:r w:rsidR="008C5C82">
              <w:rPr>
                <w:noProof/>
                <w:webHidden/>
              </w:rPr>
              <w:fldChar w:fldCharType="end"/>
            </w:r>
          </w:hyperlink>
        </w:p>
        <w:p w:rsidR="00C42D2F" w:rsidRDefault="002B20B2">
          <w:pPr>
            <w:pStyle w:val="TOC2"/>
            <w:rPr>
              <w:noProof/>
              <w:lang w:eastAsia="en-US"/>
            </w:rPr>
          </w:pPr>
          <w:hyperlink w:anchor="_Toc535797510" w:history="1">
            <w:r w:rsidR="00C42D2F" w:rsidRPr="004F32EA">
              <w:rPr>
                <w:rStyle w:val="Hyperlink"/>
                <w:rFonts w:eastAsia="Times New Roman"/>
                <w:noProof/>
                <w:w w:val="101"/>
              </w:rPr>
              <w:t>2.3.3 Mutual funds have four-tiered Structure</w:t>
            </w:r>
            <w:r w:rsidR="00C42D2F">
              <w:rPr>
                <w:noProof/>
                <w:webHidden/>
              </w:rPr>
              <w:tab/>
            </w:r>
            <w:r w:rsidR="008C5C82">
              <w:rPr>
                <w:noProof/>
                <w:webHidden/>
              </w:rPr>
              <w:fldChar w:fldCharType="begin"/>
            </w:r>
            <w:r w:rsidR="00C42D2F">
              <w:rPr>
                <w:noProof/>
                <w:webHidden/>
              </w:rPr>
              <w:instrText xml:space="preserve"> PAGEREF _Toc535797510 \h </w:instrText>
            </w:r>
            <w:r w:rsidR="008C5C82">
              <w:rPr>
                <w:noProof/>
                <w:webHidden/>
              </w:rPr>
            </w:r>
            <w:r w:rsidR="008C5C82">
              <w:rPr>
                <w:noProof/>
                <w:webHidden/>
              </w:rPr>
              <w:fldChar w:fldCharType="separate"/>
            </w:r>
            <w:r w:rsidR="00C42D2F">
              <w:rPr>
                <w:noProof/>
                <w:webHidden/>
              </w:rPr>
              <w:t>8</w:t>
            </w:r>
            <w:r w:rsidR="008C5C82">
              <w:rPr>
                <w:noProof/>
                <w:webHidden/>
              </w:rPr>
              <w:fldChar w:fldCharType="end"/>
            </w:r>
          </w:hyperlink>
        </w:p>
        <w:p w:rsidR="00C42D2F" w:rsidRDefault="002B20B2">
          <w:pPr>
            <w:pStyle w:val="TOC2"/>
            <w:rPr>
              <w:noProof/>
              <w:lang w:eastAsia="en-US"/>
            </w:rPr>
          </w:pPr>
          <w:hyperlink w:anchor="_Toc535797511" w:history="1">
            <w:r w:rsidR="00C42D2F" w:rsidRPr="004F32EA">
              <w:rPr>
                <w:rStyle w:val="Hyperlink"/>
                <w:rFonts w:eastAsia="Times New Roman"/>
                <w:noProof/>
                <w:w w:val="101"/>
              </w:rPr>
              <w:t>2.3.4Investment Policy of Mutual Fund</w:t>
            </w:r>
            <w:r w:rsidR="00C42D2F">
              <w:rPr>
                <w:noProof/>
                <w:webHidden/>
              </w:rPr>
              <w:tab/>
            </w:r>
            <w:r w:rsidR="008C5C82">
              <w:rPr>
                <w:noProof/>
                <w:webHidden/>
              </w:rPr>
              <w:fldChar w:fldCharType="begin"/>
            </w:r>
            <w:r w:rsidR="00C42D2F">
              <w:rPr>
                <w:noProof/>
                <w:webHidden/>
              </w:rPr>
              <w:instrText xml:space="preserve"> PAGEREF _Toc535797511 \h </w:instrText>
            </w:r>
            <w:r w:rsidR="008C5C82">
              <w:rPr>
                <w:noProof/>
                <w:webHidden/>
              </w:rPr>
            </w:r>
            <w:r w:rsidR="008C5C82">
              <w:rPr>
                <w:noProof/>
                <w:webHidden/>
              </w:rPr>
              <w:fldChar w:fldCharType="separate"/>
            </w:r>
            <w:r w:rsidR="00C42D2F">
              <w:rPr>
                <w:noProof/>
                <w:webHidden/>
              </w:rPr>
              <w:t>9</w:t>
            </w:r>
            <w:r w:rsidR="008C5C82">
              <w:rPr>
                <w:noProof/>
                <w:webHidden/>
              </w:rPr>
              <w:fldChar w:fldCharType="end"/>
            </w:r>
          </w:hyperlink>
        </w:p>
        <w:p w:rsidR="00C42D2F" w:rsidRDefault="002B20B2">
          <w:pPr>
            <w:pStyle w:val="TOC1"/>
            <w:tabs>
              <w:tab w:val="right" w:leader="dot" w:pos="9350"/>
            </w:tabs>
            <w:rPr>
              <w:noProof/>
              <w:lang w:eastAsia="en-US"/>
            </w:rPr>
          </w:pPr>
          <w:hyperlink w:anchor="_Toc535797512" w:history="1">
            <w:r w:rsidR="00C42D2F" w:rsidRPr="004F32EA">
              <w:rPr>
                <w:rStyle w:val="Hyperlink"/>
                <w:noProof/>
              </w:rPr>
              <w:t>Chapter: 3</w:t>
            </w:r>
            <w:r w:rsidR="00C42D2F">
              <w:rPr>
                <w:noProof/>
                <w:webHidden/>
              </w:rPr>
              <w:tab/>
            </w:r>
            <w:r w:rsidR="008C5C82">
              <w:rPr>
                <w:noProof/>
                <w:webHidden/>
              </w:rPr>
              <w:fldChar w:fldCharType="begin"/>
            </w:r>
            <w:r w:rsidR="00C42D2F">
              <w:rPr>
                <w:noProof/>
                <w:webHidden/>
              </w:rPr>
              <w:instrText xml:space="preserve"> PAGEREF _Toc535797512 \h </w:instrText>
            </w:r>
            <w:r w:rsidR="008C5C82">
              <w:rPr>
                <w:noProof/>
                <w:webHidden/>
              </w:rPr>
            </w:r>
            <w:r w:rsidR="008C5C82">
              <w:rPr>
                <w:noProof/>
                <w:webHidden/>
              </w:rPr>
              <w:fldChar w:fldCharType="separate"/>
            </w:r>
            <w:r w:rsidR="00C42D2F">
              <w:rPr>
                <w:noProof/>
                <w:webHidden/>
              </w:rPr>
              <w:t>12</w:t>
            </w:r>
            <w:r w:rsidR="008C5C82">
              <w:rPr>
                <w:noProof/>
                <w:webHidden/>
              </w:rPr>
              <w:fldChar w:fldCharType="end"/>
            </w:r>
          </w:hyperlink>
        </w:p>
        <w:p w:rsidR="00C42D2F" w:rsidRDefault="002B20B2">
          <w:pPr>
            <w:pStyle w:val="TOC2"/>
            <w:rPr>
              <w:noProof/>
              <w:lang w:eastAsia="en-US"/>
            </w:rPr>
          </w:pPr>
          <w:hyperlink w:anchor="_Toc535797513" w:history="1">
            <w:r w:rsidR="00C42D2F" w:rsidRPr="004F32EA">
              <w:rPr>
                <w:rStyle w:val="Hyperlink"/>
                <w:noProof/>
              </w:rPr>
              <w:t>Duties / performance of mutual funds manager:</w:t>
            </w:r>
            <w:r w:rsidR="00C42D2F">
              <w:rPr>
                <w:noProof/>
                <w:webHidden/>
              </w:rPr>
              <w:tab/>
            </w:r>
            <w:r w:rsidR="008C5C82">
              <w:rPr>
                <w:noProof/>
                <w:webHidden/>
              </w:rPr>
              <w:fldChar w:fldCharType="begin"/>
            </w:r>
            <w:r w:rsidR="00C42D2F">
              <w:rPr>
                <w:noProof/>
                <w:webHidden/>
              </w:rPr>
              <w:instrText xml:space="preserve"> PAGEREF _Toc535797513 \h </w:instrText>
            </w:r>
            <w:r w:rsidR="008C5C82">
              <w:rPr>
                <w:noProof/>
                <w:webHidden/>
              </w:rPr>
            </w:r>
            <w:r w:rsidR="008C5C82">
              <w:rPr>
                <w:noProof/>
                <w:webHidden/>
              </w:rPr>
              <w:fldChar w:fldCharType="separate"/>
            </w:r>
            <w:r w:rsidR="00C42D2F">
              <w:rPr>
                <w:noProof/>
                <w:webHidden/>
              </w:rPr>
              <w:t>12</w:t>
            </w:r>
            <w:r w:rsidR="008C5C82">
              <w:rPr>
                <w:noProof/>
                <w:webHidden/>
              </w:rPr>
              <w:fldChar w:fldCharType="end"/>
            </w:r>
          </w:hyperlink>
        </w:p>
        <w:p w:rsidR="00C42D2F" w:rsidRDefault="002B20B2">
          <w:pPr>
            <w:pStyle w:val="TOC2"/>
            <w:rPr>
              <w:noProof/>
              <w:lang w:eastAsia="en-US"/>
            </w:rPr>
          </w:pPr>
          <w:hyperlink w:anchor="_Toc535797514" w:history="1">
            <w:r w:rsidR="00C42D2F" w:rsidRPr="004F32EA">
              <w:rPr>
                <w:rStyle w:val="Hyperlink"/>
                <w:noProof/>
              </w:rPr>
              <w:t>3.1 Role of as a manager:</w:t>
            </w:r>
            <w:r w:rsidR="00C42D2F">
              <w:rPr>
                <w:noProof/>
                <w:webHidden/>
              </w:rPr>
              <w:tab/>
            </w:r>
            <w:r w:rsidR="008C5C82">
              <w:rPr>
                <w:noProof/>
                <w:webHidden/>
              </w:rPr>
              <w:fldChar w:fldCharType="begin"/>
            </w:r>
            <w:r w:rsidR="00C42D2F">
              <w:rPr>
                <w:noProof/>
                <w:webHidden/>
              </w:rPr>
              <w:instrText xml:space="preserve"> PAGEREF _Toc535797514 \h </w:instrText>
            </w:r>
            <w:r w:rsidR="008C5C82">
              <w:rPr>
                <w:noProof/>
                <w:webHidden/>
              </w:rPr>
            </w:r>
            <w:r w:rsidR="008C5C82">
              <w:rPr>
                <w:noProof/>
                <w:webHidden/>
              </w:rPr>
              <w:fldChar w:fldCharType="separate"/>
            </w:r>
            <w:r w:rsidR="00C42D2F">
              <w:rPr>
                <w:noProof/>
                <w:webHidden/>
              </w:rPr>
              <w:t>12</w:t>
            </w:r>
            <w:r w:rsidR="008C5C82">
              <w:rPr>
                <w:noProof/>
                <w:webHidden/>
              </w:rPr>
              <w:fldChar w:fldCharType="end"/>
            </w:r>
          </w:hyperlink>
        </w:p>
        <w:p w:rsidR="00C42D2F" w:rsidRDefault="002B20B2">
          <w:pPr>
            <w:pStyle w:val="TOC3"/>
            <w:tabs>
              <w:tab w:val="right" w:leader="dot" w:pos="9350"/>
            </w:tabs>
            <w:rPr>
              <w:noProof/>
              <w:lang w:eastAsia="en-US"/>
            </w:rPr>
          </w:pPr>
          <w:hyperlink w:anchor="_Toc535797515" w:history="1">
            <w:r w:rsidR="00C42D2F" w:rsidRPr="004F32EA">
              <w:rPr>
                <w:rStyle w:val="Hyperlink"/>
                <w:noProof/>
              </w:rPr>
              <w:t>3.2 Duties of a fund manager:</w:t>
            </w:r>
            <w:r w:rsidR="00C42D2F">
              <w:rPr>
                <w:noProof/>
                <w:webHidden/>
              </w:rPr>
              <w:tab/>
            </w:r>
            <w:r w:rsidR="008C5C82">
              <w:rPr>
                <w:noProof/>
                <w:webHidden/>
              </w:rPr>
              <w:fldChar w:fldCharType="begin"/>
            </w:r>
            <w:r w:rsidR="00C42D2F">
              <w:rPr>
                <w:noProof/>
                <w:webHidden/>
              </w:rPr>
              <w:instrText xml:space="preserve"> PAGEREF _Toc535797515 \h </w:instrText>
            </w:r>
            <w:r w:rsidR="008C5C82">
              <w:rPr>
                <w:noProof/>
                <w:webHidden/>
              </w:rPr>
            </w:r>
            <w:r w:rsidR="008C5C82">
              <w:rPr>
                <w:noProof/>
                <w:webHidden/>
              </w:rPr>
              <w:fldChar w:fldCharType="separate"/>
            </w:r>
            <w:r w:rsidR="00C42D2F">
              <w:rPr>
                <w:noProof/>
                <w:webHidden/>
              </w:rPr>
              <w:t>13</w:t>
            </w:r>
            <w:r w:rsidR="008C5C82">
              <w:rPr>
                <w:noProof/>
                <w:webHidden/>
              </w:rPr>
              <w:fldChar w:fldCharType="end"/>
            </w:r>
          </w:hyperlink>
        </w:p>
        <w:p w:rsidR="00C42D2F" w:rsidRDefault="002B20B2">
          <w:pPr>
            <w:pStyle w:val="TOC1"/>
            <w:tabs>
              <w:tab w:val="right" w:leader="dot" w:pos="9350"/>
            </w:tabs>
            <w:rPr>
              <w:noProof/>
              <w:lang w:eastAsia="en-US"/>
            </w:rPr>
          </w:pPr>
          <w:hyperlink w:anchor="_Toc535797516" w:history="1">
            <w:r w:rsidR="00C42D2F" w:rsidRPr="004F32EA">
              <w:rPr>
                <w:rStyle w:val="Hyperlink"/>
                <w:noProof/>
              </w:rPr>
              <w:t>Chapter 4: Performance evaluation of ICB, AIMS &amp; REALIANCE fund managers.</w:t>
            </w:r>
            <w:r w:rsidR="00C42D2F">
              <w:rPr>
                <w:noProof/>
                <w:webHidden/>
              </w:rPr>
              <w:tab/>
            </w:r>
            <w:r w:rsidR="008C5C82">
              <w:rPr>
                <w:noProof/>
                <w:webHidden/>
              </w:rPr>
              <w:fldChar w:fldCharType="begin"/>
            </w:r>
            <w:r w:rsidR="00C42D2F">
              <w:rPr>
                <w:noProof/>
                <w:webHidden/>
              </w:rPr>
              <w:instrText xml:space="preserve"> PAGEREF _Toc535797516 \h </w:instrText>
            </w:r>
            <w:r w:rsidR="008C5C82">
              <w:rPr>
                <w:noProof/>
                <w:webHidden/>
              </w:rPr>
            </w:r>
            <w:r w:rsidR="008C5C82">
              <w:rPr>
                <w:noProof/>
                <w:webHidden/>
              </w:rPr>
              <w:fldChar w:fldCharType="separate"/>
            </w:r>
            <w:r w:rsidR="00C42D2F">
              <w:rPr>
                <w:noProof/>
                <w:webHidden/>
              </w:rPr>
              <w:t>15</w:t>
            </w:r>
            <w:r w:rsidR="008C5C82">
              <w:rPr>
                <w:noProof/>
                <w:webHidden/>
              </w:rPr>
              <w:fldChar w:fldCharType="end"/>
            </w:r>
          </w:hyperlink>
        </w:p>
        <w:p w:rsidR="00C42D2F" w:rsidRDefault="002B20B2">
          <w:pPr>
            <w:pStyle w:val="TOC2"/>
            <w:rPr>
              <w:noProof/>
              <w:lang w:eastAsia="en-US"/>
            </w:rPr>
          </w:pPr>
          <w:hyperlink w:anchor="_Toc535797517" w:history="1">
            <w:r w:rsidR="00C42D2F" w:rsidRPr="004F32EA">
              <w:rPr>
                <w:rStyle w:val="Hyperlink"/>
                <w:noProof/>
              </w:rPr>
              <w:t>Reliance one</w:t>
            </w:r>
            <w:r w:rsidR="00C42D2F">
              <w:rPr>
                <w:noProof/>
                <w:webHidden/>
              </w:rPr>
              <w:tab/>
            </w:r>
            <w:r w:rsidR="008C5C82">
              <w:rPr>
                <w:noProof/>
                <w:webHidden/>
              </w:rPr>
              <w:fldChar w:fldCharType="begin"/>
            </w:r>
            <w:r w:rsidR="00C42D2F">
              <w:rPr>
                <w:noProof/>
                <w:webHidden/>
              </w:rPr>
              <w:instrText xml:space="preserve"> PAGEREF _Toc535797517 \h </w:instrText>
            </w:r>
            <w:r w:rsidR="008C5C82">
              <w:rPr>
                <w:noProof/>
                <w:webHidden/>
              </w:rPr>
            </w:r>
            <w:r w:rsidR="008C5C82">
              <w:rPr>
                <w:noProof/>
                <w:webHidden/>
              </w:rPr>
              <w:fldChar w:fldCharType="separate"/>
            </w:r>
            <w:r w:rsidR="00C42D2F">
              <w:rPr>
                <w:noProof/>
                <w:webHidden/>
              </w:rPr>
              <w:t>15</w:t>
            </w:r>
            <w:r w:rsidR="008C5C82">
              <w:rPr>
                <w:noProof/>
                <w:webHidden/>
              </w:rPr>
              <w:fldChar w:fldCharType="end"/>
            </w:r>
          </w:hyperlink>
        </w:p>
        <w:p w:rsidR="00C42D2F" w:rsidRDefault="002B20B2">
          <w:pPr>
            <w:pStyle w:val="TOC2"/>
            <w:rPr>
              <w:noProof/>
              <w:lang w:eastAsia="en-US"/>
            </w:rPr>
          </w:pPr>
          <w:hyperlink w:anchor="_Toc535797518" w:history="1">
            <w:r w:rsidR="00C42D2F" w:rsidRPr="004F32EA">
              <w:rPr>
                <w:rStyle w:val="Hyperlink"/>
                <w:noProof/>
              </w:rPr>
              <w:t>Grameen 1: (under AIMS mutual fund)</w:t>
            </w:r>
            <w:r w:rsidR="00C42D2F">
              <w:rPr>
                <w:noProof/>
                <w:webHidden/>
              </w:rPr>
              <w:tab/>
            </w:r>
            <w:r w:rsidR="008C5C82">
              <w:rPr>
                <w:noProof/>
                <w:webHidden/>
              </w:rPr>
              <w:fldChar w:fldCharType="begin"/>
            </w:r>
            <w:r w:rsidR="00C42D2F">
              <w:rPr>
                <w:noProof/>
                <w:webHidden/>
              </w:rPr>
              <w:instrText xml:space="preserve"> PAGEREF _Toc535797518 \h </w:instrText>
            </w:r>
            <w:r w:rsidR="008C5C82">
              <w:rPr>
                <w:noProof/>
                <w:webHidden/>
              </w:rPr>
            </w:r>
            <w:r w:rsidR="008C5C82">
              <w:rPr>
                <w:noProof/>
                <w:webHidden/>
              </w:rPr>
              <w:fldChar w:fldCharType="separate"/>
            </w:r>
            <w:r w:rsidR="00C42D2F">
              <w:rPr>
                <w:noProof/>
                <w:webHidden/>
              </w:rPr>
              <w:t>24</w:t>
            </w:r>
            <w:r w:rsidR="008C5C82">
              <w:rPr>
                <w:noProof/>
                <w:webHidden/>
              </w:rPr>
              <w:fldChar w:fldCharType="end"/>
            </w:r>
          </w:hyperlink>
        </w:p>
        <w:p w:rsidR="00C42D2F" w:rsidRDefault="002B20B2">
          <w:pPr>
            <w:pStyle w:val="TOC2"/>
            <w:rPr>
              <w:noProof/>
              <w:lang w:eastAsia="en-US"/>
            </w:rPr>
          </w:pPr>
          <w:hyperlink w:anchor="_Toc535797519" w:history="1">
            <w:r w:rsidR="00C42D2F" w:rsidRPr="004F32EA">
              <w:rPr>
                <w:rStyle w:val="Hyperlink"/>
                <w:noProof/>
              </w:rPr>
              <w:t>Grameen 2(under AIMS mutual fund)</w:t>
            </w:r>
            <w:r w:rsidR="00C42D2F">
              <w:rPr>
                <w:noProof/>
                <w:webHidden/>
              </w:rPr>
              <w:tab/>
            </w:r>
            <w:r w:rsidR="008C5C82">
              <w:rPr>
                <w:noProof/>
                <w:webHidden/>
              </w:rPr>
              <w:fldChar w:fldCharType="begin"/>
            </w:r>
            <w:r w:rsidR="00C42D2F">
              <w:rPr>
                <w:noProof/>
                <w:webHidden/>
              </w:rPr>
              <w:instrText xml:space="preserve"> PAGEREF _Toc535797519 \h </w:instrText>
            </w:r>
            <w:r w:rsidR="008C5C82">
              <w:rPr>
                <w:noProof/>
                <w:webHidden/>
              </w:rPr>
            </w:r>
            <w:r w:rsidR="008C5C82">
              <w:rPr>
                <w:noProof/>
                <w:webHidden/>
              </w:rPr>
              <w:fldChar w:fldCharType="separate"/>
            </w:r>
            <w:r w:rsidR="00C42D2F">
              <w:rPr>
                <w:noProof/>
                <w:webHidden/>
              </w:rPr>
              <w:t>31</w:t>
            </w:r>
            <w:r w:rsidR="008C5C82">
              <w:rPr>
                <w:noProof/>
                <w:webHidden/>
              </w:rPr>
              <w:fldChar w:fldCharType="end"/>
            </w:r>
          </w:hyperlink>
        </w:p>
        <w:p w:rsidR="00C42D2F" w:rsidRDefault="002B20B2">
          <w:pPr>
            <w:pStyle w:val="TOC2"/>
            <w:rPr>
              <w:noProof/>
              <w:lang w:eastAsia="en-US"/>
            </w:rPr>
          </w:pPr>
          <w:hyperlink w:anchor="_Toc535797520" w:history="1">
            <w:r w:rsidR="00C42D2F" w:rsidRPr="004F32EA">
              <w:rPr>
                <w:rStyle w:val="Hyperlink"/>
                <w:noProof/>
              </w:rPr>
              <w:t>Average of mutual funds under ICB</w:t>
            </w:r>
            <w:r w:rsidR="00C42D2F">
              <w:rPr>
                <w:noProof/>
                <w:webHidden/>
              </w:rPr>
              <w:tab/>
            </w:r>
            <w:r w:rsidR="008C5C82">
              <w:rPr>
                <w:noProof/>
                <w:webHidden/>
              </w:rPr>
              <w:fldChar w:fldCharType="begin"/>
            </w:r>
            <w:r w:rsidR="00C42D2F">
              <w:rPr>
                <w:noProof/>
                <w:webHidden/>
              </w:rPr>
              <w:instrText xml:space="preserve"> PAGEREF _Toc535797520 \h </w:instrText>
            </w:r>
            <w:r w:rsidR="008C5C82">
              <w:rPr>
                <w:noProof/>
                <w:webHidden/>
              </w:rPr>
            </w:r>
            <w:r w:rsidR="008C5C82">
              <w:rPr>
                <w:noProof/>
                <w:webHidden/>
              </w:rPr>
              <w:fldChar w:fldCharType="separate"/>
            </w:r>
            <w:r w:rsidR="00C42D2F">
              <w:rPr>
                <w:noProof/>
                <w:webHidden/>
              </w:rPr>
              <w:t>38</w:t>
            </w:r>
            <w:r w:rsidR="008C5C82">
              <w:rPr>
                <w:noProof/>
                <w:webHidden/>
              </w:rPr>
              <w:fldChar w:fldCharType="end"/>
            </w:r>
          </w:hyperlink>
        </w:p>
        <w:p w:rsidR="00C42D2F" w:rsidRDefault="002B20B2">
          <w:pPr>
            <w:pStyle w:val="TOC2"/>
            <w:rPr>
              <w:noProof/>
              <w:lang w:eastAsia="en-US"/>
            </w:rPr>
          </w:pPr>
          <w:hyperlink w:anchor="_Toc535797521" w:history="1">
            <w:r w:rsidR="00C42D2F" w:rsidRPr="004F32EA">
              <w:rPr>
                <w:rStyle w:val="Hyperlink"/>
                <w:noProof/>
              </w:rPr>
              <w:t>Comparison Between Three Mutual Fund Managers Performance.</w:t>
            </w:r>
            <w:r w:rsidR="00C42D2F">
              <w:rPr>
                <w:noProof/>
                <w:webHidden/>
              </w:rPr>
              <w:tab/>
            </w:r>
            <w:r w:rsidR="008C5C82">
              <w:rPr>
                <w:noProof/>
                <w:webHidden/>
              </w:rPr>
              <w:fldChar w:fldCharType="begin"/>
            </w:r>
            <w:r w:rsidR="00C42D2F">
              <w:rPr>
                <w:noProof/>
                <w:webHidden/>
              </w:rPr>
              <w:instrText xml:space="preserve"> PAGEREF _Toc535797521 \h </w:instrText>
            </w:r>
            <w:r w:rsidR="008C5C82">
              <w:rPr>
                <w:noProof/>
                <w:webHidden/>
              </w:rPr>
            </w:r>
            <w:r w:rsidR="008C5C82">
              <w:rPr>
                <w:noProof/>
                <w:webHidden/>
              </w:rPr>
              <w:fldChar w:fldCharType="separate"/>
            </w:r>
            <w:r w:rsidR="00C42D2F">
              <w:rPr>
                <w:noProof/>
                <w:webHidden/>
              </w:rPr>
              <w:t>46</w:t>
            </w:r>
            <w:r w:rsidR="008C5C82">
              <w:rPr>
                <w:noProof/>
                <w:webHidden/>
              </w:rPr>
              <w:fldChar w:fldCharType="end"/>
            </w:r>
          </w:hyperlink>
        </w:p>
        <w:p w:rsidR="00C42D2F" w:rsidRDefault="002B20B2">
          <w:pPr>
            <w:pStyle w:val="TOC1"/>
            <w:tabs>
              <w:tab w:val="right" w:leader="dot" w:pos="9350"/>
            </w:tabs>
            <w:rPr>
              <w:noProof/>
              <w:lang w:eastAsia="en-US"/>
            </w:rPr>
          </w:pPr>
          <w:hyperlink w:anchor="_Toc535797522" w:history="1">
            <w:r w:rsidR="00C42D2F" w:rsidRPr="004F32EA">
              <w:rPr>
                <w:rStyle w:val="Hyperlink"/>
                <w:noProof/>
              </w:rPr>
              <w:t>Chapter 5: Recommendation &amp; Conclusion</w:t>
            </w:r>
            <w:r w:rsidR="00C42D2F">
              <w:rPr>
                <w:noProof/>
                <w:webHidden/>
              </w:rPr>
              <w:tab/>
            </w:r>
            <w:r w:rsidR="008C5C82">
              <w:rPr>
                <w:noProof/>
                <w:webHidden/>
              </w:rPr>
              <w:fldChar w:fldCharType="begin"/>
            </w:r>
            <w:r w:rsidR="00C42D2F">
              <w:rPr>
                <w:noProof/>
                <w:webHidden/>
              </w:rPr>
              <w:instrText xml:space="preserve"> PAGEREF _Toc535797522 \h </w:instrText>
            </w:r>
            <w:r w:rsidR="008C5C82">
              <w:rPr>
                <w:noProof/>
                <w:webHidden/>
              </w:rPr>
            </w:r>
            <w:r w:rsidR="008C5C82">
              <w:rPr>
                <w:noProof/>
                <w:webHidden/>
              </w:rPr>
              <w:fldChar w:fldCharType="separate"/>
            </w:r>
            <w:r w:rsidR="00C42D2F">
              <w:rPr>
                <w:noProof/>
                <w:webHidden/>
              </w:rPr>
              <w:t>57</w:t>
            </w:r>
            <w:r w:rsidR="008C5C82">
              <w:rPr>
                <w:noProof/>
                <w:webHidden/>
              </w:rPr>
              <w:fldChar w:fldCharType="end"/>
            </w:r>
          </w:hyperlink>
        </w:p>
        <w:p w:rsidR="00C42D2F" w:rsidRDefault="002B20B2">
          <w:pPr>
            <w:pStyle w:val="TOC2"/>
            <w:rPr>
              <w:noProof/>
              <w:lang w:eastAsia="en-US"/>
            </w:rPr>
          </w:pPr>
          <w:hyperlink w:anchor="_Toc535797523" w:history="1">
            <w:r w:rsidR="00C42D2F" w:rsidRPr="004F32EA">
              <w:rPr>
                <w:rStyle w:val="Hyperlink"/>
                <w:noProof/>
              </w:rPr>
              <w:t>Recommendation</w:t>
            </w:r>
            <w:r w:rsidR="00C42D2F">
              <w:rPr>
                <w:noProof/>
                <w:webHidden/>
              </w:rPr>
              <w:tab/>
            </w:r>
            <w:r w:rsidR="008C5C82">
              <w:rPr>
                <w:noProof/>
                <w:webHidden/>
              </w:rPr>
              <w:fldChar w:fldCharType="begin"/>
            </w:r>
            <w:r w:rsidR="00C42D2F">
              <w:rPr>
                <w:noProof/>
                <w:webHidden/>
              </w:rPr>
              <w:instrText xml:space="preserve"> PAGEREF _Toc535797523 \h </w:instrText>
            </w:r>
            <w:r w:rsidR="008C5C82">
              <w:rPr>
                <w:noProof/>
                <w:webHidden/>
              </w:rPr>
            </w:r>
            <w:r w:rsidR="008C5C82">
              <w:rPr>
                <w:noProof/>
                <w:webHidden/>
              </w:rPr>
              <w:fldChar w:fldCharType="separate"/>
            </w:r>
            <w:r w:rsidR="00C42D2F">
              <w:rPr>
                <w:noProof/>
                <w:webHidden/>
              </w:rPr>
              <w:t>57</w:t>
            </w:r>
            <w:r w:rsidR="008C5C82">
              <w:rPr>
                <w:noProof/>
                <w:webHidden/>
              </w:rPr>
              <w:fldChar w:fldCharType="end"/>
            </w:r>
          </w:hyperlink>
        </w:p>
        <w:p w:rsidR="00C42D2F" w:rsidRDefault="002B20B2">
          <w:pPr>
            <w:pStyle w:val="TOC2"/>
            <w:rPr>
              <w:noProof/>
              <w:lang w:eastAsia="en-US"/>
            </w:rPr>
          </w:pPr>
          <w:hyperlink w:anchor="_Toc535797524" w:history="1">
            <w:r w:rsidR="00C42D2F" w:rsidRPr="004F32EA">
              <w:rPr>
                <w:rStyle w:val="Hyperlink"/>
                <w:noProof/>
              </w:rPr>
              <w:t>Conclusion</w:t>
            </w:r>
            <w:r w:rsidR="00C42D2F">
              <w:rPr>
                <w:noProof/>
                <w:webHidden/>
              </w:rPr>
              <w:tab/>
            </w:r>
            <w:r w:rsidR="008C5C82">
              <w:rPr>
                <w:noProof/>
                <w:webHidden/>
              </w:rPr>
              <w:fldChar w:fldCharType="begin"/>
            </w:r>
            <w:r w:rsidR="00C42D2F">
              <w:rPr>
                <w:noProof/>
                <w:webHidden/>
              </w:rPr>
              <w:instrText xml:space="preserve"> PAGEREF _Toc535797524 \h </w:instrText>
            </w:r>
            <w:r w:rsidR="008C5C82">
              <w:rPr>
                <w:noProof/>
                <w:webHidden/>
              </w:rPr>
            </w:r>
            <w:r w:rsidR="008C5C82">
              <w:rPr>
                <w:noProof/>
                <w:webHidden/>
              </w:rPr>
              <w:fldChar w:fldCharType="separate"/>
            </w:r>
            <w:r w:rsidR="00C42D2F">
              <w:rPr>
                <w:noProof/>
                <w:webHidden/>
              </w:rPr>
              <w:t>58</w:t>
            </w:r>
            <w:r w:rsidR="008C5C82">
              <w:rPr>
                <w:noProof/>
                <w:webHidden/>
              </w:rPr>
              <w:fldChar w:fldCharType="end"/>
            </w:r>
          </w:hyperlink>
        </w:p>
        <w:p w:rsidR="00C42D2F" w:rsidRDefault="002B20B2">
          <w:pPr>
            <w:pStyle w:val="TOC1"/>
            <w:tabs>
              <w:tab w:val="right" w:leader="dot" w:pos="9350"/>
            </w:tabs>
            <w:rPr>
              <w:noProof/>
              <w:lang w:eastAsia="en-US"/>
            </w:rPr>
          </w:pPr>
          <w:hyperlink w:anchor="_Toc535797525" w:history="1">
            <w:r w:rsidR="00C42D2F" w:rsidRPr="004F32EA">
              <w:rPr>
                <w:rStyle w:val="Hyperlink"/>
                <w:noProof/>
              </w:rPr>
              <w:t>REFERENCE</w:t>
            </w:r>
            <w:r w:rsidR="00C42D2F">
              <w:rPr>
                <w:noProof/>
                <w:webHidden/>
              </w:rPr>
              <w:tab/>
            </w:r>
            <w:r w:rsidR="008C5C82">
              <w:rPr>
                <w:noProof/>
                <w:webHidden/>
              </w:rPr>
              <w:fldChar w:fldCharType="begin"/>
            </w:r>
            <w:r w:rsidR="00C42D2F">
              <w:rPr>
                <w:noProof/>
                <w:webHidden/>
              </w:rPr>
              <w:instrText xml:space="preserve"> PAGEREF _Toc535797525 \h </w:instrText>
            </w:r>
            <w:r w:rsidR="008C5C82">
              <w:rPr>
                <w:noProof/>
                <w:webHidden/>
              </w:rPr>
            </w:r>
            <w:r w:rsidR="008C5C82">
              <w:rPr>
                <w:noProof/>
                <w:webHidden/>
              </w:rPr>
              <w:fldChar w:fldCharType="separate"/>
            </w:r>
            <w:r w:rsidR="00C42D2F">
              <w:rPr>
                <w:noProof/>
                <w:webHidden/>
              </w:rPr>
              <w:t>58</w:t>
            </w:r>
            <w:r w:rsidR="008C5C82">
              <w:rPr>
                <w:noProof/>
                <w:webHidden/>
              </w:rPr>
              <w:fldChar w:fldCharType="end"/>
            </w:r>
          </w:hyperlink>
        </w:p>
        <w:p w:rsidR="004F0D95" w:rsidRDefault="008C5C82" w:rsidP="004B7285">
          <w:pPr>
            <w:spacing w:line="360" w:lineRule="auto"/>
          </w:pPr>
          <w:r>
            <w:rPr>
              <w:b/>
              <w:bCs/>
              <w:noProof/>
            </w:rPr>
            <w:fldChar w:fldCharType="end"/>
          </w:r>
        </w:p>
      </w:sdtContent>
    </w:sdt>
    <w:p w:rsidR="004F0D95" w:rsidRDefault="004F0D95" w:rsidP="004B7285">
      <w:pPr>
        <w:spacing w:line="360" w:lineRule="auto"/>
        <w:sectPr w:rsidR="004F0D95" w:rsidSect="009401DD">
          <w:pgSz w:w="12240" w:h="15840"/>
          <w:pgMar w:top="1440" w:right="1440" w:bottom="1440" w:left="1440" w:header="720" w:footer="720" w:gutter="0"/>
          <w:cols w:space="720"/>
          <w:docGrid w:linePitch="360"/>
        </w:sectPr>
      </w:pPr>
    </w:p>
    <w:p w:rsidR="00D853D4" w:rsidRDefault="00395326" w:rsidP="004B7285">
      <w:pPr>
        <w:pStyle w:val="Heading1"/>
        <w:spacing w:line="360" w:lineRule="auto"/>
      </w:pPr>
      <w:bookmarkStart w:id="1" w:name="_Toc535797496"/>
      <w:r w:rsidRPr="00DE1470">
        <w:lastRenderedPageBreak/>
        <w:t>Chapter 1: INTRODUCTION</w:t>
      </w:r>
      <w:bookmarkEnd w:id="1"/>
    </w:p>
    <w:p w:rsidR="00FE24EF" w:rsidRPr="00FE24EF" w:rsidRDefault="00FE24EF" w:rsidP="004B7285">
      <w:pPr>
        <w:spacing w:line="360" w:lineRule="auto"/>
        <w:jc w:val="both"/>
        <w:rPr>
          <w:rFonts w:ascii="Times New Roman" w:hAnsi="Times New Roman" w:cs="Times New Roman"/>
          <w:sz w:val="24"/>
          <w:szCs w:val="24"/>
        </w:rPr>
      </w:pPr>
      <w:r w:rsidRPr="00FE24EF">
        <w:rPr>
          <w:rFonts w:ascii="Times New Roman" w:hAnsi="Times New Roman" w:cs="Times New Roman"/>
          <w:sz w:val="24"/>
          <w:szCs w:val="24"/>
        </w:rPr>
        <w:t>As a student of business school I need to submit a term paper which shows the total understanding and reflections in the courses in which in I have done my major.</w:t>
      </w:r>
    </w:p>
    <w:p w:rsidR="00FE24EF" w:rsidRPr="00603FA0" w:rsidRDefault="00FE24EF" w:rsidP="004B7285">
      <w:pPr>
        <w:spacing w:line="360" w:lineRule="auto"/>
        <w:jc w:val="both"/>
        <w:rPr>
          <w:rFonts w:ascii="Times New Roman" w:hAnsi="Times New Roman" w:cs="Times New Roman"/>
          <w:sz w:val="24"/>
          <w:szCs w:val="24"/>
        </w:rPr>
      </w:pPr>
      <w:r w:rsidRPr="00603FA0">
        <w:rPr>
          <w:rFonts w:ascii="Times New Roman" w:hAnsi="Times New Roman" w:cs="Times New Roman"/>
          <w:sz w:val="24"/>
          <w:szCs w:val="24"/>
        </w:rPr>
        <w:t>We know that mutual fund is an investment conveyance built up of a pool of money collected from many investors for the reason of investing in securities such as stocks, bonds, money market instruments and other assets. Actually mutual funds are fulfilled by professional money managers, who allocate the funds investment and try to produce capital gain and income for the investors. And a mutual funds portfolio is methodic and cultivate to match the investment objectives established in its catalogue. Mutual funds give small or individual investors approach to professionally managed protfolios of equities, bonds and other securities. Each shareholder, therefore, participates comparely in the gains or losses of the mutual fund. Mutual funds invest in a wide amount of securities and performance is usually followed as the change in the tota</w:t>
      </w:r>
      <w:r w:rsidR="00F27FBF">
        <w:rPr>
          <w:rFonts w:ascii="Times New Roman" w:hAnsi="Times New Roman" w:cs="Times New Roman"/>
          <w:sz w:val="24"/>
          <w:szCs w:val="24"/>
        </w:rPr>
        <w:t>l market cap of the fund, deriv</w:t>
      </w:r>
      <w:r w:rsidRPr="00603FA0">
        <w:rPr>
          <w:rFonts w:ascii="Times New Roman" w:hAnsi="Times New Roman" w:cs="Times New Roman"/>
          <w:sz w:val="24"/>
          <w:szCs w:val="24"/>
        </w:rPr>
        <w:t xml:space="preserve">ed by combine into a collection of performance of the underlying investments. </w:t>
      </w:r>
    </w:p>
    <w:p w:rsidR="00FE24EF" w:rsidRPr="00F27FBF" w:rsidRDefault="00FE24EF" w:rsidP="004B7285">
      <w:pPr>
        <w:spacing w:line="360" w:lineRule="auto"/>
        <w:jc w:val="both"/>
        <w:rPr>
          <w:rFonts w:ascii="Times New Roman" w:hAnsi="Times New Roman" w:cs="Times New Roman"/>
          <w:sz w:val="24"/>
          <w:szCs w:val="24"/>
        </w:rPr>
      </w:pPr>
      <w:r w:rsidRPr="00603FA0">
        <w:rPr>
          <w:rFonts w:ascii="Times New Roman" w:hAnsi="Times New Roman" w:cs="Times New Roman"/>
          <w:sz w:val="24"/>
          <w:szCs w:val="24"/>
        </w:rPr>
        <w:t xml:space="preserve">Now a day the popularity of mutual fund investing among the private investor has been grown adequately all over the world during last 40 years, therefor the research in mutual fund has increased significantly. In addition to, </w:t>
      </w:r>
      <w:r w:rsidR="00F27FBF">
        <w:rPr>
          <w:rFonts w:ascii="Times New Roman" w:hAnsi="Times New Roman" w:cs="Times New Roman"/>
          <w:sz w:val="24"/>
          <w:szCs w:val="24"/>
        </w:rPr>
        <w:t>diversi</w:t>
      </w:r>
      <w:r w:rsidRPr="00603FA0">
        <w:rPr>
          <w:rFonts w:ascii="Times New Roman" w:hAnsi="Times New Roman" w:cs="Times New Roman"/>
          <w:sz w:val="24"/>
          <w:szCs w:val="24"/>
        </w:rPr>
        <w:t xml:space="preserve">ification, market timing and selective skill of fund managers are tested with help of cooperative of affirmation quadratic regression of Treynor and Mazuy and Fama decomposition model respectively. Having substantial fund and </w:t>
      </w:r>
      <w:r>
        <w:rPr>
          <w:rFonts w:ascii="Times New Roman" w:hAnsi="Times New Roman" w:cs="Times New Roman"/>
          <w:sz w:val="24"/>
          <w:szCs w:val="24"/>
        </w:rPr>
        <w:t>professional management skill. I</w:t>
      </w:r>
      <w:r w:rsidRPr="00603FA0">
        <w:rPr>
          <w:rFonts w:ascii="Times New Roman" w:hAnsi="Times New Roman" w:cs="Times New Roman"/>
          <w:sz w:val="24"/>
          <w:szCs w:val="24"/>
        </w:rPr>
        <w:t xml:space="preserve">t is </w:t>
      </w:r>
      <w:r>
        <w:rPr>
          <w:rFonts w:ascii="Times New Roman" w:hAnsi="Times New Roman" w:cs="Times New Roman"/>
          <w:sz w:val="24"/>
          <w:szCs w:val="24"/>
        </w:rPr>
        <w:t xml:space="preserve">skill </w:t>
      </w:r>
      <w:r w:rsidRPr="00603FA0">
        <w:rPr>
          <w:rFonts w:ascii="Times New Roman" w:hAnsi="Times New Roman" w:cs="Times New Roman"/>
          <w:sz w:val="24"/>
          <w:szCs w:val="24"/>
        </w:rPr>
        <w:t xml:space="preserve">for large investors to invest their money in a diversified pool of securities. </w:t>
      </w:r>
      <w:r w:rsidR="00D07636">
        <w:rPr>
          <w:rFonts w:ascii="Times New Roman" w:hAnsi="Times New Roman" w:cs="Times New Roman"/>
          <w:sz w:val="24"/>
          <w:szCs w:val="24"/>
        </w:rPr>
        <w:t xml:space="preserve">Another point o view, </w:t>
      </w:r>
      <w:r w:rsidRPr="00603FA0">
        <w:rPr>
          <w:rFonts w:ascii="Times New Roman" w:hAnsi="Times New Roman" w:cs="Times New Roman"/>
          <w:sz w:val="24"/>
          <w:szCs w:val="24"/>
        </w:rPr>
        <w:t>small investors are often unable to divercify their investment with limited fund.</w:t>
      </w:r>
    </w:p>
    <w:p w:rsidR="004F0D95" w:rsidRDefault="004F0D95" w:rsidP="004B7285">
      <w:pPr>
        <w:spacing w:line="360" w:lineRule="auto"/>
        <w:rPr>
          <w:rFonts w:ascii="Times New Roman" w:hAnsi="Times New Roman" w:cs="Times New Roman"/>
          <w:bCs/>
          <w:sz w:val="28"/>
          <w:szCs w:val="28"/>
        </w:rPr>
      </w:pPr>
    </w:p>
    <w:p w:rsidR="004F0D95" w:rsidRPr="004F0D95" w:rsidRDefault="004F0D95" w:rsidP="004B7285">
      <w:pPr>
        <w:spacing w:line="360" w:lineRule="auto"/>
        <w:rPr>
          <w:rFonts w:ascii="Times New Roman" w:hAnsi="Times New Roman" w:cs="Times New Roman"/>
          <w:sz w:val="28"/>
          <w:szCs w:val="28"/>
        </w:rPr>
      </w:pPr>
    </w:p>
    <w:p w:rsidR="004F0D95" w:rsidRPr="004F0D95" w:rsidRDefault="004F0D95" w:rsidP="004B7285">
      <w:pPr>
        <w:spacing w:line="360" w:lineRule="auto"/>
        <w:rPr>
          <w:rFonts w:ascii="Times New Roman" w:hAnsi="Times New Roman" w:cs="Times New Roman"/>
          <w:sz w:val="28"/>
          <w:szCs w:val="28"/>
        </w:rPr>
      </w:pPr>
    </w:p>
    <w:p w:rsidR="004F0D95" w:rsidRPr="004F0D95" w:rsidRDefault="004F0D95" w:rsidP="004B7285">
      <w:pPr>
        <w:spacing w:line="360" w:lineRule="auto"/>
        <w:ind w:firstLine="720"/>
        <w:rPr>
          <w:rFonts w:ascii="Times New Roman" w:hAnsi="Times New Roman" w:cs="Times New Roman"/>
          <w:sz w:val="28"/>
          <w:szCs w:val="28"/>
        </w:rPr>
      </w:pPr>
    </w:p>
    <w:p w:rsidR="004F0D95" w:rsidRPr="004F0D95" w:rsidRDefault="004F0D95" w:rsidP="004B7285">
      <w:pPr>
        <w:spacing w:line="360" w:lineRule="auto"/>
        <w:rPr>
          <w:rFonts w:ascii="Times New Roman" w:hAnsi="Times New Roman" w:cs="Times New Roman"/>
          <w:sz w:val="28"/>
          <w:szCs w:val="28"/>
        </w:rPr>
        <w:sectPr w:rsidR="004F0D95" w:rsidRPr="004F0D95" w:rsidSect="004F0D95">
          <w:footerReference w:type="default" r:id="rId10"/>
          <w:pgSz w:w="12240" w:h="15840"/>
          <w:pgMar w:top="1440" w:right="1440" w:bottom="1440" w:left="1440" w:header="720" w:footer="720" w:gutter="0"/>
          <w:pgNumType w:start="1"/>
          <w:cols w:space="720"/>
          <w:docGrid w:linePitch="360"/>
        </w:sectPr>
      </w:pPr>
    </w:p>
    <w:p w:rsidR="00D853D4" w:rsidRPr="0077348F" w:rsidRDefault="00D853D4" w:rsidP="0077348F">
      <w:pPr>
        <w:pStyle w:val="Heading2"/>
        <w:rPr>
          <w:rFonts w:ascii="Times New Roman" w:hAnsi="Times New Roman" w:cs="Times New Roman"/>
          <w:sz w:val="28"/>
          <w:szCs w:val="28"/>
        </w:rPr>
      </w:pPr>
      <w:bookmarkStart w:id="2" w:name="_Toc535797497"/>
      <w:r w:rsidRPr="00DE1470">
        <w:lastRenderedPageBreak/>
        <w:t>Origin of the Report</w:t>
      </w:r>
      <w:bookmarkEnd w:id="2"/>
    </w:p>
    <w:p w:rsidR="00D853D4" w:rsidRPr="00DE1470" w:rsidRDefault="00DC61FA"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entitled “P</w:t>
      </w:r>
      <w:r w:rsidR="00D853D4" w:rsidRPr="00DE1470">
        <w:rPr>
          <w:rFonts w:ascii="Times New Roman" w:hAnsi="Times New Roman" w:cs="Times New Roman"/>
          <w:sz w:val="24"/>
          <w:szCs w:val="24"/>
        </w:rPr>
        <w:t xml:space="preserve">erformance </w:t>
      </w:r>
      <w:r w:rsidR="003A4DAE">
        <w:rPr>
          <w:rFonts w:ascii="Times New Roman" w:hAnsi="Times New Roman" w:cs="Times New Roman"/>
          <w:sz w:val="24"/>
          <w:szCs w:val="24"/>
        </w:rPr>
        <w:t xml:space="preserve">analysis </w:t>
      </w:r>
      <w:r w:rsidR="007C76C7">
        <w:rPr>
          <w:rFonts w:ascii="Times New Roman" w:hAnsi="Times New Roman" w:cs="Times New Roman"/>
          <w:sz w:val="24"/>
          <w:szCs w:val="24"/>
        </w:rPr>
        <w:t>among mutual fund managers of Bangladesh</w:t>
      </w:r>
      <w:r w:rsidR="003A4DAE">
        <w:rPr>
          <w:rFonts w:ascii="Times New Roman" w:hAnsi="Times New Roman" w:cs="Times New Roman"/>
          <w:sz w:val="24"/>
          <w:szCs w:val="24"/>
        </w:rPr>
        <w:t xml:space="preserve">” has been prepared on </w:t>
      </w:r>
      <w:r w:rsidR="00EE1113">
        <w:rPr>
          <w:rFonts w:ascii="Times New Roman" w:hAnsi="Times New Roman" w:cs="Times New Roman"/>
          <w:sz w:val="24"/>
          <w:szCs w:val="24"/>
        </w:rPr>
        <w:t>the</w:t>
      </w:r>
      <w:r w:rsidR="003A4DAE">
        <w:rPr>
          <w:rFonts w:ascii="Times New Roman" w:hAnsi="Times New Roman" w:cs="Times New Roman"/>
          <w:sz w:val="24"/>
          <w:szCs w:val="24"/>
        </w:rPr>
        <w:t xml:space="preserve"> information</w:t>
      </w:r>
      <w:r w:rsidR="00EE1113">
        <w:rPr>
          <w:rFonts w:ascii="Times New Roman" w:hAnsi="Times New Roman" w:cs="Times New Roman"/>
          <w:sz w:val="24"/>
          <w:szCs w:val="24"/>
        </w:rPr>
        <w:t xml:space="preserve"> collected from</w:t>
      </w:r>
      <w:r w:rsidR="00D853D4" w:rsidRPr="00DE1470">
        <w:rPr>
          <w:rFonts w:ascii="Times New Roman" w:hAnsi="Times New Roman" w:cs="Times New Roman"/>
          <w:sz w:val="24"/>
          <w:szCs w:val="24"/>
        </w:rPr>
        <w:t xml:space="preserve"> ICB, AIMS, and RELIANCE</w:t>
      </w:r>
      <w:r w:rsidR="00EE1113">
        <w:rPr>
          <w:rFonts w:ascii="Times New Roman" w:hAnsi="Times New Roman" w:cs="Times New Roman"/>
          <w:sz w:val="24"/>
          <w:szCs w:val="24"/>
        </w:rPr>
        <w:t xml:space="preserve">.To fulfill </w:t>
      </w:r>
      <w:r w:rsidR="00EE1113" w:rsidRPr="00DE1470">
        <w:rPr>
          <w:rFonts w:ascii="Times New Roman" w:hAnsi="Times New Roman" w:cs="Times New Roman"/>
          <w:sz w:val="24"/>
          <w:szCs w:val="24"/>
        </w:rPr>
        <w:t>BBA</w:t>
      </w:r>
      <w:r w:rsidR="00D853D4" w:rsidRPr="00DE1470">
        <w:rPr>
          <w:rFonts w:ascii="Times New Roman" w:hAnsi="Times New Roman" w:cs="Times New Roman"/>
          <w:sz w:val="24"/>
          <w:szCs w:val="24"/>
        </w:rPr>
        <w:t xml:space="preserve"> program</w:t>
      </w:r>
      <w:r w:rsidR="00EE1113">
        <w:rPr>
          <w:rFonts w:ascii="Times New Roman" w:hAnsi="Times New Roman" w:cs="Times New Roman"/>
          <w:sz w:val="24"/>
          <w:szCs w:val="24"/>
        </w:rPr>
        <w:t xml:space="preserve"> this project is mandatory which is </w:t>
      </w:r>
      <w:r w:rsidR="00EE1113" w:rsidRPr="00DE1470">
        <w:rPr>
          <w:rFonts w:ascii="Times New Roman" w:hAnsi="Times New Roman" w:cs="Times New Roman"/>
          <w:sz w:val="24"/>
          <w:szCs w:val="24"/>
        </w:rPr>
        <w:t>authorized</w:t>
      </w:r>
      <w:r w:rsidR="00D853D4" w:rsidRPr="00DE1470">
        <w:rPr>
          <w:rFonts w:ascii="Times New Roman" w:hAnsi="Times New Roman" w:cs="Times New Roman"/>
          <w:sz w:val="24"/>
          <w:szCs w:val="24"/>
        </w:rPr>
        <w:t xml:space="preserve"> by Mosabbir Ahmed, Associate Professor, Schoo</w:t>
      </w:r>
      <w:r w:rsidR="00EE1113">
        <w:rPr>
          <w:rFonts w:ascii="Times New Roman" w:hAnsi="Times New Roman" w:cs="Times New Roman"/>
          <w:sz w:val="24"/>
          <w:szCs w:val="24"/>
        </w:rPr>
        <w:t>l of Business And Economics,</w:t>
      </w:r>
      <w:r w:rsidR="008D74B8" w:rsidRPr="00DE1470">
        <w:rPr>
          <w:rFonts w:ascii="Times New Roman" w:hAnsi="Times New Roman" w:cs="Times New Roman"/>
          <w:sz w:val="24"/>
          <w:szCs w:val="24"/>
        </w:rPr>
        <w:t>and United</w:t>
      </w:r>
      <w:r w:rsidR="00D853D4" w:rsidRPr="00DE1470">
        <w:rPr>
          <w:rFonts w:ascii="Times New Roman" w:hAnsi="Times New Roman" w:cs="Times New Roman"/>
          <w:sz w:val="24"/>
          <w:szCs w:val="24"/>
        </w:rPr>
        <w:t xml:space="preserve"> International University.  </w:t>
      </w:r>
    </w:p>
    <w:p w:rsidR="00D853D4" w:rsidRPr="00DE1470" w:rsidRDefault="00D853D4"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The BBA project program is a mandatory requirement for the students who are graduating from the BBA programmed of United International University, Department of Business Administration.</w:t>
      </w:r>
    </w:p>
    <w:p w:rsidR="00D853D4" w:rsidRPr="00DE1470" w:rsidRDefault="00D853D4"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 xml:space="preserve">In this </w:t>
      </w:r>
      <w:r w:rsidR="0016521D" w:rsidRPr="00DE1470">
        <w:rPr>
          <w:rFonts w:ascii="Times New Roman" w:hAnsi="Times New Roman" w:cs="Times New Roman"/>
          <w:sz w:val="24"/>
          <w:szCs w:val="24"/>
        </w:rPr>
        <w:t>project paper I have collected five years data for ICB, AIMS and RELIANCE mutual fund from Dhaka stock Exchange.</w:t>
      </w:r>
      <w:r w:rsidRPr="00DE1470">
        <w:rPr>
          <w:rFonts w:ascii="Times New Roman" w:hAnsi="Times New Roman" w:cs="Times New Roman"/>
          <w:sz w:val="24"/>
          <w:szCs w:val="24"/>
        </w:rPr>
        <w:t xml:space="preserve"> During this period I </w:t>
      </w:r>
      <w:r w:rsidR="0016521D" w:rsidRPr="00DE1470">
        <w:rPr>
          <w:rFonts w:ascii="Times New Roman" w:hAnsi="Times New Roman" w:cs="Times New Roman"/>
          <w:sz w:val="24"/>
          <w:szCs w:val="24"/>
        </w:rPr>
        <w:t xml:space="preserve">learned how to </w:t>
      </w:r>
      <w:r w:rsidR="002127E9" w:rsidRPr="00DE1470">
        <w:rPr>
          <w:rFonts w:ascii="Times New Roman" w:hAnsi="Times New Roman" w:cs="Times New Roman"/>
          <w:sz w:val="24"/>
          <w:szCs w:val="24"/>
        </w:rPr>
        <w:t>construct</w:t>
      </w:r>
      <w:r w:rsidR="0016521D" w:rsidRPr="00DE1470">
        <w:rPr>
          <w:rFonts w:ascii="Times New Roman" w:hAnsi="Times New Roman" w:cs="Times New Roman"/>
          <w:sz w:val="24"/>
          <w:szCs w:val="24"/>
        </w:rPr>
        <w:t xml:space="preserve"> and </w:t>
      </w:r>
      <w:r w:rsidR="002127E9" w:rsidRPr="00DE1470">
        <w:rPr>
          <w:rFonts w:ascii="Times New Roman" w:hAnsi="Times New Roman" w:cs="Times New Roman"/>
          <w:sz w:val="24"/>
          <w:szCs w:val="24"/>
        </w:rPr>
        <w:t>maintain</w:t>
      </w:r>
      <w:r w:rsidR="0016521D" w:rsidRPr="00DE1470">
        <w:rPr>
          <w:rFonts w:ascii="Times New Roman" w:hAnsi="Times New Roman" w:cs="Times New Roman"/>
          <w:sz w:val="24"/>
          <w:szCs w:val="24"/>
        </w:rPr>
        <w:t xml:space="preserve"> a perfect portfolio to ensure the profit of the shareholders. </w:t>
      </w:r>
      <w:r w:rsidR="002127E9" w:rsidRPr="00DE1470">
        <w:rPr>
          <w:rFonts w:ascii="Times New Roman" w:hAnsi="Times New Roman" w:cs="Times New Roman"/>
          <w:sz w:val="24"/>
          <w:szCs w:val="24"/>
        </w:rPr>
        <w:t xml:space="preserve">Performance analysis of </w:t>
      </w:r>
      <w:r w:rsidR="0016521D" w:rsidRPr="00DE1470">
        <w:rPr>
          <w:rFonts w:ascii="Times New Roman" w:hAnsi="Times New Roman" w:cs="Times New Roman"/>
          <w:sz w:val="24"/>
          <w:szCs w:val="24"/>
        </w:rPr>
        <w:t>portfolio manager will provide a brief idea to an investor that whether the mutual fund is worth to invest or not.</w:t>
      </w:r>
    </w:p>
    <w:p w:rsidR="00545139" w:rsidRPr="00DE1470" w:rsidRDefault="00545139"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spacing w:line="360" w:lineRule="auto"/>
        <w:rPr>
          <w:rFonts w:ascii="Times New Roman" w:hAnsi="Times New Roman" w:cs="Times New Roman"/>
          <w:sz w:val="24"/>
          <w:szCs w:val="24"/>
        </w:rPr>
      </w:pPr>
    </w:p>
    <w:p w:rsidR="008C4867" w:rsidRPr="00DE1470" w:rsidRDefault="008C4867" w:rsidP="004B7285">
      <w:pPr>
        <w:pStyle w:val="Heading2"/>
        <w:spacing w:line="360" w:lineRule="auto"/>
      </w:pPr>
      <w:bookmarkStart w:id="3" w:name="_Toc535797498"/>
      <w:r w:rsidRPr="00DE1470">
        <w:lastRenderedPageBreak/>
        <w:t>Objective of the report</w:t>
      </w:r>
      <w:bookmarkEnd w:id="3"/>
    </w:p>
    <w:p w:rsidR="008C4867" w:rsidRPr="00DE1470" w:rsidRDefault="008C4867" w:rsidP="004B7285">
      <w:pPr>
        <w:spacing w:line="360" w:lineRule="auto"/>
        <w:jc w:val="both"/>
        <w:rPr>
          <w:rFonts w:ascii="Times New Roman" w:hAnsi="Times New Roman" w:cs="Times New Roman"/>
        </w:rPr>
      </w:pPr>
      <w:r w:rsidRPr="00DE1470">
        <w:rPr>
          <w:rFonts w:ascii="Times New Roman" w:hAnsi="Times New Roman" w:cs="Times New Roman"/>
        </w:rPr>
        <w:t>The main objective of this report is to analyze the performance of mutual fund manager</w:t>
      </w:r>
      <w:r w:rsidR="00DC61FA">
        <w:rPr>
          <w:rFonts w:ascii="Times New Roman" w:hAnsi="Times New Roman" w:cs="Times New Roman"/>
        </w:rPr>
        <w:t>s</w:t>
      </w:r>
      <w:r w:rsidRPr="00DE1470">
        <w:rPr>
          <w:rFonts w:ascii="Times New Roman" w:hAnsi="Times New Roman" w:cs="Times New Roman"/>
        </w:rPr>
        <w:t xml:space="preserve"> how to play vital role for investing decision making.  The following objectives can be easily listed as the specific objectives of the report:</w:t>
      </w:r>
    </w:p>
    <w:p w:rsidR="008C4867" w:rsidRPr="00DE1470" w:rsidRDefault="008C4867" w:rsidP="004B7285">
      <w:pPr>
        <w:spacing w:line="360" w:lineRule="auto"/>
        <w:jc w:val="both"/>
        <w:rPr>
          <w:rFonts w:ascii="Times New Roman" w:hAnsi="Times New Roman" w:cs="Times New Roman"/>
        </w:rPr>
      </w:pP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evaluate the liquidity position of mutual funds.</w:t>
      </w: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measure the asset utilization capacity of mutual funds.</w:t>
      </w:r>
    </w:p>
    <w:p w:rsidR="001B7381" w:rsidRPr="00DE1470" w:rsidRDefault="001B7381" w:rsidP="004B7285">
      <w:pPr>
        <w:pStyle w:val="ListParagraph"/>
        <w:numPr>
          <w:ilvl w:val="0"/>
          <w:numId w:val="1"/>
        </w:numPr>
        <w:spacing w:line="360" w:lineRule="auto"/>
        <w:rPr>
          <w:rFonts w:cs="Times New Roman"/>
        </w:rPr>
      </w:pPr>
      <w:r w:rsidRPr="00DE1470">
        <w:rPr>
          <w:rFonts w:cs="Times New Roman"/>
        </w:rPr>
        <w:t>To apply theoretical knowledge in order to formulate a problem.</w:t>
      </w:r>
    </w:p>
    <w:p w:rsidR="001B7381" w:rsidRPr="00DE1470" w:rsidRDefault="001B7381" w:rsidP="004B7285">
      <w:pPr>
        <w:pStyle w:val="ListParagraph"/>
        <w:numPr>
          <w:ilvl w:val="0"/>
          <w:numId w:val="1"/>
        </w:numPr>
        <w:spacing w:line="360" w:lineRule="auto"/>
        <w:rPr>
          <w:rFonts w:cs="Times New Roman"/>
        </w:rPr>
      </w:pPr>
      <w:r w:rsidRPr="00DE1470">
        <w:rPr>
          <w:rFonts w:cs="Times New Roman"/>
        </w:rPr>
        <w:t>To analyze the ratios.</w:t>
      </w: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analyze the debt position of mutual Funds.</w:t>
      </w: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evaluate the profitability of mutual funds.</w:t>
      </w: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compare the ratios of different mutual funds.</w:t>
      </w:r>
    </w:p>
    <w:p w:rsidR="008C4867" w:rsidRPr="00DE1470" w:rsidRDefault="008C4867" w:rsidP="004B7285">
      <w:pPr>
        <w:pStyle w:val="ListParagraph"/>
        <w:numPr>
          <w:ilvl w:val="0"/>
          <w:numId w:val="1"/>
        </w:numPr>
        <w:spacing w:line="360" w:lineRule="auto"/>
        <w:rPr>
          <w:rFonts w:cs="Times New Roman"/>
        </w:rPr>
      </w:pPr>
      <w:r w:rsidRPr="00DE1470">
        <w:rPr>
          <w:rFonts w:cs="Times New Roman"/>
        </w:rPr>
        <w:t>To compare the profitability of mutual funds Limited within the other mutual fund manager.</w:t>
      </w:r>
    </w:p>
    <w:p w:rsidR="00ED0CEC" w:rsidRPr="00DE1470" w:rsidRDefault="00ED0CEC" w:rsidP="004B7285">
      <w:pPr>
        <w:pStyle w:val="ListParagraph"/>
        <w:numPr>
          <w:ilvl w:val="0"/>
          <w:numId w:val="1"/>
        </w:numPr>
        <w:spacing w:after="200" w:line="360" w:lineRule="auto"/>
        <w:rPr>
          <w:rFonts w:cs="Times New Roman"/>
        </w:rPr>
      </w:pPr>
      <w:r w:rsidRPr="00DE1470">
        <w:rPr>
          <w:rFonts w:cs="Times New Roman"/>
        </w:rPr>
        <w:t>To know about the Mutual Funds in Bangladesh</w:t>
      </w:r>
    </w:p>
    <w:p w:rsidR="00ED0CEC" w:rsidRPr="00DE1470" w:rsidRDefault="00ED0CEC" w:rsidP="004B7285">
      <w:pPr>
        <w:pStyle w:val="ListParagraph"/>
        <w:numPr>
          <w:ilvl w:val="0"/>
          <w:numId w:val="1"/>
        </w:numPr>
        <w:spacing w:after="200" w:line="360" w:lineRule="auto"/>
        <w:rPr>
          <w:rFonts w:cs="Times New Roman"/>
        </w:rPr>
      </w:pPr>
      <w:r w:rsidRPr="00DE1470">
        <w:rPr>
          <w:rFonts w:cs="Times New Roman"/>
        </w:rPr>
        <w:t>To study the various Mutual Funds schemes in Bangladesh.</w:t>
      </w:r>
    </w:p>
    <w:p w:rsidR="00ED0CEC" w:rsidRPr="00DE1470" w:rsidRDefault="00ED0CEC" w:rsidP="004B7285">
      <w:pPr>
        <w:pStyle w:val="ListParagraph"/>
        <w:spacing w:line="360" w:lineRule="auto"/>
        <w:jc w:val="left"/>
        <w:rPr>
          <w:rFonts w:cs="Times New Roman"/>
        </w:rPr>
      </w:pPr>
    </w:p>
    <w:p w:rsidR="008C4867" w:rsidRPr="00DE1470" w:rsidRDefault="008C4867" w:rsidP="004B7285">
      <w:pPr>
        <w:pStyle w:val="ListParagraph"/>
        <w:spacing w:line="360" w:lineRule="auto"/>
        <w:jc w:val="left"/>
        <w:rPr>
          <w:rFonts w:cs="Times New Roman"/>
        </w:rPr>
      </w:pPr>
    </w:p>
    <w:p w:rsidR="002127E9" w:rsidRPr="00DE1470" w:rsidRDefault="00DF54EF" w:rsidP="004B7285">
      <w:pPr>
        <w:pStyle w:val="Heading2"/>
        <w:spacing w:line="360" w:lineRule="auto"/>
      </w:pPr>
      <w:bookmarkStart w:id="4" w:name="_Toc535797499"/>
      <w:r w:rsidRPr="00DE1470">
        <w:t>Scope of the study:</w:t>
      </w:r>
      <w:bookmarkEnd w:id="4"/>
    </w:p>
    <w:p w:rsidR="00D10B6F" w:rsidRPr="00DE1470" w:rsidRDefault="00DF54EF" w:rsidP="004B7285">
      <w:pPr>
        <w:spacing w:line="360" w:lineRule="auto"/>
        <w:jc w:val="both"/>
        <w:rPr>
          <w:rFonts w:ascii="Times New Roman" w:hAnsi="Times New Roman" w:cs="Times New Roman"/>
          <w:sz w:val="24"/>
          <w:szCs w:val="24"/>
        </w:rPr>
      </w:pPr>
      <w:r w:rsidRPr="00DE1470">
        <w:rPr>
          <w:rFonts w:ascii="Times New Roman" w:hAnsi="Times New Roman" w:cs="Times New Roman"/>
          <w:sz w:val="24"/>
          <w:szCs w:val="24"/>
        </w:rPr>
        <w:t>This report is prepared based on performance analysis  of mutual fund manager that among DSE listed companies in a word this report will present a short scenario on mutual fund managers performance. This report will definitely extend the knowledge of business background students to be familiar with the performance analysis of fund manager. It will also teach to apply theoretical knowledge on current context.</w:t>
      </w:r>
      <w:r w:rsidR="00D10B6F" w:rsidRPr="00DE1470">
        <w:rPr>
          <w:rFonts w:ascii="Times New Roman" w:hAnsi="Times New Roman" w:cs="Times New Roman"/>
          <w:sz w:val="24"/>
          <w:szCs w:val="24"/>
        </w:rPr>
        <w:t xml:space="preserve"> This report will help me to find out some basic concept of finance</w:t>
      </w:r>
      <w:r w:rsidR="00462202" w:rsidRPr="00DE1470">
        <w:rPr>
          <w:rFonts w:ascii="Times New Roman" w:hAnsi="Times New Roman" w:cs="Times New Roman"/>
          <w:sz w:val="24"/>
          <w:szCs w:val="24"/>
        </w:rPr>
        <w:t xml:space="preserve"> like</w:t>
      </w:r>
    </w:p>
    <w:p w:rsidR="00462202" w:rsidRPr="00DE1470" w:rsidRDefault="00462202" w:rsidP="004B7285">
      <w:pPr>
        <w:pStyle w:val="ListParagraph"/>
        <w:numPr>
          <w:ilvl w:val="0"/>
          <w:numId w:val="4"/>
        </w:numPr>
        <w:spacing w:line="360" w:lineRule="auto"/>
        <w:rPr>
          <w:rFonts w:cs="Times New Roman"/>
        </w:rPr>
      </w:pPr>
      <w:r w:rsidRPr="00DE1470">
        <w:rPr>
          <w:rFonts w:cs="Times New Roman"/>
        </w:rPr>
        <w:t>To find out the broad picture of mutual fund manager performance through this analysis.</w:t>
      </w:r>
    </w:p>
    <w:p w:rsidR="00462202" w:rsidRPr="00DE1470" w:rsidRDefault="001C7A63" w:rsidP="004B7285">
      <w:pPr>
        <w:pStyle w:val="ListParagraph"/>
        <w:numPr>
          <w:ilvl w:val="0"/>
          <w:numId w:val="4"/>
        </w:numPr>
        <w:spacing w:line="360" w:lineRule="auto"/>
        <w:rPr>
          <w:rFonts w:cs="Times New Roman"/>
        </w:rPr>
      </w:pPr>
      <w:r w:rsidRPr="00DE1470">
        <w:rPr>
          <w:rFonts w:cs="Times New Roman"/>
        </w:rPr>
        <w:t>How fund manager ensure that the fund strategy is aligned with is goal.</w:t>
      </w:r>
    </w:p>
    <w:p w:rsidR="001C7A63" w:rsidRPr="00DE1470" w:rsidRDefault="001C7A63" w:rsidP="004B7285">
      <w:pPr>
        <w:pStyle w:val="ListParagraph"/>
        <w:numPr>
          <w:ilvl w:val="0"/>
          <w:numId w:val="4"/>
        </w:numPr>
        <w:spacing w:line="360" w:lineRule="auto"/>
        <w:rPr>
          <w:rFonts w:cs="Times New Roman"/>
        </w:rPr>
      </w:pPr>
      <w:r w:rsidRPr="00DE1470">
        <w:rPr>
          <w:rFonts w:cs="Times New Roman"/>
        </w:rPr>
        <w:t>How a fund manager is responsible for the overall operations of the fund.</w:t>
      </w:r>
    </w:p>
    <w:p w:rsidR="00ED0CEC" w:rsidRPr="00DE1470" w:rsidRDefault="00ED0CEC" w:rsidP="004B7285">
      <w:pPr>
        <w:pStyle w:val="ListParagraph"/>
        <w:spacing w:after="200" w:line="360" w:lineRule="auto"/>
        <w:jc w:val="left"/>
        <w:rPr>
          <w:rFonts w:cs="Times New Roman"/>
        </w:rPr>
      </w:pPr>
    </w:p>
    <w:p w:rsidR="00ED0CEC" w:rsidRPr="00DE1470" w:rsidRDefault="00ED0CEC" w:rsidP="004B7285">
      <w:pPr>
        <w:pStyle w:val="ListParagraph"/>
        <w:spacing w:line="360" w:lineRule="auto"/>
        <w:rPr>
          <w:rFonts w:cs="Times New Roman"/>
        </w:rPr>
      </w:pPr>
    </w:p>
    <w:p w:rsidR="00462202" w:rsidRDefault="00395326" w:rsidP="004B7285">
      <w:pPr>
        <w:pStyle w:val="Heading2"/>
        <w:spacing w:line="360" w:lineRule="auto"/>
      </w:pPr>
      <w:bookmarkStart w:id="5" w:name="_Toc535797500"/>
      <w:r w:rsidRPr="00DE1470">
        <w:t>Limitation of the Study</w:t>
      </w:r>
      <w:r w:rsidR="00B02F13">
        <w:t>:</w:t>
      </w:r>
      <w:bookmarkEnd w:id="5"/>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sz w:val="24"/>
          <w:szCs w:val="24"/>
        </w:rPr>
        <w:t xml:space="preserve">                Within a short time I have gat</w:t>
      </w:r>
      <w:r>
        <w:rPr>
          <w:rFonts w:ascii="Times New Roman" w:hAnsi="Times New Roman" w:cs="Times New Roman"/>
          <w:sz w:val="24"/>
          <w:szCs w:val="24"/>
        </w:rPr>
        <w:t xml:space="preserve">hered some knowledge. </w:t>
      </w:r>
      <w:r w:rsidRPr="00E16AE3">
        <w:rPr>
          <w:rFonts w:ascii="Times New Roman" w:hAnsi="Times New Roman" w:cs="Times New Roman"/>
          <w:sz w:val="24"/>
          <w:szCs w:val="24"/>
        </w:rPr>
        <w:t>In preparing this report some problems and limitation are sought out, which are as follows:</w:t>
      </w:r>
    </w:p>
    <w:p w:rsidR="00E16AE3" w:rsidRPr="00E16AE3" w:rsidRDefault="00E16AE3" w:rsidP="00E16AE3">
      <w:pPr>
        <w:spacing w:line="360" w:lineRule="auto"/>
        <w:jc w:val="both"/>
        <w:rPr>
          <w:rFonts w:ascii="Times New Roman" w:hAnsi="Times New Roman" w:cs="Times New Roman"/>
          <w:sz w:val="24"/>
          <w:szCs w:val="24"/>
        </w:rPr>
      </w:pPr>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b/>
          <w:sz w:val="24"/>
          <w:szCs w:val="24"/>
        </w:rPr>
        <w:t>Time limitation:</w:t>
      </w:r>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sz w:val="24"/>
          <w:szCs w:val="24"/>
        </w:rPr>
        <w:t>To complete this report I was less time in my hand. That time was not enough time for me to get adequate information for making detailed report.</w:t>
      </w:r>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b/>
          <w:sz w:val="24"/>
          <w:szCs w:val="24"/>
        </w:rPr>
        <w:t>Lack of records:</w:t>
      </w:r>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sz w:val="24"/>
          <w:szCs w:val="24"/>
        </w:rPr>
        <w:t xml:space="preserve"> Sufficient written document was not available so that I could not gather all the necessary information to make this report.</w:t>
      </w:r>
    </w:p>
    <w:p w:rsidR="00E16AE3" w:rsidRPr="00E16AE3" w:rsidRDefault="00E16AE3" w:rsidP="00E16AE3">
      <w:pPr>
        <w:spacing w:line="360" w:lineRule="auto"/>
        <w:jc w:val="both"/>
        <w:rPr>
          <w:rFonts w:ascii="Times New Roman" w:hAnsi="Times New Roman" w:cs="Times New Roman"/>
          <w:b/>
          <w:sz w:val="24"/>
          <w:szCs w:val="24"/>
        </w:rPr>
      </w:pPr>
      <w:r w:rsidRPr="00E16AE3">
        <w:rPr>
          <w:rFonts w:ascii="Times New Roman" w:hAnsi="Times New Roman" w:cs="Times New Roman"/>
          <w:b/>
          <w:sz w:val="24"/>
          <w:szCs w:val="24"/>
        </w:rPr>
        <w:t>Lack of experience:</w:t>
      </w:r>
    </w:p>
    <w:p w:rsidR="00E16AE3" w:rsidRPr="00E16AE3" w:rsidRDefault="00E16AE3" w:rsidP="00E16AE3">
      <w:pPr>
        <w:spacing w:line="360" w:lineRule="auto"/>
        <w:jc w:val="both"/>
        <w:rPr>
          <w:rFonts w:ascii="Times New Roman" w:hAnsi="Times New Roman" w:cs="Times New Roman"/>
          <w:sz w:val="24"/>
          <w:szCs w:val="24"/>
        </w:rPr>
      </w:pPr>
      <w:r w:rsidRPr="00E16AE3">
        <w:rPr>
          <w:rFonts w:ascii="Times New Roman" w:hAnsi="Times New Roman" w:cs="Times New Roman"/>
          <w:sz w:val="24"/>
          <w:szCs w:val="24"/>
        </w:rPr>
        <w:t xml:space="preserve"> As I don’t know all the activities of mutual funds so that I could not get access their server to check my required information.</w:t>
      </w:r>
    </w:p>
    <w:p w:rsidR="00E16AE3" w:rsidRPr="007473FB" w:rsidRDefault="00E16AE3" w:rsidP="00E16AE3">
      <w:pPr>
        <w:spacing w:line="360" w:lineRule="auto"/>
        <w:rPr>
          <w:rFonts w:ascii="Times New Roman" w:hAnsi="Times New Roman" w:cs="Times New Roman"/>
        </w:rPr>
      </w:pPr>
    </w:p>
    <w:p w:rsidR="00E16AE3" w:rsidRPr="00E16AE3" w:rsidRDefault="00E16AE3" w:rsidP="00E16AE3"/>
    <w:p w:rsidR="00FF4051" w:rsidRDefault="0002795D" w:rsidP="004B7285">
      <w:pPr>
        <w:spacing w:line="360" w:lineRule="auto"/>
        <w:rPr>
          <w:rFonts w:ascii="Times New Roman" w:hAnsi="Times New Roman" w:cs="Times New Roman"/>
        </w:rPr>
      </w:pPr>
      <w:r>
        <w:rPr>
          <w:rFonts w:ascii="Times New Roman" w:hAnsi="Times New Roman" w:cs="Times New Roman"/>
        </w:rPr>
        <w:t xml:space="preserve">. </w:t>
      </w:r>
    </w:p>
    <w:p w:rsidR="00B02F13" w:rsidRPr="00B02F13" w:rsidRDefault="00B02F13" w:rsidP="004B7285">
      <w:pPr>
        <w:spacing w:line="360" w:lineRule="auto"/>
      </w:pPr>
    </w:p>
    <w:p w:rsidR="00395326" w:rsidRPr="00DE1470" w:rsidRDefault="00395326" w:rsidP="004B7285">
      <w:pPr>
        <w:spacing w:line="360" w:lineRule="auto"/>
        <w:rPr>
          <w:rFonts w:ascii="Times New Roman" w:hAnsi="Times New Roman" w:cs="Times New Roman"/>
          <w:b/>
          <w:sz w:val="28"/>
          <w:szCs w:val="24"/>
        </w:rPr>
      </w:pPr>
    </w:p>
    <w:p w:rsidR="00395326" w:rsidRPr="00DE1470" w:rsidRDefault="00395326" w:rsidP="004B7285">
      <w:pPr>
        <w:spacing w:line="360" w:lineRule="auto"/>
        <w:rPr>
          <w:rFonts w:ascii="Times New Roman" w:hAnsi="Times New Roman" w:cs="Times New Roman"/>
          <w:b/>
          <w:sz w:val="28"/>
          <w:szCs w:val="24"/>
        </w:rPr>
      </w:pPr>
    </w:p>
    <w:p w:rsidR="00E16AE3" w:rsidRDefault="00E16AE3" w:rsidP="004B7285">
      <w:pPr>
        <w:pStyle w:val="Heading2"/>
        <w:spacing w:line="360" w:lineRule="auto"/>
        <w:rPr>
          <w:rFonts w:ascii="Times New Roman" w:eastAsiaTheme="minorHAnsi" w:hAnsi="Times New Roman" w:cs="Times New Roman"/>
          <w:bCs w:val="0"/>
          <w:color w:val="auto"/>
          <w:sz w:val="28"/>
          <w:szCs w:val="24"/>
        </w:rPr>
      </w:pPr>
    </w:p>
    <w:p w:rsidR="0077348F" w:rsidRPr="0077348F" w:rsidRDefault="0077348F" w:rsidP="0077348F"/>
    <w:p w:rsidR="00395326" w:rsidRDefault="00395326" w:rsidP="004B7285">
      <w:pPr>
        <w:pStyle w:val="Heading2"/>
        <w:spacing w:line="360" w:lineRule="auto"/>
      </w:pPr>
      <w:bookmarkStart w:id="6" w:name="_Toc535797501"/>
      <w:r w:rsidRPr="00DE1470">
        <w:lastRenderedPageBreak/>
        <w:t>Methodology of the study</w:t>
      </w:r>
      <w:r w:rsidR="0002795D">
        <w:t>:</w:t>
      </w:r>
      <w:bookmarkEnd w:id="6"/>
    </w:p>
    <w:p w:rsidR="0002795D" w:rsidRPr="0077348F" w:rsidRDefault="0002795D" w:rsidP="004B7285">
      <w:pPr>
        <w:spacing w:line="360" w:lineRule="auto"/>
        <w:jc w:val="both"/>
        <w:outlineLvl w:val="0"/>
        <w:rPr>
          <w:rFonts w:ascii="Times New Roman" w:hAnsi="Times New Roman" w:cs="Times New Roman"/>
          <w:sz w:val="24"/>
          <w:szCs w:val="24"/>
        </w:rPr>
      </w:pPr>
      <w:bookmarkStart w:id="7" w:name="_Toc535766195"/>
      <w:bookmarkStart w:id="8" w:name="_Toc535797369"/>
      <w:bookmarkStart w:id="9" w:name="_Toc535797502"/>
      <w:r w:rsidRPr="0077348F">
        <w:rPr>
          <w:rFonts w:ascii="Times New Roman" w:hAnsi="Times New Roman" w:cs="Times New Roman"/>
          <w:sz w:val="24"/>
          <w:szCs w:val="24"/>
        </w:rPr>
        <w:t>The methods are followed in this report are followed bellow’s manner.</w:t>
      </w:r>
      <w:bookmarkEnd w:id="7"/>
      <w:bookmarkEnd w:id="8"/>
      <w:bookmarkEnd w:id="9"/>
    </w:p>
    <w:p w:rsidR="0002795D" w:rsidRPr="0077348F" w:rsidRDefault="0002795D" w:rsidP="004B7285">
      <w:pPr>
        <w:spacing w:line="360" w:lineRule="auto"/>
        <w:jc w:val="both"/>
        <w:rPr>
          <w:rFonts w:ascii="Times New Roman" w:hAnsi="Times New Roman" w:cs="Times New Roman"/>
          <w:b/>
          <w:sz w:val="24"/>
          <w:szCs w:val="24"/>
        </w:rPr>
      </w:pPr>
      <w:r w:rsidRPr="0077348F">
        <w:rPr>
          <w:rFonts w:ascii="Times New Roman" w:hAnsi="Times New Roman" w:cs="Times New Roman"/>
          <w:b/>
          <w:sz w:val="24"/>
          <w:szCs w:val="24"/>
        </w:rPr>
        <w:t xml:space="preserve">Research Design: </w:t>
      </w:r>
    </w:p>
    <w:p w:rsidR="0046279F" w:rsidRPr="0077348F" w:rsidRDefault="0002795D" w:rsidP="004B7285">
      <w:pPr>
        <w:spacing w:line="360" w:lineRule="auto"/>
        <w:jc w:val="both"/>
        <w:outlineLvl w:val="0"/>
        <w:rPr>
          <w:rFonts w:ascii="Times New Roman" w:hAnsi="Times New Roman" w:cs="Times New Roman"/>
          <w:sz w:val="24"/>
          <w:szCs w:val="24"/>
        </w:rPr>
      </w:pPr>
      <w:bookmarkStart w:id="10" w:name="_Toc535766196"/>
      <w:bookmarkStart w:id="11" w:name="_Toc535797370"/>
      <w:bookmarkStart w:id="12" w:name="_Toc535797503"/>
      <w:r w:rsidRPr="0077348F">
        <w:rPr>
          <w:rFonts w:ascii="Times New Roman" w:hAnsi="Times New Roman" w:cs="Times New Roman"/>
          <w:sz w:val="24"/>
          <w:szCs w:val="24"/>
        </w:rPr>
        <w:t xml:space="preserve">At this report is the prescriptive report, so that report are mainly focused on “ Performance analysis </w:t>
      </w:r>
      <w:r w:rsidR="001C72C8">
        <w:rPr>
          <w:rFonts w:ascii="Times New Roman" w:hAnsi="Times New Roman" w:cs="Times New Roman"/>
          <w:sz w:val="24"/>
          <w:szCs w:val="24"/>
        </w:rPr>
        <w:t>among mutual fund managers of Bangladesh”.</w:t>
      </w:r>
      <w:r w:rsidRPr="0077348F">
        <w:rPr>
          <w:rFonts w:ascii="Times New Roman" w:hAnsi="Times New Roman" w:cs="Times New Roman"/>
          <w:sz w:val="24"/>
          <w:szCs w:val="24"/>
        </w:rPr>
        <w:t xml:space="preserve"> In fact i have done here descriptive type of research, which is briefly frame the overall fund man</w:t>
      </w:r>
      <w:r w:rsidR="001C72C8">
        <w:rPr>
          <w:rFonts w:ascii="Times New Roman" w:hAnsi="Times New Roman" w:cs="Times New Roman"/>
          <w:sz w:val="24"/>
          <w:szCs w:val="24"/>
        </w:rPr>
        <w:t>a</w:t>
      </w:r>
      <w:r w:rsidRPr="0077348F">
        <w:rPr>
          <w:rFonts w:ascii="Times New Roman" w:hAnsi="Times New Roman" w:cs="Times New Roman"/>
          <w:sz w:val="24"/>
          <w:szCs w:val="24"/>
        </w:rPr>
        <w:t>ger</w:t>
      </w:r>
      <w:r w:rsidR="001C72C8">
        <w:rPr>
          <w:rFonts w:ascii="Times New Roman" w:hAnsi="Times New Roman" w:cs="Times New Roman"/>
          <w:sz w:val="24"/>
          <w:szCs w:val="24"/>
        </w:rPr>
        <w:t>s</w:t>
      </w:r>
      <w:r w:rsidRPr="0077348F">
        <w:rPr>
          <w:rFonts w:ascii="Times New Roman" w:hAnsi="Times New Roman" w:cs="Times New Roman"/>
          <w:sz w:val="24"/>
          <w:szCs w:val="24"/>
        </w:rPr>
        <w:t xml:space="preserve"> performance of ICB,AIMS,RELIANCE  mutual funds. It also administrated by collecting secondary data. As I collected all the information on the basis of annual report of mutual funds and DSE official homepage, so the data source is from secondary source. Here I have used different ratios analysis for measuring of fund managers performance.</w:t>
      </w:r>
      <w:r w:rsidR="0046279F" w:rsidRPr="0077348F">
        <w:rPr>
          <w:rFonts w:ascii="Times New Roman" w:hAnsi="Times New Roman" w:cs="Times New Roman"/>
          <w:sz w:val="24"/>
          <w:szCs w:val="24"/>
        </w:rPr>
        <w:t xml:space="preserve"> To evaluate the performance of ICB,AIMS,RELIANCE mutual funds manager for taking their investment decision, I will try to gaining the manager decision making system.</w:t>
      </w:r>
      <w:bookmarkEnd w:id="10"/>
      <w:bookmarkEnd w:id="11"/>
      <w:bookmarkEnd w:id="12"/>
    </w:p>
    <w:p w:rsidR="0002795D" w:rsidRPr="0077348F" w:rsidRDefault="00BC3B51" w:rsidP="004B7285">
      <w:pPr>
        <w:spacing w:line="360" w:lineRule="auto"/>
        <w:jc w:val="both"/>
        <w:rPr>
          <w:rFonts w:ascii="Times New Roman" w:hAnsi="Times New Roman" w:cs="Times New Roman"/>
          <w:b/>
          <w:sz w:val="24"/>
          <w:szCs w:val="24"/>
        </w:rPr>
      </w:pPr>
      <w:r w:rsidRPr="0077348F">
        <w:rPr>
          <w:rFonts w:ascii="Times New Roman" w:hAnsi="Times New Roman" w:cs="Times New Roman"/>
          <w:b/>
          <w:sz w:val="24"/>
          <w:szCs w:val="24"/>
        </w:rPr>
        <w:t>Secondary Data:</w:t>
      </w:r>
    </w:p>
    <w:p w:rsidR="0002795D" w:rsidRPr="0077348F" w:rsidRDefault="0002795D" w:rsidP="004B7285">
      <w:pPr>
        <w:spacing w:line="360" w:lineRule="auto"/>
        <w:jc w:val="both"/>
        <w:rPr>
          <w:rFonts w:ascii="Times New Roman" w:hAnsi="Times New Roman" w:cs="Times New Roman"/>
          <w:sz w:val="24"/>
          <w:szCs w:val="24"/>
        </w:rPr>
      </w:pPr>
      <w:r w:rsidRPr="0077348F">
        <w:rPr>
          <w:rFonts w:ascii="Times New Roman" w:hAnsi="Times New Roman" w:cs="Times New Roman"/>
          <w:sz w:val="24"/>
          <w:szCs w:val="24"/>
        </w:rPr>
        <w:t>This report is mainly based on secondary data. Annual report of mutual funds is mainly concerned for information collecton of this report. This data is collected for the period of five years from 2013 to 2017. Data of industry average are collected from annual report and DSE official homepage</w:t>
      </w:r>
      <w:r w:rsidR="0046279F" w:rsidRPr="0077348F">
        <w:rPr>
          <w:rFonts w:ascii="Times New Roman" w:hAnsi="Times New Roman" w:cs="Times New Roman"/>
          <w:sz w:val="24"/>
          <w:szCs w:val="24"/>
        </w:rPr>
        <w:t>.</w:t>
      </w:r>
    </w:p>
    <w:p w:rsidR="00D10B6F" w:rsidRPr="00DE1470" w:rsidRDefault="00D10B6F" w:rsidP="004B7285">
      <w:pPr>
        <w:spacing w:line="360" w:lineRule="auto"/>
        <w:rPr>
          <w:rFonts w:ascii="Times New Roman" w:hAnsi="Times New Roman" w:cs="Times New Roman"/>
          <w:sz w:val="28"/>
          <w:szCs w:val="24"/>
        </w:rPr>
      </w:pPr>
    </w:p>
    <w:p w:rsidR="00DF54EF" w:rsidRPr="00DE1470" w:rsidRDefault="00DF54EF" w:rsidP="004B7285">
      <w:pPr>
        <w:spacing w:line="360" w:lineRule="auto"/>
        <w:rPr>
          <w:rFonts w:ascii="Times New Roman" w:hAnsi="Times New Roman" w:cs="Times New Roman"/>
          <w:sz w:val="28"/>
          <w:szCs w:val="24"/>
        </w:rPr>
      </w:pPr>
    </w:p>
    <w:p w:rsidR="00395326" w:rsidRPr="00DE1470" w:rsidRDefault="00395326" w:rsidP="004B7285">
      <w:pPr>
        <w:spacing w:line="360" w:lineRule="auto"/>
        <w:rPr>
          <w:rFonts w:ascii="Times New Roman" w:hAnsi="Times New Roman" w:cs="Times New Roman"/>
          <w:sz w:val="28"/>
          <w:szCs w:val="24"/>
        </w:rPr>
      </w:pPr>
    </w:p>
    <w:p w:rsidR="00395326" w:rsidRPr="00DE1470" w:rsidRDefault="00395326" w:rsidP="004B7285">
      <w:pPr>
        <w:spacing w:line="360" w:lineRule="auto"/>
        <w:rPr>
          <w:rFonts w:ascii="Times New Roman" w:hAnsi="Times New Roman" w:cs="Times New Roman"/>
          <w:sz w:val="28"/>
          <w:szCs w:val="24"/>
        </w:rPr>
      </w:pPr>
    </w:p>
    <w:p w:rsidR="00395326" w:rsidRPr="00DE1470" w:rsidRDefault="00395326" w:rsidP="004B7285">
      <w:pPr>
        <w:spacing w:line="360" w:lineRule="auto"/>
        <w:rPr>
          <w:rFonts w:ascii="Times New Roman" w:hAnsi="Times New Roman" w:cs="Times New Roman"/>
          <w:sz w:val="28"/>
          <w:szCs w:val="24"/>
        </w:rPr>
      </w:pPr>
    </w:p>
    <w:p w:rsidR="00DE1470" w:rsidRPr="00DE1470" w:rsidRDefault="00DE1470" w:rsidP="004B7285">
      <w:pPr>
        <w:spacing w:line="360" w:lineRule="auto"/>
        <w:rPr>
          <w:rFonts w:ascii="Times New Roman" w:hAnsi="Times New Roman" w:cs="Times New Roman"/>
          <w:sz w:val="28"/>
          <w:szCs w:val="24"/>
        </w:rPr>
      </w:pPr>
    </w:p>
    <w:p w:rsidR="00395326" w:rsidRPr="00DE1470" w:rsidRDefault="00395326" w:rsidP="004B7285">
      <w:pPr>
        <w:pStyle w:val="Heading1"/>
        <w:spacing w:line="360" w:lineRule="auto"/>
        <w:rPr>
          <w:rFonts w:eastAsia="Times New Roman"/>
          <w:w w:val="101"/>
        </w:rPr>
      </w:pPr>
      <w:bookmarkStart w:id="13" w:name="_Toc535797504"/>
      <w:r w:rsidRPr="00DE1470">
        <w:rPr>
          <w:rFonts w:eastAsia="Times New Roman"/>
          <w:w w:val="101"/>
        </w:rPr>
        <w:lastRenderedPageBreak/>
        <w:t>Chapter 2: Overview of Mutual Funds in Bangladesh</w:t>
      </w:r>
      <w:bookmarkEnd w:id="13"/>
    </w:p>
    <w:p w:rsidR="00395326" w:rsidRPr="00DE1470" w:rsidRDefault="00395326" w:rsidP="004B7285">
      <w:pPr>
        <w:pStyle w:val="Heading2"/>
        <w:spacing w:line="360" w:lineRule="auto"/>
        <w:rPr>
          <w:rFonts w:eastAsia="Times New Roman"/>
          <w:w w:val="101"/>
        </w:rPr>
      </w:pPr>
      <w:bookmarkStart w:id="14" w:name="_Toc535797505"/>
      <w:r w:rsidRPr="00DE1470">
        <w:rPr>
          <w:rFonts w:eastAsia="Times New Roman"/>
          <w:w w:val="101"/>
        </w:rPr>
        <w:t>2.1 Historical Background of Mutual Fund in Bangladesh</w:t>
      </w:r>
      <w:bookmarkEnd w:id="14"/>
    </w:p>
    <w:p w:rsidR="00395326" w:rsidRPr="00DE1470" w:rsidRDefault="00395326" w:rsidP="004B7285">
      <w:pPr>
        <w:spacing w:before="93" w:line="360" w:lineRule="auto"/>
        <w:ind w:left="120" w:right="70"/>
        <w:jc w:val="both"/>
        <w:rPr>
          <w:rFonts w:ascii="Times New Roman" w:eastAsia="Times New Roman" w:hAnsi="Times New Roman" w:cs="Times New Roman"/>
          <w:w w:val="101"/>
          <w:sz w:val="24"/>
          <w:szCs w:val="19"/>
        </w:rPr>
      </w:pPr>
      <w:r w:rsidRPr="00DE1470">
        <w:rPr>
          <w:rFonts w:ascii="Times New Roman" w:eastAsia="Times New Roman" w:hAnsi="Times New Roman" w:cs="Times New Roman"/>
          <w:w w:val="101"/>
          <w:sz w:val="24"/>
          <w:szCs w:val="19"/>
        </w:rPr>
        <w:t>Investment Corporation of Bangladesh (ICB) operated by government in 1980 was the first ever Mutual Funds for the purpose of investors and of the capital market. The first private sector to take initiative of organizing a mutual fund was Asset and Investment Management Services of Bangladesh Limited (AIMS) in 1999.</w:t>
      </w:r>
    </w:p>
    <w:p w:rsidR="00395326" w:rsidRPr="00DE1470" w:rsidRDefault="00395326" w:rsidP="004B7285">
      <w:pPr>
        <w:spacing w:before="93" w:line="360" w:lineRule="auto"/>
        <w:ind w:left="720" w:right="70" w:hanging="600"/>
        <w:jc w:val="both"/>
        <w:rPr>
          <w:rFonts w:ascii="Times New Roman" w:eastAsia="Times New Roman" w:hAnsi="Times New Roman" w:cs="Times New Roman"/>
          <w:w w:val="101"/>
          <w:sz w:val="24"/>
          <w:szCs w:val="19"/>
        </w:rPr>
      </w:pPr>
      <w:r w:rsidRPr="00DE1470">
        <w:rPr>
          <w:rFonts w:ascii="Times New Roman" w:eastAsia="Times New Roman" w:hAnsi="Times New Roman" w:cs="Times New Roman"/>
          <w:w w:val="101"/>
          <w:sz w:val="24"/>
          <w:szCs w:val="19"/>
        </w:rPr>
        <w:t xml:space="preserve">Though the mutual fund industry appeared over time there has only been close ended fund since the beginning of the mutual funds. The country’s first ever open-end mutual fund hit market in the first quarter of year 2010, expanding the orbit of stock market and providing share holders a very beneficial use and convenient investing vehicle. The Prime Asset Management Company Limited floats the mutual fund with initial size of Taka 500 million. </w:t>
      </w:r>
    </w:p>
    <w:p w:rsidR="00395326" w:rsidRPr="00DE1470" w:rsidRDefault="00395326" w:rsidP="004B7285">
      <w:pPr>
        <w:spacing w:before="93" w:line="360" w:lineRule="auto"/>
        <w:ind w:left="720" w:right="70" w:hanging="600"/>
        <w:jc w:val="both"/>
        <w:rPr>
          <w:rFonts w:ascii="Times New Roman" w:eastAsia="Times New Roman" w:hAnsi="Times New Roman" w:cs="Times New Roman"/>
          <w:w w:val="101"/>
          <w:sz w:val="24"/>
          <w:szCs w:val="19"/>
        </w:rPr>
      </w:pPr>
      <w:r w:rsidRPr="00DE1470">
        <w:rPr>
          <w:rFonts w:ascii="Times New Roman" w:eastAsia="Times New Roman" w:hAnsi="Times New Roman" w:cs="Times New Roman"/>
          <w:w w:val="101"/>
          <w:sz w:val="24"/>
          <w:szCs w:val="19"/>
        </w:rPr>
        <w:t xml:space="preserve">In this fiscal year total market capitalizations of mutual fund was Taka 3595.5 crore; 32% higher than that of previous fiscal year. In general the investment due to unpredictable in capital market capitalization of mutual fund was comparably lower than other sector. </w:t>
      </w:r>
    </w:p>
    <w:p w:rsidR="00395326" w:rsidRPr="00DE1470" w:rsidRDefault="00395326" w:rsidP="004B7285">
      <w:pPr>
        <w:pStyle w:val="Heading2"/>
        <w:spacing w:line="360" w:lineRule="auto"/>
        <w:rPr>
          <w:rFonts w:eastAsia="Times New Roman"/>
          <w:w w:val="101"/>
        </w:rPr>
      </w:pPr>
      <w:bookmarkStart w:id="15" w:name="_Toc535797506"/>
      <w:r w:rsidRPr="00DE1470">
        <w:rPr>
          <w:rFonts w:eastAsia="Times New Roman"/>
          <w:w w:val="101"/>
        </w:rPr>
        <w:t>2.2 Core objective of Mutual Funds</w:t>
      </w:r>
      <w:bookmarkEnd w:id="15"/>
    </w:p>
    <w:p w:rsidR="00395326" w:rsidRPr="00DE1470" w:rsidRDefault="00395326" w:rsidP="004B7285">
      <w:pPr>
        <w:pStyle w:val="ListParagraph"/>
        <w:numPr>
          <w:ilvl w:val="0"/>
          <w:numId w:val="6"/>
        </w:numPr>
        <w:spacing w:before="93" w:after="200" w:line="360" w:lineRule="auto"/>
        <w:ind w:right="70"/>
        <w:rPr>
          <w:rFonts w:eastAsia="Times New Roman" w:cs="Times New Roman"/>
          <w:w w:val="101"/>
          <w:szCs w:val="19"/>
        </w:rPr>
      </w:pPr>
      <w:r w:rsidRPr="00DE1470">
        <w:rPr>
          <w:rFonts w:eastAsia="Times New Roman" w:cs="Times New Roman"/>
          <w:w w:val="101"/>
          <w:szCs w:val="19"/>
        </w:rPr>
        <w:t>Primary objective: To assess the performance of mutual funds in Bangladesh</w:t>
      </w:r>
    </w:p>
    <w:p w:rsidR="00395326" w:rsidRPr="00DE1470" w:rsidRDefault="00395326" w:rsidP="004B7285">
      <w:pPr>
        <w:pStyle w:val="ListParagraph"/>
        <w:numPr>
          <w:ilvl w:val="0"/>
          <w:numId w:val="6"/>
        </w:numPr>
        <w:spacing w:before="93" w:after="200" w:line="360" w:lineRule="auto"/>
        <w:ind w:right="70"/>
        <w:rPr>
          <w:rFonts w:eastAsia="Times New Roman" w:cs="Times New Roman"/>
          <w:w w:val="101"/>
          <w:szCs w:val="19"/>
        </w:rPr>
      </w:pPr>
      <w:r w:rsidRPr="00DE1470">
        <w:rPr>
          <w:rFonts w:eastAsia="Times New Roman" w:cs="Times New Roman"/>
          <w:w w:val="101"/>
          <w:szCs w:val="19"/>
        </w:rPr>
        <w:t>Sub Objectives: To examine the trends in terms of growth, size and volume of mutual funds.</w:t>
      </w:r>
    </w:p>
    <w:p w:rsidR="00395326" w:rsidRPr="00DE1470" w:rsidRDefault="00395326" w:rsidP="004B7285">
      <w:pPr>
        <w:pStyle w:val="ListParagraph"/>
        <w:numPr>
          <w:ilvl w:val="0"/>
          <w:numId w:val="6"/>
        </w:numPr>
        <w:spacing w:before="93" w:after="200" w:line="360" w:lineRule="auto"/>
        <w:ind w:right="70"/>
        <w:rPr>
          <w:rFonts w:eastAsia="Times New Roman" w:cs="Times New Roman"/>
          <w:w w:val="101"/>
          <w:szCs w:val="19"/>
        </w:rPr>
      </w:pPr>
      <w:r w:rsidRPr="00DE1470">
        <w:rPr>
          <w:rFonts w:eastAsia="Times New Roman" w:cs="Times New Roman"/>
          <w:w w:val="101"/>
          <w:szCs w:val="19"/>
        </w:rPr>
        <w:t>To operate the financial performance of selected mutual funds in Bangladesh.</w:t>
      </w:r>
    </w:p>
    <w:p w:rsidR="00395326" w:rsidRPr="00DE1470" w:rsidRDefault="00395326" w:rsidP="004B7285">
      <w:pPr>
        <w:spacing w:before="93" w:line="360" w:lineRule="auto"/>
        <w:ind w:right="70"/>
        <w:rPr>
          <w:rFonts w:ascii="Times New Roman" w:eastAsia="Times New Roman" w:hAnsi="Times New Roman" w:cs="Times New Roman"/>
          <w:w w:val="101"/>
          <w:sz w:val="24"/>
          <w:szCs w:val="19"/>
        </w:rPr>
      </w:pPr>
    </w:p>
    <w:p w:rsidR="00395326" w:rsidRPr="00DE1470" w:rsidRDefault="00395326" w:rsidP="004B7285">
      <w:pPr>
        <w:pStyle w:val="Heading2"/>
        <w:spacing w:line="360" w:lineRule="auto"/>
        <w:rPr>
          <w:rFonts w:eastAsia="Times New Roman"/>
          <w:w w:val="101"/>
        </w:rPr>
      </w:pPr>
      <w:bookmarkStart w:id="16" w:name="_Toc535797507"/>
      <w:r w:rsidRPr="00DE1470">
        <w:rPr>
          <w:rFonts w:eastAsia="Times New Roman"/>
          <w:w w:val="101"/>
        </w:rPr>
        <w:t>2.3 Types of Mutual Funds in Bangladesh</w:t>
      </w:r>
      <w:bookmarkEnd w:id="16"/>
    </w:p>
    <w:p w:rsidR="00395326" w:rsidRPr="00DE1470" w:rsidRDefault="00395326" w:rsidP="004B7285">
      <w:pPr>
        <w:spacing w:before="93" w:line="360" w:lineRule="auto"/>
        <w:ind w:left="120"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w w:val="101"/>
          <w:sz w:val="24"/>
          <w:szCs w:val="24"/>
        </w:rPr>
        <w:t>Mutual funds are portfolio of different securities such as stocks, bonds, treasuries etc. Mutual fund supply money of both individual and institutional investors allowing the funds to achieve:</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t>Economies of scale by reducing cost and increasing investment returns</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t xml:space="preserve">Divisibility and diversification </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lastRenderedPageBreak/>
        <w:t>Active management with superior stock picking and market timing</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t>Reinvestment of dividends, interest and capital gains</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t xml:space="preserve">Tax – efficiency </w:t>
      </w:r>
    </w:p>
    <w:p w:rsidR="00395326" w:rsidRPr="00DE1470" w:rsidRDefault="00395326" w:rsidP="004B7285">
      <w:pPr>
        <w:pStyle w:val="ListParagraph"/>
        <w:numPr>
          <w:ilvl w:val="0"/>
          <w:numId w:val="7"/>
        </w:numPr>
        <w:spacing w:before="93" w:after="200" w:line="360" w:lineRule="auto"/>
        <w:ind w:right="70"/>
        <w:rPr>
          <w:rFonts w:eastAsia="Times New Roman" w:cs="Times New Roman"/>
          <w:w w:val="101"/>
        </w:rPr>
      </w:pPr>
      <w:r w:rsidRPr="00DE1470">
        <w:rPr>
          <w:rFonts w:eastAsia="Times New Roman" w:cs="Times New Roman"/>
          <w:w w:val="101"/>
        </w:rPr>
        <w:t>Buying and selling flexibility</w:t>
      </w:r>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w w:val="101"/>
          <w:sz w:val="24"/>
          <w:szCs w:val="24"/>
        </w:rPr>
        <w:t>There might be of classification of mutual funds that differs regards of their investment objective underlying portfolios of shares, risks and returns, fees and expenses etc. Mutual funds are professionally handled investment schemes that collect funds from small investors and invest in stocks, bonds, short term money market instruments and other securities. For assuring a diversified portfolio for the investors at much less efforts than through purchasing individual stocks and bonds. There are two types of mutual funds opened and close ended.</w:t>
      </w:r>
    </w:p>
    <w:p w:rsidR="00395326" w:rsidRPr="00DE1470" w:rsidRDefault="00395326" w:rsidP="004B7285">
      <w:pPr>
        <w:pStyle w:val="Heading2"/>
        <w:spacing w:line="360" w:lineRule="auto"/>
        <w:rPr>
          <w:rFonts w:eastAsia="Times New Roman"/>
          <w:w w:val="101"/>
        </w:rPr>
      </w:pPr>
      <w:bookmarkStart w:id="17" w:name="_Toc535797508"/>
      <w:r w:rsidRPr="00DE1470">
        <w:rPr>
          <w:rFonts w:eastAsia="Times New Roman"/>
          <w:w w:val="101"/>
        </w:rPr>
        <w:t>2.3.1 Open ended fund</w:t>
      </w:r>
      <w:bookmarkEnd w:id="17"/>
    </w:p>
    <w:p w:rsidR="00395326" w:rsidRPr="00DE1470" w:rsidRDefault="00395326" w:rsidP="004B7285">
      <w:pPr>
        <w:pStyle w:val="ListParagraph"/>
        <w:numPr>
          <w:ilvl w:val="0"/>
          <w:numId w:val="8"/>
        </w:numPr>
        <w:spacing w:before="93" w:after="200" w:line="360" w:lineRule="auto"/>
        <w:ind w:right="70"/>
        <w:rPr>
          <w:rFonts w:eastAsia="Times New Roman" w:cs="Times New Roman"/>
          <w:w w:val="101"/>
        </w:rPr>
      </w:pPr>
      <w:r w:rsidRPr="00DE1470">
        <w:rPr>
          <w:rFonts w:eastAsia="Times New Roman" w:cs="Times New Roman"/>
          <w:w w:val="101"/>
        </w:rPr>
        <w:t>No restriction on the amount of shares the fund will issue.</w:t>
      </w:r>
    </w:p>
    <w:p w:rsidR="00395326" w:rsidRPr="00DE1470" w:rsidRDefault="00395326" w:rsidP="004B7285">
      <w:pPr>
        <w:pStyle w:val="ListParagraph"/>
        <w:numPr>
          <w:ilvl w:val="0"/>
          <w:numId w:val="8"/>
        </w:numPr>
        <w:spacing w:before="93" w:after="200" w:line="360" w:lineRule="auto"/>
        <w:ind w:right="70"/>
        <w:rPr>
          <w:rFonts w:eastAsia="Times New Roman" w:cs="Times New Roman"/>
          <w:w w:val="101"/>
        </w:rPr>
      </w:pPr>
      <w:r w:rsidRPr="00DE1470">
        <w:rPr>
          <w:rFonts w:eastAsia="Times New Roman" w:cs="Times New Roman"/>
          <w:w w:val="101"/>
        </w:rPr>
        <w:t>Open end funds also buy back shares when investor s wishes to sell.</w:t>
      </w:r>
    </w:p>
    <w:p w:rsidR="00395326" w:rsidRPr="00DE1470" w:rsidRDefault="00395326" w:rsidP="004B7285">
      <w:pPr>
        <w:pStyle w:val="ListParagraph"/>
        <w:numPr>
          <w:ilvl w:val="0"/>
          <w:numId w:val="8"/>
        </w:numPr>
        <w:spacing w:before="93" w:after="200" w:line="360" w:lineRule="auto"/>
        <w:ind w:right="70"/>
        <w:rPr>
          <w:rFonts w:eastAsia="Times New Roman" w:cs="Times New Roman"/>
          <w:w w:val="101"/>
        </w:rPr>
      </w:pPr>
      <w:r w:rsidRPr="00DE1470">
        <w:rPr>
          <w:rFonts w:eastAsia="Times New Roman" w:cs="Times New Roman"/>
          <w:w w:val="101"/>
        </w:rPr>
        <w:t>Fund will vary based on share purchase, share redemptions and fluctuation in market valuation.</w:t>
      </w:r>
    </w:p>
    <w:p w:rsidR="00395326" w:rsidRPr="00DE1470" w:rsidRDefault="00395326" w:rsidP="004B7285">
      <w:pPr>
        <w:pStyle w:val="ListParagraph"/>
        <w:numPr>
          <w:ilvl w:val="0"/>
          <w:numId w:val="8"/>
        </w:numPr>
        <w:spacing w:before="93" w:after="200" w:line="360" w:lineRule="auto"/>
        <w:ind w:right="70"/>
        <w:rPr>
          <w:rFonts w:eastAsia="Times New Roman" w:cs="Times New Roman"/>
          <w:w w:val="101"/>
        </w:rPr>
      </w:pPr>
      <w:r w:rsidRPr="00DE1470">
        <w:rPr>
          <w:rFonts w:eastAsia="Times New Roman" w:cs="Times New Roman"/>
          <w:w w:val="101"/>
        </w:rPr>
        <w:t>The fund will be closed to new investors if it assets become too much.</w:t>
      </w:r>
    </w:p>
    <w:p w:rsidR="00395326" w:rsidRPr="00DE1470" w:rsidRDefault="00395326" w:rsidP="004B7285">
      <w:pPr>
        <w:pStyle w:val="Heading2"/>
        <w:spacing w:line="360" w:lineRule="auto"/>
        <w:rPr>
          <w:rFonts w:eastAsia="Times New Roman"/>
          <w:w w:val="101"/>
        </w:rPr>
      </w:pPr>
      <w:bookmarkStart w:id="18" w:name="_Toc535797509"/>
      <w:r w:rsidRPr="00DE1470">
        <w:rPr>
          <w:rFonts w:eastAsia="Times New Roman"/>
          <w:w w:val="101"/>
        </w:rPr>
        <w:t>2.3.2 Close ended fund</w:t>
      </w:r>
      <w:bookmarkEnd w:id="18"/>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It has stipulated maturity period which generally ranging from 5 to 10 years.</w:t>
      </w:r>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Raises fixed amount of capital ( only once ) through issuing IPO</w:t>
      </w:r>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Publically traded</w:t>
      </w:r>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 xml:space="preserve">Issue fixed amount of share </w:t>
      </w:r>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It is listed and traded like a stock on a stock on a stock exchange</w:t>
      </w:r>
    </w:p>
    <w:p w:rsidR="00395326" w:rsidRPr="00DE1470" w:rsidRDefault="00395326" w:rsidP="004B7285">
      <w:pPr>
        <w:pStyle w:val="ListParagraph"/>
        <w:numPr>
          <w:ilvl w:val="0"/>
          <w:numId w:val="9"/>
        </w:numPr>
        <w:spacing w:before="93" w:after="200" w:line="360" w:lineRule="auto"/>
        <w:ind w:right="70"/>
        <w:rPr>
          <w:rFonts w:eastAsia="Times New Roman" w:cs="Times New Roman"/>
          <w:w w:val="101"/>
        </w:rPr>
      </w:pPr>
      <w:r w:rsidRPr="00DE1470">
        <w:rPr>
          <w:rFonts w:eastAsia="Times New Roman" w:cs="Times New Roman"/>
          <w:w w:val="101"/>
        </w:rPr>
        <w:t>The stock prices of a closed-end fund fluctuate according to market forces as well as the changing values of securities in the fund’s holdings</w:t>
      </w:r>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w w:val="101"/>
          <w:sz w:val="24"/>
          <w:szCs w:val="24"/>
        </w:rPr>
        <w:t>Fund managers who undertake trading of the supplied money and are responsible for managing the portfolio of holdings usually manage mutual funds. Usually mutual funds are organized under the law as companies or business trusts and managed by separate entities. Portfolio fund manager are licensed to operate under Security Exchange Commission (SEC).</w:t>
      </w:r>
    </w:p>
    <w:p w:rsidR="00395326" w:rsidRPr="00DE1470" w:rsidRDefault="00395326" w:rsidP="004B7285">
      <w:pPr>
        <w:pStyle w:val="Heading2"/>
        <w:spacing w:line="360" w:lineRule="auto"/>
        <w:rPr>
          <w:rFonts w:eastAsia="Times New Roman"/>
          <w:w w:val="101"/>
        </w:rPr>
      </w:pPr>
      <w:bookmarkStart w:id="19" w:name="_Toc535797510"/>
      <w:r w:rsidRPr="00DE1470">
        <w:rPr>
          <w:rFonts w:eastAsia="Times New Roman"/>
          <w:w w:val="101"/>
        </w:rPr>
        <w:lastRenderedPageBreak/>
        <w:t>2.3.3 Mutual funds have four-tiered Structure</w:t>
      </w:r>
      <w:bookmarkEnd w:id="19"/>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b/>
          <w:w w:val="101"/>
          <w:sz w:val="24"/>
          <w:szCs w:val="24"/>
        </w:rPr>
        <w:t xml:space="preserve">  Sponsors</w:t>
      </w:r>
      <w:r w:rsidRPr="00DE1470">
        <w:rPr>
          <w:rFonts w:ascii="Times New Roman" w:eastAsia="Times New Roman" w:hAnsi="Times New Roman" w:cs="Times New Roman"/>
          <w:w w:val="101"/>
          <w:sz w:val="24"/>
          <w:szCs w:val="24"/>
        </w:rPr>
        <w:t xml:space="preserve"> – Promote of the company</w:t>
      </w:r>
      <w:r w:rsidR="00731A3E">
        <w:rPr>
          <w:rFonts w:ascii="Times New Roman" w:eastAsia="Times New Roman" w:hAnsi="Times New Roman" w:cs="Times New Roman"/>
          <w:w w:val="101"/>
          <w:sz w:val="24"/>
          <w:szCs w:val="24"/>
        </w:rPr>
        <w:t>.</w:t>
      </w:r>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b/>
          <w:w w:val="101"/>
          <w:sz w:val="24"/>
          <w:szCs w:val="24"/>
        </w:rPr>
        <w:t>Trustees</w:t>
      </w:r>
      <w:r w:rsidRPr="00DE1470">
        <w:rPr>
          <w:rFonts w:ascii="Times New Roman" w:eastAsia="Times New Roman" w:hAnsi="Times New Roman" w:cs="Times New Roman"/>
          <w:w w:val="101"/>
          <w:sz w:val="24"/>
          <w:szCs w:val="24"/>
        </w:rPr>
        <w:t xml:space="preserve"> – They hold the property of the mutual fund for the benefit of the unit holders.</w:t>
      </w:r>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b/>
          <w:w w:val="101"/>
          <w:sz w:val="24"/>
          <w:szCs w:val="24"/>
        </w:rPr>
        <w:t>AMC’s</w:t>
      </w:r>
      <w:r w:rsidRPr="00DE1470">
        <w:rPr>
          <w:rFonts w:ascii="Times New Roman" w:eastAsia="Times New Roman" w:hAnsi="Times New Roman" w:cs="Times New Roman"/>
          <w:w w:val="101"/>
          <w:sz w:val="24"/>
          <w:szCs w:val="24"/>
        </w:rPr>
        <w:t xml:space="preserve"> – Asset Management Companies ( AMCs) are authorized to act as issue and portfolio manager of the mutual funds which are issued under SEC ( Mutual Fund ) Rules 2001. There are 1</w:t>
      </w:r>
      <w:r w:rsidR="007D586A">
        <w:rPr>
          <w:rFonts w:ascii="Times New Roman" w:eastAsia="Times New Roman" w:hAnsi="Times New Roman" w:cs="Times New Roman"/>
          <w:w w:val="101"/>
          <w:sz w:val="24"/>
          <w:szCs w:val="24"/>
        </w:rPr>
        <w:t>9 AMCs in Bangladesh at present.</w:t>
      </w:r>
    </w:p>
    <w:p w:rsidR="00395326" w:rsidRPr="00DE1470" w:rsidRDefault="00395326" w:rsidP="004B7285">
      <w:pPr>
        <w:spacing w:before="93" w:line="360" w:lineRule="auto"/>
        <w:ind w:right="70"/>
        <w:jc w:val="both"/>
        <w:rPr>
          <w:rFonts w:ascii="Times New Roman" w:eastAsia="Times New Roman" w:hAnsi="Times New Roman" w:cs="Times New Roman"/>
          <w:w w:val="101"/>
          <w:sz w:val="24"/>
          <w:szCs w:val="24"/>
        </w:rPr>
      </w:pPr>
      <w:r w:rsidRPr="00DE1470">
        <w:rPr>
          <w:rFonts w:ascii="Times New Roman" w:eastAsia="Times New Roman" w:hAnsi="Times New Roman" w:cs="Times New Roman"/>
          <w:b/>
          <w:w w:val="101"/>
          <w:sz w:val="24"/>
          <w:szCs w:val="24"/>
        </w:rPr>
        <w:t>Custodian</w:t>
      </w:r>
      <w:r w:rsidRPr="00DE1470">
        <w:rPr>
          <w:rFonts w:ascii="Times New Roman" w:eastAsia="Times New Roman" w:hAnsi="Times New Roman" w:cs="Times New Roman"/>
          <w:w w:val="101"/>
          <w:sz w:val="24"/>
          <w:szCs w:val="24"/>
        </w:rPr>
        <w:t xml:space="preserve"> – Who is registered with the SEC, holds the securities of various schemes of the fund in its custody.</w:t>
      </w:r>
    </w:p>
    <w:p w:rsidR="002C0FE2" w:rsidRDefault="002C0FE2" w:rsidP="004B7285">
      <w:pPr>
        <w:spacing w:line="360" w:lineRule="auto"/>
        <w:rPr>
          <w:rFonts w:ascii="Times New Roman" w:hAnsi="Times New Roman" w:cs="Times New Roman"/>
          <w:sz w:val="28"/>
          <w:szCs w:val="24"/>
        </w:rPr>
      </w:pPr>
      <w:r>
        <w:rPr>
          <w:rFonts w:ascii="Times New Roman" w:hAnsi="Times New Roman" w:cs="Times New Roman"/>
          <w:b/>
          <w:bCs/>
          <w:sz w:val="28"/>
          <w:szCs w:val="24"/>
        </w:rPr>
        <w:br w:type="page"/>
      </w:r>
    </w:p>
    <w:p w:rsidR="00DE1470" w:rsidRPr="002C0FE2" w:rsidRDefault="002C0FE2" w:rsidP="004B7285">
      <w:pPr>
        <w:pStyle w:val="Heading2"/>
        <w:spacing w:line="360" w:lineRule="auto"/>
        <w:rPr>
          <w:rFonts w:eastAsia="Times New Roman"/>
          <w:w w:val="101"/>
        </w:rPr>
      </w:pPr>
      <w:bookmarkStart w:id="20" w:name="_Toc535797511"/>
      <w:r>
        <w:rPr>
          <w:rFonts w:eastAsia="Times New Roman"/>
          <w:w w:val="101"/>
        </w:rPr>
        <w:lastRenderedPageBreak/>
        <w:t>2.3.4</w:t>
      </w:r>
      <w:r w:rsidR="007159B7" w:rsidRPr="002C0FE2">
        <w:rPr>
          <w:rFonts w:eastAsia="Times New Roman"/>
          <w:w w:val="101"/>
        </w:rPr>
        <w:t>Investment Policy of Mutual Fund</w:t>
      </w:r>
      <w:bookmarkEnd w:id="20"/>
    </w:p>
    <w:p w:rsidR="00DE1470" w:rsidRPr="00DE1470" w:rsidRDefault="00DE1470" w:rsidP="004B7285">
      <w:pPr>
        <w:pStyle w:val="ListParagraph"/>
        <w:spacing w:before="93" w:after="200" w:line="360" w:lineRule="auto"/>
        <w:ind w:left="375" w:right="70"/>
        <w:rPr>
          <w:rFonts w:eastAsia="Times New Roman" w:cs="Times New Roman"/>
          <w:b/>
          <w:w w:val="101"/>
          <w:sz w:val="28"/>
        </w:rPr>
      </w:pPr>
    </w:p>
    <w:p w:rsidR="007159B7" w:rsidRPr="00DE1470" w:rsidRDefault="007159B7" w:rsidP="004B7285">
      <w:pPr>
        <w:pStyle w:val="ListParagraph"/>
        <w:numPr>
          <w:ilvl w:val="0"/>
          <w:numId w:val="11"/>
        </w:numPr>
        <w:spacing w:after="200" w:line="360" w:lineRule="auto"/>
        <w:rPr>
          <w:rFonts w:eastAsia="Times New Roman" w:cs="Times New Roman"/>
        </w:rPr>
      </w:pPr>
      <w:r w:rsidRPr="00DE1470">
        <w:rPr>
          <w:rFonts w:eastAsia="Times New Roman" w:cs="Times New Roman"/>
        </w:rPr>
        <w:t>The fund can invest in “both listed and non-listed securities.</w:t>
      </w:r>
    </w:p>
    <w:p w:rsidR="007159B7" w:rsidRPr="00DE1470" w:rsidRDefault="007159B7" w:rsidP="004B7285">
      <w:pPr>
        <w:pStyle w:val="ListParagraph"/>
        <w:numPr>
          <w:ilvl w:val="0"/>
          <w:numId w:val="11"/>
        </w:numPr>
        <w:spacing w:after="200" w:line="360" w:lineRule="auto"/>
        <w:rPr>
          <w:rFonts w:eastAsia="Times New Roman" w:cs="Times New Roman"/>
        </w:rPr>
      </w:pPr>
      <w:r w:rsidRPr="00DE1470">
        <w:rPr>
          <w:rFonts w:eastAsia="Times New Roman" w:cs="Times New Roman"/>
        </w:rPr>
        <w:t>The Fund can invest in the shares of the companies whose “basic” businesses with the Shariah Law. Although no universal consensus exists among contemporary Shariah scholars on the prohibition of companies, most Shariah boards have advised investment in companies involved in the activities of:</w:t>
      </w:r>
    </w:p>
    <w:p w:rsidR="007159B7" w:rsidRPr="00DE1470" w:rsidRDefault="007159B7" w:rsidP="004B7285">
      <w:pPr>
        <w:pStyle w:val="ListParagraph"/>
        <w:numPr>
          <w:ilvl w:val="0"/>
          <w:numId w:val="13"/>
        </w:numPr>
        <w:spacing w:after="200" w:line="360" w:lineRule="auto"/>
        <w:rPr>
          <w:rFonts w:eastAsia="Times New Roman" w:cs="Times New Roman"/>
        </w:rPr>
      </w:pPr>
      <w:r w:rsidRPr="00DE1470">
        <w:rPr>
          <w:rFonts w:eastAsia="Times New Roman" w:cs="Times New Roman"/>
        </w:rPr>
        <w:t>Conventional banks insurance and leasing companies</w:t>
      </w:r>
    </w:p>
    <w:p w:rsidR="007159B7" w:rsidRPr="00DE1470" w:rsidRDefault="007159B7" w:rsidP="004B7285">
      <w:pPr>
        <w:pStyle w:val="ListParagraph"/>
        <w:numPr>
          <w:ilvl w:val="0"/>
          <w:numId w:val="13"/>
        </w:numPr>
        <w:spacing w:after="200" w:line="360" w:lineRule="auto"/>
        <w:rPr>
          <w:rFonts w:eastAsia="Times New Roman" w:cs="Times New Roman"/>
        </w:rPr>
      </w:pPr>
      <w:r w:rsidRPr="00DE1470">
        <w:rPr>
          <w:rFonts w:eastAsia="Times New Roman" w:cs="Times New Roman"/>
        </w:rPr>
        <w:t>Alcohol</w:t>
      </w:r>
    </w:p>
    <w:p w:rsidR="007159B7" w:rsidRPr="00DE1470" w:rsidRDefault="007159B7" w:rsidP="004B7285">
      <w:pPr>
        <w:pStyle w:val="ListParagraph"/>
        <w:numPr>
          <w:ilvl w:val="0"/>
          <w:numId w:val="13"/>
        </w:numPr>
        <w:spacing w:after="200" w:line="360" w:lineRule="auto"/>
        <w:rPr>
          <w:rFonts w:eastAsia="Times New Roman" w:cs="Times New Roman"/>
        </w:rPr>
      </w:pPr>
      <w:r w:rsidRPr="00DE1470">
        <w:rPr>
          <w:rFonts w:eastAsia="Times New Roman" w:cs="Times New Roman"/>
        </w:rPr>
        <w:t>Pork related products</w:t>
      </w:r>
    </w:p>
    <w:p w:rsidR="007159B7" w:rsidRPr="00DE1470" w:rsidRDefault="007159B7" w:rsidP="004B7285">
      <w:pPr>
        <w:pStyle w:val="ListParagraph"/>
        <w:numPr>
          <w:ilvl w:val="0"/>
          <w:numId w:val="13"/>
        </w:numPr>
        <w:spacing w:after="200" w:line="360" w:lineRule="auto"/>
        <w:rPr>
          <w:rFonts w:eastAsia="Times New Roman" w:cs="Times New Roman"/>
        </w:rPr>
      </w:pPr>
      <w:r w:rsidRPr="00DE1470">
        <w:rPr>
          <w:rFonts w:eastAsia="Times New Roman" w:cs="Times New Roman"/>
        </w:rPr>
        <w:t>Weapons and defense and</w:t>
      </w:r>
    </w:p>
    <w:p w:rsidR="007159B7" w:rsidRPr="00DE1470" w:rsidRDefault="007159B7" w:rsidP="004B7285">
      <w:pPr>
        <w:pStyle w:val="ListParagraph"/>
        <w:numPr>
          <w:ilvl w:val="0"/>
          <w:numId w:val="13"/>
        </w:numPr>
        <w:spacing w:after="200" w:line="360" w:lineRule="auto"/>
        <w:rPr>
          <w:rFonts w:eastAsia="Times New Roman" w:cs="Times New Roman"/>
        </w:rPr>
      </w:pPr>
      <w:r w:rsidRPr="00DE1470">
        <w:rPr>
          <w:rFonts w:eastAsia="Times New Roman" w:cs="Times New Roman"/>
        </w:rPr>
        <w:t>Entertainment (Hotels, casinos/gambling, cinema, pornography, music etc.)</w:t>
      </w:r>
    </w:p>
    <w:p w:rsidR="007159B7" w:rsidRPr="00DE1470" w:rsidRDefault="007159B7" w:rsidP="004B7285">
      <w:pPr>
        <w:pStyle w:val="ListParagraph"/>
        <w:numPr>
          <w:ilvl w:val="0"/>
          <w:numId w:val="11"/>
        </w:numPr>
        <w:spacing w:after="200" w:line="360" w:lineRule="auto"/>
        <w:rPr>
          <w:rFonts w:eastAsia="Times New Roman" w:cs="Times New Roman"/>
        </w:rPr>
      </w:pPr>
      <w:r w:rsidRPr="00DE1470">
        <w:rPr>
          <w:rFonts w:eastAsia="Times New Roman" w:cs="Times New Roman"/>
        </w:rPr>
        <w:t>After screening out companies with unacceptable primary business activities as mentioned on top the Fund may invest in shares of other companies if</w:t>
      </w:r>
    </w:p>
    <w:p w:rsidR="007159B7" w:rsidRPr="00DE1470" w:rsidRDefault="007159B7" w:rsidP="004B7285">
      <w:pPr>
        <w:pStyle w:val="ListParagraph"/>
        <w:spacing w:line="360" w:lineRule="auto"/>
        <w:rPr>
          <w:rFonts w:eastAsia="Times New Roman" w:cs="Times New Roman"/>
        </w:rPr>
      </w:pPr>
    </w:p>
    <w:p w:rsidR="007159B7" w:rsidRPr="00DE1470" w:rsidRDefault="007159B7" w:rsidP="004B7285">
      <w:pPr>
        <w:pStyle w:val="ListParagraph"/>
        <w:numPr>
          <w:ilvl w:val="0"/>
          <w:numId w:val="14"/>
        </w:numPr>
        <w:spacing w:after="200" w:line="360" w:lineRule="auto"/>
        <w:rPr>
          <w:rFonts w:eastAsia="Times New Roman" w:cs="Times New Roman"/>
        </w:rPr>
      </w:pPr>
      <w:r w:rsidRPr="00DE1470">
        <w:rPr>
          <w:rFonts w:eastAsia="Times New Roman" w:cs="Times New Roman"/>
        </w:rPr>
        <w:t xml:space="preserve">The total debt of the investee company is equal to or less than 33% of the trailing 12 month mode market capitalization of the company </w:t>
      </w:r>
    </w:p>
    <w:p w:rsidR="007159B7" w:rsidRPr="00DE1470" w:rsidRDefault="007159B7" w:rsidP="004B7285">
      <w:pPr>
        <w:pStyle w:val="ListParagraph"/>
        <w:numPr>
          <w:ilvl w:val="0"/>
          <w:numId w:val="14"/>
        </w:numPr>
        <w:spacing w:after="200" w:line="360" w:lineRule="auto"/>
        <w:rPr>
          <w:rFonts w:eastAsia="Times New Roman" w:cs="Times New Roman"/>
        </w:rPr>
      </w:pPr>
      <w:r w:rsidRPr="00DE1470">
        <w:rPr>
          <w:rFonts w:eastAsia="Times New Roman" w:cs="Times New Roman"/>
        </w:rPr>
        <w:t>The sum of cash or interest bearing securities of the investee companies is less than or equal to 33% of the trailing 12 month mean market capitalization of the company</w:t>
      </w:r>
    </w:p>
    <w:p w:rsidR="007159B7" w:rsidRPr="00DE1470" w:rsidRDefault="007159B7" w:rsidP="004B7285">
      <w:pPr>
        <w:pStyle w:val="ListParagraph"/>
        <w:numPr>
          <w:ilvl w:val="0"/>
          <w:numId w:val="14"/>
        </w:numPr>
        <w:spacing w:after="200" w:line="360" w:lineRule="auto"/>
        <w:rPr>
          <w:rFonts w:eastAsia="Times New Roman" w:cs="Times New Roman"/>
        </w:rPr>
      </w:pPr>
      <w:r w:rsidRPr="00DE1470">
        <w:rPr>
          <w:rFonts w:eastAsia="Times New Roman" w:cs="Times New Roman"/>
        </w:rPr>
        <w:t>The account receivable is minimum or equal to 45% of the total value of the company.</w:t>
      </w:r>
    </w:p>
    <w:p w:rsidR="007159B7" w:rsidRPr="00DE1470" w:rsidRDefault="007159B7" w:rsidP="004B7285">
      <w:pPr>
        <w:spacing w:line="360" w:lineRule="auto"/>
        <w:jc w:val="both"/>
        <w:rPr>
          <w:rFonts w:ascii="Times New Roman" w:eastAsia="Times New Roman" w:hAnsi="Times New Roman" w:cs="Times New Roman"/>
          <w:sz w:val="24"/>
          <w:szCs w:val="24"/>
        </w:rPr>
      </w:pPr>
    </w:p>
    <w:p w:rsidR="007159B7" w:rsidRPr="00DE1470" w:rsidRDefault="007159B7" w:rsidP="004B7285">
      <w:pPr>
        <w:pStyle w:val="ListParagraph"/>
        <w:numPr>
          <w:ilvl w:val="0"/>
          <w:numId w:val="11"/>
        </w:numPr>
        <w:spacing w:after="200" w:line="360" w:lineRule="auto"/>
        <w:rPr>
          <w:rFonts w:eastAsia="Times New Roman" w:cs="Times New Roman"/>
        </w:rPr>
      </w:pPr>
      <w:r w:rsidRPr="00DE1470">
        <w:rPr>
          <w:rFonts w:eastAsia="Times New Roman" w:cs="Times New Roman"/>
        </w:rPr>
        <w:t>The Fund may also invest and operate in other  Shariah compliant instruments as and when they are available for investment, specifically:</w:t>
      </w:r>
    </w:p>
    <w:p w:rsidR="007159B7" w:rsidRPr="00DE1470" w:rsidRDefault="007159B7" w:rsidP="004B7285">
      <w:pPr>
        <w:pStyle w:val="ListParagraph"/>
        <w:spacing w:line="360" w:lineRule="auto"/>
        <w:rPr>
          <w:rFonts w:eastAsia="Times New Roman" w:cs="Times New Roman"/>
        </w:rPr>
      </w:pPr>
    </w:p>
    <w:p w:rsidR="007159B7" w:rsidRPr="00DE1470" w:rsidRDefault="007159B7" w:rsidP="004B7285">
      <w:pPr>
        <w:pStyle w:val="ListParagraph"/>
        <w:numPr>
          <w:ilvl w:val="0"/>
          <w:numId w:val="15"/>
        </w:numPr>
        <w:spacing w:after="200" w:line="360" w:lineRule="auto"/>
        <w:rPr>
          <w:rFonts w:eastAsia="Times New Roman" w:cs="Times New Roman"/>
        </w:rPr>
      </w:pPr>
      <w:r w:rsidRPr="00DE1470">
        <w:rPr>
          <w:rFonts w:eastAsia="Times New Roman" w:cs="Times New Roman"/>
        </w:rPr>
        <w:t xml:space="preserve">In participation term certificates, mudaraba certificates , musharika, murabaha term finance certificates and all other asset backed securities </w:t>
      </w:r>
    </w:p>
    <w:p w:rsidR="007159B7" w:rsidRPr="00DE1470" w:rsidRDefault="007159B7" w:rsidP="004B7285">
      <w:pPr>
        <w:pStyle w:val="ListParagraph"/>
        <w:numPr>
          <w:ilvl w:val="0"/>
          <w:numId w:val="15"/>
        </w:numPr>
        <w:spacing w:after="200" w:line="360" w:lineRule="auto"/>
        <w:rPr>
          <w:rFonts w:eastAsia="Times New Roman" w:cs="Times New Roman"/>
        </w:rPr>
      </w:pPr>
      <w:r w:rsidRPr="00DE1470">
        <w:rPr>
          <w:rFonts w:eastAsia="Times New Roman" w:cs="Times New Roman"/>
        </w:rPr>
        <w:lastRenderedPageBreak/>
        <w:t>In contracts , securities or instruments of companies , organization and establishment issued on the principal of  Bai’Mu’ajjal, Bai’ Salam, Istisna’a, Mudaraba, Murabaha and Musharika</w:t>
      </w:r>
    </w:p>
    <w:p w:rsidR="007159B7" w:rsidRPr="00DE1470" w:rsidRDefault="007159B7" w:rsidP="004B7285">
      <w:pPr>
        <w:pStyle w:val="ListParagraph"/>
        <w:numPr>
          <w:ilvl w:val="0"/>
          <w:numId w:val="15"/>
        </w:numPr>
        <w:spacing w:after="200" w:line="360" w:lineRule="auto"/>
        <w:rPr>
          <w:rFonts w:eastAsia="Times New Roman" w:cs="Times New Roman"/>
        </w:rPr>
      </w:pPr>
      <w:r w:rsidRPr="00DE1470">
        <w:rPr>
          <w:rFonts w:eastAsia="Times New Roman" w:cs="Times New Roman"/>
        </w:rPr>
        <w:t xml:space="preserve">In the form of Riba-free cash deposits with Islamic Bank or financial institutions with the object of maintain the sufficient liquidity to meet the daily requirement and to take facilities of suitable investment opportunities when the arise, The fund will not involve in option trading or short selling or carry forward transactions. </w:t>
      </w:r>
    </w:p>
    <w:p w:rsidR="00395326" w:rsidRDefault="00395326" w:rsidP="004B7285">
      <w:pPr>
        <w:spacing w:line="360" w:lineRule="auto"/>
        <w:jc w:val="both"/>
        <w:rPr>
          <w:rFonts w:ascii="Times New Roman" w:hAnsi="Times New Roman" w:cs="Times New Roman"/>
          <w:sz w:val="28"/>
          <w:szCs w:val="24"/>
        </w:rPr>
      </w:pPr>
    </w:p>
    <w:p w:rsidR="00DE1470" w:rsidRPr="00DE1470" w:rsidRDefault="00DE1470" w:rsidP="004B7285">
      <w:pPr>
        <w:spacing w:line="360" w:lineRule="auto"/>
        <w:jc w:val="both"/>
        <w:rPr>
          <w:rFonts w:ascii="Times New Roman" w:hAnsi="Times New Roman" w:cs="Times New Roman"/>
          <w:sz w:val="28"/>
          <w:szCs w:val="24"/>
        </w:rPr>
      </w:pPr>
    </w:p>
    <w:p w:rsidR="00DE1470" w:rsidRPr="00DE1470" w:rsidRDefault="00DE1470" w:rsidP="004B7285">
      <w:pPr>
        <w:spacing w:line="360" w:lineRule="auto"/>
        <w:jc w:val="both"/>
        <w:rPr>
          <w:rFonts w:ascii="Times New Roman" w:hAnsi="Times New Roman" w:cs="Times New Roman"/>
          <w:b/>
        </w:rPr>
      </w:pPr>
      <w:r w:rsidRPr="00DE1470">
        <w:rPr>
          <w:rFonts w:ascii="Times New Roman" w:hAnsi="Times New Roman" w:cs="Times New Roman"/>
          <w:b/>
        </w:rPr>
        <w:t xml:space="preserve">Investment restriction as per Securities and Exchange Commission (Mutual Fund) Bidhimala 2001 </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Money to be collected under the Fund will be invested in cashable /transferable securities whether in capital market privately placed debentures, preferential shares or securitized debts and assets.</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Not less than 75% of the total assets of the fund will be invested in capital market</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Not more than 25% of the total assets of the fund will be invested in fixed income Securities (FIS).</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The total assets of the fund will be invested in pre-IPOs at one time is not more than 15%.</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All investment will be providing in the name of the fund.</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The fund will not purchase its own unit</w:t>
      </w:r>
      <w:r w:rsidR="004C077C">
        <w:rPr>
          <w:rFonts w:cs="Times New Roman"/>
        </w:rPr>
        <w:t>.</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Not more than 10% of the fund will invest of its total assets in any one particular company’s shares/debentures.</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The fund will not more than 15% of any company’s paid-up capital</w:t>
      </w:r>
      <w:r w:rsidR="004C077C">
        <w:rPr>
          <w:rFonts w:cs="Times New Roman"/>
        </w:rPr>
        <w:t>.</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The fund will not invest more than 20% of</w:t>
      </w:r>
      <w:r w:rsidR="004C077C">
        <w:rPr>
          <w:rFonts w:cs="Times New Roman"/>
        </w:rPr>
        <w:t xml:space="preserve"> the fund in shares, debentures.</w:t>
      </w:r>
    </w:p>
    <w:p w:rsidR="00DE1470" w:rsidRPr="00DE1470" w:rsidRDefault="00DE1470" w:rsidP="004B7285">
      <w:pPr>
        <w:pStyle w:val="ListParagraph"/>
        <w:numPr>
          <w:ilvl w:val="0"/>
          <w:numId w:val="16"/>
        </w:numPr>
        <w:tabs>
          <w:tab w:val="left" w:pos="1345"/>
        </w:tabs>
        <w:spacing w:after="200" w:line="360" w:lineRule="auto"/>
        <w:rPr>
          <w:rFonts w:cs="Times New Roman"/>
        </w:rPr>
      </w:pPr>
      <w:r w:rsidRPr="00DE1470">
        <w:rPr>
          <w:rFonts w:cs="Times New Roman"/>
        </w:rPr>
        <w:t xml:space="preserve">Total assets of the fund will not invest more than 25% in shares, debentures or other securities in any one industry.   </w:t>
      </w:r>
    </w:p>
    <w:p w:rsidR="00395326" w:rsidRDefault="00395326" w:rsidP="004B7285">
      <w:pPr>
        <w:spacing w:line="360" w:lineRule="auto"/>
        <w:rPr>
          <w:rFonts w:ascii="Times New Roman" w:hAnsi="Times New Roman" w:cs="Times New Roman"/>
          <w:sz w:val="28"/>
          <w:szCs w:val="24"/>
        </w:rPr>
      </w:pPr>
    </w:p>
    <w:p w:rsidR="002371D1" w:rsidRPr="002371D1" w:rsidRDefault="002371D1" w:rsidP="004B7285">
      <w:pPr>
        <w:spacing w:line="360" w:lineRule="auto"/>
        <w:jc w:val="both"/>
        <w:rPr>
          <w:rFonts w:ascii="Times New Roman" w:hAnsi="Times New Roman" w:cs="Times New Roman"/>
          <w:b/>
          <w:sz w:val="28"/>
          <w:szCs w:val="24"/>
        </w:rPr>
      </w:pPr>
      <w:r w:rsidRPr="002371D1">
        <w:rPr>
          <w:rFonts w:ascii="Times New Roman" w:hAnsi="Times New Roman" w:cs="Times New Roman"/>
          <w:b/>
          <w:sz w:val="28"/>
          <w:szCs w:val="24"/>
        </w:rPr>
        <w:lastRenderedPageBreak/>
        <w:t>2.5. Risk of Mutual Funds</w:t>
      </w:r>
    </w:p>
    <w:p w:rsidR="002371D1" w:rsidRDefault="002371D1"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Level of risk in a Mutual Fund depends on what it invests in. Generally, the higher the potential returns, the high</w:t>
      </w:r>
      <w:r w:rsidR="00520610">
        <w:rPr>
          <w:rFonts w:ascii="Times New Roman" w:hAnsi="Times New Roman" w:cs="Times New Roman"/>
          <w:sz w:val="24"/>
          <w:szCs w:val="24"/>
        </w:rPr>
        <w:t>er the risk will be. For instance</w:t>
      </w:r>
      <w:r>
        <w:rPr>
          <w:rFonts w:ascii="Times New Roman" w:hAnsi="Times New Roman" w:cs="Times New Roman"/>
          <w:sz w:val="24"/>
          <w:szCs w:val="24"/>
        </w:rPr>
        <w:t>, stocks are usually riskier than bonds, so an equity fund tends to be riskier than a fixed income fund.</w:t>
      </w:r>
    </w:p>
    <w:p w:rsidR="002371D1" w:rsidRDefault="002371D1"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Few specialty mutual funds focus on certain kinds of investments, like as emerging markets, try to generate a higher return. </w:t>
      </w:r>
      <w:r w:rsidR="004556B6">
        <w:rPr>
          <w:rFonts w:ascii="Times New Roman" w:hAnsi="Times New Roman" w:cs="Times New Roman"/>
          <w:sz w:val="24"/>
          <w:szCs w:val="24"/>
        </w:rPr>
        <w:t>These types of funds also tend to have a greater risk of a larger drop in value</w:t>
      </w:r>
    </w:p>
    <w:tbl>
      <w:tblPr>
        <w:tblStyle w:val="TableGrid"/>
        <w:tblW w:w="0" w:type="auto"/>
        <w:tblLook w:val="04A0" w:firstRow="1" w:lastRow="0" w:firstColumn="1" w:lastColumn="0" w:noHBand="0" w:noVBand="1"/>
      </w:tblPr>
      <w:tblGrid>
        <w:gridCol w:w="648"/>
        <w:gridCol w:w="2610"/>
        <w:gridCol w:w="2970"/>
        <w:gridCol w:w="3348"/>
      </w:tblGrid>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p>
        </w:tc>
        <w:tc>
          <w:tcPr>
            <w:tcW w:w="2610"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Type of risk</w:t>
            </w:r>
          </w:p>
        </w:tc>
        <w:tc>
          <w:tcPr>
            <w:tcW w:w="2970"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Type of investment affected</w:t>
            </w:r>
          </w:p>
        </w:tc>
        <w:tc>
          <w:tcPr>
            <w:tcW w:w="33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How the fund could lose money</w:t>
            </w:r>
          </w:p>
        </w:tc>
      </w:tr>
      <w:tr w:rsidR="004652BD" w:rsidTr="004652BD">
        <w:tc>
          <w:tcPr>
            <w:tcW w:w="648" w:type="dxa"/>
          </w:tcPr>
          <w:p w:rsidR="004652BD" w:rsidRPr="004652BD" w:rsidRDefault="004652BD" w:rsidP="004B7285">
            <w:pPr>
              <w:pStyle w:val="ListParagraph"/>
              <w:numPr>
                <w:ilvl w:val="0"/>
                <w:numId w:val="17"/>
              </w:numPr>
              <w:spacing w:line="360" w:lineRule="auto"/>
              <w:rPr>
                <w:rFonts w:cs="Times New Roman"/>
              </w:rPr>
            </w:pPr>
          </w:p>
        </w:tc>
        <w:tc>
          <w:tcPr>
            <w:tcW w:w="2610"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Market Risk</w:t>
            </w:r>
          </w:p>
        </w:tc>
        <w:tc>
          <w:tcPr>
            <w:tcW w:w="2970"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All types</w:t>
            </w:r>
          </w:p>
        </w:tc>
        <w:tc>
          <w:tcPr>
            <w:tcW w:w="33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its investments fall because of unavoidable risks that affect the entire market.</w:t>
            </w:r>
          </w:p>
        </w:tc>
      </w:tr>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261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Liquidity Risk</w:t>
            </w:r>
          </w:p>
        </w:tc>
        <w:tc>
          <w:tcPr>
            <w:tcW w:w="297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All types</w:t>
            </w:r>
          </w:p>
        </w:tc>
        <w:tc>
          <w:tcPr>
            <w:tcW w:w="33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fund can’t sell investments that are declining in value because there are no buyers. </w:t>
            </w:r>
          </w:p>
        </w:tc>
      </w:tr>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p>
        </w:tc>
        <w:tc>
          <w:tcPr>
            <w:tcW w:w="261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Credit Risk</w:t>
            </w:r>
          </w:p>
        </w:tc>
        <w:tc>
          <w:tcPr>
            <w:tcW w:w="297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Fixed income securities</w:t>
            </w:r>
          </w:p>
        </w:tc>
        <w:tc>
          <w:tcPr>
            <w:tcW w:w="33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If a bond issuer can’t repay a bond, it may end up being a worthless investment.</w:t>
            </w:r>
          </w:p>
        </w:tc>
      </w:tr>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iv.</w:t>
            </w:r>
          </w:p>
        </w:tc>
        <w:tc>
          <w:tcPr>
            <w:tcW w:w="261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Interest Rate Risk</w:t>
            </w:r>
          </w:p>
        </w:tc>
        <w:tc>
          <w:tcPr>
            <w:tcW w:w="297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Fixed income securities</w:t>
            </w:r>
          </w:p>
        </w:tc>
        <w:tc>
          <w:tcPr>
            <w:tcW w:w="3348"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fixed income securities generally falls when interest rate increase.</w:t>
            </w:r>
          </w:p>
        </w:tc>
      </w:tr>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v.</w:t>
            </w:r>
          </w:p>
        </w:tc>
        <w:tc>
          <w:tcPr>
            <w:tcW w:w="261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Country Risk</w:t>
            </w:r>
          </w:p>
        </w:tc>
        <w:tc>
          <w:tcPr>
            <w:tcW w:w="297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Foreign investments</w:t>
            </w:r>
          </w:p>
        </w:tc>
        <w:tc>
          <w:tcPr>
            <w:tcW w:w="3348"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value of a foreign investment declines because of a political changes or unrest or instability in the country where the investment was issued. </w:t>
            </w:r>
          </w:p>
        </w:tc>
      </w:tr>
      <w:tr w:rsidR="004652BD" w:rsidTr="004652BD">
        <w:tc>
          <w:tcPr>
            <w:tcW w:w="648" w:type="dxa"/>
          </w:tcPr>
          <w:p w:rsidR="004652BD" w:rsidRDefault="004652B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vi.</w:t>
            </w:r>
          </w:p>
        </w:tc>
        <w:tc>
          <w:tcPr>
            <w:tcW w:w="261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Currency Risk</w:t>
            </w:r>
          </w:p>
        </w:tc>
        <w:tc>
          <w:tcPr>
            <w:tcW w:w="2970"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Investments denominated in a currency other than the Canadian dollar</w:t>
            </w:r>
          </w:p>
        </w:tc>
        <w:tc>
          <w:tcPr>
            <w:tcW w:w="3348" w:type="dxa"/>
          </w:tcPr>
          <w:p w:rsidR="004652BD" w:rsidRDefault="00BE4B5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If the other currency declines against the dollar, the investment will lose value.</w:t>
            </w:r>
          </w:p>
        </w:tc>
      </w:tr>
    </w:tbl>
    <w:p w:rsidR="004652BD" w:rsidRDefault="004652BD" w:rsidP="004B7285">
      <w:pPr>
        <w:spacing w:line="360" w:lineRule="auto"/>
        <w:jc w:val="both"/>
        <w:rPr>
          <w:rFonts w:ascii="Times New Roman" w:hAnsi="Times New Roman" w:cs="Times New Roman"/>
          <w:sz w:val="24"/>
          <w:szCs w:val="24"/>
        </w:rPr>
      </w:pPr>
    </w:p>
    <w:p w:rsidR="00DB1B5F" w:rsidRDefault="00A4640D"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Depending upon the fund’s objectives mutual funds invest in various</w:t>
      </w:r>
      <w:r w:rsidR="00DB1B5F">
        <w:rPr>
          <w:rFonts w:ascii="Times New Roman" w:hAnsi="Times New Roman" w:cs="Times New Roman"/>
          <w:sz w:val="24"/>
          <w:szCs w:val="24"/>
        </w:rPr>
        <w:t xml:space="preserve"> securities like st</w:t>
      </w:r>
      <w:r>
        <w:rPr>
          <w:rFonts w:ascii="Times New Roman" w:hAnsi="Times New Roman" w:cs="Times New Roman"/>
          <w:sz w:val="24"/>
          <w:szCs w:val="24"/>
        </w:rPr>
        <w:t>ocks or fixed income securities</w:t>
      </w:r>
      <w:r w:rsidR="00DB1B5F">
        <w:rPr>
          <w:rFonts w:ascii="Times New Roman" w:hAnsi="Times New Roman" w:cs="Times New Roman"/>
          <w:sz w:val="24"/>
          <w:szCs w:val="24"/>
        </w:rPr>
        <w:t xml:space="preserve">. As a return, different schemes have verities risks depending on the downward portfolio. The value of an </w:t>
      </w:r>
      <w:r w:rsidR="00E87CD4">
        <w:rPr>
          <w:rFonts w:ascii="Times New Roman" w:hAnsi="Times New Roman" w:cs="Times New Roman"/>
          <w:sz w:val="24"/>
          <w:szCs w:val="24"/>
        </w:rPr>
        <w:t xml:space="preserve">investment may decline over a period of time because of income alterations or other events that play a vital impact on the overall market. Also, the Govt. may come up with new regulations, which may affect a particular industry or types of industries. The performance of Mutual Fund as well as the role of manager influences by all these factors.  </w:t>
      </w:r>
    </w:p>
    <w:p w:rsidR="00395326" w:rsidRDefault="00395326" w:rsidP="004B7285">
      <w:pPr>
        <w:spacing w:line="360" w:lineRule="auto"/>
        <w:jc w:val="both"/>
        <w:rPr>
          <w:rFonts w:ascii="Times New Roman" w:hAnsi="Times New Roman" w:cs="Times New Roman"/>
          <w:sz w:val="24"/>
          <w:szCs w:val="24"/>
        </w:rPr>
      </w:pPr>
    </w:p>
    <w:p w:rsidR="0006088B" w:rsidRDefault="0006088B" w:rsidP="004B7285">
      <w:pPr>
        <w:spacing w:line="360" w:lineRule="auto"/>
        <w:jc w:val="both"/>
        <w:rPr>
          <w:rFonts w:ascii="Times New Roman" w:hAnsi="Times New Roman" w:cs="Times New Roman"/>
          <w:sz w:val="24"/>
          <w:szCs w:val="24"/>
        </w:rPr>
      </w:pPr>
    </w:p>
    <w:p w:rsidR="0006088B" w:rsidRDefault="0006088B" w:rsidP="004B7285">
      <w:pPr>
        <w:spacing w:line="360" w:lineRule="auto"/>
        <w:jc w:val="both"/>
        <w:rPr>
          <w:rFonts w:ascii="Times New Roman" w:hAnsi="Times New Roman" w:cs="Times New Roman"/>
          <w:sz w:val="24"/>
          <w:szCs w:val="24"/>
        </w:rPr>
      </w:pPr>
    </w:p>
    <w:p w:rsidR="0006088B" w:rsidRDefault="0006088B" w:rsidP="004B7285">
      <w:pPr>
        <w:spacing w:line="360" w:lineRule="auto"/>
        <w:rPr>
          <w:rFonts w:ascii="Times New Roman" w:hAnsi="Times New Roman" w:cs="Times New Roman"/>
          <w:sz w:val="24"/>
          <w:szCs w:val="24"/>
        </w:rPr>
      </w:pPr>
    </w:p>
    <w:p w:rsidR="0006088B" w:rsidRDefault="0006088B" w:rsidP="004B7285">
      <w:pPr>
        <w:spacing w:line="360" w:lineRule="auto"/>
        <w:rPr>
          <w:rFonts w:ascii="Times New Roman" w:hAnsi="Times New Roman" w:cs="Times New Roman"/>
          <w:sz w:val="24"/>
          <w:szCs w:val="24"/>
        </w:rPr>
      </w:pPr>
    </w:p>
    <w:p w:rsidR="0006088B" w:rsidRPr="002371D1" w:rsidRDefault="0006088B" w:rsidP="004B7285">
      <w:pPr>
        <w:spacing w:line="360" w:lineRule="auto"/>
        <w:rPr>
          <w:rFonts w:ascii="Times New Roman" w:hAnsi="Times New Roman" w:cs="Times New Roman"/>
          <w:sz w:val="24"/>
          <w:szCs w:val="24"/>
        </w:rPr>
      </w:pPr>
    </w:p>
    <w:p w:rsidR="003F1E8C" w:rsidRPr="00DE1470" w:rsidRDefault="003F1E8C" w:rsidP="004B7285">
      <w:pPr>
        <w:pStyle w:val="Heading1"/>
        <w:spacing w:line="360" w:lineRule="auto"/>
      </w:pPr>
      <w:bookmarkStart w:id="21" w:name="_Toc535797512"/>
      <w:r w:rsidRPr="00DE1470">
        <w:t>Chapter: 3</w:t>
      </w:r>
      <w:bookmarkEnd w:id="21"/>
    </w:p>
    <w:p w:rsidR="003F1E8C" w:rsidRPr="00DE1470" w:rsidRDefault="003F1E8C" w:rsidP="004B7285">
      <w:pPr>
        <w:pStyle w:val="Heading2"/>
        <w:spacing w:line="360" w:lineRule="auto"/>
      </w:pPr>
      <w:bookmarkStart w:id="22" w:name="_Toc535797513"/>
      <w:r w:rsidRPr="00DE1470">
        <w:t>Duties / performance of mutual funds manager:</w:t>
      </w:r>
      <w:bookmarkEnd w:id="22"/>
    </w:p>
    <w:p w:rsidR="003F1E8C" w:rsidRPr="00A71BA9" w:rsidRDefault="003F1E8C" w:rsidP="004B7285">
      <w:pPr>
        <w:spacing w:line="360" w:lineRule="auto"/>
        <w:jc w:val="both"/>
        <w:rPr>
          <w:rFonts w:ascii="Times New Roman" w:hAnsi="Times New Roman" w:cs="Times New Roman"/>
          <w:b/>
          <w:sz w:val="24"/>
          <w:szCs w:val="24"/>
        </w:rPr>
      </w:pPr>
      <w:r w:rsidRPr="00A71BA9">
        <w:rPr>
          <w:rFonts w:ascii="Times New Roman" w:hAnsi="Times New Roman" w:cs="Times New Roman"/>
          <w:sz w:val="24"/>
          <w:szCs w:val="24"/>
        </w:rPr>
        <w:t>A fund manager is a person who can observe the functioning and performance of the mutual fund company. Actually these profiles are highly in demand and require sound knowledge of equity and debt markets. Fund manager are accountable for working a consistent investment strategy that surface the goal and objectives of the funds. Normally fund manager observe the market and economic conditions and analysis the securities in order to make informed investment decision.</w:t>
      </w:r>
    </w:p>
    <w:p w:rsidR="003F1E8C" w:rsidRPr="00DE1470" w:rsidRDefault="003F1E8C" w:rsidP="004B7285">
      <w:pPr>
        <w:pStyle w:val="Heading2"/>
        <w:spacing w:line="360" w:lineRule="auto"/>
      </w:pPr>
      <w:bookmarkStart w:id="23" w:name="_Toc535797514"/>
      <w:r w:rsidRPr="00DE1470">
        <w:t>3.1 Role of as a manager:</w:t>
      </w:r>
      <w:bookmarkEnd w:id="23"/>
    </w:p>
    <w:p w:rsidR="003F1E8C" w:rsidRPr="00A71BA9" w:rsidRDefault="003F1E8C" w:rsidP="004B7285">
      <w:pPr>
        <w:spacing w:line="360" w:lineRule="auto"/>
        <w:rPr>
          <w:rFonts w:ascii="Times New Roman" w:hAnsi="Times New Roman" w:cs="Times New Roman"/>
          <w:sz w:val="24"/>
          <w:szCs w:val="24"/>
        </w:rPr>
      </w:pPr>
      <w:r w:rsidRPr="00A71BA9">
        <w:rPr>
          <w:rFonts w:ascii="Times New Roman" w:hAnsi="Times New Roman" w:cs="Times New Roman"/>
          <w:sz w:val="24"/>
          <w:szCs w:val="24"/>
        </w:rPr>
        <w:t xml:space="preserve">As an investor, when he picks to invest in a mutual fund, it folds up structure a portfolio of securities. It is the role of fund manager whose decision based on research and analysis; make the decision equipment to buying and selling. Portfolio can be active or passive. If portfolio is passively organized, it is based on established data and the devices are chosen by keeping in underling data. In case of an actively managed portfolio, the fund manager chooses the part of </w:t>
      </w:r>
      <w:r w:rsidRPr="00A71BA9">
        <w:rPr>
          <w:rFonts w:ascii="Times New Roman" w:hAnsi="Times New Roman" w:cs="Times New Roman"/>
          <w:sz w:val="24"/>
          <w:szCs w:val="24"/>
        </w:rPr>
        <w:lastRenderedPageBreak/>
        <w:t>the portfolio. These fund managers play a conclusive role in the performance of active mutual fund. The fund manager can play a good performance in front of active mutual fund.</w:t>
      </w:r>
    </w:p>
    <w:p w:rsidR="003F1E8C" w:rsidRPr="00DE1470" w:rsidRDefault="003F1E8C" w:rsidP="004B7285">
      <w:pPr>
        <w:pStyle w:val="Heading3"/>
        <w:spacing w:line="360" w:lineRule="auto"/>
      </w:pPr>
      <w:bookmarkStart w:id="24" w:name="_Toc535797515"/>
      <w:r w:rsidRPr="00DE1470">
        <w:t>3.2 Duties of a fund manager:</w:t>
      </w:r>
      <w:bookmarkEnd w:id="24"/>
    </w:p>
    <w:p w:rsidR="003F1E8C" w:rsidRPr="00A71BA9" w:rsidRDefault="003F1E8C" w:rsidP="004B7285">
      <w:pPr>
        <w:spacing w:line="360" w:lineRule="auto"/>
        <w:jc w:val="both"/>
        <w:rPr>
          <w:rFonts w:ascii="Times New Roman" w:hAnsi="Times New Roman" w:cs="Times New Roman"/>
          <w:sz w:val="24"/>
          <w:szCs w:val="24"/>
        </w:rPr>
      </w:pPr>
      <w:r w:rsidRPr="00A71BA9">
        <w:rPr>
          <w:rFonts w:ascii="Times New Roman" w:hAnsi="Times New Roman" w:cs="Times New Roman"/>
          <w:sz w:val="24"/>
          <w:szCs w:val="24"/>
        </w:rPr>
        <w:t>A mutual fund manager must have some duties that can fulfill of his commitment. Actually fund manager research and determine the best stock, bonds, or other securities to fit the strategy of the fund then buy and sell them. Some other responsibilities of fund manager rule include preparing report how well fund performance. Specific some requirements are given below,</w:t>
      </w:r>
    </w:p>
    <w:p w:rsidR="00DE1470" w:rsidRDefault="003F1E8C" w:rsidP="004B7285">
      <w:pPr>
        <w:pStyle w:val="ListParagraph"/>
        <w:numPr>
          <w:ilvl w:val="0"/>
          <w:numId w:val="10"/>
        </w:numPr>
        <w:spacing w:after="200" w:line="360" w:lineRule="auto"/>
        <w:jc w:val="left"/>
        <w:rPr>
          <w:rFonts w:cs="Times New Roman"/>
        </w:rPr>
      </w:pPr>
      <w:r w:rsidRPr="00DE1470">
        <w:rPr>
          <w:rFonts w:cs="Times New Roman"/>
          <w:b/>
        </w:rPr>
        <w:t>Meeting the reporting requirements</w:t>
      </w:r>
      <w:r w:rsidRPr="00DE1470">
        <w:rPr>
          <w:rFonts w:cs="Times New Roman"/>
        </w:rPr>
        <w:t>:</w:t>
      </w:r>
    </w:p>
    <w:p w:rsidR="003F1E8C" w:rsidRDefault="003F1E8C" w:rsidP="004B7285">
      <w:pPr>
        <w:pStyle w:val="ListParagraph"/>
        <w:spacing w:after="200" w:line="360" w:lineRule="auto"/>
        <w:rPr>
          <w:rFonts w:cs="Times New Roman"/>
        </w:rPr>
      </w:pPr>
      <w:r w:rsidRPr="00DE1470">
        <w:rPr>
          <w:rFonts w:cs="Times New Roman"/>
        </w:rPr>
        <w:t xml:space="preserve"> Mutual fund manager have to design funds caring in mind the reporting standards as per the regulatory guidelines. The buildings of a fund take into account the objectives of the investor overall planning, risks, expenses and various policies. Fund manager are consequences for ensuring that the investors are conscious and abide by these details rules. It is also answerable of fund manager to make sure that all the documents are equipped on time and in order with laws and regulations.</w:t>
      </w:r>
    </w:p>
    <w:p w:rsidR="00DE1470" w:rsidRPr="00DE1470" w:rsidRDefault="00DE1470" w:rsidP="004B7285">
      <w:pPr>
        <w:pStyle w:val="ListParagraph"/>
        <w:spacing w:after="200" w:line="360" w:lineRule="auto"/>
        <w:jc w:val="left"/>
        <w:rPr>
          <w:rFonts w:cs="Times New Roman"/>
        </w:rPr>
      </w:pPr>
    </w:p>
    <w:p w:rsidR="00DE1470" w:rsidRPr="00DE1470" w:rsidRDefault="003F1E8C" w:rsidP="004B7285">
      <w:pPr>
        <w:pStyle w:val="ListParagraph"/>
        <w:numPr>
          <w:ilvl w:val="0"/>
          <w:numId w:val="10"/>
        </w:numPr>
        <w:spacing w:after="200" w:line="360" w:lineRule="auto"/>
        <w:jc w:val="left"/>
        <w:rPr>
          <w:rFonts w:cs="Times New Roman"/>
        </w:rPr>
      </w:pPr>
      <w:r w:rsidRPr="00DE1470">
        <w:rPr>
          <w:rFonts w:cs="Times New Roman"/>
          <w:b/>
        </w:rPr>
        <w:t>Comply with regulatory authorities:</w:t>
      </w:r>
    </w:p>
    <w:p w:rsidR="003F1E8C" w:rsidRPr="00A71BA9" w:rsidRDefault="00DE1470" w:rsidP="004B7285">
      <w:pPr>
        <w:pStyle w:val="ListParagraph"/>
        <w:spacing w:after="200" w:line="360" w:lineRule="auto"/>
        <w:rPr>
          <w:rFonts w:cs="Times New Roman"/>
        </w:rPr>
      </w:pPr>
      <w:r w:rsidRPr="00A71BA9">
        <w:rPr>
          <w:rFonts w:cs="Times New Roman"/>
        </w:rPr>
        <w:t>T</w:t>
      </w:r>
      <w:r w:rsidR="003F1E8C" w:rsidRPr="00A71BA9">
        <w:rPr>
          <w:rFonts w:cs="Times New Roman"/>
        </w:rPr>
        <w:t xml:space="preserve">he functions of the funds must occur in line with the rules set out by Bangladesh Dhaka stock exchange limited. These regulations cover all aspects </w:t>
      </w:r>
      <w:r w:rsidRPr="00A71BA9">
        <w:rPr>
          <w:rFonts w:cs="Times New Roman"/>
        </w:rPr>
        <w:t>starting from signing clients for</w:t>
      </w:r>
      <w:r w:rsidR="003F1E8C" w:rsidRPr="00A71BA9">
        <w:rPr>
          <w:rFonts w:cs="Times New Roman"/>
        </w:rPr>
        <w:t xml:space="preserve"> manipulating the redemptions. Funds manager are responsible to legislators, and investor in the case noncompliance.</w:t>
      </w:r>
    </w:p>
    <w:p w:rsidR="00DE1470" w:rsidRPr="00DE1470" w:rsidRDefault="00DE1470" w:rsidP="004B7285">
      <w:pPr>
        <w:pStyle w:val="ListParagraph"/>
        <w:spacing w:after="200" w:line="360" w:lineRule="auto"/>
        <w:jc w:val="left"/>
        <w:rPr>
          <w:rFonts w:cs="Times New Roman"/>
        </w:rPr>
      </w:pPr>
    </w:p>
    <w:p w:rsidR="00DE1470" w:rsidRDefault="003F1E8C" w:rsidP="004B7285">
      <w:pPr>
        <w:pStyle w:val="ListParagraph"/>
        <w:numPr>
          <w:ilvl w:val="0"/>
          <w:numId w:val="10"/>
        </w:numPr>
        <w:spacing w:after="200" w:line="360" w:lineRule="auto"/>
        <w:jc w:val="left"/>
        <w:rPr>
          <w:rFonts w:cs="Times New Roman"/>
        </w:rPr>
      </w:pPr>
      <w:r w:rsidRPr="00DE1470">
        <w:rPr>
          <w:rFonts w:cs="Times New Roman"/>
          <w:b/>
        </w:rPr>
        <w:t>Protection of wealth:</w:t>
      </w:r>
    </w:p>
    <w:p w:rsidR="003F1E8C" w:rsidRDefault="00DE1470" w:rsidP="004B7285">
      <w:pPr>
        <w:pStyle w:val="ListParagraph"/>
        <w:spacing w:after="200" w:line="360" w:lineRule="auto"/>
        <w:rPr>
          <w:rFonts w:cs="Times New Roman"/>
        </w:rPr>
      </w:pPr>
      <w:r>
        <w:rPr>
          <w:rFonts w:cs="Times New Roman"/>
        </w:rPr>
        <w:t>I</w:t>
      </w:r>
      <w:r w:rsidR="003F1E8C" w:rsidRPr="00DE1470">
        <w:rPr>
          <w:rFonts w:cs="Times New Roman"/>
        </w:rPr>
        <w:t xml:space="preserve">t is the duty of fund manager to protect the wealth and money of the investor. It is a given that funds subject to some risks to generate returns and to grow, but they must not subjected to reckless risk taking. The decision of fund manager with regards to the buying or selling o f asset must be done post extensive research and due diligence that can involve investigating companies asset. The fund manager must have to ensure that addresses risk are sufficiently diversified in asset portfolios. </w:t>
      </w:r>
    </w:p>
    <w:p w:rsidR="00DE1470" w:rsidRPr="00DE1470" w:rsidRDefault="00DE1470" w:rsidP="004B7285">
      <w:pPr>
        <w:pStyle w:val="ListParagraph"/>
        <w:spacing w:after="200" w:line="360" w:lineRule="auto"/>
        <w:jc w:val="left"/>
        <w:rPr>
          <w:rFonts w:cs="Times New Roman"/>
        </w:rPr>
      </w:pPr>
    </w:p>
    <w:p w:rsidR="00DE1470" w:rsidRDefault="003F1E8C" w:rsidP="004B7285">
      <w:pPr>
        <w:pStyle w:val="ListParagraph"/>
        <w:numPr>
          <w:ilvl w:val="0"/>
          <w:numId w:val="10"/>
        </w:numPr>
        <w:spacing w:after="200" w:line="360" w:lineRule="auto"/>
        <w:jc w:val="left"/>
        <w:rPr>
          <w:rFonts w:cs="Times New Roman"/>
        </w:rPr>
      </w:pPr>
      <w:r w:rsidRPr="00DE1470">
        <w:rPr>
          <w:rFonts w:cs="Times New Roman"/>
          <w:b/>
        </w:rPr>
        <w:t>Monitor the growth and performance of the fund:</w:t>
      </w:r>
    </w:p>
    <w:p w:rsidR="003F1E8C" w:rsidRDefault="003F1E8C" w:rsidP="004B7285">
      <w:pPr>
        <w:pStyle w:val="ListParagraph"/>
        <w:spacing w:after="200" w:line="360" w:lineRule="auto"/>
        <w:rPr>
          <w:rFonts w:cs="Times New Roman"/>
        </w:rPr>
      </w:pPr>
      <w:r w:rsidRPr="00DE1470">
        <w:rPr>
          <w:rFonts w:cs="Times New Roman"/>
        </w:rPr>
        <w:lastRenderedPageBreak/>
        <w:t xml:space="preserve">The choice of where to invest is the fund is call and this judgment governed by regulation and the expectation and existence of the investors. The fund manager are judged based on how excellence there funds perform and how they assist growth that above the interest and inflation. The </w:t>
      </w:r>
      <w:r w:rsidR="00DE1470" w:rsidRPr="00DE1470">
        <w:rPr>
          <w:rFonts w:cs="Times New Roman"/>
        </w:rPr>
        <w:t xml:space="preserve">rate of inflation </w:t>
      </w:r>
      <w:r w:rsidR="00DE1470">
        <w:rPr>
          <w:rFonts w:cs="Times New Roman"/>
        </w:rPr>
        <w:t>to justify the risk of invests</w:t>
      </w:r>
      <w:r w:rsidRPr="00DE1470">
        <w:rPr>
          <w:rFonts w:cs="Times New Roman"/>
        </w:rPr>
        <w:t>.</w:t>
      </w:r>
    </w:p>
    <w:p w:rsidR="00DE1470" w:rsidRPr="00DE1470" w:rsidRDefault="00DE1470" w:rsidP="004B7285">
      <w:pPr>
        <w:pStyle w:val="ListParagraph"/>
        <w:spacing w:after="200" w:line="360" w:lineRule="auto"/>
        <w:jc w:val="left"/>
        <w:rPr>
          <w:rFonts w:cs="Times New Roman"/>
        </w:rPr>
      </w:pPr>
    </w:p>
    <w:p w:rsidR="00DE1470" w:rsidRDefault="003F1E8C" w:rsidP="004B7285">
      <w:pPr>
        <w:pStyle w:val="ListParagraph"/>
        <w:numPr>
          <w:ilvl w:val="0"/>
          <w:numId w:val="10"/>
        </w:numPr>
        <w:spacing w:after="200" w:line="360" w:lineRule="auto"/>
        <w:jc w:val="left"/>
        <w:rPr>
          <w:rFonts w:cs="Times New Roman"/>
        </w:rPr>
      </w:pPr>
      <w:r w:rsidRPr="00DE1470">
        <w:rPr>
          <w:rFonts w:cs="Times New Roman"/>
          <w:b/>
        </w:rPr>
        <w:t>Oversight and Hiring:</w:t>
      </w:r>
    </w:p>
    <w:p w:rsidR="003F1E8C" w:rsidRPr="00DE1470" w:rsidRDefault="003F1E8C" w:rsidP="004B7285">
      <w:pPr>
        <w:pStyle w:val="ListParagraph"/>
        <w:spacing w:after="200" w:line="360" w:lineRule="auto"/>
        <w:rPr>
          <w:rFonts w:cs="Times New Roman"/>
        </w:rPr>
      </w:pPr>
      <w:r w:rsidRPr="00DE1470">
        <w:rPr>
          <w:rFonts w:cs="Times New Roman"/>
        </w:rPr>
        <w:t xml:space="preserve">With so many responsibility of fund manager needs assistance. Fund manager would have hire and oversee staffs and some outsource for certain duties from the other professionals and firms. This could have helped the manager to pass along task such as negotiating with brokers arouses interest capital and annual reports. For outsourcing fund manager can shift some regulatory responsibility to third parties but ultimately fund managers are still answerable for the outcome of their funds.  </w:t>
      </w:r>
    </w:p>
    <w:p w:rsidR="002C0FE2" w:rsidRDefault="002C0FE2" w:rsidP="004B7285">
      <w:pPr>
        <w:spacing w:line="360" w:lineRule="auto"/>
        <w:rPr>
          <w:rFonts w:ascii="Times New Roman" w:hAnsi="Times New Roman" w:cs="Times New Roman"/>
          <w:sz w:val="28"/>
          <w:szCs w:val="24"/>
        </w:rPr>
      </w:pPr>
      <w:r>
        <w:rPr>
          <w:rFonts w:ascii="Times New Roman" w:hAnsi="Times New Roman" w:cs="Times New Roman"/>
          <w:sz w:val="28"/>
          <w:szCs w:val="24"/>
        </w:rPr>
        <w:br w:type="page"/>
      </w:r>
    </w:p>
    <w:p w:rsidR="001002FF" w:rsidRDefault="005A069C" w:rsidP="004B7285">
      <w:pPr>
        <w:pStyle w:val="Heading1"/>
        <w:spacing w:line="360" w:lineRule="auto"/>
        <w:rPr>
          <w:sz w:val="24"/>
          <w:szCs w:val="24"/>
        </w:rPr>
      </w:pPr>
      <w:bookmarkStart w:id="25" w:name="_Toc535797516"/>
      <w:r>
        <w:lastRenderedPageBreak/>
        <w:t>Chapter 4: P</w:t>
      </w:r>
      <w:r w:rsidR="001002FF">
        <w:t>erformance evaluation of ICB, AIMS &amp; REALIANCE fund managers</w:t>
      </w:r>
      <w:r w:rsidR="001002FF">
        <w:rPr>
          <w:sz w:val="24"/>
          <w:szCs w:val="24"/>
        </w:rPr>
        <w:t>.</w:t>
      </w:r>
      <w:bookmarkEnd w:id="25"/>
    </w:p>
    <w:p w:rsidR="001002FF" w:rsidRPr="002C0FE2" w:rsidRDefault="001002FF" w:rsidP="004B7285">
      <w:pPr>
        <w:pStyle w:val="Heading2"/>
        <w:spacing w:line="360" w:lineRule="auto"/>
        <w:jc w:val="both"/>
        <w:rPr>
          <w:sz w:val="36"/>
        </w:rPr>
      </w:pPr>
      <w:bookmarkStart w:id="26" w:name="_Toc535797517"/>
      <w:r w:rsidRPr="002C0FE2">
        <w:rPr>
          <w:sz w:val="36"/>
        </w:rPr>
        <w:t>Reliance one</w:t>
      </w:r>
      <w:bookmarkEnd w:id="26"/>
    </w:p>
    <w:tbl>
      <w:tblPr>
        <w:tblW w:w="8440" w:type="dxa"/>
        <w:tblInd w:w="103" w:type="dxa"/>
        <w:tblLook w:val="04A0" w:firstRow="1" w:lastRow="0" w:firstColumn="1" w:lastColumn="0" w:noHBand="0" w:noVBand="1"/>
      </w:tblPr>
      <w:tblGrid>
        <w:gridCol w:w="3004"/>
        <w:gridCol w:w="1341"/>
        <w:gridCol w:w="1282"/>
        <w:gridCol w:w="1282"/>
        <w:gridCol w:w="1282"/>
        <w:gridCol w:w="1282"/>
      </w:tblGrid>
      <w:tr w:rsidR="001002FF" w:rsidTr="001002FF">
        <w:trPr>
          <w:trHeight w:val="300"/>
        </w:trPr>
        <w:tc>
          <w:tcPr>
            <w:tcW w:w="30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Ratios</w:t>
            </w:r>
          </w:p>
        </w:tc>
        <w:tc>
          <w:tcPr>
            <w:tcW w:w="1160" w:type="dxa"/>
            <w:tcBorders>
              <w:top w:val="single" w:sz="4" w:space="0" w:color="auto"/>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2013</w:t>
            </w:r>
          </w:p>
        </w:tc>
        <w:tc>
          <w:tcPr>
            <w:tcW w:w="1060" w:type="dxa"/>
            <w:tcBorders>
              <w:top w:val="single" w:sz="4" w:space="0" w:color="auto"/>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2014</w:t>
            </w:r>
          </w:p>
        </w:tc>
        <w:tc>
          <w:tcPr>
            <w:tcW w:w="1060" w:type="dxa"/>
            <w:tcBorders>
              <w:top w:val="single" w:sz="4" w:space="0" w:color="auto"/>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2015</w:t>
            </w:r>
          </w:p>
        </w:tc>
        <w:tc>
          <w:tcPr>
            <w:tcW w:w="1060" w:type="dxa"/>
            <w:tcBorders>
              <w:top w:val="single" w:sz="4" w:space="0" w:color="auto"/>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2016</w:t>
            </w:r>
          </w:p>
        </w:tc>
        <w:tc>
          <w:tcPr>
            <w:tcW w:w="1060" w:type="dxa"/>
            <w:tcBorders>
              <w:top w:val="single" w:sz="4" w:space="0" w:color="auto"/>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2017</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Assets</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0.08779971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0.109311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0.1080166</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0.0556195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0.0636681</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Dividend Yield Ratio</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14.29</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12.66</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Change in dividend Percentage</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Growth Rate</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14.8899973</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16.304801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0.8442699</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-4.923313</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16.672917</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 asset valuation</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654246865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760920514</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767344737</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729565956</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851205884</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Expense Ratio </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0.01866221</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0.0182273</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0.0186484</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0.0233385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0.0180033</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Price earnings ratio</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12.02</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Dividend Payout Ratio</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0.32994536</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0.82312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0.8791987</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1.3850538</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1.1186176</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Liabilities to Total Asset</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0.00420308</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0.0041508</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0.0117075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0.0266348</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0.021427</w:t>
            </w:r>
          </w:p>
        </w:tc>
      </w:tr>
      <w:tr w:rsidR="001002FF" w:rsidTr="001002FF">
        <w:trPr>
          <w:trHeight w:val="300"/>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 on Equity</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0.0881703</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0.1097666</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0.086977</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0.0571414</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0.0650588</w:t>
            </w:r>
          </w:p>
        </w:tc>
      </w:tr>
      <w:tr w:rsidR="001002FF" w:rsidTr="00575174">
        <w:trPr>
          <w:trHeight w:val="1142"/>
        </w:trPr>
        <w:tc>
          <w:tcPr>
            <w:tcW w:w="3040"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equity to Total Asset</w:t>
            </w:r>
          </w:p>
        </w:tc>
        <w:tc>
          <w:tcPr>
            <w:tcW w:w="11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0.99579692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0.9958492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0.9882925</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0.9733652</w:t>
            </w:r>
          </w:p>
        </w:tc>
        <w:tc>
          <w:tcPr>
            <w:tcW w:w="1060"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0.978573</w:t>
            </w:r>
          </w:p>
        </w:tc>
      </w:tr>
    </w:tbl>
    <w:p w:rsidR="001002FF" w:rsidRDefault="001002FF" w:rsidP="004B7285">
      <w:pPr>
        <w:spacing w:line="360" w:lineRule="auto"/>
        <w:jc w:val="both"/>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 xml:space="preserve"> Return on assets ratio indicates that how much the company gain return by operating their assets. The graph shows that return on asset ratio of Reliance One was best in year 2014 among the 5 years. That means the company got the highest return from the total asset in year 2014.</w:t>
      </w:r>
    </w:p>
    <w:p w:rsidR="007C1F39" w:rsidRDefault="007C1F39"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The overall profitability conditions of the company</w:t>
      </w:r>
      <w:r w:rsidR="000F2EEE">
        <w:rPr>
          <w:rFonts w:ascii="Times New Roman" w:hAnsi="Times New Roman" w:cs="Times New Roman"/>
          <w:sz w:val="24"/>
          <w:szCs w:val="24"/>
        </w:rPr>
        <w:t xml:space="preserve"> is</w:t>
      </w:r>
      <w:r>
        <w:rPr>
          <w:rFonts w:ascii="Times New Roman" w:hAnsi="Times New Roman" w:cs="Times New Roman"/>
          <w:sz w:val="24"/>
          <w:szCs w:val="24"/>
        </w:rPr>
        <w:t xml:space="preserve"> fluctuating. So manager performance on return on asset is not up to the mark. As he could not stabilize the companys profitability.</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Interpretation: </w:t>
      </w:r>
      <w:r>
        <w:rPr>
          <w:rFonts w:ascii="Times New Roman" w:hAnsi="Times New Roman" w:cs="Times New Roman"/>
          <w:sz w:val="24"/>
          <w:szCs w:val="24"/>
        </w:rPr>
        <w:t xml:space="preserve">Dividend yield ratio is the ratio that compares the company’s dividend to its share price. Here, in 2015 reliance one has the higher dividend yield ratio. </w:t>
      </w:r>
    </w:p>
    <w:p w:rsidR="005F213F" w:rsidRDefault="005F213F"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Companie’s dividend yield became lower in 2017 than the previous three years.</w:t>
      </w:r>
    </w:p>
    <w:p w:rsidR="005F213F" w:rsidRDefault="005F213F"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81525" cy="275272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In this graph, we can see that the company has highest dividend percentage in year 2014 and 2015. It means that the company got the more dividends in these two years. </w:t>
      </w:r>
    </w:p>
    <w:p w:rsidR="005F213F" w:rsidRDefault="005F213F" w:rsidP="005F213F">
      <w:pPr>
        <w:spacing w:line="360" w:lineRule="auto"/>
        <w:jc w:val="both"/>
        <w:rPr>
          <w:rFonts w:ascii="Times New Roman" w:hAnsi="Times New Roman" w:cs="Times New Roman"/>
          <w:sz w:val="24"/>
          <w:szCs w:val="24"/>
        </w:rPr>
      </w:pPr>
      <w:r>
        <w:rPr>
          <w:rFonts w:ascii="Times New Roman" w:hAnsi="Times New Roman" w:cs="Times New Roman"/>
          <w:sz w:val="24"/>
          <w:szCs w:val="24"/>
        </w:rPr>
        <w:t>Company was unable to provide any dividend in 2013, but from 2014 they have provided above 10% dividend, which indicates the higher income. As the manager’s prime target should be shareholder profit maximization,so the manager performance up to the mark.</w:t>
      </w:r>
    </w:p>
    <w:p w:rsidR="005F213F" w:rsidRDefault="005F213F"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Growth rate ratio means that in which year company operate overall operations efficiently. Here in 2017 the company has the highest growth rate.</w:t>
      </w:r>
    </w:p>
    <w:p w:rsidR="0080470F" w:rsidRDefault="0080470F"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Fluctuating growth rates that indicates the average performance of the manager.</w:t>
      </w:r>
    </w:p>
    <w:p w:rsidR="001002FF" w:rsidRDefault="001002FF" w:rsidP="004B7285">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81525" cy="275272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02FF" w:rsidRDefault="001002FF" w:rsidP="004B7285">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shd w:val="clear" w:color="auto" w:fill="FFFFFF"/>
        </w:rPr>
        <w:t>Asset valuation is the process of determining the fair market or </w:t>
      </w:r>
      <w:r w:rsidRPr="00A71BA9">
        <w:rPr>
          <w:rFonts w:ascii="Times New Roman" w:hAnsi="Times New Roman" w:cs="Times New Roman"/>
          <w:sz w:val="24"/>
          <w:szCs w:val="24"/>
          <w:shd w:val="clear" w:color="auto" w:fill="FFFFFF"/>
        </w:rPr>
        <w:t>present value</w:t>
      </w:r>
      <w:r>
        <w:rPr>
          <w:rFonts w:ascii="Times New Roman" w:hAnsi="Times New Roman" w:cs="Times New Roman"/>
          <w:sz w:val="24"/>
          <w:szCs w:val="24"/>
          <w:shd w:val="clear" w:color="auto" w:fill="FFFFFF"/>
        </w:rPr>
        <w:t> of assets, using </w:t>
      </w:r>
      <w:r w:rsidRPr="00A71BA9">
        <w:rPr>
          <w:rFonts w:ascii="Times New Roman" w:hAnsi="Times New Roman" w:cs="Times New Roman"/>
          <w:sz w:val="24"/>
          <w:szCs w:val="24"/>
          <w:shd w:val="clear" w:color="auto" w:fill="FFFFFF"/>
        </w:rPr>
        <w:t>book values</w:t>
      </w:r>
      <w:r>
        <w:rPr>
          <w:rFonts w:ascii="Times New Roman" w:hAnsi="Times New Roman" w:cs="Times New Roman"/>
          <w:sz w:val="24"/>
          <w:szCs w:val="24"/>
          <w:shd w:val="clear" w:color="auto" w:fill="FFFFFF"/>
        </w:rPr>
        <w:t>, absolute valuation models like discounted cash flow analysis, option pricing models or comparable. Here in 2017 Reliance one has the highest net asset valuation ratio.</w:t>
      </w:r>
    </w:p>
    <w:p w:rsidR="00E15636" w:rsidRDefault="00E15636" w:rsidP="004B7285">
      <w:pPr>
        <w:spacing w:line="360" w:lineRule="auto"/>
        <w:jc w:val="both"/>
        <w:rPr>
          <w:rFonts w:ascii="Times New Roman" w:hAnsi="Times New Roman" w:cs="Times New Roman"/>
          <w:sz w:val="24"/>
          <w:szCs w:val="24"/>
          <w:shd w:val="clear" w:color="auto" w:fill="FFFFFF"/>
        </w:rPr>
      </w:pPr>
    </w:p>
    <w:p w:rsidR="001002FF" w:rsidRDefault="001002FF" w:rsidP="004B7285">
      <w:pPr>
        <w:spacing w:line="360" w:lineRule="auto"/>
        <w:rPr>
          <w:rFonts w:ascii="Times New Roman" w:hAnsi="Times New Roman" w:cs="Times New Roman"/>
          <w:sz w:val="24"/>
          <w:szCs w:val="24"/>
          <w:shd w:val="clear" w:color="auto" w:fill="FFFFFF"/>
        </w:rPr>
      </w:pPr>
      <w:r>
        <w:rPr>
          <w:rFonts w:ascii="Times New Roman" w:hAnsi="Times New Roman" w:cs="Times New Roman"/>
          <w:noProof/>
          <w:sz w:val="24"/>
          <w:szCs w:val="24"/>
        </w:rPr>
        <w:drawing>
          <wp:inline distT="0" distB="0" distL="0" distR="0">
            <wp:extent cx="4581525" cy="27527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Generally, less expense ratio is better for the company. Here, in 2014 company has the lowest expense ratio. It indicates that in 2014 the company managed their expenses efficiently.</w:t>
      </w:r>
    </w:p>
    <w:p w:rsidR="001F0675" w:rsidRDefault="001F0675"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Less expense ratio of the company indicates greater efficiency of the manager.</w:t>
      </w:r>
    </w:p>
    <w:p w:rsidR="001002FF" w:rsidRDefault="001002FF" w:rsidP="004B7285">
      <w:pPr>
        <w:spacing w:line="360" w:lineRule="auto"/>
        <w:rPr>
          <w:rFonts w:ascii="Times New Roman" w:hAnsi="Times New Roman" w:cs="Times New Roman"/>
          <w:sz w:val="24"/>
          <w:szCs w:val="24"/>
          <w:shd w:val="clear" w:color="auto" w:fill="FFFFFF"/>
        </w:rPr>
      </w:pPr>
      <w:r>
        <w:rPr>
          <w:rFonts w:ascii="Times New Roman" w:hAnsi="Times New Roman" w:cs="Times New Roman"/>
          <w:noProof/>
          <w:sz w:val="24"/>
          <w:szCs w:val="24"/>
        </w:rPr>
        <w:drawing>
          <wp:inline distT="0" distB="0" distL="0" distR="0">
            <wp:extent cx="4581525" cy="27527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E7141" w:rsidRDefault="001002FF" w:rsidP="004B7285">
      <w:pPr>
        <w:spacing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b/>
          <w:sz w:val="24"/>
          <w:szCs w:val="24"/>
          <w:u w:val="single"/>
        </w:rPr>
        <w:lastRenderedPageBreak/>
        <w:t xml:space="preserve">Interpretation: </w:t>
      </w:r>
      <w:r>
        <w:rPr>
          <w:rFonts w:ascii="Times New Roman" w:hAnsi="Times New Roman" w:cs="Times New Roman"/>
          <w:color w:val="111111"/>
          <w:sz w:val="24"/>
          <w:szCs w:val="24"/>
          <w:shd w:val="clear" w:color="auto" w:fill="FFFFFF"/>
        </w:rPr>
        <w:t>The price-earnings ratio (P/E ratio) is the ratio for valuing a company that measures its current share price relative to its per-share earnings. The graph shows that the company obtains highest price- earnings ratio in year 2017.</w:t>
      </w:r>
    </w:p>
    <w:p w:rsidR="004E7141" w:rsidRDefault="004E7141" w:rsidP="004B7285">
      <w:pPr>
        <w:spacing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We can see that from </w:t>
      </w:r>
      <w:r w:rsidR="00773450">
        <w:rPr>
          <w:rFonts w:ascii="Times New Roman" w:hAnsi="Times New Roman" w:cs="Times New Roman"/>
          <w:color w:val="111111"/>
          <w:sz w:val="24"/>
          <w:szCs w:val="24"/>
          <w:shd w:val="clear" w:color="auto" w:fill="FFFFFF"/>
        </w:rPr>
        <w:t xml:space="preserve">2014 price earning ratio has been started increasing that ended up at 12 in 2017. It indicates higher growth rate of the company which reflects the manager’s efficieny in company’s growth rate. </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02FF" w:rsidRDefault="001002FF" w:rsidP="004B728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sz w:val="24"/>
          <w:szCs w:val="24"/>
          <w:u w:val="single"/>
        </w:rPr>
        <w:t xml:space="preserve">Interpretation: </w:t>
      </w:r>
      <w:r>
        <w:rPr>
          <w:rFonts w:ascii="Times New Roman" w:hAnsi="Times New Roman" w:cs="Times New Roman"/>
          <w:color w:val="000000"/>
          <w:sz w:val="24"/>
          <w:szCs w:val="24"/>
          <w:shd w:val="clear" w:color="auto" w:fill="FFFFFF"/>
        </w:rPr>
        <w:t>Dividend payout ratio tells us how much dividends paid out to shareholders from the net income of the company. The more this ratio indicates that the companies have the less common equity. One the</w:t>
      </w:r>
      <w:r w:rsidR="00A76D83">
        <w:rPr>
          <w:rFonts w:ascii="Times New Roman" w:hAnsi="Times New Roman" w:cs="Times New Roman"/>
          <w:color w:val="000000"/>
          <w:sz w:val="24"/>
          <w:szCs w:val="24"/>
          <w:shd w:val="clear" w:color="auto" w:fill="FFFFFF"/>
        </w:rPr>
        <w:t xml:space="preserve"> other</w:t>
      </w:r>
      <w:r>
        <w:rPr>
          <w:rFonts w:ascii="Times New Roman" w:hAnsi="Times New Roman" w:cs="Times New Roman"/>
          <w:color w:val="000000"/>
          <w:sz w:val="24"/>
          <w:szCs w:val="24"/>
          <w:shd w:val="clear" w:color="auto" w:fill="FFFFFF"/>
        </w:rPr>
        <w:t xml:space="preserve"> hand it can be more attractive for the potential shareholders. In year 2016, Reliance one has highest dividend paid. </w:t>
      </w:r>
    </w:p>
    <w:p w:rsidR="00A76D83" w:rsidRDefault="00A76D83" w:rsidP="004B7285">
      <w:pPr>
        <w:spacing w:line="360" w:lineRule="auto"/>
        <w:jc w:val="both"/>
        <w:rPr>
          <w:rFonts w:ascii="Times New Roman" w:hAnsi="Times New Roman" w:cs="Times New Roman"/>
          <w:color w:val="000000"/>
          <w:sz w:val="24"/>
          <w:szCs w:val="24"/>
          <w:shd w:val="clear" w:color="auto" w:fill="FFFFFF"/>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Usually more total assets over the total liabilities are better for the company. Because more total asset leads more healthy company. But sometimes more total asset can be harmful, because it means that the company unable to manage their assets efficiently. Here in 2014 the company has the lower liabilities than total assets.</w:t>
      </w:r>
    </w:p>
    <w:p w:rsidR="00A32D77" w:rsidRDefault="00A32D77" w:rsidP="00A32D77">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the ratio is roaming below 30%  which is low and good for the company, but in last three years it’s been stared increaing that indicates the risk is getting higher. So manager’s performance in risk negotiating is still good, but it seems liitle lower in recent time.</w:t>
      </w:r>
    </w:p>
    <w:p w:rsidR="00A32D77" w:rsidRDefault="00A32D77"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81525" cy="27527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Interpretation: </w:t>
      </w:r>
      <w:r>
        <w:rPr>
          <w:rFonts w:ascii="Times New Roman" w:hAnsi="Times New Roman" w:cs="Times New Roman"/>
          <w:sz w:val="24"/>
          <w:szCs w:val="24"/>
        </w:rPr>
        <w:t xml:space="preserve">Return on equity Ratio indicates that how much the company has gained return by using their total equity. The more of this ratio is better for the company. Here this graph shows that the company gained more return on equity in 2014. This means that in 2014 the company managed their equity more efficiently. </w:t>
      </w:r>
    </w:p>
    <w:p w:rsidR="00D02E1B" w:rsidRDefault="00D02E1B"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The overall profitability conditions of the company is fluctuating. So manager performance on return on equity is not up to the mark. As he could not stabilize the companys profitability.</w:t>
      </w:r>
    </w:p>
    <w:p w:rsidR="00D02E1B" w:rsidRPr="002C0FE2" w:rsidRDefault="00D02E1B" w:rsidP="004B7285">
      <w:pPr>
        <w:spacing w:line="360" w:lineRule="auto"/>
        <w:jc w:val="both"/>
        <w:rPr>
          <w:rFonts w:ascii="Times New Roman" w:hAnsi="Times New Roman" w:cs="Times New Roman"/>
          <w:sz w:val="24"/>
          <w:szCs w:val="24"/>
        </w:rPr>
      </w:pPr>
    </w:p>
    <w:p w:rsidR="001002FF" w:rsidRDefault="00E3788E" w:rsidP="004B7285">
      <w:pPr>
        <w:spacing w:line="360" w:lineRule="auto"/>
        <w:rPr>
          <w:rFonts w:ascii="Times New Roman" w:hAnsi="Times New Roman" w:cs="Times New Roman"/>
          <w:b/>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549910</wp:posOffset>
                </wp:positionH>
                <wp:positionV relativeFrom="paragraph">
                  <wp:posOffset>2448560</wp:posOffset>
                </wp:positionV>
                <wp:extent cx="2736215" cy="266700"/>
                <wp:effectExtent l="0" t="254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576" w:rsidRDefault="00392576" w:rsidP="001002FF">
                            <w:r>
                              <w:t>2013     2014     2015      2016      2017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3pt;margin-top:192.8pt;width:215.4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Jrgw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tMM&#10;I0U64OiBDx5d6wHloTy9cRV43Rvw8wNsA80xVWfuNP3skNI3LVFbfmWt7ltOGISXhZPJ2dERxwWQ&#10;Tf9OM7iG7LyOQENju1A7qAYCdKDp8URNCIXCZj5/NcuzKUYUbPlsNk8jdwmpjqeNdf4N1x0Kkxpb&#10;oD6ik/2d8yEaUh1dwmVOS8HWQsq4sNvNjbRoT0Am6/jFBJ65SRWclQ7HRsRxB4KEO4IthBtp/1Zm&#10;eZFe5+VkPVvMJ8W6mE7KebqYpFl5Xc7Soixu199DgFlRtYIxru6E4kcJZsXfUXxohlE8UYSor3E5&#10;zacjRX9MMo3f75LshIeOlKKr8eLkRKpA7GvFIG1SeSLkOE9+Dj9WGWpw/MeqRBkE5kcN+GEzAErQ&#10;xkazRxCE1cAXsA7PCExabb9i1ENL1th92RHLMZJvFYiqzIoi9HBcFNN5Dgt7btmcW4iiAFVjj9E4&#10;vfFj3++MFdsWbhplrPQVCLERUSNPUR3kC20Xkzk8EaGvz9fR6+khW/0AAAD//wMAUEsDBBQABgAI&#10;AAAAIQCed8r73wAAAAoBAAAPAAAAZHJzL2Rvd25yZXYueG1sTI/BToNAEIbvJr7DZky8GLu0lgUp&#10;Q6MmGq+tfYABtkDKzhJ2W+jbu57sbSbz5Z/vz7ez6cVFj66zjLBcRCA0V7buuEE4/Hw+pyCcJ66p&#10;t6wRrtrBtri/yymr7cQ7fdn7RoQQdhkhtN4PmZSuarUht7CD5nA72tGQD+vYyHqkKYSbXq6iSElD&#10;HYcPLQ36o9XVaX82CMfv6Sl+ncovf0h2a/VOXVLaK+Ljw/y2AeH17P9h+NMP6lAEp9KeuXaiR0iV&#10;CiTCSxqHIQDxMolBlAjrVaJAFrm8rVD8AgAA//8DAFBLAQItABQABgAIAAAAIQC2gziS/gAAAOEB&#10;AAATAAAAAAAAAAAAAAAAAAAAAABbQ29udGVudF9UeXBlc10ueG1sUEsBAi0AFAAGAAgAAAAhADj9&#10;If/WAAAAlAEAAAsAAAAAAAAAAAAAAAAALwEAAF9yZWxzLy5yZWxzUEsBAi0AFAAGAAgAAAAhAHvT&#10;4muDAgAAEAUAAA4AAAAAAAAAAAAAAAAALgIAAGRycy9lMm9Eb2MueG1sUEsBAi0AFAAGAAgAAAAh&#10;AJ53yvvfAAAACgEAAA8AAAAAAAAAAAAAAAAA3QQAAGRycy9kb3ducmV2LnhtbFBLBQYAAAAABAAE&#10;APMAAADpBQAAAAA=&#10;" stroked="f">
                <v:textbox>
                  <w:txbxContent>
                    <w:p w:rsidR="00392576" w:rsidRDefault="00392576" w:rsidP="001002FF">
                      <w:r>
                        <w:t>2013     2014     2015      2016      2017</w:t>
                      </w:r>
                    </w:p>
                  </w:txbxContent>
                </v:textbox>
              </v:shape>
            </w:pict>
          </mc:Fallback>
        </mc:AlternateContent>
      </w:r>
      <w:r w:rsidR="001002FF">
        <w:rPr>
          <w:rFonts w:ascii="Times New Roman" w:hAnsi="Times New Roman" w:cs="Times New Roman"/>
          <w:noProof/>
          <w:sz w:val="24"/>
          <w:szCs w:val="24"/>
        </w:rPr>
        <w:drawing>
          <wp:inline distT="0" distB="0" distL="0" distR="0">
            <wp:extent cx="4581525" cy="27527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This ratio indicates that how much the company has total equity in their total Assets. The more the equity of a company, there is less chance of bankrupt. Here the total equity to total asset ratio of Reliance one was higher in 2014. This means that the company had the highest total equity and fewer obligations in year 2014.</w:t>
      </w:r>
    </w:p>
    <w:p w:rsidR="00C05FD1" w:rsidRDefault="000E3ABF"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the ratio is roaming above 90%  which is high and good for the company, but in la</w:t>
      </w:r>
      <w:r w:rsidR="00E119A9">
        <w:rPr>
          <w:rFonts w:ascii="Times New Roman" w:hAnsi="Times New Roman" w:cs="Times New Roman"/>
          <w:sz w:val="24"/>
          <w:szCs w:val="24"/>
        </w:rPr>
        <w:t>s</w:t>
      </w:r>
      <w:r>
        <w:rPr>
          <w:rFonts w:ascii="Times New Roman" w:hAnsi="Times New Roman" w:cs="Times New Roman"/>
          <w:sz w:val="24"/>
          <w:szCs w:val="24"/>
        </w:rPr>
        <w:t>t three years it’s been stared decreaing that indicatesthe risk is getting higher. So manager’s performance in risk negotiating is still good, but it seems liitle lower in recent time.</w:t>
      </w:r>
    </w:p>
    <w:p w:rsidR="00575174" w:rsidRDefault="00575174" w:rsidP="004B7285">
      <w:pPr>
        <w:spacing w:line="360" w:lineRule="auto"/>
        <w:jc w:val="both"/>
        <w:rPr>
          <w:rFonts w:ascii="Times New Roman" w:hAnsi="Times New Roman" w:cs="Times New Roman"/>
          <w:sz w:val="24"/>
          <w:szCs w:val="24"/>
        </w:rPr>
      </w:pPr>
      <w:r>
        <w:rPr>
          <w:noProof/>
        </w:rPr>
        <w:lastRenderedPageBreak/>
        <w:drawing>
          <wp:inline distT="0" distB="0" distL="0" distR="0">
            <wp:extent cx="45720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2F9C" w:rsidRDefault="00575174" w:rsidP="00575174">
      <w:pPr>
        <w:rPr>
          <w:rFonts w:ascii="Times New Roman" w:hAnsi="Times New Roman" w:cs="Times New Roman"/>
          <w:sz w:val="24"/>
          <w:szCs w:val="24"/>
        </w:rPr>
      </w:pPr>
      <w:r w:rsidRPr="00575174">
        <w:rPr>
          <w:rFonts w:ascii="Times New Roman" w:hAnsi="Times New Roman" w:cs="Times New Roman"/>
          <w:b/>
          <w:sz w:val="24"/>
          <w:szCs w:val="24"/>
        </w:rPr>
        <w:t>Interperation:</w:t>
      </w:r>
      <w:r w:rsidR="00CF3207">
        <w:rPr>
          <w:rFonts w:ascii="Times New Roman" w:hAnsi="Times New Roman" w:cs="Times New Roman"/>
          <w:sz w:val="24"/>
          <w:szCs w:val="24"/>
        </w:rPr>
        <w:t>The price to book ratio compares a companies market value to its book value. When it come to stock valuation, any values under 1.0 is considered undervalued and above 1.0 is overvalued.</w:t>
      </w:r>
    </w:p>
    <w:p w:rsidR="00AC1260" w:rsidRDefault="00B31466" w:rsidP="00B31466">
      <w:pPr>
        <w:rPr>
          <w:rFonts w:ascii="Times New Roman" w:hAnsi="Times New Roman" w:cs="Times New Roman"/>
          <w:sz w:val="24"/>
          <w:szCs w:val="24"/>
        </w:rPr>
      </w:pPr>
      <w:r>
        <w:rPr>
          <w:rFonts w:ascii="Times New Roman" w:hAnsi="Times New Roman" w:cs="Times New Roman"/>
          <w:sz w:val="24"/>
          <w:szCs w:val="24"/>
        </w:rPr>
        <w:t xml:space="preserve">From 2013 to 2017, Reliance continued their market to book value ratio above 1.0 ; maximum point was 1.05 in 2015. </w:t>
      </w:r>
      <w:r w:rsidR="00D73BB6">
        <w:rPr>
          <w:rFonts w:ascii="Times New Roman" w:hAnsi="Times New Roman" w:cs="Times New Roman"/>
          <w:sz w:val="24"/>
          <w:szCs w:val="24"/>
        </w:rPr>
        <w:t>I</w:t>
      </w:r>
      <w:r>
        <w:rPr>
          <w:rFonts w:ascii="Times New Roman" w:hAnsi="Times New Roman" w:cs="Times New Roman"/>
          <w:sz w:val="24"/>
          <w:szCs w:val="24"/>
        </w:rPr>
        <w:t xml:space="preserve">t is slighty overvalued </w:t>
      </w:r>
      <w:r w:rsidR="00D73BB6">
        <w:rPr>
          <w:rFonts w:ascii="Times New Roman" w:hAnsi="Times New Roman" w:cs="Times New Roman"/>
          <w:sz w:val="24"/>
          <w:szCs w:val="24"/>
        </w:rPr>
        <w:t>stock.</w:t>
      </w: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B387C" w:rsidRDefault="00CB387C" w:rsidP="00CB387C">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CE6687" w:rsidRDefault="00CE6687" w:rsidP="00B31466">
      <w:pPr>
        <w:rPr>
          <w:rFonts w:ascii="Times New Roman" w:hAnsi="Times New Roman" w:cs="Times New Roman"/>
          <w:sz w:val="24"/>
          <w:szCs w:val="24"/>
        </w:rPr>
      </w:pPr>
    </w:p>
    <w:p w:rsidR="00E36A4E" w:rsidRDefault="00E36A4E" w:rsidP="00B31466">
      <w:pPr>
        <w:rPr>
          <w:rFonts w:ascii="Times New Roman" w:hAnsi="Times New Roman" w:cs="Times New Roman"/>
          <w:sz w:val="24"/>
          <w:szCs w:val="24"/>
        </w:rPr>
      </w:pPr>
    </w:p>
    <w:p w:rsidR="00CE6687" w:rsidRDefault="00CE6687" w:rsidP="00B31466">
      <w:pPr>
        <w:rPr>
          <w:rFonts w:ascii="Times New Roman" w:hAnsi="Times New Roman" w:cs="Times New Roman"/>
          <w:b/>
          <w:sz w:val="24"/>
          <w:szCs w:val="24"/>
        </w:rPr>
      </w:pPr>
    </w:p>
    <w:p w:rsidR="001002FF" w:rsidRPr="002C0FE2" w:rsidRDefault="001002FF" w:rsidP="004B7285">
      <w:pPr>
        <w:pStyle w:val="Heading2"/>
        <w:spacing w:line="360" w:lineRule="auto"/>
        <w:jc w:val="center"/>
        <w:rPr>
          <w:sz w:val="36"/>
        </w:rPr>
      </w:pPr>
      <w:bookmarkStart w:id="27" w:name="_Toc535797518"/>
      <w:r w:rsidRPr="002C0FE2">
        <w:rPr>
          <w:sz w:val="36"/>
        </w:rPr>
        <w:lastRenderedPageBreak/>
        <w:t>Grameen 1: (under AIMS mutual fund)</w:t>
      </w:r>
      <w:bookmarkEnd w:id="27"/>
    </w:p>
    <w:tbl>
      <w:tblPr>
        <w:tblW w:w="8900" w:type="dxa"/>
        <w:tblInd w:w="103" w:type="dxa"/>
        <w:tblLook w:val="04A0" w:firstRow="1" w:lastRow="0" w:firstColumn="1" w:lastColumn="0" w:noHBand="0" w:noVBand="1"/>
      </w:tblPr>
      <w:tblGrid>
        <w:gridCol w:w="2911"/>
        <w:gridCol w:w="1247"/>
        <w:gridCol w:w="1460"/>
        <w:gridCol w:w="1247"/>
        <w:gridCol w:w="1247"/>
        <w:gridCol w:w="1361"/>
      </w:tblGrid>
      <w:tr w:rsidR="00C41D2D" w:rsidTr="00CF3207">
        <w:trPr>
          <w:trHeight w:val="300"/>
        </w:trPr>
        <w:tc>
          <w:tcPr>
            <w:tcW w:w="3040" w:type="dxa"/>
            <w:tcBorders>
              <w:top w:val="single" w:sz="4" w:space="0" w:color="auto"/>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Ratios</w:t>
            </w:r>
          </w:p>
        </w:tc>
        <w:tc>
          <w:tcPr>
            <w:tcW w:w="1060" w:type="dxa"/>
            <w:tcBorders>
              <w:top w:val="single" w:sz="4" w:space="0" w:color="auto"/>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2011</w:t>
            </w:r>
          </w:p>
        </w:tc>
        <w:tc>
          <w:tcPr>
            <w:tcW w:w="1520" w:type="dxa"/>
            <w:tcBorders>
              <w:top w:val="single" w:sz="4" w:space="0" w:color="auto"/>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2012</w:t>
            </w:r>
          </w:p>
        </w:tc>
        <w:tc>
          <w:tcPr>
            <w:tcW w:w="1060" w:type="dxa"/>
            <w:tcBorders>
              <w:top w:val="single" w:sz="4" w:space="0" w:color="auto"/>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2013</w:t>
            </w:r>
          </w:p>
        </w:tc>
        <w:tc>
          <w:tcPr>
            <w:tcW w:w="1060" w:type="dxa"/>
            <w:tcBorders>
              <w:top w:val="single" w:sz="4" w:space="0" w:color="auto"/>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2014</w:t>
            </w:r>
          </w:p>
        </w:tc>
        <w:tc>
          <w:tcPr>
            <w:tcW w:w="1160" w:type="dxa"/>
            <w:tcBorders>
              <w:top w:val="single" w:sz="4" w:space="0" w:color="auto"/>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2015</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Return on Assets</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0.1769657</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0.070413593</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0.0734983</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0.0967678</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0.05425423</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Dividend Yield Ratio</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0.17580872</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0.0487329</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0.0572902</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0.0482305</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Change in dividend Percentage</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-15.49296</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1.2E-06</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33.333333</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Growth Rate</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-91.81049</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-17.62883745</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7.0324538</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13.082566</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18.5278187</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Net asset valuation</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889822493</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725153970</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784856121</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890166441</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1058528740</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Expense Ratio </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0.0148472</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0.016991061</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0.0142926</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0.0139507</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0.01338686</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Price earnings ratio</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13.87317073</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13.441048</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10.237537</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18.3505747</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Dividend Payout Ratio</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0.6392904</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2.438178455</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0.6547124</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0.5863272</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0.88230144</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Liabilities to Total Asset</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0.0130608</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0.023567921</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0.0126153</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0.0096883</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0.00646532</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Return on Equity</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0.1793076</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0.07211315</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0.0744373</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0.0977145</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0.05460728</w:t>
            </w:r>
          </w:p>
        </w:tc>
      </w:tr>
      <w:tr w:rsidR="00C41D2D" w:rsidTr="00CF3207">
        <w:trPr>
          <w:trHeight w:val="300"/>
        </w:trPr>
        <w:tc>
          <w:tcPr>
            <w:tcW w:w="3040" w:type="dxa"/>
            <w:tcBorders>
              <w:top w:val="nil"/>
              <w:left w:val="single" w:sz="4" w:space="0" w:color="auto"/>
              <w:bottom w:val="single" w:sz="4" w:space="0" w:color="auto"/>
              <w:right w:val="single" w:sz="4" w:space="0" w:color="auto"/>
            </w:tcBorders>
            <w:noWrap/>
            <w:vAlign w:val="bottom"/>
            <w:hideMark/>
          </w:tcPr>
          <w:p w:rsidR="00C41D2D" w:rsidRDefault="00C41D2D" w:rsidP="00CF3207">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equity to Total Asset</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0.9869392</w:t>
            </w:r>
          </w:p>
        </w:tc>
        <w:tc>
          <w:tcPr>
            <w:tcW w:w="152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0.976432079</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0.9873847</w:t>
            </w:r>
          </w:p>
        </w:tc>
        <w:tc>
          <w:tcPr>
            <w:tcW w:w="10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0.9903117</w:t>
            </w:r>
          </w:p>
        </w:tc>
        <w:tc>
          <w:tcPr>
            <w:tcW w:w="1160" w:type="dxa"/>
            <w:tcBorders>
              <w:top w:val="nil"/>
              <w:left w:val="nil"/>
              <w:bottom w:val="single" w:sz="4" w:space="0" w:color="auto"/>
              <w:right w:val="single" w:sz="4" w:space="0" w:color="auto"/>
            </w:tcBorders>
            <w:noWrap/>
            <w:vAlign w:val="bottom"/>
            <w:hideMark/>
          </w:tcPr>
          <w:p w:rsidR="00C41D2D" w:rsidRDefault="00C41D2D" w:rsidP="00CF3207">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0.99353468</w:t>
            </w:r>
          </w:p>
        </w:tc>
      </w:tr>
    </w:tbl>
    <w:p w:rsidR="001002FF" w:rsidRDefault="001002FF" w:rsidP="004B7285">
      <w:pPr>
        <w:spacing w:line="360" w:lineRule="auto"/>
        <w:rPr>
          <w:rFonts w:ascii="Times New Roman" w:hAnsi="Times New Roman" w:cs="Times New Roman"/>
          <w:b/>
          <w:sz w:val="24"/>
          <w:szCs w:val="24"/>
        </w:rPr>
      </w:pPr>
    </w:p>
    <w:p w:rsidR="001002FF" w:rsidRDefault="001002FF" w:rsidP="004B7285">
      <w:pPr>
        <w:tabs>
          <w:tab w:val="left" w:pos="1845"/>
        </w:tabs>
        <w:spacing w:line="360" w:lineRule="auto"/>
        <w:rPr>
          <w:rFonts w:ascii="Times New Roman" w:hAnsi="Times New Roman" w:cs="Times New Roman"/>
          <w:sz w:val="24"/>
          <w:szCs w:val="24"/>
        </w:rPr>
      </w:pPr>
      <w:r>
        <w:rPr>
          <w:rFonts w:ascii="Times New Roman" w:hAnsi="Times New Roman" w:cs="Times New Roman"/>
          <w:b/>
          <w:sz w:val="24"/>
          <w:szCs w:val="24"/>
        </w:rPr>
        <w:tab/>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The graph indicates that return on asset ratio of Grameen one scheme was best in year 2013 among the 5 years.</w:t>
      </w:r>
      <w:r>
        <w:rPr>
          <w:rFonts w:ascii="Times New Roman" w:hAnsi="Times New Roman" w:cs="Times New Roman"/>
          <w:color w:val="111111"/>
          <w:sz w:val="24"/>
          <w:szCs w:val="24"/>
          <w:shd w:val="clear" w:color="auto" w:fill="FFFFFF"/>
        </w:rPr>
        <w:t xml:space="preserve">  ROA gives a manager an idea as to how efficient a company's management is at using its assets to generate earnings. That gives the company got highest return from 2013.</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The graph shows that dividend yield ratio of Grameen one scheme was highest in year 2014. In 2014, company high dividend yield pays its investor a large dividend compared to the fair market value of the stock. </w:t>
      </w:r>
    </w:p>
    <w:p w:rsidR="006D693E" w:rsidRDefault="006D693E"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In this graph, we can see that the company has highest dividend percentage in year2016. It means that the company got the more dividends in this year.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Here, it indicates that company highest growth rates in year 2017. That’s means in 2017, company perform</w:t>
      </w:r>
      <w:r w:rsidR="006D693E">
        <w:rPr>
          <w:rFonts w:ascii="Times New Roman" w:hAnsi="Times New Roman" w:cs="Times New Roman"/>
          <w:sz w:val="24"/>
          <w:szCs w:val="24"/>
        </w:rPr>
        <w:t>smore</w:t>
      </w:r>
      <w:r>
        <w:rPr>
          <w:rFonts w:ascii="Times New Roman" w:hAnsi="Times New Roman" w:cs="Times New Roman"/>
          <w:sz w:val="24"/>
          <w:szCs w:val="24"/>
        </w:rPr>
        <w:t xml:space="preserve"> efficiently.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Here, company net asset valuation was highest in year 2017.</w:t>
      </w:r>
      <w:r>
        <w:rPr>
          <w:rFonts w:ascii="Times New Roman" w:hAnsi="Times New Roman" w:cs="Times New Roman"/>
          <w:color w:val="333333"/>
          <w:sz w:val="24"/>
          <w:szCs w:val="24"/>
          <w:shd w:val="clear" w:color="auto" w:fill="FFFFFF"/>
        </w:rPr>
        <w:t xml:space="preserve"> Consequently a high NAV would mean lower number of units held.</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This graph shows that expense ratio is lowest in year 2017. In this year expense ratio indicate that are actively managed portfolio.</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 xml:space="preserve"> Here, we saw that price earnings ratio of Grameen One Scheme was high in year 2017.</w:t>
      </w:r>
      <w:r>
        <w:rPr>
          <w:rFonts w:ascii="Times New Roman" w:hAnsi="Times New Roman" w:cs="Times New Roman"/>
          <w:color w:val="111111"/>
          <w:sz w:val="24"/>
          <w:szCs w:val="24"/>
          <w:shd w:val="clear" w:color="auto" w:fill="FFFFFF"/>
        </w:rPr>
        <w:t xml:space="preserve">  A high P/E recommend that investors are expecting higher earnings growth in the future compared to companies with a lower P/E. </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In these graphs indicates that year in 2014 company has highest dividend payout ratio. That means in year 2014, it more attractive for potential investor among these five years.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Here, total liabilities to total assets are low in year 2017. That’s indicates company has low liabilities in year 2017 against total asset.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Here we see that total equity to total asset of grameen one scheme was more in year 2017. That indicate company has highest equity in 2017 more than obligation. </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In the year 2013, Grameen one scheme was highest return on equity. In this year company organized their equity more effectively. </w:t>
      </w:r>
    </w:p>
    <w:p w:rsidR="00575174" w:rsidRDefault="00575174" w:rsidP="004B7285">
      <w:pPr>
        <w:spacing w:line="360" w:lineRule="auto"/>
        <w:jc w:val="both"/>
        <w:rPr>
          <w:rFonts w:ascii="Times New Roman" w:hAnsi="Times New Roman" w:cs="Times New Roman"/>
          <w:sz w:val="24"/>
          <w:szCs w:val="24"/>
        </w:rPr>
      </w:pPr>
      <w:r>
        <w:rPr>
          <w:noProof/>
        </w:rPr>
        <w:drawing>
          <wp:inline distT="0" distB="0" distL="0" distR="0">
            <wp:extent cx="4572000" cy="27432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73BB6" w:rsidRDefault="00575174" w:rsidP="00D73BB6">
      <w:pPr>
        <w:rPr>
          <w:rFonts w:ascii="Times New Roman" w:hAnsi="Times New Roman" w:cs="Times New Roman"/>
          <w:sz w:val="24"/>
          <w:szCs w:val="24"/>
        </w:rPr>
      </w:pPr>
      <w:r>
        <w:rPr>
          <w:rFonts w:ascii="Times New Roman" w:hAnsi="Times New Roman" w:cs="Times New Roman"/>
          <w:b/>
          <w:sz w:val="24"/>
          <w:szCs w:val="24"/>
          <w:u w:val="single"/>
        </w:rPr>
        <w:t>Interpretation:</w:t>
      </w:r>
      <w:r w:rsidR="00D73BB6" w:rsidRPr="00575174">
        <w:rPr>
          <w:rFonts w:ascii="Times New Roman" w:hAnsi="Times New Roman" w:cs="Times New Roman"/>
          <w:b/>
          <w:sz w:val="24"/>
          <w:szCs w:val="24"/>
        </w:rPr>
        <w:t>:</w:t>
      </w:r>
      <w:r w:rsidR="00D73BB6">
        <w:rPr>
          <w:rFonts w:ascii="Times New Roman" w:hAnsi="Times New Roman" w:cs="Times New Roman"/>
          <w:sz w:val="24"/>
          <w:szCs w:val="24"/>
        </w:rPr>
        <w:t>The price to book ratio compares a companies market value to its book value. When it come to stock valuation, any values under 1.0 is considered undervalued and above 1.0 is overvalued.</w:t>
      </w:r>
    </w:p>
    <w:p w:rsidR="001002FF" w:rsidRPr="00E36A4E" w:rsidRDefault="00D73BB6" w:rsidP="00E36A4E">
      <w:pPr>
        <w:rPr>
          <w:rFonts w:ascii="Times New Roman" w:hAnsi="Times New Roman" w:cs="Times New Roman"/>
          <w:sz w:val="24"/>
          <w:szCs w:val="24"/>
        </w:rPr>
      </w:pPr>
      <w:r>
        <w:rPr>
          <w:rFonts w:ascii="Times New Roman" w:hAnsi="Times New Roman" w:cs="Times New Roman"/>
          <w:sz w:val="24"/>
          <w:szCs w:val="24"/>
        </w:rPr>
        <w:t xml:space="preserve">From 2013 to 2017, Grameen one continued their market to book value ratio above 1.0 ; maximum point was 1.9 in 2013. </w:t>
      </w:r>
      <w:r w:rsidR="00CB387C">
        <w:rPr>
          <w:rFonts w:ascii="Times New Roman" w:hAnsi="Times New Roman" w:cs="Times New Roman"/>
          <w:sz w:val="24"/>
          <w:szCs w:val="24"/>
        </w:rPr>
        <w:t>I</w:t>
      </w:r>
      <w:r>
        <w:rPr>
          <w:rFonts w:ascii="Times New Roman" w:hAnsi="Times New Roman" w:cs="Times New Roman"/>
          <w:sz w:val="24"/>
          <w:szCs w:val="24"/>
        </w:rPr>
        <w:t xml:space="preserve">t’s an overvalued </w:t>
      </w:r>
      <w:r w:rsidR="00E36A4E">
        <w:rPr>
          <w:rFonts w:ascii="Times New Roman" w:hAnsi="Times New Roman" w:cs="Times New Roman"/>
          <w:sz w:val="24"/>
          <w:szCs w:val="24"/>
        </w:rPr>
        <w:t>sto</w:t>
      </w:r>
    </w:p>
    <w:p w:rsidR="001002FF" w:rsidRDefault="001002FF" w:rsidP="004B7285">
      <w:pPr>
        <w:spacing w:line="360" w:lineRule="auto"/>
        <w:rPr>
          <w:rFonts w:ascii="Times New Roman" w:hAnsi="Times New Roman" w:cs="Times New Roman"/>
          <w:b/>
          <w:sz w:val="24"/>
          <w:szCs w:val="24"/>
        </w:rPr>
      </w:pPr>
    </w:p>
    <w:p w:rsidR="001811B9" w:rsidRDefault="001811B9" w:rsidP="004B7285">
      <w:pPr>
        <w:spacing w:line="360" w:lineRule="auto"/>
        <w:jc w:val="center"/>
        <w:rPr>
          <w:rFonts w:ascii="Times New Roman" w:hAnsi="Times New Roman" w:cs="Times New Roman"/>
          <w:b/>
          <w:sz w:val="32"/>
          <w:szCs w:val="32"/>
        </w:rPr>
      </w:pPr>
    </w:p>
    <w:p w:rsidR="001002FF" w:rsidRDefault="001002FF" w:rsidP="00E36A4E">
      <w:pPr>
        <w:pStyle w:val="Heading2"/>
      </w:pPr>
      <w:bookmarkStart w:id="28" w:name="_Toc535797519"/>
      <w:r>
        <w:t>Grameen 2(under AIMS mutual fund)</w:t>
      </w:r>
      <w:bookmarkEnd w:id="28"/>
    </w:p>
    <w:p w:rsidR="00E36A4E" w:rsidRPr="00E36A4E" w:rsidRDefault="00E36A4E" w:rsidP="00E36A4E"/>
    <w:tbl>
      <w:tblPr>
        <w:tblW w:w="9473" w:type="dxa"/>
        <w:tblInd w:w="103" w:type="dxa"/>
        <w:tblLook w:val="04A0" w:firstRow="1" w:lastRow="0" w:firstColumn="1" w:lastColumn="0" w:noHBand="0" w:noVBand="1"/>
      </w:tblPr>
      <w:tblGrid>
        <w:gridCol w:w="2783"/>
        <w:gridCol w:w="1338"/>
        <w:gridCol w:w="1338"/>
        <w:gridCol w:w="1338"/>
        <w:gridCol w:w="1338"/>
        <w:gridCol w:w="1338"/>
      </w:tblGrid>
      <w:tr w:rsidR="001002FF" w:rsidTr="001002FF">
        <w:trPr>
          <w:trHeight w:val="300"/>
        </w:trPr>
        <w:tc>
          <w:tcPr>
            <w:tcW w:w="2963"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Ratios</w:t>
            </w:r>
          </w:p>
        </w:tc>
        <w:tc>
          <w:tcPr>
            <w:tcW w:w="1302" w:type="dxa"/>
            <w:tcBorders>
              <w:top w:val="single" w:sz="4" w:space="0" w:color="auto"/>
              <w:left w:val="nil"/>
              <w:bottom w:val="single" w:sz="4" w:space="0" w:color="auto"/>
              <w:right w:val="single" w:sz="4" w:space="0" w:color="auto"/>
            </w:tcBorders>
            <w:noWrap/>
            <w:vAlign w:val="bottom"/>
            <w:hideMark/>
          </w:tcPr>
          <w:p w:rsidR="001002FF" w:rsidRDefault="00EA0283" w:rsidP="004B7285">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2013</w:t>
            </w:r>
          </w:p>
        </w:tc>
        <w:tc>
          <w:tcPr>
            <w:tcW w:w="1302" w:type="dxa"/>
            <w:tcBorders>
              <w:top w:val="single" w:sz="4" w:space="0" w:color="auto"/>
              <w:left w:val="nil"/>
              <w:bottom w:val="single" w:sz="4" w:space="0" w:color="auto"/>
              <w:right w:val="single" w:sz="4" w:space="0" w:color="auto"/>
            </w:tcBorders>
            <w:noWrap/>
            <w:vAlign w:val="bottom"/>
            <w:hideMark/>
          </w:tcPr>
          <w:p w:rsidR="001002FF" w:rsidRDefault="00EA0283" w:rsidP="004B7285">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2014</w:t>
            </w:r>
          </w:p>
        </w:tc>
        <w:tc>
          <w:tcPr>
            <w:tcW w:w="1302" w:type="dxa"/>
            <w:tcBorders>
              <w:top w:val="single" w:sz="4" w:space="0" w:color="auto"/>
              <w:left w:val="nil"/>
              <w:bottom w:val="single" w:sz="4" w:space="0" w:color="auto"/>
              <w:right w:val="single" w:sz="4" w:space="0" w:color="auto"/>
            </w:tcBorders>
            <w:noWrap/>
            <w:vAlign w:val="bottom"/>
            <w:hideMark/>
          </w:tcPr>
          <w:p w:rsidR="001002FF" w:rsidRDefault="00EA0283" w:rsidP="004B7285">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2015</w:t>
            </w:r>
          </w:p>
        </w:tc>
        <w:tc>
          <w:tcPr>
            <w:tcW w:w="1302" w:type="dxa"/>
            <w:tcBorders>
              <w:top w:val="single" w:sz="4" w:space="0" w:color="auto"/>
              <w:left w:val="nil"/>
              <w:bottom w:val="single" w:sz="4" w:space="0" w:color="auto"/>
              <w:right w:val="single" w:sz="4" w:space="0" w:color="auto"/>
            </w:tcBorders>
            <w:noWrap/>
            <w:vAlign w:val="bottom"/>
            <w:hideMark/>
          </w:tcPr>
          <w:p w:rsidR="001002FF" w:rsidRDefault="00EA0283" w:rsidP="004B7285">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2016</w:t>
            </w:r>
          </w:p>
        </w:tc>
        <w:tc>
          <w:tcPr>
            <w:tcW w:w="1302" w:type="dxa"/>
            <w:tcBorders>
              <w:top w:val="single" w:sz="4" w:space="0" w:color="auto"/>
              <w:left w:val="nil"/>
              <w:bottom w:val="single" w:sz="4" w:space="0" w:color="auto"/>
              <w:right w:val="single" w:sz="4" w:space="0" w:color="auto"/>
            </w:tcBorders>
            <w:noWrap/>
            <w:vAlign w:val="bottom"/>
            <w:hideMark/>
          </w:tcPr>
          <w:p w:rsidR="001002FF" w:rsidRDefault="00EA0283" w:rsidP="004B7285">
            <w:pPr>
              <w:spacing w:after="0" w:line="36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2017</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Return on Assets</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0.0786778</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0.05944967</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0.05823311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0.05639062</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0.0668889</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Dividend Yield Ratio</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9.26</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7.27</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Change in dividend Percentage</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Growth Rate</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15.566101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15.6484502</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-3.1642206</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19.5863999</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-0.4479931</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Net asset valuation</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2663001389</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3087340150</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2961061025</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3526888635</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3526629631</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Expense Ratio </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0.09067178</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0.00948638</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0.0103557</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0.00956667</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0.01071694</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Price earnings ratio</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11.64</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9.40</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10.49</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13.40</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12.56</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Dividend Payout Ratio</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0.65025387</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0.74412502</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0.90221931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0.83865601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0.82104434</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Liabilities to Total Asset</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0.00915926</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0.00670755</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0.01620604</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0.02013386</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0.98420334</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Return on Equity</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0.07940509</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0.05985112</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0.05918901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0.05754931</w:t>
            </w:r>
          </w:p>
        </w:tc>
        <w:tc>
          <w:tcPr>
            <w:tcW w:w="1302" w:type="dxa"/>
            <w:tcBorders>
              <w:top w:val="nil"/>
              <w:left w:val="nil"/>
              <w:bottom w:val="single" w:sz="4" w:space="0" w:color="auto"/>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0.06796248</w:t>
            </w:r>
          </w:p>
        </w:tc>
      </w:tr>
      <w:tr w:rsidR="001002FF" w:rsidTr="001002FF">
        <w:trPr>
          <w:trHeight w:val="300"/>
        </w:trPr>
        <w:tc>
          <w:tcPr>
            <w:tcW w:w="2963" w:type="dxa"/>
            <w:tcBorders>
              <w:top w:val="nil"/>
              <w:left w:val="single" w:sz="4" w:space="0" w:color="auto"/>
              <w:bottom w:val="nil"/>
              <w:right w:val="single" w:sz="4" w:space="0" w:color="auto"/>
            </w:tcBorders>
            <w:noWrap/>
            <w:vAlign w:val="bottom"/>
            <w:hideMark/>
          </w:tcPr>
          <w:p w:rsidR="001002FF" w:rsidRDefault="001002FF" w:rsidP="004B7285">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equity to Total Asset</w:t>
            </w:r>
          </w:p>
        </w:tc>
        <w:tc>
          <w:tcPr>
            <w:tcW w:w="1302" w:type="dxa"/>
            <w:tcBorders>
              <w:top w:val="nil"/>
              <w:left w:val="nil"/>
              <w:bottom w:val="nil"/>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0.99084074</w:t>
            </w:r>
          </w:p>
        </w:tc>
        <w:tc>
          <w:tcPr>
            <w:tcW w:w="1302" w:type="dxa"/>
            <w:tcBorders>
              <w:top w:val="nil"/>
              <w:left w:val="nil"/>
              <w:bottom w:val="nil"/>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0.99329243</w:t>
            </w:r>
          </w:p>
        </w:tc>
        <w:tc>
          <w:tcPr>
            <w:tcW w:w="1302" w:type="dxa"/>
            <w:tcBorders>
              <w:top w:val="nil"/>
              <w:left w:val="nil"/>
              <w:bottom w:val="nil"/>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0.98379396</w:t>
            </w:r>
          </w:p>
        </w:tc>
        <w:tc>
          <w:tcPr>
            <w:tcW w:w="1302" w:type="dxa"/>
            <w:tcBorders>
              <w:top w:val="nil"/>
              <w:left w:val="nil"/>
              <w:bottom w:val="nil"/>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0.97986614</w:t>
            </w:r>
          </w:p>
        </w:tc>
        <w:tc>
          <w:tcPr>
            <w:tcW w:w="1302" w:type="dxa"/>
            <w:tcBorders>
              <w:top w:val="nil"/>
              <w:left w:val="nil"/>
              <w:bottom w:val="nil"/>
              <w:right w:val="single" w:sz="4" w:space="0" w:color="auto"/>
            </w:tcBorders>
            <w:noWrap/>
            <w:vAlign w:val="bottom"/>
            <w:hideMark/>
          </w:tcPr>
          <w:p w:rsidR="001002FF" w:rsidRDefault="001002FF" w:rsidP="004B7285">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0.98420334</w:t>
            </w:r>
          </w:p>
        </w:tc>
      </w:tr>
      <w:tr w:rsidR="001002FF" w:rsidTr="001002FF">
        <w:trPr>
          <w:trHeight w:val="300"/>
        </w:trPr>
        <w:tc>
          <w:tcPr>
            <w:tcW w:w="2963" w:type="dxa"/>
            <w:tcBorders>
              <w:top w:val="nil"/>
              <w:left w:val="single" w:sz="4" w:space="0" w:color="auto"/>
              <w:bottom w:val="single" w:sz="4" w:space="0" w:color="auto"/>
              <w:right w:val="single" w:sz="4" w:space="0" w:color="auto"/>
            </w:tcBorders>
            <w:noWrap/>
            <w:vAlign w:val="bottom"/>
          </w:tcPr>
          <w:p w:rsidR="001002FF" w:rsidRDefault="001002FF" w:rsidP="004B7285">
            <w:pPr>
              <w:spacing w:after="0" w:line="360" w:lineRule="auto"/>
              <w:rPr>
                <w:rFonts w:ascii="Times New Roman" w:eastAsia="Times New Roman" w:hAnsi="Times New Roman" w:cs="Times New Roman"/>
                <w:b/>
                <w:bCs/>
                <w:color w:val="000000"/>
                <w:sz w:val="24"/>
                <w:szCs w:val="24"/>
              </w:rPr>
            </w:pPr>
          </w:p>
        </w:tc>
        <w:tc>
          <w:tcPr>
            <w:tcW w:w="1302" w:type="dxa"/>
            <w:tcBorders>
              <w:top w:val="nil"/>
              <w:left w:val="nil"/>
              <w:bottom w:val="single" w:sz="4" w:space="0" w:color="auto"/>
              <w:right w:val="single" w:sz="4" w:space="0" w:color="auto"/>
            </w:tcBorders>
            <w:noWrap/>
            <w:vAlign w:val="bottom"/>
          </w:tcPr>
          <w:p w:rsidR="001002FF" w:rsidRDefault="001002FF" w:rsidP="004B7285">
            <w:pPr>
              <w:spacing w:after="0" w:line="360" w:lineRule="auto"/>
              <w:jc w:val="right"/>
              <w:rPr>
                <w:rFonts w:ascii="Times New Roman" w:eastAsia="Times New Roman" w:hAnsi="Times New Roman" w:cs="Times New Roman"/>
                <w:color w:val="000000"/>
                <w:sz w:val="24"/>
                <w:szCs w:val="24"/>
              </w:rPr>
            </w:pPr>
          </w:p>
        </w:tc>
        <w:tc>
          <w:tcPr>
            <w:tcW w:w="1302" w:type="dxa"/>
            <w:tcBorders>
              <w:top w:val="nil"/>
              <w:left w:val="nil"/>
              <w:bottom w:val="single" w:sz="4" w:space="0" w:color="auto"/>
              <w:right w:val="single" w:sz="4" w:space="0" w:color="auto"/>
            </w:tcBorders>
            <w:noWrap/>
            <w:vAlign w:val="bottom"/>
          </w:tcPr>
          <w:p w:rsidR="001002FF" w:rsidRDefault="001002FF" w:rsidP="004B7285">
            <w:pPr>
              <w:spacing w:after="0" w:line="360" w:lineRule="auto"/>
              <w:jc w:val="right"/>
              <w:rPr>
                <w:rFonts w:ascii="Times New Roman" w:eastAsia="Times New Roman" w:hAnsi="Times New Roman" w:cs="Times New Roman"/>
                <w:color w:val="000000"/>
                <w:sz w:val="24"/>
                <w:szCs w:val="24"/>
              </w:rPr>
            </w:pPr>
          </w:p>
        </w:tc>
        <w:tc>
          <w:tcPr>
            <w:tcW w:w="1302" w:type="dxa"/>
            <w:tcBorders>
              <w:top w:val="nil"/>
              <w:left w:val="nil"/>
              <w:bottom w:val="single" w:sz="4" w:space="0" w:color="auto"/>
              <w:right w:val="single" w:sz="4" w:space="0" w:color="auto"/>
            </w:tcBorders>
            <w:noWrap/>
            <w:vAlign w:val="bottom"/>
          </w:tcPr>
          <w:p w:rsidR="001002FF" w:rsidRDefault="001002FF" w:rsidP="004B7285">
            <w:pPr>
              <w:spacing w:after="0" w:line="360" w:lineRule="auto"/>
              <w:jc w:val="right"/>
              <w:rPr>
                <w:rFonts w:ascii="Times New Roman" w:eastAsia="Times New Roman" w:hAnsi="Times New Roman" w:cs="Times New Roman"/>
                <w:color w:val="000000"/>
                <w:sz w:val="24"/>
                <w:szCs w:val="24"/>
              </w:rPr>
            </w:pPr>
          </w:p>
        </w:tc>
        <w:tc>
          <w:tcPr>
            <w:tcW w:w="1302" w:type="dxa"/>
            <w:tcBorders>
              <w:top w:val="nil"/>
              <w:left w:val="nil"/>
              <w:bottom w:val="single" w:sz="4" w:space="0" w:color="auto"/>
              <w:right w:val="single" w:sz="4" w:space="0" w:color="auto"/>
            </w:tcBorders>
            <w:noWrap/>
            <w:vAlign w:val="bottom"/>
          </w:tcPr>
          <w:p w:rsidR="001002FF" w:rsidRDefault="001002FF" w:rsidP="004B7285">
            <w:pPr>
              <w:spacing w:after="0" w:line="360" w:lineRule="auto"/>
              <w:jc w:val="right"/>
              <w:rPr>
                <w:rFonts w:ascii="Times New Roman" w:eastAsia="Times New Roman" w:hAnsi="Times New Roman" w:cs="Times New Roman"/>
                <w:color w:val="000000"/>
                <w:sz w:val="24"/>
                <w:szCs w:val="24"/>
              </w:rPr>
            </w:pPr>
          </w:p>
        </w:tc>
        <w:tc>
          <w:tcPr>
            <w:tcW w:w="1302" w:type="dxa"/>
            <w:tcBorders>
              <w:top w:val="nil"/>
              <w:left w:val="nil"/>
              <w:bottom w:val="single" w:sz="4" w:space="0" w:color="auto"/>
              <w:right w:val="single" w:sz="4" w:space="0" w:color="auto"/>
            </w:tcBorders>
            <w:noWrap/>
            <w:vAlign w:val="bottom"/>
          </w:tcPr>
          <w:p w:rsidR="001002FF" w:rsidRDefault="001002FF" w:rsidP="004B7285">
            <w:pPr>
              <w:spacing w:after="0" w:line="360" w:lineRule="auto"/>
              <w:jc w:val="right"/>
              <w:rPr>
                <w:rFonts w:ascii="Times New Roman" w:eastAsia="Times New Roman" w:hAnsi="Times New Roman" w:cs="Times New Roman"/>
                <w:color w:val="000000"/>
                <w:sz w:val="24"/>
                <w:szCs w:val="24"/>
              </w:rPr>
            </w:pPr>
          </w:p>
        </w:tc>
      </w:tr>
    </w:tbl>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 xml:space="preserve"> This graph shows that Grameen two schemes were best in year 2013. That’s indicates that company got more return in 2013 among the five years.</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In this graph, its indicate that dividend yield ratio was high in year 2015 among the five years.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Here this graph shows that high change in dividend percentage was in year 2013. In 2013, company got high dividend among these five years.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This graph indicates that in year 2016, company got the highest growth rates among these five years. These means company overall performance better in year 2016. </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Here, we see that net asset valuation of Grameen two has highest in year 2016 to 2017. That’s means the scheme has been around for a long year from 2016 to 2017.</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These graphs show that expense ratio of Grameen two schemes has lowest in year 2014. That indicate company should organize their expense efficiently. </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This graph indicate price earnings ratio of Grameen two has got the highest in year 2016.that means companies with higher earning are usually expected to issue higher dividends. </w:t>
      </w: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002FF" w:rsidRDefault="001002FF" w:rsidP="004B7285">
      <w:pPr>
        <w:spacing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b/>
          <w:sz w:val="24"/>
          <w:szCs w:val="24"/>
          <w:u w:val="single"/>
        </w:rPr>
        <w:t>Interpretation:</w:t>
      </w:r>
      <w:r>
        <w:rPr>
          <w:rFonts w:ascii="Times New Roman" w:hAnsi="Times New Roman" w:cs="Times New Roman"/>
          <w:sz w:val="24"/>
          <w:szCs w:val="24"/>
        </w:rPr>
        <w:t>In these graph shows that dividend payout ratio highest in year 2015. That means company payout ratio in 2015 is also useful for assessing dividends sustainability.</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This graph shows that total liabilities to total asset of Grameen two schemes were lowest in 2014. Those indicate company has fewer liabilities against their total asset.</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4581525" cy="27527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 xml:space="preserve">Here we see that return on equity was more in year 2013. That can be indicate company return have been more their equity portion. That means in year 2013 high return on assets was able to successfully utilize the resources provided by equity investor. </w:t>
      </w:r>
    </w:p>
    <w:p w:rsidR="001002FF" w:rsidRDefault="001002FF" w:rsidP="004B7285">
      <w:pPr>
        <w:spacing w:line="360" w:lineRule="auto"/>
        <w:rPr>
          <w:rFonts w:ascii="Times New Roman" w:hAnsi="Times New Roman" w:cs="Times New Roman"/>
          <w:b/>
          <w:sz w:val="24"/>
          <w:szCs w:val="24"/>
        </w:rPr>
      </w:pPr>
    </w:p>
    <w:p w:rsidR="001002FF" w:rsidRDefault="001002FF" w:rsidP="004B7285">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581525" cy="275272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Pr>
          <w:rFonts w:ascii="Times New Roman" w:hAnsi="Times New Roman" w:cs="Times New Roman"/>
          <w:sz w:val="24"/>
          <w:szCs w:val="24"/>
        </w:rPr>
        <w:t xml:space="preserve">In these graph, we saw that total equity to total asset was highest in year 2014. That indicates a larger percentage of their assets are owned by the company and its investor in year 2014. </w:t>
      </w:r>
    </w:p>
    <w:p w:rsidR="002D51C4" w:rsidRDefault="002D51C4" w:rsidP="004B7285">
      <w:pPr>
        <w:spacing w:line="360" w:lineRule="auto"/>
        <w:jc w:val="both"/>
        <w:rPr>
          <w:rFonts w:ascii="Times New Roman" w:hAnsi="Times New Roman" w:cs="Times New Roman"/>
          <w:sz w:val="24"/>
          <w:szCs w:val="24"/>
        </w:rPr>
      </w:pPr>
      <w:r>
        <w:rPr>
          <w:noProof/>
        </w:rPr>
        <w:drawing>
          <wp:inline distT="0" distB="0" distL="0" distR="0">
            <wp:extent cx="4572000" cy="2743200"/>
            <wp:effectExtent l="19050" t="0" r="1905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73BB6" w:rsidRDefault="002D51C4" w:rsidP="00D73BB6">
      <w:pPr>
        <w:rPr>
          <w:rFonts w:ascii="Times New Roman" w:hAnsi="Times New Roman" w:cs="Times New Roman"/>
          <w:sz w:val="24"/>
          <w:szCs w:val="24"/>
        </w:rPr>
      </w:pPr>
      <w:r>
        <w:rPr>
          <w:rFonts w:ascii="Times New Roman" w:hAnsi="Times New Roman" w:cs="Times New Roman"/>
          <w:b/>
          <w:sz w:val="24"/>
          <w:szCs w:val="24"/>
          <w:u w:val="single"/>
        </w:rPr>
        <w:t>Interpretation:</w:t>
      </w:r>
      <w:r w:rsidR="00D73BB6" w:rsidRPr="00575174">
        <w:rPr>
          <w:rFonts w:ascii="Times New Roman" w:hAnsi="Times New Roman" w:cs="Times New Roman"/>
          <w:b/>
          <w:sz w:val="24"/>
          <w:szCs w:val="24"/>
        </w:rPr>
        <w:t>:</w:t>
      </w:r>
      <w:r w:rsidR="00D73BB6">
        <w:rPr>
          <w:rFonts w:ascii="Times New Roman" w:hAnsi="Times New Roman" w:cs="Times New Roman"/>
          <w:sz w:val="24"/>
          <w:szCs w:val="24"/>
        </w:rPr>
        <w:t>The price to book ratio compares a companies market value to its book value. When it come to stock valuation, any values under 1.0 is considered undervalued and above 1.0 is overvalued.</w:t>
      </w:r>
    </w:p>
    <w:p w:rsidR="00D73BB6" w:rsidRDefault="00D73BB6" w:rsidP="00D73BB6">
      <w:pPr>
        <w:rPr>
          <w:rFonts w:ascii="Times New Roman" w:hAnsi="Times New Roman" w:cs="Times New Roman"/>
          <w:sz w:val="24"/>
          <w:szCs w:val="24"/>
        </w:rPr>
      </w:pPr>
      <w:r>
        <w:rPr>
          <w:rFonts w:ascii="Times New Roman" w:hAnsi="Times New Roman" w:cs="Times New Roman"/>
          <w:sz w:val="24"/>
          <w:szCs w:val="24"/>
        </w:rPr>
        <w:t>From 2013 to 2017, Grameen two continued their market to book value ratio above 1.0 ; maximum point was 1.8 in 2016</w:t>
      </w:r>
      <w:r w:rsidR="00D013D0">
        <w:rPr>
          <w:rFonts w:ascii="Times New Roman" w:hAnsi="Times New Roman" w:cs="Times New Roman"/>
          <w:sz w:val="24"/>
          <w:szCs w:val="24"/>
        </w:rPr>
        <w:t>. I</w:t>
      </w:r>
      <w:r>
        <w:rPr>
          <w:rFonts w:ascii="Times New Roman" w:hAnsi="Times New Roman" w:cs="Times New Roman"/>
          <w:sz w:val="24"/>
          <w:szCs w:val="24"/>
        </w:rPr>
        <w:t>t’s an overvalued stock.</w:t>
      </w:r>
    </w:p>
    <w:p w:rsidR="002D51C4" w:rsidRDefault="002D51C4"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p>
    <w:p w:rsidR="001002FF" w:rsidRPr="002C0FE2" w:rsidRDefault="001002FF" w:rsidP="004B7285">
      <w:pPr>
        <w:pStyle w:val="Heading2"/>
        <w:spacing w:line="360" w:lineRule="auto"/>
        <w:jc w:val="center"/>
        <w:rPr>
          <w:rFonts w:asciiTheme="minorHAnsi" w:hAnsiTheme="minorHAnsi"/>
          <w:sz w:val="36"/>
        </w:rPr>
      </w:pPr>
      <w:bookmarkStart w:id="29" w:name="_Toc535797520"/>
      <w:r w:rsidRPr="002C0FE2">
        <w:rPr>
          <w:sz w:val="36"/>
        </w:rPr>
        <w:t>Average of mutual funds under ICB</w:t>
      </w:r>
      <w:bookmarkEnd w:id="29"/>
    </w:p>
    <w:tbl>
      <w:tblPr>
        <w:tblW w:w="10960"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540"/>
        <w:gridCol w:w="1420"/>
        <w:gridCol w:w="1660"/>
        <w:gridCol w:w="1480"/>
        <w:gridCol w:w="1800"/>
      </w:tblGrid>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average of mutual fund Under ICB</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Calibri" w:eastAsia="Times New Roman" w:hAnsi="Calibri" w:cs="Times New Roman"/>
                <w:b/>
                <w:bCs/>
                <w:color w:val="000000"/>
              </w:rPr>
            </w:pPr>
            <w:r>
              <w:rPr>
                <w:rFonts w:ascii="Calibri" w:eastAsia="Times New Roman" w:hAnsi="Calibri" w:cs="Times New Roman"/>
                <w:b/>
                <w:bCs/>
                <w:color w:val="000000"/>
              </w:rPr>
              <w:t> </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Calibri" w:eastAsia="Times New Roman" w:hAnsi="Calibri" w:cs="Times New Roman"/>
                <w:b/>
                <w:bCs/>
                <w:color w:val="000000"/>
              </w:rPr>
            </w:pPr>
            <w:r>
              <w:rPr>
                <w:rFonts w:ascii="Calibri" w:eastAsia="Times New Roman" w:hAnsi="Calibri" w:cs="Times New Roman"/>
                <w:b/>
                <w:bCs/>
                <w:color w:val="000000"/>
              </w:rPr>
              <w:t>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Calibri" w:eastAsia="Times New Roman" w:hAnsi="Calibri" w:cs="Times New Roman"/>
                <w:color w:val="000000"/>
              </w:rPr>
            </w:pPr>
            <w:r>
              <w:rPr>
                <w:rFonts w:ascii="Calibri" w:eastAsia="Times New Roman" w:hAnsi="Calibri" w:cs="Times New Roman"/>
                <w:color w:val="000000"/>
              </w:rPr>
              <w:t> </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Calibri" w:eastAsia="Times New Roman" w:hAnsi="Calibri" w:cs="Times New Roman"/>
                <w:color w:val="000000"/>
              </w:rPr>
            </w:pPr>
            <w:r>
              <w:rPr>
                <w:rFonts w:ascii="Calibri" w:eastAsia="Times New Roman" w:hAnsi="Calibri" w:cs="Times New Roman"/>
                <w:color w:val="000000"/>
              </w:rPr>
              <w:t>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rPr>
                <w:rFonts w:ascii="Calibri" w:eastAsia="Times New Roman" w:hAnsi="Calibri" w:cs="Times New Roman"/>
                <w:color w:val="000000"/>
              </w:rPr>
            </w:pPr>
            <w:r>
              <w:rPr>
                <w:rFonts w:ascii="Calibri" w:eastAsia="Times New Roman" w:hAnsi="Calibri" w:cs="Times New Roman"/>
                <w:color w:val="000000"/>
              </w:rPr>
              <w:t> </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Ratios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b/>
                <w:bCs/>
                <w:color w:val="000000"/>
              </w:rPr>
            </w:pPr>
            <w:r>
              <w:rPr>
                <w:rFonts w:ascii="Calibri" w:eastAsia="Times New Roman" w:hAnsi="Calibri" w:cs="Times New Roman"/>
                <w:b/>
                <w:bCs/>
                <w:color w:val="000000"/>
              </w:rPr>
              <w:t>2013</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b/>
                <w:bCs/>
                <w:color w:val="000000"/>
              </w:rPr>
            </w:pPr>
            <w:r>
              <w:rPr>
                <w:rFonts w:ascii="Calibri" w:eastAsia="Times New Roman" w:hAnsi="Calibri" w:cs="Times New Roman"/>
                <w:b/>
                <w:bCs/>
                <w:color w:val="000000"/>
              </w:rPr>
              <w:t>2014</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b/>
                <w:bCs/>
                <w:color w:val="000000"/>
              </w:rPr>
            </w:pPr>
            <w:r>
              <w:rPr>
                <w:rFonts w:ascii="Calibri" w:eastAsia="Times New Roman" w:hAnsi="Calibri" w:cs="Times New Roman"/>
                <w:b/>
                <w:bCs/>
                <w:color w:val="000000"/>
              </w:rPr>
              <w:t>2015</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b/>
                <w:bCs/>
                <w:color w:val="000000"/>
              </w:rPr>
            </w:pPr>
            <w:r>
              <w:rPr>
                <w:rFonts w:ascii="Calibri" w:eastAsia="Times New Roman" w:hAnsi="Calibri" w:cs="Times New Roman"/>
                <w:b/>
                <w:bCs/>
                <w:color w:val="000000"/>
              </w:rPr>
              <w:t>2016</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b/>
                <w:bCs/>
                <w:color w:val="000000"/>
              </w:rPr>
            </w:pPr>
            <w:r>
              <w:rPr>
                <w:rFonts w:ascii="Calibri" w:eastAsia="Times New Roman" w:hAnsi="Calibri" w:cs="Times New Roman"/>
                <w:b/>
                <w:bCs/>
                <w:color w:val="000000"/>
              </w:rPr>
              <w:t>2017</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Return on assets</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0.018022318</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0.058668974</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0.05497344</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0.04642348</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0.077453259</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Dividend Yield Ratio</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3.79</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9.63</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12.94</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10.8</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7.58</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Change in dividend Percentage</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4%</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6.96%</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7.4</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6.9</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6.22</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Growth Rate</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0.433500829</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31.10525174</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5.197458081</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7.105957385</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13.05504677</w:t>
            </w:r>
          </w:p>
        </w:tc>
      </w:tr>
      <w:tr w:rsidR="00485C5F" w:rsidTr="004C077C">
        <w:trPr>
          <w:trHeight w:val="70"/>
        </w:trPr>
        <w:tc>
          <w:tcPr>
            <w:tcW w:w="10960" w:type="dxa"/>
            <w:gridSpan w:val="6"/>
            <w:tcBorders>
              <w:top w:val="single" w:sz="4" w:space="0" w:color="auto"/>
              <w:left w:val="single" w:sz="4" w:space="0" w:color="auto"/>
              <w:bottom w:val="single" w:sz="4" w:space="0" w:color="auto"/>
            </w:tcBorders>
            <w:noWrap/>
            <w:vAlign w:val="bottom"/>
          </w:tcPr>
          <w:p w:rsidR="00485C5F" w:rsidRDefault="00485C5F" w:rsidP="004B7285">
            <w:pPr>
              <w:spacing w:after="0" w:line="360" w:lineRule="auto"/>
              <w:rPr>
                <w:rFonts w:ascii="Calibri" w:eastAsia="Times New Roman" w:hAnsi="Calibri" w:cs="Times New Roman"/>
                <w:color w:val="000000"/>
              </w:rPr>
            </w:pP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Expense Ratio </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0.058643504</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0.058954177</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0.056597326</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0.31224646</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0.609404342</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Price earnings ratio</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1.967307692</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14.17986212</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25.276</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10.1378</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13.0906</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Dividend Payout Ratio</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0.036606262</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0.05435852</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11.86563966</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3.570314751</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3.133714463</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Total Liabilities to Total Asset</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0.467272624</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0.508646482</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2.457505617</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0.160296746</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0.172861985</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Return on Equity</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0.104028267</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0.269538346</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0.286352673</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0.231936412</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0.33112793</w:t>
            </w:r>
          </w:p>
        </w:tc>
      </w:tr>
      <w:tr w:rsidR="001002FF" w:rsidTr="00485C5F">
        <w:trPr>
          <w:trHeight w:val="300"/>
        </w:trPr>
        <w:tc>
          <w:tcPr>
            <w:tcW w:w="30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center"/>
              <w:rPr>
                <w:rFonts w:ascii="Calibri" w:eastAsia="Times New Roman" w:hAnsi="Calibri" w:cs="Times New Roman"/>
                <w:b/>
                <w:bCs/>
                <w:color w:val="000000"/>
              </w:rPr>
            </w:pPr>
            <w:r>
              <w:rPr>
                <w:rFonts w:ascii="Calibri" w:eastAsia="Times New Roman" w:hAnsi="Calibri" w:cs="Times New Roman"/>
                <w:b/>
                <w:bCs/>
                <w:color w:val="000000"/>
              </w:rPr>
              <w:t>Total equity to Total Asset</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3.40072831</w:t>
            </w:r>
          </w:p>
        </w:tc>
        <w:tc>
          <w:tcPr>
            <w:tcW w:w="142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3.270654694</w:t>
            </w:r>
          </w:p>
        </w:tc>
        <w:tc>
          <w:tcPr>
            <w:tcW w:w="166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11.15259244</w:t>
            </w:r>
          </w:p>
        </w:tc>
        <w:tc>
          <w:tcPr>
            <w:tcW w:w="148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4.022149993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1002FF" w:rsidRDefault="001002FF" w:rsidP="004B7285">
            <w:pPr>
              <w:spacing w:after="0" w:line="360" w:lineRule="auto"/>
              <w:jc w:val="right"/>
              <w:rPr>
                <w:rFonts w:ascii="Calibri" w:eastAsia="Times New Roman" w:hAnsi="Calibri" w:cs="Times New Roman"/>
                <w:color w:val="000000"/>
              </w:rPr>
            </w:pPr>
            <w:r>
              <w:rPr>
                <w:rFonts w:ascii="Calibri" w:eastAsia="Times New Roman" w:hAnsi="Calibri" w:cs="Times New Roman"/>
                <w:color w:val="000000"/>
              </w:rPr>
              <w:t>3.974704571</w:t>
            </w:r>
          </w:p>
        </w:tc>
      </w:tr>
    </w:tbl>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002FF" w:rsidRDefault="001002FF" w:rsidP="004B7285">
      <w:pPr>
        <w:spacing w:line="360" w:lineRule="auto"/>
        <w:jc w:val="both"/>
        <w:rPr>
          <w:rFonts w:ascii="Times New Roman" w:hAnsi="Times New Roman" w:cs="Times New Roman"/>
          <w:sz w:val="24"/>
          <w:szCs w:val="24"/>
        </w:rPr>
      </w:pPr>
      <w:r w:rsidRPr="00F91E8F">
        <w:rPr>
          <w:rFonts w:ascii="Times New Roman" w:hAnsi="Times New Roman" w:cs="Times New Roman"/>
          <w:b/>
          <w:sz w:val="24"/>
          <w:szCs w:val="24"/>
          <w:u w:val="single"/>
        </w:rPr>
        <w:lastRenderedPageBreak/>
        <w:t xml:space="preserve">Interpretation: </w:t>
      </w:r>
      <w:r w:rsidRPr="00F91E8F">
        <w:rPr>
          <w:rFonts w:ascii="Times New Roman" w:hAnsi="Times New Roman" w:cs="Times New Roman"/>
          <w:sz w:val="24"/>
          <w:szCs w:val="24"/>
        </w:rPr>
        <w:t>In this figure, we can see that return on asset is more in year 2017 among the five years. This figure will show average of ICB mutual fund in year 2017 was got high</w:t>
      </w:r>
      <w:r w:rsidR="00603F89">
        <w:rPr>
          <w:rFonts w:ascii="Times New Roman" w:hAnsi="Times New Roman" w:cs="Times New Roman"/>
          <w:sz w:val="24"/>
          <w:szCs w:val="24"/>
        </w:rPr>
        <w:t>est return against their return which indicates management efficiency.</w:t>
      </w:r>
    </w:p>
    <w:p w:rsidR="00603F89" w:rsidRPr="00F91E8F" w:rsidRDefault="00603F89"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In this figure, average of mutual funds under ICB was more in 2015. It indicates that dividend was more in year 2015 among these five years.</w:t>
      </w:r>
      <w:r w:rsidR="00603F89">
        <w:rPr>
          <w:rFonts w:ascii="Times New Roman" w:hAnsi="Times New Roman" w:cs="Times New Roman"/>
          <w:sz w:val="24"/>
          <w:szCs w:val="24"/>
        </w:rPr>
        <w:t xml:space="preserve"> But it came down to around 7 in last two years.</w:t>
      </w:r>
    </w:p>
    <w:p w:rsidR="001002FF" w:rsidRDefault="001002FF" w:rsidP="004B7285">
      <w:pPr>
        <w:spacing w:line="360" w:lineRule="auto"/>
        <w:rPr>
          <w:rFonts w:ascii="Times New Roman" w:hAnsi="Times New Roman" w:cs="Times New Roman"/>
          <w:sz w:val="24"/>
          <w:szCs w:val="24"/>
        </w:rPr>
      </w:pPr>
      <w:r>
        <w:rPr>
          <w:noProof/>
        </w:rPr>
        <w:lastRenderedPageBreak/>
        <w:drawing>
          <wp:inline distT="0" distB="0" distL="0" distR="0">
            <wp:extent cx="4581525" cy="2752725"/>
            <wp:effectExtent l="19050" t="0" r="952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cs="Times New Roman"/>
          <w:sz w:val="24"/>
          <w:szCs w:val="24"/>
        </w:rPr>
        <w:t>This figure it will show ICB mutual fund was highest in year 2015.</w:t>
      </w:r>
      <w:r>
        <w:rPr>
          <w:rFonts w:cs="Arial"/>
          <w:color w:val="000000"/>
          <w:sz w:val="24"/>
          <w:szCs w:val="24"/>
          <w:shd w:val="clear" w:color="auto" w:fill="FFFFFF"/>
        </w:rPr>
        <w:t>A high P/E suggests that the stock price is relatively high comparison to earnings and might point to it being overvalued.</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A29FE" w:rsidRDefault="001002FF" w:rsidP="006A29FE">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6A29FE">
        <w:rPr>
          <w:rFonts w:ascii="Times New Roman" w:hAnsi="Times New Roman" w:cs="Times New Roman"/>
          <w:sz w:val="24"/>
          <w:szCs w:val="24"/>
        </w:rPr>
        <w:t>Company was enable to provide 10% or above dividend in last five years.</w:t>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these figure, we saw that change in dividend percentage is more in year 2015. It indicates that company should more dividend pay in year 2015.</w:t>
      </w:r>
    </w:p>
    <w:p w:rsidR="006A29FE" w:rsidRDefault="006A29FE"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Here, this figure shows that growth rate in highest in year 2014. That means company overall operation was better in year 2014.</w:t>
      </w:r>
    </w:p>
    <w:p w:rsidR="006A29FE" w:rsidRDefault="006A29FE"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After failing to attain good growth rate in 2015 and 2016, it jumped up to 14 in 2017.</w:t>
      </w:r>
    </w:p>
    <w:p w:rsidR="006A29FE" w:rsidRDefault="006A29FE" w:rsidP="004B7285">
      <w:pPr>
        <w:spacing w:line="360" w:lineRule="auto"/>
        <w:jc w:val="both"/>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Interpretation: </w:t>
      </w:r>
      <w:r>
        <w:rPr>
          <w:rFonts w:ascii="Times New Roman" w:hAnsi="Times New Roman" w:cs="Times New Roman"/>
          <w:sz w:val="24"/>
          <w:szCs w:val="24"/>
        </w:rPr>
        <w:t>Here, this figure indicates that expense ratio was lowest in year 2015. That indicates company has less expense in year 2015 among five years.</w:t>
      </w:r>
    </w:p>
    <w:p w:rsidR="006A29FE" w:rsidRDefault="006A29FE" w:rsidP="004B7285">
      <w:pPr>
        <w:spacing w:line="360" w:lineRule="auto"/>
        <w:jc w:val="both"/>
        <w:rPr>
          <w:rFonts w:ascii="Times New Roman" w:hAnsi="Times New Roman" w:cs="Times New Roman"/>
          <w:sz w:val="24"/>
          <w:szCs w:val="24"/>
        </w:rPr>
      </w:pPr>
      <w:r>
        <w:rPr>
          <w:rFonts w:ascii="Times New Roman" w:hAnsi="Times New Roman" w:cs="Times New Roman"/>
          <w:sz w:val="24"/>
          <w:szCs w:val="24"/>
        </w:rPr>
        <w:t>Expense ratio has jumped up to all time high in 2017 that clearly indicates the lack of efficiency in expense management.</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It shows that dividend payout ratio of average mutual funds under ICB, company pays more dividends in year 2015. It indicates that in year 2015 company paid more dividends to shareholder from the income of the company.</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lastRenderedPageBreak/>
        <w:drawing>
          <wp:inline distT="0" distB="0" distL="0" distR="0">
            <wp:extent cx="4581525" cy="275272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In this graph, company total liabilities to total assets were less in year 2016. It means this year company has total liabilities is less that their total assets and these are the good for company.</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Here, the company’s return on equity was more in year 2017 among the five years average of mutual fund under ICB. That indicates company get more return in 2017 against their equity position and that means company got the more return in year 2017.</w:t>
      </w:r>
    </w:p>
    <w:p w:rsidR="001002FF" w:rsidRDefault="001002FF" w:rsidP="004B7285">
      <w:pPr>
        <w:spacing w:line="360" w:lineRule="auto"/>
        <w:rPr>
          <w:rFonts w:ascii="Times New Roman" w:hAnsi="Times New Roman" w:cs="Times New Roman"/>
          <w:sz w:val="24"/>
          <w:szCs w:val="24"/>
        </w:rPr>
      </w:pPr>
    </w:p>
    <w:p w:rsidR="001002FF" w:rsidRDefault="001002FF" w:rsidP="004B7285">
      <w:pPr>
        <w:spacing w:line="360" w:lineRule="auto"/>
        <w:rPr>
          <w:rFonts w:ascii="Times New Roman" w:hAnsi="Times New Roman" w:cs="Times New Roman"/>
          <w:sz w:val="24"/>
          <w:szCs w:val="24"/>
        </w:rPr>
      </w:pPr>
      <w:r>
        <w:rPr>
          <w:noProof/>
        </w:rPr>
        <w:drawing>
          <wp:inline distT="0" distB="0" distL="0" distR="0">
            <wp:extent cx="4581525" cy="2752725"/>
            <wp:effectExtent l="19050" t="0" r="9525"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002FF" w:rsidRDefault="001002FF" w:rsidP="004B728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Interpretation: </w:t>
      </w:r>
      <w:r>
        <w:rPr>
          <w:rFonts w:ascii="Times New Roman" w:hAnsi="Times New Roman" w:cs="Times New Roman"/>
          <w:sz w:val="24"/>
          <w:szCs w:val="24"/>
        </w:rPr>
        <w:t>This graph will show that, company total equity to total asset was more in year 2015 among the average of five years of mutual fund under ICB. This means that the company had the highest total equity and fewer obligations in year 2015.</w:t>
      </w:r>
    </w:p>
    <w:p w:rsidR="008328CE" w:rsidRDefault="008328CE" w:rsidP="004B7285">
      <w:pPr>
        <w:spacing w:line="360" w:lineRule="auto"/>
        <w:jc w:val="both"/>
        <w:rPr>
          <w:rFonts w:ascii="Times New Roman" w:hAnsi="Times New Roman" w:cs="Times New Roman"/>
          <w:sz w:val="24"/>
          <w:szCs w:val="24"/>
        </w:rPr>
      </w:pPr>
      <w:r>
        <w:rPr>
          <w:noProof/>
        </w:rPr>
        <w:drawing>
          <wp:inline distT="0" distB="0" distL="0" distR="0">
            <wp:extent cx="4572000"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91A3A" w:rsidRDefault="00791A3A" w:rsidP="004B7285">
      <w:pPr>
        <w:spacing w:line="360" w:lineRule="auto"/>
        <w:jc w:val="both"/>
        <w:rPr>
          <w:rFonts w:ascii="Times New Roman" w:hAnsi="Times New Roman" w:cs="Times New Roman"/>
          <w:sz w:val="24"/>
          <w:szCs w:val="24"/>
        </w:rPr>
      </w:pPr>
    </w:p>
    <w:p w:rsidR="00905D6D" w:rsidRDefault="00791A3A" w:rsidP="00905D6D">
      <w:pPr>
        <w:rPr>
          <w:rFonts w:ascii="Times New Roman" w:hAnsi="Times New Roman" w:cs="Times New Roman"/>
          <w:sz w:val="24"/>
          <w:szCs w:val="24"/>
        </w:rPr>
      </w:pPr>
      <w:r>
        <w:rPr>
          <w:rFonts w:ascii="Times New Roman" w:hAnsi="Times New Roman" w:cs="Times New Roman"/>
          <w:b/>
          <w:sz w:val="24"/>
          <w:szCs w:val="24"/>
          <w:u w:val="single"/>
        </w:rPr>
        <w:t>Interpretation:</w:t>
      </w:r>
      <w:r w:rsidR="00905D6D" w:rsidRPr="00575174">
        <w:rPr>
          <w:rFonts w:ascii="Times New Roman" w:hAnsi="Times New Roman" w:cs="Times New Roman"/>
          <w:b/>
          <w:sz w:val="24"/>
          <w:szCs w:val="24"/>
        </w:rPr>
        <w:t>:</w:t>
      </w:r>
      <w:r w:rsidR="00905D6D">
        <w:rPr>
          <w:rFonts w:ascii="Times New Roman" w:hAnsi="Times New Roman" w:cs="Times New Roman"/>
          <w:sz w:val="24"/>
          <w:szCs w:val="24"/>
        </w:rPr>
        <w:t>The price to book ratio compares a companies market value to its book value. When it come to stock valuation, any values under 1.0 is considered undervalued and above 1.0 is overvalued.</w:t>
      </w:r>
    </w:p>
    <w:p w:rsidR="00905D6D" w:rsidRDefault="00905D6D" w:rsidP="00905D6D">
      <w:pPr>
        <w:rPr>
          <w:rFonts w:ascii="Times New Roman" w:hAnsi="Times New Roman" w:cs="Times New Roman"/>
          <w:sz w:val="24"/>
          <w:szCs w:val="24"/>
        </w:rPr>
      </w:pPr>
      <w:r>
        <w:rPr>
          <w:rFonts w:ascii="Times New Roman" w:hAnsi="Times New Roman" w:cs="Times New Roman"/>
          <w:sz w:val="24"/>
          <w:szCs w:val="24"/>
        </w:rPr>
        <w:lastRenderedPageBreak/>
        <w:t xml:space="preserve">From 2013 to 2017, ICB continued their market to book value ratio below 1.0.  . Although it’s an undervalued stock, but  it obtained themaximum point in last year which was 0.75 in 2017. This should be an issue to concern to the manager. </w:t>
      </w: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6E2A4C" w:rsidRDefault="006E2A4C" w:rsidP="00905D6D">
      <w:pPr>
        <w:rPr>
          <w:rFonts w:ascii="Times New Roman" w:hAnsi="Times New Roman" w:cs="Times New Roman"/>
          <w:sz w:val="24"/>
          <w:szCs w:val="24"/>
        </w:rPr>
      </w:pPr>
    </w:p>
    <w:p w:rsidR="00E36A4E" w:rsidRDefault="00E36A4E" w:rsidP="00905D6D">
      <w:pPr>
        <w:rPr>
          <w:rFonts w:ascii="Times New Roman" w:hAnsi="Times New Roman" w:cs="Times New Roman"/>
          <w:sz w:val="24"/>
          <w:szCs w:val="24"/>
        </w:rPr>
      </w:pPr>
    </w:p>
    <w:p w:rsidR="00791A3A" w:rsidRDefault="00791A3A" w:rsidP="004B7285">
      <w:pPr>
        <w:spacing w:line="360" w:lineRule="auto"/>
        <w:jc w:val="both"/>
        <w:rPr>
          <w:rFonts w:ascii="Times New Roman" w:hAnsi="Times New Roman" w:cs="Times New Roman"/>
          <w:b/>
          <w:sz w:val="24"/>
          <w:szCs w:val="24"/>
          <w:u w:val="single"/>
        </w:rPr>
      </w:pPr>
    </w:p>
    <w:p w:rsidR="00791A3A" w:rsidRPr="0017341B" w:rsidRDefault="006E2A4C" w:rsidP="00E36A4E">
      <w:pPr>
        <w:pStyle w:val="Heading2"/>
        <w:rPr>
          <w:sz w:val="36"/>
          <w:szCs w:val="36"/>
        </w:rPr>
      </w:pPr>
      <w:bookmarkStart w:id="30" w:name="_Toc535797521"/>
      <w:r w:rsidRPr="0017341B">
        <w:rPr>
          <w:sz w:val="36"/>
          <w:szCs w:val="36"/>
        </w:rPr>
        <w:lastRenderedPageBreak/>
        <w:t xml:space="preserve">Comparison </w:t>
      </w:r>
      <w:r w:rsidR="000773B6" w:rsidRPr="0017341B">
        <w:rPr>
          <w:sz w:val="36"/>
          <w:szCs w:val="36"/>
        </w:rPr>
        <w:t>Between Three Mutual Fund Managers Performance.</w:t>
      </w:r>
      <w:bookmarkEnd w:id="30"/>
    </w:p>
    <w:p w:rsidR="00E36A4E" w:rsidRPr="00E36A4E" w:rsidRDefault="00E36A4E" w:rsidP="00E36A4E"/>
    <w:p w:rsidR="000773B6" w:rsidRPr="008B0872" w:rsidRDefault="008B0872" w:rsidP="008B0872">
      <w:pPr>
        <w:pStyle w:val="ListParagraph"/>
        <w:numPr>
          <w:ilvl w:val="0"/>
          <w:numId w:val="19"/>
        </w:numPr>
        <w:spacing w:line="360" w:lineRule="auto"/>
        <w:rPr>
          <w:rFonts w:cs="Times New Roman"/>
        </w:rPr>
      </w:pPr>
      <w:r w:rsidRPr="008B0872">
        <w:rPr>
          <w:rFonts w:cs="Times New Roman"/>
          <w:b/>
        </w:rPr>
        <w:t>Return On Assets</w:t>
      </w:r>
    </w:p>
    <w:tbl>
      <w:tblPr>
        <w:tblW w:w="10377" w:type="dxa"/>
        <w:tblInd w:w="93" w:type="dxa"/>
        <w:tblLook w:val="04A0" w:firstRow="1" w:lastRow="0" w:firstColumn="1" w:lastColumn="0" w:noHBand="0" w:noVBand="1"/>
      </w:tblPr>
      <w:tblGrid>
        <w:gridCol w:w="1752"/>
        <w:gridCol w:w="1732"/>
        <w:gridCol w:w="1653"/>
        <w:gridCol w:w="1813"/>
        <w:gridCol w:w="2071"/>
        <w:gridCol w:w="1476"/>
      </w:tblGrid>
      <w:tr w:rsidR="008B0872" w:rsidRPr="008B0872" w:rsidTr="0017341B">
        <w:trPr>
          <w:trHeight w:val="320"/>
        </w:trPr>
        <w:tc>
          <w:tcPr>
            <w:tcW w:w="1752" w:type="dxa"/>
            <w:tcBorders>
              <w:top w:val="single" w:sz="4" w:space="0" w:color="95B3D7"/>
              <w:left w:val="single" w:sz="4" w:space="0" w:color="95B3D7"/>
              <w:bottom w:val="single" w:sz="4" w:space="0" w:color="95B3D7"/>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year</w:t>
            </w:r>
          </w:p>
        </w:tc>
        <w:tc>
          <w:tcPr>
            <w:tcW w:w="1732" w:type="dxa"/>
            <w:tcBorders>
              <w:top w:val="single" w:sz="4" w:space="0" w:color="95B3D7"/>
              <w:left w:val="nil"/>
              <w:bottom w:val="single" w:sz="4" w:space="0" w:color="95B3D7"/>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2013</w:t>
            </w:r>
          </w:p>
        </w:tc>
        <w:tc>
          <w:tcPr>
            <w:tcW w:w="1653" w:type="dxa"/>
            <w:tcBorders>
              <w:top w:val="single" w:sz="4" w:space="0" w:color="95B3D7"/>
              <w:left w:val="nil"/>
              <w:bottom w:val="single" w:sz="4" w:space="0" w:color="95B3D7"/>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2014</w:t>
            </w:r>
          </w:p>
        </w:tc>
        <w:tc>
          <w:tcPr>
            <w:tcW w:w="1813" w:type="dxa"/>
            <w:tcBorders>
              <w:top w:val="single" w:sz="4" w:space="0" w:color="95B3D7"/>
              <w:left w:val="nil"/>
              <w:bottom w:val="single" w:sz="4" w:space="0" w:color="95B3D7"/>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2015</w:t>
            </w:r>
          </w:p>
        </w:tc>
        <w:tc>
          <w:tcPr>
            <w:tcW w:w="2071" w:type="dxa"/>
            <w:tcBorders>
              <w:top w:val="single" w:sz="4" w:space="0" w:color="95B3D7"/>
              <w:left w:val="nil"/>
              <w:bottom w:val="single" w:sz="4" w:space="0" w:color="95B3D7"/>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2016</w:t>
            </w:r>
          </w:p>
        </w:tc>
        <w:tc>
          <w:tcPr>
            <w:tcW w:w="1356" w:type="dxa"/>
            <w:tcBorders>
              <w:top w:val="single" w:sz="4" w:space="0" w:color="95B3D7"/>
              <w:left w:val="nil"/>
              <w:bottom w:val="single" w:sz="4" w:space="0" w:color="95B3D7"/>
              <w:right w:val="single" w:sz="4" w:space="0" w:color="95B3D7"/>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2017</w:t>
            </w:r>
          </w:p>
        </w:tc>
      </w:tr>
      <w:tr w:rsidR="008B0872" w:rsidRPr="008B0872" w:rsidTr="0017341B">
        <w:trPr>
          <w:trHeight w:val="351"/>
        </w:trPr>
        <w:tc>
          <w:tcPr>
            <w:tcW w:w="1752" w:type="dxa"/>
            <w:tcBorders>
              <w:top w:val="single" w:sz="4" w:space="0" w:color="95B3D7"/>
              <w:left w:val="single" w:sz="4" w:space="0" w:color="95B3D7"/>
              <w:bottom w:val="single" w:sz="4" w:space="0" w:color="95B3D7"/>
              <w:right w:val="nil"/>
            </w:tcBorders>
            <w:shd w:val="clear" w:color="DCE6F1" w:fill="DCE6F1"/>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Reliance</w:t>
            </w:r>
          </w:p>
        </w:tc>
        <w:tc>
          <w:tcPr>
            <w:tcW w:w="1732"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0.08779971</w:t>
            </w:r>
          </w:p>
        </w:tc>
        <w:tc>
          <w:tcPr>
            <w:tcW w:w="1653"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0.109311</w:t>
            </w:r>
          </w:p>
        </w:tc>
        <w:tc>
          <w:tcPr>
            <w:tcW w:w="1813"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0.1080166</w:t>
            </w:r>
          </w:p>
        </w:tc>
        <w:tc>
          <w:tcPr>
            <w:tcW w:w="2071"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0.0556195</w:t>
            </w:r>
          </w:p>
        </w:tc>
        <w:tc>
          <w:tcPr>
            <w:tcW w:w="1356" w:type="dxa"/>
            <w:tcBorders>
              <w:top w:val="single" w:sz="4" w:space="0" w:color="95B3D7"/>
              <w:left w:val="nil"/>
              <w:bottom w:val="single" w:sz="4" w:space="0" w:color="95B3D7"/>
              <w:right w:val="single" w:sz="4" w:space="0" w:color="95B3D7"/>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0.0636681</w:t>
            </w:r>
          </w:p>
        </w:tc>
      </w:tr>
      <w:tr w:rsidR="008B0872" w:rsidRPr="008B0872" w:rsidTr="0017341B">
        <w:trPr>
          <w:trHeight w:val="351"/>
        </w:trPr>
        <w:tc>
          <w:tcPr>
            <w:tcW w:w="1752" w:type="dxa"/>
            <w:tcBorders>
              <w:top w:val="single" w:sz="4" w:space="0" w:color="95B3D7"/>
              <w:left w:val="single" w:sz="4" w:space="0" w:color="95B3D7"/>
              <w:bottom w:val="single" w:sz="4" w:space="0" w:color="95B3D7"/>
              <w:right w:val="nil"/>
            </w:tcBorders>
            <w:shd w:val="clear" w:color="auto" w:fill="auto"/>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Grameen 1</w:t>
            </w:r>
          </w:p>
        </w:tc>
        <w:tc>
          <w:tcPr>
            <w:tcW w:w="1732" w:type="dxa"/>
            <w:tcBorders>
              <w:top w:val="single" w:sz="4" w:space="0" w:color="95B3D7"/>
              <w:left w:val="nil"/>
              <w:bottom w:val="single" w:sz="4" w:space="0" w:color="95B3D7"/>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0.1769657</w:t>
            </w:r>
          </w:p>
        </w:tc>
        <w:tc>
          <w:tcPr>
            <w:tcW w:w="1653" w:type="dxa"/>
            <w:tcBorders>
              <w:top w:val="single" w:sz="4" w:space="0" w:color="95B3D7"/>
              <w:left w:val="nil"/>
              <w:bottom w:val="single" w:sz="4" w:space="0" w:color="95B3D7"/>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0.07041393</w:t>
            </w:r>
          </w:p>
        </w:tc>
        <w:tc>
          <w:tcPr>
            <w:tcW w:w="1813" w:type="dxa"/>
            <w:tcBorders>
              <w:top w:val="single" w:sz="4" w:space="0" w:color="95B3D7"/>
              <w:left w:val="nil"/>
              <w:bottom w:val="single" w:sz="4" w:space="0" w:color="95B3D7"/>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0.0734983</w:t>
            </w:r>
          </w:p>
        </w:tc>
        <w:tc>
          <w:tcPr>
            <w:tcW w:w="2071" w:type="dxa"/>
            <w:tcBorders>
              <w:top w:val="single" w:sz="4" w:space="0" w:color="95B3D7"/>
              <w:left w:val="nil"/>
              <w:bottom w:val="single" w:sz="4" w:space="0" w:color="95B3D7"/>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0.0967678</w:t>
            </w:r>
          </w:p>
        </w:tc>
        <w:tc>
          <w:tcPr>
            <w:tcW w:w="1356" w:type="dxa"/>
            <w:tcBorders>
              <w:top w:val="single" w:sz="8" w:space="0" w:color="000000"/>
              <w:left w:val="single" w:sz="8" w:space="0" w:color="000000"/>
              <w:bottom w:val="single" w:sz="8" w:space="0" w:color="000000"/>
              <w:right w:val="single" w:sz="4" w:space="0" w:color="95B3D7"/>
            </w:tcBorders>
            <w:shd w:val="clear" w:color="auto" w:fill="auto"/>
            <w:vAlign w:val="center"/>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0.05425423</w:t>
            </w:r>
          </w:p>
        </w:tc>
      </w:tr>
      <w:tr w:rsidR="008B0872" w:rsidRPr="008B0872" w:rsidTr="0017341B">
        <w:trPr>
          <w:trHeight w:val="335"/>
        </w:trPr>
        <w:tc>
          <w:tcPr>
            <w:tcW w:w="1752" w:type="dxa"/>
            <w:tcBorders>
              <w:top w:val="single" w:sz="4" w:space="0" w:color="95B3D7"/>
              <w:left w:val="single" w:sz="4" w:space="0" w:color="95B3D7"/>
              <w:bottom w:val="single" w:sz="4" w:space="0" w:color="95B3D7"/>
              <w:right w:val="nil"/>
            </w:tcBorders>
            <w:shd w:val="clear" w:color="DCE6F1" w:fill="DCE6F1"/>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Grameen 2</w:t>
            </w:r>
          </w:p>
        </w:tc>
        <w:tc>
          <w:tcPr>
            <w:tcW w:w="1732"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0.0786778</w:t>
            </w:r>
          </w:p>
        </w:tc>
        <w:tc>
          <w:tcPr>
            <w:tcW w:w="1653"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0.05944967</w:t>
            </w:r>
          </w:p>
        </w:tc>
        <w:tc>
          <w:tcPr>
            <w:tcW w:w="1813"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0.05823311</w:t>
            </w:r>
          </w:p>
        </w:tc>
        <w:tc>
          <w:tcPr>
            <w:tcW w:w="2071" w:type="dxa"/>
            <w:tcBorders>
              <w:top w:val="single" w:sz="4" w:space="0" w:color="95B3D7"/>
              <w:left w:val="nil"/>
              <w:bottom w:val="single" w:sz="4" w:space="0" w:color="95B3D7"/>
              <w:right w:val="nil"/>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0.05639062</w:t>
            </w:r>
          </w:p>
        </w:tc>
        <w:tc>
          <w:tcPr>
            <w:tcW w:w="1356" w:type="dxa"/>
            <w:tcBorders>
              <w:top w:val="single" w:sz="4" w:space="0" w:color="95B3D7"/>
              <w:left w:val="nil"/>
              <w:bottom w:val="single" w:sz="4" w:space="0" w:color="95B3D7"/>
              <w:right w:val="single" w:sz="4" w:space="0" w:color="95B3D7"/>
            </w:tcBorders>
            <w:shd w:val="clear" w:color="DCE6F1" w:fill="DCE6F1"/>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0.0668889</w:t>
            </w:r>
          </w:p>
        </w:tc>
      </w:tr>
      <w:tr w:rsidR="008B0872" w:rsidRPr="008B0872" w:rsidTr="0017341B">
        <w:trPr>
          <w:trHeight w:val="335"/>
        </w:trPr>
        <w:tc>
          <w:tcPr>
            <w:tcW w:w="1752" w:type="dxa"/>
            <w:tcBorders>
              <w:top w:val="single" w:sz="4" w:space="0" w:color="95B3D7"/>
              <w:left w:val="single" w:sz="4" w:space="0" w:color="95B3D7"/>
              <w:bottom w:val="single" w:sz="4" w:space="0" w:color="auto"/>
              <w:right w:val="nil"/>
            </w:tcBorders>
            <w:shd w:val="clear" w:color="auto" w:fill="auto"/>
            <w:vAlign w:val="bottom"/>
            <w:hideMark/>
          </w:tcPr>
          <w:p w:rsidR="008B0872" w:rsidRPr="008B0872" w:rsidRDefault="008B0872" w:rsidP="008B0872">
            <w:pPr>
              <w:spacing w:after="0" w:line="240" w:lineRule="auto"/>
              <w:rPr>
                <w:rFonts w:ascii="Calibri" w:eastAsia="Times New Roman" w:hAnsi="Calibri" w:cs="Times New Roman"/>
                <w:b/>
                <w:bCs/>
                <w:color w:val="000000"/>
              </w:rPr>
            </w:pPr>
            <w:r w:rsidRPr="008B0872">
              <w:rPr>
                <w:rFonts w:ascii="Calibri" w:eastAsia="Times New Roman" w:hAnsi="Calibri" w:cs="Times New Roman"/>
                <w:b/>
                <w:bCs/>
                <w:color w:val="000000"/>
              </w:rPr>
              <w:t>ICB</w:t>
            </w:r>
          </w:p>
        </w:tc>
        <w:tc>
          <w:tcPr>
            <w:tcW w:w="1732" w:type="dxa"/>
            <w:tcBorders>
              <w:top w:val="single" w:sz="4" w:space="0" w:color="95B3D7"/>
              <w:left w:val="nil"/>
              <w:bottom w:val="single" w:sz="4" w:space="0" w:color="auto"/>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0.018022318</w:t>
            </w:r>
          </w:p>
        </w:tc>
        <w:tc>
          <w:tcPr>
            <w:tcW w:w="1653" w:type="dxa"/>
            <w:tcBorders>
              <w:top w:val="single" w:sz="4" w:space="0" w:color="95B3D7"/>
              <w:left w:val="nil"/>
              <w:bottom w:val="single" w:sz="4" w:space="0" w:color="auto"/>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0.058668974</w:t>
            </w:r>
          </w:p>
        </w:tc>
        <w:tc>
          <w:tcPr>
            <w:tcW w:w="1813" w:type="dxa"/>
            <w:tcBorders>
              <w:top w:val="single" w:sz="4" w:space="0" w:color="95B3D7"/>
              <w:left w:val="nil"/>
              <w:bottom w:val="single" w:sz="4" w:space="0" w:color="auto"/>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0.05497344</w:t>
            </w:r>
          </w:p>
        </w:tc>
        <w:tc>
          <w:tcPr>
            <w:tcW w:w="2071" w:type="dxa"/>
            <w:tcBorders>
              <w:top w:val="single" w:sz="4" w:space="0" w:color="95B3D7"/>
              <w:left w:val="nil"/>
              <w:bottom w:val="single" w:sz="4" w:space="0" w:color="auto"/>
              <w:right w:val="nil"/>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0.04642348</w:t>
            </w:r>
          </w:p>
        </w:tc>
        <w:tc>
          <w:tcPr>
            <w:tcW w:w="1356" w:type="dxa"/>
            <w:tcBorders>
              <w:top w:val="single" w:sz="4" w:space="0" w:color="95B3D7"/>
              <w:left w:val="nil"/>
              <w:bottom w:val="single" w:sz="4" w:space="0" w:color="auto"/>
              <w:right w:val="single" w:sz="4" w:space="0" w:color="95B3D7"/>
            </w:tcBorders>
            <w:shd w:val="clear" w:color="auto" w:fill="auto"/>
            <w:noWrap/>
            <w:vAlign w:val="bottom"/>
            <w:hideMark/>
          </w:tcPr>
          <w:p w:rsidR="008B0872" w:rsidRPr="008B0872" w:rsidRDefault="008B0872" w:rsidP="008B0872">
            <w:pPr>
              <w:spacing w:after="0" w:line="240" w:lineRule="auto"/>
              <w:jc w:val="right"/>
              <w:rPr>
                <w:rFonts w:ascii="Times New Roman" w:eastAsia="Times New Roman" w:hAnsi="Times New Roman" w:cs="Times New Roman"/>
                <w:color w:val="000000"/>
                <w:sz w:val="24"/>
                <w:szCs w:val="24"/>
              </w:rPr>
            </w:pPr>
            <w:r w:rsidRPr="008B0872">
              <w:rPr>
                <w:rFonts w:ascii="Times New Roman" w:eastAsia="Times New Roman" w:hAnsi="Times New Roman" w:cs="Times New Roman"/>
                <w:color w:val="000000"/>
                <w:sz w:val="24"/>
                <w:szCs w:val="24"/>
              </w:rPr>
              <w:t>0.077453259</w:t>
            </w:r>
          </w:p>
        </w:tc>
      </w:tr>
    </w:tbl>
    <w:p w:rsidR="008B0872" w:rsidRPr="008B0872" w:rsidRDefault="008B0872" w:rsidP="008B0872">
      <w:pPr>
        <w:pStyle w:val="ListParagraph"/>
        <w:spacing w:line="360" w:lineRule="auto"/>
        <w:rPr>
          <w:rFonts w:cs="Times New Roman"/>
        </w:rPr>
      </w:pPr>
    </w:p>
    <w:p w:rsidR="001002FF" w:rsidRDefault="009D58A5" w:rsidP="004B7285">
      <w:pPr>
        <w:spacing w:line="360" w:lineRule="auto"/>
        <w:rPr>
          <w:rFonts w:ascii="Times New Roman" w:hAnsi="Times New Roman" w:cs="Times New Roman"/>
          <w:sz w:val="24"/>
          <w:szCs w:val="24"/>
        </w:rPr>
      </w:pPr>
      <w:r>
        <w:rPr>
          <w:noProof/>
        </w:rPr>
        <w:drawing>
          <wp:inline distT="0" distB="0" distL="0" distR="0">
            <wp:extent cx="4572000" cy="2743200"/>
            <wp:effectExtent l="0" t="0" r="19050" b="1905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C5279" w:rsidRDefault="008B0872" w:rsidP="004C5279">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4C5279">
        <w:rPr>
          <w:rFonts w:ascii="Times New Roman" w:hAnsi="Times New Roman" w:cs="Times New Roman"/>
          <w:sz w:val="24"/>
          <w:szCs w:val="24"/>
        </w:rPr>
        <w:t>ICB</w:t>
      </w:r>
      <w:r w:rsidR="000B6B0D">
        <w:rPr>
          <w:rFonts w:ascii="Times New Roman" w:hAnsi="Times New Roman" w:cs="Times New Roman"/>
          <w:sz w:val="24"/>
          <w:szCs w:val="24"/>
        </w:rPr>
        <w:t xml:space="preserve"> has</w:t>
      </w:r>
      <w:r w:rsidR="004C5279">
        <w:rPr>
          <w:rFonts w:ascii="Times New Roman" w:hAnsi="Times New Roman" w:cs="Times New Roman"/>
          <w:sz w:val="24"/>
          <w:szCs w:val="24"/>
        </w:rPr>
        <w:t xml:space="preserve"> obtained comaparatively better position in return on asset among all the four companies as it</w:t>
      </w:r>
      <w:r w:rsidR="000B6B0D">
        <w:rPr>
          <w:rFonts w:ascii="Times New Roman" w:hAnsi="Times New Roman" w:cs="Times New Roman"/>
          <w:sz w:val="24"/>
          <w:szCs w:val="24"/>
        </w:rPr>
        <w:t xml:space="preserve"> was comparatively stable and getting</w:t>
      </w:r>
      <w:r w:rsidR="004C5279">
        <w:rPr>
          <w:rFonts w:ascii="Times New Roman" w:hAnsi="Times New Roman" w:cs="Times New Roman"/>
          <w:sz w:val="24"/>
          <w:szCs w:val="24"/>
        </w:rPr>
        <w:t>higher with the time</w:t>
      </w:r>
      <w:r w:rsidR="000B6B0D">
        <w:rPr>
          <w:rFonts w:ascii="Times New Roman" w:hAnsi="Times New Roman" w:cs="Times New Roman"/>
          <w:sz w:val="24"/>
          <w:szCs w:val="24"/>
        </w:rPr>
        <w:t xml:space="preserve">. </w:t>
      </w:r>
    </w:p>
    <w:p w:rsidR="000B6B0D" w:rsidRDefault="000B6B0D" w:rsidP="004C52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Reliance and Grameen two are in vulnerable position ;Grameen one is in the worst position as it is getting lower with the time and has touched its lowest in 2017. </w:t>
      </w:r>
    </w:p>
    <w:p w:rsidR="00382010" w:rsidRDefault="00382010" w:rsidP="004C5279">
      <w:pPr>
        <w:spacing w:line="360" w:lineRule="auto"/>
        <w:jc w:val="both"/>
        <w:rPr>
          <w:rFonts w:ascii="Times New Roman" w:hAnsi="Times New Roman" w:cs="Times New Roman"/>
          <w:sz w:val="24"/>
          <w:szCs w:val="24"/>
        </w:rPr>
      </w:pPr>
    </w:p>
    <w:p w:rsidR="00382010" w:rsidRDefault="00382010" w:rsidP="004C5279">
      <w:pPr>
        <w:spacing w:line="360" w:lineRule="auto"/>
        <w:jc w:val="both"/>
        <w:rPr>
          <w:rFonts w:ascii="Times New Roman" w:hAnsi="Times New Roman" w:cs="Times New Roman"/>
          <w:sz w:val="24"/>
          <w:szCs w:val="24"/>
        </w:rPr>
      </w:pPr>
    </w:p>
    <w:p w:rsidR="00382010" w:rsidRPr="004C5279" w:rsidRDefault="00382010" w:rsidP="004C5279">
      <w:pPr>
        <w:spacing w:line="360" w:lineRule="auto"/>
        <w:jc w:val="both"/>
        <w:rPr>
          <w:rFonts w:ascii="Times New Roman" w:hAnsi="Times New Roman" w:cs="Times New Roman"/>
          <w:sz w:val="24"/>
          <w:szCs w:val="24"/>
        </w:rPr>
      </w:pPr>
    </w:p>
    <w:p w:rsidR="008B0872" w:rsidRDefault="008B0872" w:rsidP="008B0872">
      <w:pPr>
        <w:spacing w:line="360" w:lineRule="auto"/>
        <w:jc w:val="both"/>
        <w:rPr>
          <w:rFonts w:ascii="Times New Roman" w:hAnsi="Times New Roman" w:cs="Times New Roman"/>
          <w:b/>
          <w:sz w:val="24"/>
          <w:szCs w:val="24"/>
          <w:u w:val="single"/>
        </w:rPr>
      </w:pPr>
    </w:p>
    <w:p w:rsidR="008B0872" w:rsidRPr="008B0872" w:rsidRDefault="008B0872" w:rsidP="008B0872">
      <w:pPr>
        <w:pStyle w:val="ListParagraph"/>
        <w:numPr>
          <w:ilvl w:val="0"/>
          <w:numId w:val="19"/>
        </w:numPr>
        <w:spacing w:line="360" w:lineRule="auto"/>
        <w:rPr>
          <w:rFonts w:cs="Times New Roman"/>
          <w:b/>
        </w:rPr>
      </w:pPr>
      <w:r w:rsidRPr="008B0872">
        <w:rPr>
          <w:rFonts w:cs="Times New Roman"/>
          <w:b/>
        </w:rPr>
        <w:lastRenderedPageBreak/>
        <w:t>Dividend yield Ratio</w:t>
      </w:r>
    </w:p>
    <w:tbl>
      <w:tblPr>
        <w:tblW w:w="10269" w:type="dxa"/>
        <w:tblInd w:w="93" w:type="dxa"/>
        <w:tblLook w:val="04A0" w:firstRow="1" w:lastRow="0" w:firstColumn="1" w:lastColumn="0" w:noHBand="0" w:noVBand="1"/>
      </w:tblPr>
      <w:tblGrid>
        <w:gridCol w:w="1828"/>
        <w:gridCol w:w="1903"/>
        <w:gridCol w:w="1545"/>
        <w:gridCol w:w="1583"/>
        <w:gridCol w:w="1677"/>
        <w:gridCol w:w="1733"/>
      </w:tblGrid>
      <w:tr w:rsidR="008B0872" w:rsidRPr="008B0872" w:rsidTr="00AB4B65">
        <w:trPr>
          <w:trHeight w:val="300"/>
        </w:trPr>
        <w:tc>
          <w:tcPr>
            <w:tcW w:w="1828" w:type="dxa"/>
            <w:tcBorders>
              <w:top w:val="nil"/>
              <w:left w:val="nil"/>
              <w:bottom w:val="single" w:sz="12" w:space="0" w:color="FFFFFF"/>
              <w:right w:val="single" w:sz="4" w:space="0" w:color="FFFFFF"/>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YEAR</w:t>
            </w:r>
          </w:p>
        </w:tc>
        <w:tc>
          <w:tcPr>
            <w:tcW w:w="1903" w:type="dxa"/>
            <w:tcBorders>
              <w:top w:val="nil"/>
              <w:left w:val="single" w:sz="4" w:space="0" w:color="FFFFFF"/>
              <w:bottom w:val="single" w:sz="12" w:space="0" w:color="FFFFFF"/>
              <w:right w:val="single" w:sz="4" w:space="0" w:color="FFFFFF"/>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2013</w:t>
            </w:r>
          </w:p>
        </w:tc>
        <w:tc>
          <w:tcPr>
            <w:tcW w:w="1545" w:type="dxa"/>
            <w:tcBorders>
              <w:top w:val="nil"/>
              <w:left w:val="single" w:sz="4" w:space="0" w:color="FFFFFF"/>
              <w:bottom w:val="single" w:sz="12" w:space="0" w:color="FFFFFF"/>
              <w:right w:val="single" w:sz="4" w:space="0" w:color="FFFFFF"/>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2014</w:t>
            </w:r>
          </w:p>
        </w:tc>
        <w:tc>
          <w:tcPr>
            <w:tcW w:w="1583" w:type="dxa"/>
            <w:tcBorders>
              <w:top w:val="nil"/>
              <w:left w:val="single" w:sz="4" w:space="0" w:color="FFFFFF"/>
              <w:bottom w:val="single" w:sz="12" w:space="0" w:color="FFFFFF"/>
              <w:right w:val="single" w:sz="4" w:space="0" w:color="FFFFFF"/>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2015</w:t>
            </w:r>
          </w:p>
        </w:tc>
        <w:tc>
          <w:tcPr>
            <w:tcW w:w="1677" w:type="dxa"/>
            <w:tcBorders>
              <w:top w:val="nil"/>
              <w:left w:val="single" w:sz="4" w:space="0" w:color="FFFFFF"/>
              <w:bottom w:val="single" w:sz="12" w:space="0" w:color="FFFFFF"/>
              <w:right w:val="single" w:sz="4" w:space="0" w:color="FFFFFF"/>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2016</w:t>
            </w:r>
          </w:p>
        </w:tc>
        <w:tc>
          <w:tcPr>
            <w:tcW w:w="1733" w:type="dxa"/>
            <w:tcBorders>
              <w:top w:val="nil"/>
              <w:left w:val="single" w:sz="4" w:space="0" w:color="FFFFFF"/>
              <w:bottom w:val="single" w:sz="12" w:space="0" w:color="FFFFFF"/>
              <w:right w:val="nil"/>
            </w:tcBorders>
            <w:shd w:val="clear" w:color="4F81BD" w:fill="4F81BD"/>
            <w:noWrap/>
            <w:vAlign w:val="bottom"/>
            <w:hideMark/>
          </w:tcPr>
          <w:p w:rsidR="008B0872" w:rsidRPr="008B0872" w:rsidRDefault="008B0872" w:rsidP="008B0872">
            <w:pPr>
              <w:spacing w:after="0" w:line="240" w:lineRule="auto"/>
              <w:rPr>
                <w:rFonts w:ascii="Calibri" w:eastAsia="Times New Roman" w:hAnsi="Calibri" w:cs="Times New Roman"/>
                <w:b/>
                <w:bCs/>
                <w:color w:val="FFFFFF"/>
              </w:rPr>
            </w:pPr>
            <w:r w:rsidRPr="008B0872">
              <w:rPr>
                <w:rFonts w:ascii="Calibri" w:eastAsia="Times New Roman" w:hAnsi="Calibri" w:cs="Times New Roman"/>
                <w:b/>
                <w:bCs/>
                <w:color w:val="FFFFFF"/>
              </w:rPr>
              <w:t>2017</w:t>
            </w:r>
          </w:p>
        </w:tc>
      </w:tr>
      <w:tr w:rsidR="008B0872" w:rsidRPr="008B0872" w:rsidTr="00AB4B65">
        <w:trPr>
          <w:trHeight w:val="315"/>
        </w:trPr>
        <w:tc>
          <w:tcPr>
            <w:tcW w:w="1828" w:type="dxa"/>
            <w:tcBorders>
              <w:top w:val="single" w:sz="4" w:space="0" w:color="FFFFFF"/>
              <w:left w:val="nil"/>
              <w:bottom w:val="single" w:sz="4" w:space="0" w:color="FFFFFF"/>
              <w:right w:val="single" w:sz="4" w:space="0" w:color="FFFFFF"/>
            </w:tcBorders>
            <w:shd w:val="clear" w:color="B8CCE4" w:fill="B8CCE4"/>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Reliance</w:t>
            </w:r>
          </w:p>
        </w:tc>
        <w:tc>
          <w:tcPr>
            <w:tcW w:w="190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rPr>
                <w:rFonts w:ascii="Calibri" w:eastAsia="Times New Roman" w:hAnsi="Calibri" w:cs="Times New Roman"/>
                <w:color w:val="000000"/>
              </w:rPr>
            </w:pPr>
          </w:p>
        </w:tc>
        <w:tc>
          <w:tcPr>
            <w:tcW w:w="154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12.22</w:t>
            </w:r>
          </w:p>
        </w:tc>
        <w:tc>
          <w:tcPr>
            <w:tcW w:w="158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14.29</w:t>
            </w:r>
          </w:p>
        </w:tc>
        <w:tc>
          <w:tcPr>
            <w:tcW w:w="167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12.66</w:t>
            </w:r>
          </w:p>
        </w:tc>
        <w:tc>
          <w:tcPr>
            <w:tcW w:w="1733" w:type="dxa"/>
            <w:tcBorders>
              <w:top w:val="single" w:sz="4" w:space="0" w:color="FFFFFF"/>
              <w:left w:val="single" w:sz="4" w:space="0" w:color="FFFFFF"/>
              <w:bottom w:val="single" w:sz="4" w:space="0" w:color="FFFFFF"/>
              <w:right w:val="nil"/>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9.09</w:t>
            </w:r>
          </w:p>
        </w:tc>
      </w:tr>
      <w:tr w:rsidR="008B0872" w:rsidRPr="008B0872" w:rsidTr="00AB4B65">
        <w:trPr>
          <w:trHeight w:val="315"/>
        </w:trPr>
        <w:tc>
          <w:tcPr>
            <w:tcW w:w="1828" w:type="dxa"/>
            <w:tcBorders>
              <w:top w:val="single" w:sz="4" w:space="0" w:color="FFFFFF"/>
              <w:left w:val="nil"/>
              <w:bottom w:val="single" w:sz="4" w:space="0" w:color="FFFFFF"/>
              <w:right w:val="single" w:sz="4" w:space="0" w:color="FFFFFF"/>
            </w:tcBorders>
            <w:shd w:val="clear" w:color="DCE6F1" w:fill="DCE6F1"/>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Grameen 1</w:t>
            </w:r>
          </w:p>
        </w:tc>
        <w:tc>
          <w:tcPr>
            <w:tcW w:w="1903"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8B0872" w:rsidRPr="008B0872" w:rsidRDefault="008B0872" w:rsidP="008B0872">
            <w:pPr>
              <w:spacing w:after="0" w:line="240" w:lineRule="auto"/>
              <w:rPr>
                <w:rFonts w:ascii="Calibri" w:eastAsia="Times New Roman" w:hAnsi="Calibri" w:cs="Times New Roman"/>
                <w:color w:val="000000"/>
              </w:rPr>
            </w:pPr>
          </w:p>
        </w:tc>
        <w:tc>
          <w:tcPr>
            <w:tcW w:w="1545"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0.17580872</w:t>
            </w:r>
          </w:p>
        </w:tc>
        <w:tc>
          <w:tcPr>
            <w:tcW w:w="1583"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0.0487329</w:t>
            </w:r>
          </w:p>
        </w:tc>
        <w:tc>
          <w:tcPr>
            <w:tcW w:w="167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0.0572902</w:t>
            </w:r>
          </w:p>
        </w:tc>
        <w:tc>
          <w:tcPr>
            <w:tcW w:w="1733" w:type="dxa"/>
            <w:tcBorders>
              <w:top w:val="single" w:sz="4" w:space="0" w:color="FFFFFF"/>
              <w:left w:val="single" w:sz="4" w:space="0" w:color="FFFFFF"/>
              <w:bottom w:val="single" w:sz="4" w:space="0" w:color="FFFFFF"/>
              <w:right w:val="nil"/>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0.0482305</w:t>
            </w:r>
          </w:p>
        </w:tc>
      </w:tr>
      <w:tr w:rsidR="008B0872" w:rsidRPr="008B0872" w:rsidTr="00AB4B65">
        <w:trPr>
          <w:trHeight w:val="315"/>
        </w:trPr>
        <w:tc>
          <w:tcPr>
            <w:tcW w:w="1828" w:type="dxa"/>
            <w:tcBorders>
              <w:top w:val="single" w:sz="4" w:space="0" w:color="FFFFFF"/>
              <w:left w:val="nil"/>
              <w:bottom w:val="single" w:sz="4" w:space="0" w:color="FFFFFF"/>
              <w:right w:val="single" w:sz="4" w:space="0" w:color="FFFFFF"/>
            </w:tcBorders>
            <w:shd w:val="clear" w:color="B8CCE4" w:fill="B8CCE4"/>
            <w:vAlign w:val="bottom"/>
            <w:hideMark/>
          </w:tcPr>
          <w:p w:rsidR="008B0872" w:rsidRPr="008B0872" w:rsidRDefault="008B0872" w:rsidP="008B0872">
            <w:pPr>
              <w:spacing w:after="0" w:line="240" w:lineRule="auto"/>
              <w:rPr>
                <w:rFonts w:ascii="Times New Roman" w:eastAsia="Times New Roman" w:hAnsi="Times New Roman" w:cs="Times New Roman"/>
                <w:b/>
                <w:bCs/>
                <w:color w:val="000000"/>
                <w:sz w:val="24"/>
                <w:szCs w:val="24"/>
              </w:rPr>
            </w:pPr>
            <w:r w:rsidRPr="008B0872">
              <w:rPr>
                <w:rFonts w:ascii="Times New Roman" w:eastAsia="Times New Roman" w:hAnsi="Times New Roman" w:cs="Times New Roman"/>
                <w:b/>
                <w:bCs/>
                <w:color w:val="000000"/>
                <w:sz w:val="24"/>
                <w:szCs w:val="24"/>
              </w:rPr>
              <w:t>Grameen 2</w:t>
            </w:r>
          </w:p>
        </w:tc>
        <w:tc>
          <w:tcPr>
            <w:tcW w:w="190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rPr>
                <w:rFonts w:ascii="Calibri" w:eastAsia="Times New Roman" w:hAnsi="Calibri" w:cs="Times New Roman"/>
                <w:color w:val="000000"/>
              </w:rPr>
            </w:pPr>
          </w:p>
        </w:tc>
        <w:tc>
          <w:tcPr>
            <w:tcW w:w="154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9.09</w:t>
            </w:r>
          </w:p>
        </w:tc>
        <w:tc>
          <w:tcPr>
            <w:tcW w:w="158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9.26</w:t>
            </w:r>
          </w:p>
        </w:tc>
        <w:tc>
          <w:tcPr>
            <w:tcW w:w="167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7.24</w:t>
            </w:r>
          </w:p>
        </w:tc>
        <w:tc>
          <w:tcPr>
            <w:tcW w:w="1733" w:type="dxa"/>
            <w:tcBorders>
              <w:top w:val="single" w:sz="4" w:space="0" w:color="FFFFFF"/>
              <w:left w:val="single" w:sz="4" w:space="0" w:color="FFFFFF"/>
              <w:bottom w:val="single" w:sz="4" w:space="0" w:color="FFFFFF"/>
              <w:right w:val="nil"/>
            </w:tcBorders>
            <w:shd w:val="clear" w:color="B8CCE4" w:fill="B8CCE4"/>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7.27</w:t>
            </w:r>
          </w:p>
        </w:tc>
      </w:tr>
      <w:tr w:rsidR="008B0872" w:rsidRPr="008B0872" w:rsidTr="00AB4B65">
        <w:trPr>
          <w:trHeight w:val="300"/>
        </w:trPr>
        <w:tc>
          <w:tcPr>
            <w:tcW w:w="1828" w:type="dxa"/>
            <w:tcBorders>
              <w:top w:val="single" w:sz="4" w:space="0" w:color="FFFFFF"/>
              <w:left w:val="nil"/>
              <w:bottom w:val="single" w:sz="4" w:space="0" w:color="auto"/>
              <w:right w:val="single" w:sz="4" w:space="0" w:color="FFFFFF"/>
            </w:tcBorders>
            <w:shd w:val="clear" w:color="DCE6F1" w:fill="DCE6F1"/>
            <w:vAlign w:val="bottom"/>
            <w:hideMark/>
          </w:tcPr>
          <w:p w:rsidR="008B0872" w:rsidRPr="008B0872" w:rsidRDefault="008B0872" w:rsidP="008B0872">
            <w:pPr>
              <w:spacing w:after="0" w:line="240" w:lineRule="auto"/>
              <w:rPr>
                <w:rFonts w:ascii="Calibri" w:eastAsia="Times New Roman" w:hAnsi="Calibri" w:cs="Times New Roman"/>
                <w:b/>
                <w:bCs/>
                <w:color w:val="000000"/>
              </w:rPr>
            </w:pPr>
            <w:r w:rsidRPr="008B0872">
              <w:rPr>
                <w:rFonts w:ascii="Calibri" w:eastAsia="Times New Roman" w:hAnsi="Calibri" w:cs="Times New Roman"/>
                <w:b/>
                <w:bCs/>
                <w:color w:val="000000"/>
              </w:rPr>
              <w:t>ICB</w:t>
            </w:r>
          </w:p>
        </w:tc>
        <w:tc>
          <w:tcPr>
            <w:tcW w:w="190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3.79</w:t>
            </w:r>
          </w:p>
        </w:tc>
        <w:tc>
          <w:tcPr>
            <w:tcW w:w="154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9.63</w:t>
            </w:r>
          </w:p>
        </w:tc>
        <w:tc>
          <w:tcPr>
            <w:tcW w:w="158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12.94</w:t>
            </w:r>
          </w:p>
        </w:tc>
        <w:tc>
          <w:tcPr>
            <w:tcW w:w="167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10.8</w:t>
            </w:r>
          </w:p>
        </w:tc>
        <w:tc>
          <w:tcPr>
            <w:tcW w:w="173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8B0872" w:rsidRPr="008B0872" w:rsidRDefault="008B0872" w:rsidP="008B0872">
            <w:pPr>
              <w:spacing w:after="0" w:line="240" w:lineRule="auto"/>
              <w:jc w:val="right"/>
              <w:rPr>
                <w:rFonts w:ascii="Calibri" w:eastAsia="Times New Roman" w:hAnsi="Calibri" w:cs="Times New Roman"/>
                <w:color w:val="000000"/>
              </w:rPr>
            </w:pPr>
            <w:r w:rsidRPr="008B0872">
              <w:rPr>
                <w:rFonts w:ascii="Calibri" w:eastAsia="Times New Roman" w:hAnsi="Calibri" w:cs="Times New Roman"/>
                <w:color w:val="000000"/>
              </w:rPr>
              <w:t>7.58</w:t>
            </w:r>
          </w:p>
        </w:tc>
      </w:tr>
    </w:tbl>
    <w:p w:rsidR="001002FF" w:rsidRDefault="001002FF" w:rsidP="004B7285">
      <w:pPr>
        <w:spacing w:line="360" w:lineRule="auto"/>
        <w:rPr>
          <w:rFonts w:ascii="Times New Roman" w:hAnsi="Times New Roman" w:cs="Times New Roman"/>
          <w:sz w:val="24"/>
          <w:szCs w:val="24"/>
        </w:rPr>
      </w:pPr>
    </w:p>
    <w:p w:rsidR="008B0872" w:rsidRDefault="00B37E78" w:rsidP="004B7285">
      <w:pPr>
        <w:spacing w:line="360" w:lineRule="auto"/>
        <w:rPr>
          <w:rFonts w:ascii="Times New Roman" w:hAnsi="Times New Roman" w:cs="Times New Roman"/>
          <w:sz w:val="24"/>
          <w:szCs w:val="24"/>
        </w:rPr>
      </w:pPr>
      <w:r>
        <w:rPr>
          <w:noProof/>
        </w:rPr>
        <w:drawing>
          <wp:inline distT="0" distB="0" distL="0" distR="0">
            <wp:extent cx="4572000" cy="2743200"/>
            <wp:effectExtent l="0" t="0" r="19050" b="1905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4183D" w:rsidRDefault="008B0872" w:rsidP="0084183D">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84183D">
        <w:rPr>
          <w:rFonts w:ascii="Times New Roman" w:hAnsi="Times New Roman" w:cs="Times New Roman"/>
          <w:sz w:val="24"/>
          <w:szCs w:val="24"/>
        </w:rPr>
        <w:t>In 2017 all four companie’s dividend yield ratio were below 10% and it’s getting lower in every year .</w:t>
      </w:r>
    </w:p>
    <w:p w:rsidR="0084183D" w:rsidRDefault="0084183D" w:rsidP="00841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Reliance has obtained the highest dividend yield rat</w:t>
      </w:r>
      <w:r w:rsidR="00FD054C">
        <w:rPr>
          <w:rFonts w:ascii="Times New Roman" w:hAnsi="Times New Roman" w:cs="Times New Roman"/>
          <w:sz w:val="24"/>
          <w:szCs w:val="24"/>
        </w:rPr>
        <w:t>i</w:t>
      </w:r>
      <w:r>
        <w:rPr>
          <w:rFonts w:ascii="Times New Roman" w:hAnsi="Times New Roman" w:cs="Times New Roman"/>
          <w:sz w:val="24"/>
          <w:szCs w:val="24"/>
        </w:rPr>
        <w:t xml:space="preserve">o in last four years. </w:t>
      </w:r>
    </w:p>
    <w:p w:rsidR="0084183D" w:rsidRDefault="0084183D" w:rsidP="0084183D">
      <w:pPr>
        <w:spacing w:line="360" w:lineRule="auto"/>
        <w:jc w:val="both"/>
        <w:rPr>
          <w:rFonts w:ascii="Times New Roman" w:hAnsi="Times New Roman" w:cs="Times New Roman"/>
          <w:sz w:val="24"/>
          <w:szCs w:val="24"/>
        </w:rPr>
      </w:pPr>
      <w:r>
        <w:rPr>
          <w:rFonts w:ascii="Times New Roman" w:hAnsi="Times New Roman" w:cs="Times New Roman"/>
          <w:sz w:val="24"/>
          <w:szCs w:val="24"/>
        </w:rPr>
        <w:t>ICB is quite vulnerable in dividend yield rat</w:t>
      </w:r>
      <w:r w:rsidR="0093262E">
        <w:rPr>
          <w:rFonts w:ascii="Times New Roman" w:hAnsi="Times New Roman" w:cs="Times New Roman"/>
          <w:sz w:val="24"/>
          <w:szCs w:val="24"/>
        </w:rPr>
        <w:t>i</w:t>
      </w:r>
      <w:r>
        <w:rPr>
          <w:rFonts w:ascii="Times New Roman" w:hAnsi="Times New Roman" w:cs="Times New Roman"/>
          <w:sz w:val="24"/>
          <w:szCs w:val="24"/>
        </w:rPr>
        <w:t>o and Grameen 2 is getting lower in each year.</w:t>
      </w:r>
    </w:p>
    <w:p w:rsidR="0084183D" w:rsidRDefault="0084183D" w:rsidP="0084183D">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Grameen one is in the worst position with below 0.2 dividend yield ratio in last five years.</w:t>
      </w:r>
    </w:p>
    <w:p w:rsidR="0084183D" w:rsidRDefault="0084183D" w:rsidP="0084183D">
      <w:pPr>
        <w:spacing w:line="360" w:lineRule="auto"/>
        <w:rPr>
          <w:rFonts w:ascii="Times New Roman" w:hAnsi="Times New Roman" w:cs="Times New Roman"/>
          <w:b/>
          <w:sz w:val="24"/>
          <w:szCs w:val="24"/>
        </w:rPr>
      </w:pPr>
    </w:p>
    <w:p w:rsidR="0084183D" w:rsidRDefault="0084183D" w:rsidP="0084183D">
      <w:pPr>
        <w:spacing w:line="360" w:lineRule="auto"/>
        <w:jc w:val="both"/>
        <w:rPr>
          <w:rFonts w:ascii="Times New Roman" w:hAnsi="Times New Roman" w:cs="Times New Roman"/>
          <w:sz w:val="24"/>
          <w:szCs w:val="24"/>
        </w:rPr>
      </w:pPr>
    </w:p>
    <w:p w:rsidR="008504CF" w:rsidRDefault="008504CF" w:rsidP="00B37E78">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8504CF" w:rsidRPr="00382010" w:rsidRDefault="008504CF" w:rsidP="00B37E78">
      <w:pPr>
        <w:spacing w:line="360" w:lineRule="auto"/>
        <w:jc w:val="both"/>
        <w:rPr>
          <w:rFonts w:ascii="Times New Roman" w:hAnsi="Times New Roman" w:cs="Times New Roman"/>
          <w:sz w:val="24"/>
          <w:szCs w:val="24"/>
        </w:rPr>
      </w:pPr>
    </w:p>
    <w:p w:rsidR="00B37E78" w:rsidRDefault="00B37E78" w:rsidP="00B37E78">
      <w:pPr>
        <w:spacing w:line="360" w:lineRule="auto"/>
        <w:jc w:val="both"/>
        <w:rPr>
          <w:rFonts w:ascii="Times New Roman" w:hAnsi="Times New Roman" w:cs="Times New Roman"/>
          <w:b/>
          <w:sz w:val="24"/>
          <w:szCs w:val="24"/>
          <w:u w:val="single"/>
        </w:rPr>
      </w:pPr>
    </w:p>
    <w:p w:rsidR="0084183D" w:rsidRDefault="0084183D" w:rsidP="00B37E78">
      <w:pPr>
        <w:spacing w:line="360" w:lineRule="auto"/>
        <w:jc w:val="both"/>
        <w:rPr>
          <w:rFonts w:ascii="Times New Roman" w:hAnsi="Times New Roman" w:cs="Times New Roman"/>
          <w:b/>
          <w:sz w:val="24"/>
          <w:szCs w:val="24"/>
          <w:u w:val="single"/>
        </w:rPr>
      </w:pPr>
    </w:p>
    <w:p w:rsidR="0084183D" w:rsidRPr="00B37E78" w:rsidRDefault="0084183D" w:rsidP="00B37E78">
      <w:pPr>
        <w:spacing w:line="360" w:lineRule="auto"/>
        <w:jc w:val="both"/>
        <w:rPr>
          <w:rFonts w:ascii="Times New Roman" w:hAnsi="Times New Roman" w:cs="Times New Roman"/>
          <w:b/>
          <w:sz w:val="24"/>
          <w:szCs w:val="24"/>
          <w:u w:val="single"/>
        </w:rPr>
      </w:pPr>
    </w:p>
    <w:p w:rsidR="008B0872" w:rsidRPr="00AB4B65" w:rsidRDefault="00AB4B65" w:rsidP="00AB4B65">
      <w:pPr>
        <w:pStyle w:val="ListParagraph"/>
        <w:numPr>
          <w:ilvl w:val="0"/>
          <w:numId w:val="19"/>
        </w:numPr>
        <w:spacing w:line="360" w:lineRule="auto"/>
        <w:rPr>
          <w:rFonts w:cs="Times New Roman"/>
          <w:b/>
        </w:rPr>
      </w:pPr>
      <w:r w:rsidRPr="00AB4B65">
        <w:rPr>
          <w:rFonts w:cs="Times New Roman"/>
          <w:b/>
        </w:rPr>
        <w:t xml:space="preserve">Change in Dividend percentage </w:t>
      </w:r>
    </w:p>
    <w:tbl>
      <w:tblPr>
        <w:tblW w:w="10109" w:type="dxa"/>
        <w:tblInd w:w="93" w:type="dxa"/>
        <w:tblLook w:val="04A0" w:firstRow="1" w:lastRow="0" w:firstColumn="1" w:lastColumn="0" w:noHBand="0" w:noVBand="1"/>
      </w:tblPr>
      <w:tblGrid>
        <w:gridCol w:w="1774"/>
        <w:gridCol w:w="1900"/>
        <w:gridCol w:w="1631"/>
        <w:gridCol w:w="1667"/>
        <w:gridCol w:w="1703"/>
        <w:gridCol w:w="1434"/>
      </w:tblGrid>
      <w:tr w:rsidR="00AB4B65" w:rsidRPr="00AB4B65" w:rsidTr="00AB4B65">
        <w:trPr>
          <w:trHeight w:val="303"/>
        </w:trPr>
        <w:tc>
          <w:tcPr>
            <w:tcW w:w="1774" w:type="dxa"/>
            <w:tcBorders>
              <w:top w:val="nil"/>
              <w:left w:val="nil"/>
              <w:bottom w:val="single" w:sz="12" w:space="0" w:color="FFFFFF"/>
              <w:right w:val="single" w:sz="4" w:space="0" w:color="FFFFFF"/>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year</w:t>
            </w:r>
          </w:p>
        </w:tc>
        <w:tc>
          <w:tcPr>
            <w:tcW w:w="1900" w:type="dxa"/>
            <w:tcBorders>
              <w:top w:val="nil"/>
              <w:left w:val="single" w:sz="4" w:space="0" w:color="FFFFFF"/>
              <w:bottom w:val="single" w:sz="12" w:space="0" w:color="FFFFFF"/>
              <w:right w:val="single" w:sz="4" w:space="0" w:color="FFFFFF"/>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2013</w:t>
            </w:r>
          </w:p>
        </w:tc>
        <w:tc>
          <w:tcPr>
            <w:tcW w:w="1631" w:type="dxa"/>
            <w:tcBorders>
              <w:top w:val="nil"/>
              <w:left w:val="single" w:sz="4" w:space="0" w:color="FFFFFF"/>
              <w:bottom w:val="single" w:sz="12" w:space="0" w:color="FFFFFF"/>
              <w:right w:val="single" w:sz="4" w:space="0" w:color="FFFFFF"/>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2014</w:t>
            </w:r>
          </w:p>
        </w:tc>
        <w:tc>
          <w:tcPr>
            <w:tcW w:w="1667" w:type="dxa"/>
            <w:tcBorders>
              <w:top w:val="nil"/>
              <w:left w:val="single" w:sz="4" w:space="0" w:color="FFFFFF"/>
              <w:bottom w:val="single" w:sz="12" w:space="0" w:color="FFFFFF"/>
              <w:right w:val="single" w:sz="4" w:space="0" w:color="FFFFFF"/>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2015</w:t>
            </w:r>
          </w:p>
        </w:tc>
        <w:tc>
          <w:tcPr>
            <w:tcW w:w="1703" w:type="dxa"/>
            <w:tcBorders>
              <w:top w:val="nil"/>
              <w:left w:val="single" w:sz="4" w:space="0" w:color="FFFFFF"/>
              <w:bottom w:val="single" w:sz="12" w:space="0" w:color="FFFFFF"/>
              <w:right w:val="single" w:sz="4" w:space="0" w:color="FFFFFF"/>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2016</w:t>
            </w:r>
          </w:p>
        </w:tc>
        <w:tc>
          <w:tcPr>
            <w:tcW w:w="1434" w:type="dxa"/>
            <w:tcBorders>
              <w:top w:val="nil"/>
              <w:left w:val="single" w:sz="4" w:space="0" w:color="FFFFFF"/>
              <w:bottom w:val="single" w:sz="12" w:space="0" w:color="FFFFFF"/>
              <w:right w:val="nil"/>
            </w:tcBorders>
            <w:shd w:val="clear" w:color="4F81BD" w:fill="4F81BD"/>
            <w:noWrap/>
            <w:vAlign w:val="bottom"/>
            <w:hideMark/>
          </w:tcPr>
          <w:p w:rsidR="00AB4B65" w:rsidRPr="00AB4B65" w:rsidRDefault="00AB4B65" w:rsidP="00AB4B65">
            <w:pPr>
              <w:spacing w:after="0" w:line="240" w:lineRule="auto"/>
              <w:rPr>
                <w:rFonts w:ascii="Calibri" w:eastAsia="Times New Roman" w:hAnsi="Calibri" w:cs="Times New Roman"/>
                <w:b/>
                <w:bCs/>
                <w:color w:val="FFFFFF"/>
              </w:rPr>
            </w:pPr>
            <w:r w:rsidRPr="00AB4B65">
              <w:rPr>
                <w:rFonts w:ascii="Calibri" w:eastAsia="Times New Roman" w:hAnsi="Calibri" w:cs="Times New Roman"/>
                <w:b/>
                <w:bCs/>
                <w:color w:val="FFFFFF"/>
              </w:rPr>
              <w:t>2017</w:t>
            </w:r>
          </w:p>
        </w:tc>
      </w:tr>
      <w:tr w:rsidR="00AB4B65" w:rsidRPr="00AB4B65" w:rsidTr="00AB4B65">
        <w:trPr>
          <w:trHeight w:val="318"/>
        </w:trPr>
        <w:tc>
          <w:tcPr>
            <w:tcW w:w="1774" w:type="dxa"/>
            <w:tcBorders>
              <w:top w:val="single" w:sz="4" w:space="0" w:color="FFFFFF"/>
              <w:left w:val="nil"/>
              <w:bottom w:val="single" w:sz="4" w:space="0" w:color="FFFFFF"/>
              <w:right w:val="single" w:sz="4" w:space="0" w:color="FFFFFF"/>
            </w:tcBorders>
            <w:shd w:val="clear" w:color="B8CCE4" w:fill="B8CCE4"/>
            <w:vAlign w:val="bottom"/>
            <w:hideMark/>
          </w:tcPr>
          <w:p w:rsidR="00AB4B65" w:rsidRPr="00AB4B65" w:rsidRDefault="00AB4B65" w:rsidP="00AB4B65">
            <w:pPr>
              <w:spacing w:after="0" w:line="240" w:lineRule="auto"/>
              <w:rPr>
                <w:rFonts w:ascii="Times New Roman" w:eastAsia="Times New Roman" w:hAnsi="Times New Roman" w:cs="Times New Roman"/>
                <w:b/>
                <w:bCs/>
                <w:color w:val="000000"/>
                <w:sz w:val="24"/>
                <w:szCs w:val="24"/>
              </w:rPr>
            </w:pPr>
            <w:r w:rsidRPr="00AB4B65">
              <w:rPr>
                <w:rFonts w:ascii="Times New Roman" w:eastAsia="Times New Roman" w:hAnsi="Times New Roman" w:cs="Times New Roman"/>
                <w:b/>
                <w:bCs/>
                <w:color w:val="000000"/>
                <w:sz w:val="24"/>
                <w:szCs w:val="24"/>
              </w:rPr>
              <w:t>Reliance</w:t>
            </w:r>
          </w:p>
        </w:tc>
        <w:tc>
          <w:tcPr>
            <w:tcW w:w="19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10%</w:t>
            </w:r>
          </w:p>
        </w:tc>
        <w:tc>
          <w:tcPr>
            <w:tcW w:w="163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11%</w:t>
            </w:r>
          </w:p>
        </w:tc>
        <w:tc>
          <w:tcPr>
            <w:tcW w:w="166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11%</w:t>
            </w:r>
          </w:p>
        </w:tc>
        <w:tc>
          <w:tcPr>
            <w:tcW w:w="170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10%</w:t>
            </w:r>
          </w:p>
        </w:tc>
        <w:tc>
          <w:tcPr>
            <w:tcW w:w="1434" w:type="dxa"/>
            <w:tcBorders>
              <w:top w:val="single" w:sz="4" w:space="0" w:color="FFFFFF"/>
              <w:left w:val="single" w:sz="4" w:space="0" w:color="FFFFFF"/>
              <w:bottom w:val="single" w:sz="4" w:space="0" w:color="FFFFFF"/>
              <w:right w:val="nil"/>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10%</w:t>
            </w:r>
          </w:p>
        </w:tc>
      </w:tr>
      <w:tr w:rsidR="00AB4B65" w:rsidRPr="00AB4B65" w:rsidTr="00AB4B65">
        <w:trPr>
          <w:trHeight w:val="318"/>
        </w:trPr>
        <w:tc>
          <w:tcPr>
            <w:tcW w:w="1774" w:type="dxa"/>
            <w:tcBorders>
              <w:top w:val="single" w:sz="4" w:space="0" w:color="FFFFFF"/>
              <w:left w:val="nil"/>
              <w:bottom w:val="single" w:sz="4" w:space="0" w:color="FFFFFF"/>
              <w:right w:val="single" w:sz="4" w:space="0" w:color="FFFFFF"/>
            </w:tcBorders>
            <w:shd w:val="clear" w:color="DCE6F1" w:fill="DCE6F1"/>
            <w:vAlign w:val="bottom"/>
            <w:hideMark/>
          </w:tcPr>
          <w:p w:rsidR="00AB4B65" w:rsidRPr="00AB4B65" w:rsidRDefault="00AB4B65" w:rsidP="00AB4B65">
            <w:pPr>
              <w:spacing w:after="0" w:line="240" w:lineRule="auto"/>
              <w:rPr>
                <w:rFonts w:ascii="Times New Roman" w:eastAsia="Times New Roman" w:hAnsi="Times New Roman" w:cs="Times New Roman"/>
                <w:b/>
                <w:bCs/>
                <w:color w:val="000000"/>
                <w:sz w:val="24"/>
                <w:szCs w:val="24"/>
              </w:rPr>
            </w:pPr>
            <w:r w:rsidRPr="00AB4B65">
              <w:rPr>
                <w:rFonts w:ascii="Times New Roman" w:eastAsia="Times New Roman" w:hAnsi="Times New Roman" w:cs="Times New Roman"/>
                <w:b/>
                <w:bCs/>
                <w:color w:val="000000"/>
                <w:sz w:val="24"/>
                <w:szCs w:val="24"/>
              </w:rPr>
              <w:t>Grameen 1</w:t>
            </w:r>
          </w:p>
        </w:tc>
        <w:tc>
          <w:tcPr>
            <w:tcW w:w="190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-15.49296</w:t>
            </w:r>
          </w:p>
        </w:tc>
        <w:tc>
          <w:tcPr>
            <w:tcW w:w="1631"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1.206</w:t>
            </w:r>
          </w:p>
        </w:tc>
        <w:tc>
          <w:tcPr>
            <w:tcW w:w="166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-70</w:t>
            </w:r>
          </w:p>
        </w:tc>
        <w:tc>
          <w:tcPr>
            <w:tcW w:w="1703"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33.333333</w:t>
            </w:r>
          </w:p>
        </w:tc>
        <w:tc>
          <w:tcPr>
            <w:tcW w:w="1434" w:type="dxa"/>
            <w:tcBorders>
              <w:top w:val="single" w:sz="4" w:space="0" w:color="FFFFFF"/>
              <w:left w:val="single" w:sz="4" w:space="0" w:color="FFFFFF"/>
              <w:bottom w:val="single" w:sz="4" w:space="0" w:color="FFFFFF"/>
              <w:right w:val="nil"/>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0</w:t>
            </w:r>
          </w:p>
        </w:tc>
      </w:tr>
      <w:tr w:rsidR="00AB4B65" w:rsidRPr="00AB4B65" w:rsidTr="00AB4B65">
        <w:trPr>
          <w:trHeight w:val="318"/>
        </w:trPr>
        <w:tc>
          <w:tcPr>
            <w:tcW w:w="1774" w:type="dxa"/>
            <w:tcBorders>
              <w:top w:val="single" w:sz="4" w:space="0" w:color="FFFFFF"/>
              <w:left w:val="nil"/>
              <w:bottom w:val="single" w:sz="4" w:space="0" w:color="FFFFFF"/>
              <w:right w:val="single" w:sz="4" w:space="0" w:color="FFFFFF"/>
            </w:tcBorders>
            <w:shd w:val="clear" w:color="B8CCE4" w:fill="B8CCE4"/>
            <w:vAlign w:val="bottom"/>
            <w:hideMark/>
          </w:tcPr>
          <w:p w:rsidR="00AB4B65" w:rsidRPr="00AB4B65" w:rsidRDefault="00AB4B65" w:rsidP="00AB4B65">
            <w:pPr>
              <w:spacing w:after="0" w:line="240" w:lineRule="auto"/>
              <w:rPr>
                <w:rFonts w:ascii="Times New Roman" w:eastAsia="Times New Roman" w:hAnsi="Times New Roman" w:cs="Times New Roman"/>
                <w:b/>
                <w:bCs/>
                <w:color w:val="000000"/>
                <w:sz w:val="24"/>
                <w:szCs w:val="24"/>
              </w:rPr>
            </w:pPr>
            <w:r w:rsidRPr="00AB4B65">
              <w:rPr>
                <w:rFonts w:ascii="Times New Roman" w:eastAsia="Times New Roman" w:hAnsi="Times New Roman" w:cs="Times New Roman"/>
                <w:b/>
                <w:bCs/>
                <w:color w:val="000000"/>
                <w:sz w:val="24"/>
                <w:szCs w:val="24"/>
              </w:rPr>
              <w:t>Grameen 2</w:t>
            </w:r>
          </w:p>
        </w:tc>
        <w:tc>
          <w:tcPr>
            <w:tcW w:w="19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15%</w:t>
            </w:r>
          </w:p>
        </w:tc>
        <w:tc>
          <w:tcPr>
            <w:tcW w:w="163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10%</w:t>
            </w:r>
          </w:p>
        </w:tc>
        <w:tc>
          <w:tcPr>
            <w:tcW w:w="166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10%</w:t>
            </w:r>
          </w:p>
        </w:tc>
        <w:tc>
          <w:tcPr>
            <w:tcW w:w="170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11%</w:t>
            </w:r>
          </w:p>
        </w:tc>
        <w:tc>
          <w:tcPr>
            <w:tcW w:w="1434" w:type="dxa"/>
            <w:tcBorders>
              <w:top w:val="single" w:sz="4" w:space="0" w:color="FFFFFF"/>
              <w:left w:val="single" w:sz="4" w:space="0" w:color="FFFFFF"/>
              <w:bottom w:val="single" w:sz="4" w:space="0" w:color="FFFFFF"/>
              <w:right w:val="nil"/>
            </w:tcBorders>
            <w:shd w:val="clear" w:color="B8CCE4" w:fill="B8CCE4"/>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12%</w:t>
            </w:r>
          </w:p>
        </w:tc>
      </w:tr>
      <w:tr w:rsidR="00AB4B65" w:rsidRPr="00AB4B65" w:rsidTr="00B37E78">
        <w:trPr>
          <w:trHeight w:val="290"/>
        </w:trPr>
        <w:tc>
          <w:tcPr>
            <w:tcW w:w="1774" w:type="dxa"/>
            <w:tcBorders>
              <w:top w:val="single" w:sz="4" w:space="0" w:color="FFFFFF"/>
              <w:left w:val="nil"/>
              <w:bottom w:val="single" w:sz="4" w:space="0" w:color="FFFFFF"/>
              <w:right w:val="single" w:sz="4" w:space="0" w:color="FFFFFF"/>
            </w:tcBorders>
            <w:shd w:val="clear" w:color="DCE6F1" w:fill="DCE6F1"/>
            <w:vAlign w:val="bottom"/>
            <w:hideMark/>
          </w:tcPr>
          <w:p w:rsidR="00AB4B65" w:rsidRPr="00AB4B65" w:rsidRDefault="00AB4B65" w:rsidP="00AB4B65">
            <w:pPr>
              <w:spacing w:after="0" w:line="240" w:lineRule="auto"/>
              <w:rPr>
                <w:rFonts w:ascii="Calibri" w:eastAsia="Times New Roman" w:hAnsi="Calibri" w:cs="Times New Roman"/>
                <w:b/>
                <w:bCs/>
                <w:color w:val="000000"/>
              </w:rPr>
            </w:pPr>
            <w:r w:rsidRPr="00AB4B65">
              <w:rPr>
                <w:rFonts w:ascii="Calibri" w:eastAsia="Times New Roman" w:hAnsi="Calibri" w:cs="Times New Roman"/>
                <w:b/>
                <w:bCs/>
                <w:color w:val="000000"/>
              </w:rPr>
              <w:t>ICB</w:t>
            </w:r>
          </w:p>
        </w:tc>
        <w:tc>
          <w:tcPr>
            <w:tcW w:w="190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4%</w:t>
            </w:r>
          </w:p>
        </w:tc>
        <w:tc>
          <w:tcPr>
            <w:tcW w:w="1631"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6.96%</w:t>
            </w:r>
          </w:p>
        </w:tc>
        <w:tc>
          <w:tcPr>
            <w:tcW w:w="166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7.40%</w:t>
            </w:r>
          </w:p>
        </w:tc>
        <w:tc>
          <w:tcPr>
            <w:tcW w:w="1703"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6.90%</w:t>
            </w:r>
          </w:p>
        </w:tc>
        <w:tc>
          <w:tcPr>
            <w:tcW w:w="1434" w:type="dxa"/>
            <w:tcBorders>
              <w:top w:val="single" w:sz="4" w:space="0" w:color="FFFFFF"/>
              <w:left w:val="single" w:sz="4" w:space="0" w:color="FFFFFF"/>
              <w:bottom w:val="single" w:sz="4" w:space="0" w:color="FFFFFF"/>
              <w:right w:val="nil"/>
            </w:tcBorders>
            <w:shd w:val="clear" w:color="DCE6F1" w:fill="DCE6F1"/>
            <w:noWrap/>
            <w:vAlign w:val="bottom"/>
            <w:hideMark/>
          </w:tcPr>
          <w:p w:rsidR="00AB4B65" w:rsidRPr="00AB4B65" w:rsidRDefault="00AB4B65" w:rsidP="00AB4B65">
            <w:pPr>
              <w:spacing w:after="0" w:line="240" w:lineRule="auto"/>
              <w:jc w:val="right"/>
              <w:rPr>
                <w:rFonts w:ascii="Calibri" w:eastAsia="Times New Roman" w:hAnsi="Calibri" w:cs="Times New Roman"/>
                <w:color w:val="000000"/>
              </w:rPr>
            </w:pPr>
            <w:r w:rsidRPr="00AB4B65">
              <w:rPr>
                <w:rFonts w:ascii="Calibri" w:eastAsia="Times New Roman" w:hAnsi="Calibri" w:cs="Times New Roman"/>
                <w:color w:val="000000"/>
              </w:rPr>
              <w:t>6.22%</w:t>
            </w:r>
          </w:p>
        </w:tc>
      </w:tr>
      <w:tr w:rsidR="00B37E78" w:rsidRPr="00AB4B65" w:rsidTr="00AB4B65">
        <w:trPr>
          <w:trHeight w:val="290"/>
        </w:trPr>
        <w:tc>
          <w:tcPr>
            <w:tcW w:w="1774" w:type="dxa"/>
            <w:tcBorders>
              <w:top w:val="single" w:sz="4" w:space="0" w:color="FFFFFF"/>
              <w:left w:val="nil"/>
              <w:bottom w:val="single" w:sz="4" w:space="0" w:color="auto"/>
              <w:right w:val="single" w:sz="4" w:space="0" w:color="FFFFFF"/>
            </w:tcBorders>
            <w:shd w:val="clear" w:color="DCE6F1" w:fill="DCE6F1"/>
            <w:vAlign w:val="bottom"/>
          </w:tcPr>
          <w:p w:rsidR="00B37E78" w:rsidRPr="00AB4B65" w:rsidRDefault="00B37E78" w:rsidP="00AB4B65">
            <w:pPr>
              <w:spacing w:after="0" w:line="240" w:lineRule="auto"/>
              <w:rPr>
                <w:rFonts w:ascii="Calibri" w:eastAsia="Times New Roman" w:hAnsi="Calibri" w:cs="Times New Roman"/>
                <w:b/>
                <w:bCs/>
                <w:color w:val="000000"/>
              </w:rPr>
            </w:pPr>
          </w:p>
        </w:tc>
        <w:tc>
          <w:tcPr>
            <w:tcW w:w="1900" w:type="dxa"/>
            <w:tcBorders>
              <w:top w:val="single" w:sz="4" w:space="0" w:color="FFFFFF"/>
              <w:left w:val="single" w:sz="4" w:space="0" w:color="FFFFFF"/>
              <w:bottom w:val="single" w:sz="4" w:space="0" w:color="auto"/>
              <w:right w:val="single" w:sz="4" w:space="0" w:color="FFFFFF"/>
            </w:tcBorders>
            <w:shd w:val="clear" w:color="DCE6F1" w:fill="DCE6F1"/>
            <w:noWrap/>
            <w:vAlign w:val="bottom"/>
          </w:tcPr>
          <w:p w:rsidR="00B37E78" w:rsidRPr="00AB4B65" w:rsidRDefault="00B37E78" w:rsidP="00AB4B65">
            <w:pPr>
              <w:spacing w:after="0" w:line="240" w:lineRule="auto"/>
              <w:jc w:val="right"/>
              <w:rPr>
                <w:rFonts w:ascii="Calibri" w:eastAsia="Times New Roman" w:hAnsi="Calibri" w:cs="Times New Roman"/>
                <w:color w:val="000000"/>
              </w:rPr>
            </w:pPr>
          </w:p>
        </w:tc>
        <w:tc>
          <w:tcPr>
            <w:tcW w:w="1631" w:type="dxa"/>
            <w:tcBorders>
              <w:top w:val="single" w:sz="4" w:space="0" w:color="FFFFFF"/>
              <w:left w:val="single" w:sz="4" w:space="0" w:color="FFFFFF"/>
              <w:bottom w:val="single" w:sz="4" w:space="0" w:color="auto"/>
              <w:right w:val="single" w:sz="4" w:space="0" w:color="FFFFFF"/>
            </w:tcBorders>
            <w:shd w:val="clear" w:color="DCE6F1" w:fill="DCE6F1"/>
            <w:noWrap/>
            <w:vAlign w:val="bottom"/>
          </w:tcPr>
          <w:p w:rsidR="00B37E78" w:rsidRPr="00AB4B65" w:rsidRDefault="00B37E78" w:rsidP="00AB4B65">
            <w:pPr>
              <w:spacing w:after="0" w:line="240" w:lineRule="auto"/>
              <w:jc w:val="right"/>
              <w:rPr>
                <w:rFonts w:ascii="Calibri" w:eastAsia="Times New Roman" w:hAnsi="Calibri" w:cs="Times New Roman"/>
                <w:color w:val="000000"/>
              </w:rPr>
            </w:pPr>
          </w:p>
        </w:tc>
        <w:tc>
          <w:tcPr>
            <w:tcW w:w="1667" w:type="dxa"/>
            <w:tcBorders>
              <w:top w:val="single" w:sz="4" w:space="0" w:color="FFFFFF"/>
              <w:left w:val="single" w:sz="4" w:space="0" w:color="FFFFFF"/>
              <w:bottom w:val="single" w:sz="4" w:space="0" w:color="auto"/>
              <w:right w:val="single" w:sz="4" w:space="0" w:color="FFFFFF"/>
            </w:tcBorders>
            <w:shd w:val="clear" w:color="DCE6F1" w:fill="DCE6F1"/>
            <w:noWrap/>
            <w:vAlign w:val="bottom"/>
          </w:tcPr>
          <w:p w:rsidR="00B37E78" w:rsidRPr="00AB4B65" w:rsidRDefault="00B37E78" w:rsidP="00AB4B65">
            <w:pPr>
              <w:spacing w:after="0" w:line="240" w:lineRule="auto"/>
              <w:jc w:val="right"/>
              <w:rPr>
                <w:rFonts w:ascii="Calibri" w:eastAsia="Times New Roman" w:hAnsi="Calibri" w:cs="Times New Roman"/>
                <w:color w:val="000000"/>
              </w:rPr>
            </w:pPr>
          </w:p>
        </w:tc>
        <w:tc>
          <w:tcPr>
            <w:tcW w:w="1703" w:type="dxa"/>
            <w:tcBorders>
              <w:top w:val="single" w:sz="4" w:space="0" w:color="FFFFFF"/>
              <w:left w:val="single" w:sz="4" w:space="0" w:color="FFFFFF"/>
              <w:bottom w:val="single" w:sz="4" w:space="0" w:color="auto"/>
              <w:right w:val="single" w:sz="4" w:space="0" w:color="FFFFFF"/>
            </w:tcBorders>
            <w:shd w:val="clear" w:color="DCE6F1" w:fill="DCE6F1"/>
            <w:noWrap/>
            <w:vAlign w:val="bottom"/>
          </w:tcPr>
          <w:p w:rsidR="00B37E78" w:rsidRPr="00AB4B65" w:rsidRDefault="00B37E78" w:rsidP="00AB4B65">
            <w:pPr>
              <w:spacing w:after="0" w:line="240" w:lineRule="auto"/>
              <w:jc w:val="right"/>
              <w:rPr>
                <w:rFonts w:ascii="Calibri" w:eastAsia="Times New Roman" w:hAnsi="Calibri" w:cs="Times New Roman"/>
                <w:color w:val="000000"/>
              </w:rPr>
            </w:pPr>
          </w:p>
        </w:tc>
        <w:tc>
          <w:tcPr>
            <w:tcW w:w="1434" w:type="dxa"/>
            <w:tcBorders>
              <w:top w:val="single" w:sz="4" w:space="0" w:color="FFFFFF"/>
              <w:left w:val="single" w:sz="4" w:space="0" w:color="FFFFFF"/>
              <w:bottom w:val="single" w:sz="4" w:space="0" w:color="auto"/>
              <w:right w:val="nil"/>
            </w:tcBorders>
            <w:shd w:val="clear" w:color="DCE6F1" w:fill="DCE6F1"/>
            <w:noWrap/>
            <w:vAlign w:val="bottom"/>
          </w:tcPr>
          <w:p w:rsidR="00B37E78" w:rsidRPr="00AB4B65" w:rsidRDefault="00B37E78" w:rsidP="00AB4B65">
            <w:pPr>
              <w:spacing w:after="0" w:line="240" w:lineRule="auto"/>
              <w:jc w:val="right"/>
              <w:rPr>
                <w:rFonts w:ascii="Calibri" w:eastAsia="Times New Roman" w:hAnsi="Calibri" w:cs="Times New Roman"/>
                <w:color w:val="000000"/>
              </w:rPr>
            </w:pPr>
          </w:p>
        </w:tc>
      </w:tr>
    </w:tbl>
    <w:p w:rsidR="001002FF" w:rsidRDefault="001002FF" w:rsidP="004B7285">
      <w:pPr>
        <w:spacing w:line="360" w:lineRule="auto"/>
        <w:rPr>
          <w:noProof/>
        </w:rPr>
      </w:pPr>
    </w:p>
    <w:p w:rsidR="00B37E78" w:rsidRDefault="00B37E78" w:rsidP="004B7285">
      <w:pPr>
        <w:spacing w:line="360" w:lineRule="auto"/>
        <w:rPr>
          <w:rFonts w:ascii="Times New Roman" w:hAnsi="Times New Roman" w:cs="Times New Roman"/>
          <w:sz w:val="24"/>
          <w:szCs w:val="24"/>
        </w:rPr>
      </w:pPr>
      <w:r>
        <w:rPr>
          <w:noProof/>
        </w:rPr>
        <w:drawing>
          <wp:inline distT="0" distB="0" distL="0" distR="0">
            <wp:extent cx="4572000" cy="2743200"/>
            <wp:effectExtent l="0" t="0" r="19050" b="1905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4183D" w:rsidRDefault="00AB4B65" w:rsidP="0084183D">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84183D">
        <w:rPr>
          <w:rFonts w:ascii="Times New Roman" w:hAnsi="Times New Roman" w:cs="Times New Roman"/>
          <w:sz w:val="24"/>
          <w:szCs w:val="24"/>
        </w:rPr>
        <w:t>Reliance and Grameen</w:t>
      </w:r>
      <w:r w:rsidR="00250984">
        <w:rPr>
          <w:rFonts w:ascii="Times New Roman" w:hAnsi="Times New Roman" w:cs="Times New Roman"/>
          <w:sz w:val="24"/>
          <w:szCs w:val="24"/>
        </w:rPr>
        <w:t>two</w:t>
      </w:r>
      <w:r w:rsidR="0084183D">
        <w:rPr>
          <w:rFonts w:ascii="Times New Roman" w:hAnsi="Times New Roman" w:cs="Times New Roman"/>
          <w:sz w:val="24"/>
          <w:szCs w:val="24"/>
        </w:rPr>
        <w:t xml:space="preserve"> have paid above 10% in last </w:t>
      </w:r>
      <w:r w:rsidR="005779AE">
        <w:rPr>
          <w:rFonts w:ascii="Times New Roman" w:hAnsi="Times New Roman" w:cs="Times New Roman"/>
          <w:sz w:val="24"/>
          <w:szCs w:val="24"/>
        </w:rPr>
        <w:t>five years, holding the</w:t>
      </w:r>
      <w:r w:rsidR="0084183D" w:rsidRPr="0084183D">
        <w:rPr>
          <w:rFonts w:ascii="Times New Roman" w:hAnsi="Times New Roman" w:cs="Times New Roman"/>
          <w:sz w:val="24"/>
          <w:szCs w:val="24"/>
        </w:rPr>
        <w:t xml:space="preserve"> better posit</w:t>
      </w:r>
      <w:r w:rsidR="005779AE">
        <w:rPr>
          <w:rFonts w:ascii="Times New Roman" w:hAnsi="Times New Roman" w:cs="Times New Roman"/>
          <w:sz w:val="24"/>
          <w:szCs w:val="24"/>
        </w:rPr>
        <w:t>ion comparatively to other two</w:t>
      </w:r>
      <w:r w:rsidR="0084183D" w:rsidRPr="0084183D">
        <w:rPr>
          <w:rFonts w:ascii="Times New Roman" w:hAnsi="Times New Roman" w:cs="Times New Roman"/>
          <w:sz w:val="24"/>
          <w:szCs w:val="24"/>
        </w:rPr>
        <w:t xml:space="preserve"> companies</w:t>
      </w:r>
      <w:r w:rsidR="005779AE">
        <w:rPr>
          <w:rFonts w:ascii="Times New Roman" w:hAnsi="Times New Roman" w:cs="Times New Roman"/>
          <w:sz w:val="24"/>
          <w:szCs w:val="24"/>
        </w:rPr>
        <w:t>.</w:t>
      </w:r>
      <w:r w:rsidR="0084183D" w:rsidRPr="0084183D">
        <w:rPr>
          <w:rFonts w:ascii="Times New Roman" w:hAnsi="Times New Roman" w:cs="Times New Roman"/>
          <w:sz w:val="24"/>
          <w:szCs w:val="24"/>
        </w:rPr>
        <w:t>as it has paid the dividend in each years.</w:t>
      </w:r>
    </w:p>
    <w:p w:rsidR="005779AE" w:rsidRPr="0084183D" w:rsidRDefault="005779AE" w:rsidP="0084183D">
      <w:pPr>
        <w:spacing w:line="360" w:lineRule="auto"/>
        <w:jc w:val="both"/>
        <w:rPr>
          <w:rFonts w:ascii="Times New Roman" w:hAnsi="Times New Roman" w:cs="Times New Roman"/>
          <w:sz w:val="24"/>
          <w:szCs w:val="24"/>
        </w:rPr>
      </w:pPr>
      <w:r>
        <w:rPr>
          <w:rFonts w:ascii="Times New Roman" w:hAnsi="Times New Roman" w:cs="Times New Roman"/>
          <w:sz w:val="24"/>
          <w:szCs w:val="24"/>
        </w:rPr>
        <w:t>Even though ICB has paid the dividend in a regular basis, but it’s below 10%.</w:t>
      </w:r>
    </w:p>
    <w:p w:rsidR="0084183D" w:rsidRPr="0084183D" w:rsidRDefault="0084183D" w:rsidP="0084183D">
      <w:pPr>
        <w:spacing w:line="360" w:lineRule="auto"/>
        <w:jc w:val="both"/>
        <w:rPr>
          <w:rFonts w:ascii="Times New Roman" w:hAnsi="Times New Roman" w:cs="Times New Roman"/>
          <w:sz w:val="24"/>
          <w:szCs w:val="24"/>
        </w:rPr>
      </w:pPr>
      <w:r w:rsidRPr="0084183D">
        <w:rPr>
          <w:rFonts w:ascii="Times New Roman" w:hAnsi="Times New Roman" w:cs="Times New Roman"/>
          <w:sz w:val="24"/>
          <w:szCs w:val="24"/>
        </w:rPr>
        <w:t xml:space="preserve">Grameen one is in the worst position with </w:t>
      </w:r>
      <w:r w:rsidR="005779AE">
        <w:rPr>
          <w:rFonts w:ascii="Times New Roman" w:hAnsi="Times New Roman" w:cs="Times New Roman"/>
          <w:sz w:val="24"/>
          <w:szCs w:val="24"/>
        </w:rPr>
        <w:t>the poor dividend history in last five years.</w:t>
      </w:r>
    </w:p>
    <w:p w:rsidR="001002FF" w:rsidRDefault="001002FF" w:rsidP="0084183D">
      <w:pPr>
        <w:spacing w:line="360" w:lineRule="auto"/>
        <w:jc w:val="both"/>
        <w:rPr>
          <w:rFonts w:ascii="Times New Roman" w:hAnsi="Times New Roman" w:cs="Times New Roman"/>
          <w:b/>
          <w:sz w:val="24"/>
          <w:szCs w:val="24"/>
        </w:rPr>
      </w:pPr>
    </w:p>
    <w:p w:rsidR="005529C9" w:rsidRDefault="005529C9" w:rsidP="004B7285">
      <w:pPr>
        <w:spacing w:line="360" w:lineRule="auto"/>
        <w:rPr>
          <w:rFonts w:ascii="Times New Roman" w:hAnsi="Times New Roman" w:cs="Times New Roman"/>
          <w:b/>
          <w:sz w:val="24"/>
          <w:szCs w:val="24"/>
        </w:rPr>
      </w:pPr>
    </w:p>
    <w:p w:rsidR="00F32429" w:rsidRPr="005529C9" w:rsidRDefault="00F32429" w:rsidP="004B7285">
      <w:pPr>
        <w:spacing w:line="360" w:lineRule="auto"/>
        <w:rPr>
          <w:rFonts w:ascii="Times New Roman" w:hAnsi="Times New Roman" w:cs="Times New Roman"/>
          <w:b/>
          <w:sz w:val="24"/>
          <w:szCs w:val="24"/>
        </w:rPr>
      </w:pPr>
    </w:p>
    <w:p w:rsidR="005529C9" w:rsidRDefault="005529C9" w:rsidP="005529C9">
      <w:pPr>
        <w:pStyle w:val="ListParagraph"/>
        <w:numPr>
          <w:ilvl w:val="0"/>
          <w:numId w:val="19"/>
        </w:numPr>
        <w:spacing w:line="360" w:lineRule="auto"/>
        <w:rPr>
          <w:rFonts w:cs="Times New Roman"/>
          <w:b/>
        </w:rPr>
      </w:pPr>
      <w:r w:rsidRPr="005529C9">
        <w:rPr>
          <w:rFonts w:cs="Times New Roman"/>
          <w:b/>
        </w:rPr>
        <w:lastRenderedPageBreak/>
        <w:t>Growth Rate</w:t>
      </w:r>
    </w:p>
    <w:tbl>
      <w:tblPr>
        <w:tblW w:w="10199" w:type="dxa"/>
        <w:tblInd w:w="93" w:type="dxa"/>
        <w:tblLook w:val="04A0" w:firstRow="1" w:lastRow="0" w:firstColumn="1" w:lastColumn="0" w:noHBand="0" w:noVBand="1"/>
      </w:tblPr>
      <w:tblGrid>
        <w:gridCol w:w="1842"/>
        <w:gridCol w:w="2060"/>
        <w:gridCol w:w="1792"/>
        <w:gridCol w:w="1641"/>
        <w:gridCol w:w="1474"/>
        <w:gridCol w:w="1390"/>
      </w:tblGrid>
      <w:tr w:rsidR="005529C9" w:rsidRPr="005529C9" w:rsidTr="005529C9">
        <w:trPr>
          <w:trHeight w:val="297"/>
        </w:trPr>
        <w:tc>
          <w:tcPr>
            <w:tcW w:w="1842" w:type="dxa"/>
            <w:tcBorders>
              <w:top w:val="nil"/>
              <w:left w:val="nil"/>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year</w:t>
            </w:r>
          </w:p>
        </w:tc>
        <w:tc>
          <w:tcPr>
            <w:tcW w:w="2060" w:type="dxa"/>
            <w:tcBorders>
              <w:top w:val="nil"/>
              <w:left w:val="single" w:sz="4" w:space="0" w:color="FFFFFF"/>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2013</w:t>
            </w:r>
          </w:p>
        </w:tc>
        <w:tc>
          <w:tcPr>
            <w:tcW w:w="1792" w:type="dxa"/>
            <w:tcBorders>
              <w:top w:val="nil"/>
              <w:left w:val="single" w:sz="4" w:space="0" w:color="FFFFFF"/>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2014</w:t>
            </w:r>
          </w:p>
        </w:tc>
        <w:tc>
          <w:tcPr>
            <w:tcW w:w="1641" w:type="dxa"/>
            <w:tcBorders>
              <w:top w:val="nil"/>
              <w:left w:val="single" w:sz="4" w:space="0" w:color="FFFFFF"/>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2015</w:t>
            </w:r>
          </w:p>
        </w:tc>
        <w:tc>
          <w:tcPr>
            <w:tcW w:w="1474" w:type="dxa"/>
            <w:tcBorders>
              <w:top w:val="nil"/>
              <w:left w:val="single" w:sz="4" w:space="0" w:color="FFFFFF"/>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2016</w:t>
            </w:r>
          </w:p>
        </w:tc>
        <w:tc>
          <w:tcPr>
            <w:tcW w:w="1390" w:type="dxa"/>
            <w:tcBorders>
              <w:top w:val="nil"/>
              <w:left w:val="single" w:sz="4" w:space="0" w:color="FFFFFF"/>
              <w:bottom w:val="single" w:sz="12" w:space="0" w:color="FFFFFF"/>
              <w:right w:val="nil"/>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2017</w:t>
            </w:r>
          </w:p>
        </w:tc>
      </w:tr>
      <w:tr w:rsidR="005529C9" w:rsidRPr="005529C9" w:rsidTr="005529C9">
        <w:trPr>
          <w:trHeight w:val="312"/>
        </w:trPr>
        <w:tc>
          <w:tcPr>
            <w:tcW w:w="1842" w:type="dxa"/>
            <w:tcBorders>
              <w:top w:val="single" w:sz="4" w:space="0" w:color="FFFFFF"/>
              <w:left w:val="nil"/>
              <w:bottom w:val="single" w:sz="4" w:space="0" w:color="FFFFFF"/>
              <w:right w:val="single" w:sz="4" w:space="0" w:color="FFFFFF"/>
            </w:tcBorders>
            <w:shd w:val="clear" w:color="B8CCE4" w:fill="B8CCE4"/>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Reliance</w:t>
            </w:r>
          </w:p>
        </w:tc>
        <w:tc>
          <w:tcPr>
            <w:tcW w:w="20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14.8899973</w:t>
            </w:r>
          </w:p>
        </w:tc>
        <w:tc>
          <w:tcPr>
            <w:tcW w:w="17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16.304801</w:t>
            </w:r>
          </w:p>
        </w:tc>
        <w:tc>
          <w:tcPr>
            <w:tcW w:w="164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0.8442699</w:t>
            </w:r>
          </w:p>
        </w:tc>
        <w:tc>
          <w:tcPr>
            <w:tcW w:w="1474"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-4.923313</w:t>
            </w:r>
          </w:p>
        </w:tc>
        <w:tc>
          <w:tcPr>
            <w:tcW w:w="1390" w:type="dxa"/>
            <w:tcBorders>
              <w:top w:val="single" w:sz="4" w:space="0" w:color="FFFFFF"/>
              <w:left w:val="single" w:sz="4" w:space="0" w:color="FFFFFF"/>
              <w:bottom w:val="single" w:sz="4" w:space="0" w:color="FFFFFF"/>
              <w:right w:val="nil"/>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16.672917</w:t>
            </w:r>
          </w:p>
        </w:tc>
      </w:tr>
      <w:tr w:rsidR="005529C9" w:rsidRPr="005529C9" w:rsidTr="005529C9">
        <w:trPr>
          <w:trHeight w:val="312"/>
        </w:trPr>
        <w:tc>
          <w:tcPr>
            <w:tcW w:w="1842" w:type="dxa"/>
            <w:tcBorders>
              <w:top w:val="single" w:sz="4" w:space="0" w:color="FFFFFF"/>
              <w:left w:val="nil"/>
              <w:bottom w:val="single" w:sz="4" w:space="0" w:color="FFFFFF"/>
              <w:right w:val="single" w:sz="4" w:space="0" w:color="FFFFFF"/>
            </w:tcBorders>
            <w:shd w:val="clear" w:color="DCE6F1" w:fill="DCE6F1"/>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Grameen 1</w:t>
            </w:r>
          </w:p>
        </w:tc>
        <w:tc>
          <w:tcPr>
            <w:tcW w:w="20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-91.81049</w:t>
            </w:r>
          </w:p>
        </w:tc>
        <w:tc>
          <w:tcPr>
            <w:tcW w:w="179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17.62883745</w:t>
            </w:r>
          </w:p>
        </w:tc>
        <w:tc>
          <w:tcPr>
            <w:tcW w:w="1641"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7.0324538</w:t>
            </w:r>
          </w:p>
        </w:tc>
        <w:tc>
          <w:tcPr>
            <w:tcW w:w="1474"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13.082566</w:t>
            </w:r>
          </w:p>
        </w:tc>
        <w:tc>
          <w:tcPr>
            <w:tcW w:w="1390" w:type="dxa"/>
            <w:tcBorders>
              <w:top w:val="single" w:sz="4" w:space="0" w:color="FFFFFF"/>
              <w:left w:val="single" w:sz="4" w:space="0" w:color="FFFFFF"/>
              <w:bottom w:val="single" w:sz="4" w:space="0" w:color="FFFFFF"/>
              <w:right w:val="nil"/>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18.5278187</w:t>
            </w:r>
          </w:p>
        </w:tc>
      </w:tr>
      <w:tr w:rsidR="005529C9" w:rsidRPr="005529C9" w:rsidTr="005529C9">
        <w:trPr>
          <w:trHeight w:val="312"/>
        </w:trPr>
        <w:tc>
          <w:tcPr>
            <w:tcW w:w="1842" w:type="dxa"/>
            <w:tcBorders>
              <w:top w:val="single" w:sz="4" w:space="0" w:color="FFFFFF"/>
              <w:left w:val="nil"/>
              <w:bottom w:val="single" w:sz="4" w:space="0" w:color="FFFFFF"/>
              <w:right w:val="single" w:sz="4" w:space="0" w:color="FFFFFF"/>
            </w:tcBorders>
            <w:shd w:val="clear" w:color="B8CCE4" w:fill="B8CCE4"/>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Grameen 2</w:t>
            </w:r>
          </w:p>
        </w:tc>
        <w:tc>
          <w:tcPr>
            <w:tcW w:w="20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15.566101</w:t>
            </w:r>
          </w:p>
        </w:tc>
        <w:tc>
          <w:tcPr>
            <w:tcW w:w="17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15.6484502</w:t>
            </w:r>
          </w:p>
        </w:tc>
        <w:tc>
          <w:tcPr>
            <w:tcW w:w="164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-3.1642206</w:t>
            </w:r>
          </w:p>
        </w:tc>
        <w:tc>
          <w:tcPr>
            <w:tcW w:w="1474"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19.5863999</w:t>
            </w:r>
          </w:p>
        </w:tc>
        <w:tc>
          <w:tcPr>
            <w:tcW w:w="1390" w:type="dxa"/>
            <w:tcBorders>
              <w:top w:val="single" w:sz="4" w:space="0" w:color="FFFFFF"/>
              <w:left w:val="single" w:sz="4" w:space="0" w:color="FFFFFF"/>
              <w:bottom w:val="single" w:sz="4" w:space="0" w:color="FFFFFF"/>
              <w:right w:val="nil"/>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-0.4479931</w:t>
            </w:r>
          </w:p>
        </w:tc>
      </w:tr>
      <w:tr w:rsidR="005529C9" w:rsidRPr="005529C9" w:rsidTr="005529C9">
        <w:trPr>
          <w:trHeight w:val="297"/>
        </w:trPr>
        <w:tc>
          <w:tcPr>
            <w:tcW w:w="1842" w:type="dxa"/>
            <w:tcBorders>
              <w:top w:val="single" w:sz="4" w:space="0" w:color="FFFFFF"/>
              <w:left w:val="nil"/>
              <w:bottom w:val="single" w:sz="4" w:space="0" w:color="auto"/>
              <w:right w:val="single" w:sz="4" w:space="0" w:color="FFFFFF"/>
            </w:tcBorders>
            <w:shd w:val="clear" w:color="DCE6F1" w:fill="DCE6F1"/>
            <w:vAlign w:val="bottom"/>
            <w:hideMark/>
          </w:tcPr>
          <w:p w:rsidR="005529C9" w:rsidRPr="005529C9" w:rsidRDefault="005529C9" w:rsidP="005529C9">
            <w:pPr>
              <w:spacing w:after="0" w:line="240" w:lineRule="auto"/>
              <w:rPr>
                <w:rFonts w:ascii="Calibri" w:eastAsia="Times New Roman" w:hAnsi="Calibri" w:cs="Times New Roman"/>
                <w:b/>
                <w:bCs/>
                <w:color w:val="000000"/>
              </w:rPr>
            </w:pPr>
            <w:r w:rsidRPr="005529C9">
              <w:rPr>
                <w:rFonts w:ascii="Calibri" w:eastAsia="Times New Roman" w:hAnsi="Calibri" w:cs="Times New Roman"/>
                <w:b/>
                <w:bCs/>
                <w:color w:val="000000"/>
              </w:rPr>
              <w:t>ICB</w:t>
            </w:r>
          </w:p>
        </w:tc>
        <w:tc>
          <w:tcPr>
            <w:tcW w:w="206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0.433500829</w:t>
            </w:r>
          </w:p>
        </w:tc>
        <w:tc>
          <w:tcPr>
            <w:tcW w:w="1792"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31.10525174</w:t>
            </w:r>
          </w:p>
        </w:tc>
        <w:tc>
          <w:tcPr>
            <w:tcW w:w="1641"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5.197458081</w:t>
            </w:r>
          </w:p>
        </w:tc>
        <w:tc>
          <w:tcPr>
            <w:tcW w:w="1474"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7.105957385</w:t>
            </w:r>
          </w:p>
        </w:tc>
        <w:tc>
          <w:tcPr>
            <w:tcW w:w="1390" w:type="dxa"/>
            <w:tcBorders>
              <w:top w:val="single" w:sz="4" w:space="0" w:color="FFFFFF"/>
              <w:left w:val="single" w:sz="4" w:space="0" w:color="FFFFFF"/>
              <w:bottom w:val="single" w:sz="4" w:space="0" w:color="auto"/>
              <w:right w:val="nil"/>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13.05504677</w:t>
            </w:r>
          </w:p>
        </w:tc>
      </w:tr>
    </w:tbl>
    <w:p w:rsidR="005529C9" w:rsidRPr="005529C9" w:rsidRDefault="005529C9" w:rsidP="005529C9">
      <w:pPr>
        <w:spacing w:line="360" w:lineRule="auto"/>
        <w:rPr>
          <w:rFonts w:cs="Times New Roman"/>
          <w:b/>
        </w:rPr>
      </w:pPr>
    </w:p>
    <w:p w:rsidR="001002FF" w:rsidRDefault="0053618E" w:rsidP="004B7285">
      <w:pPr>
        <w:spacing w:line="360" w:lineRule="auto"/>
        <w:rPr>
          <w:rFonts w:ascii="Times New Roman" w:hAnsi="Times New Roman" w:cs="Times New Roman"/>
          <w:sz w:val="24"/>
          <w:szCs w:val="24"/>
        </w:rPr>
      </w:pPr>
      <w:r>
        <w:rPr>
          <w:noProof/>
        </w:rPr>
        <w:drawing>
          <wp:inline distT="0" distB="0" distL="0" distR="0">
            <wp:extent cx="4572000" cy="2743200"/>
            <wp:effectExtent l="0" t="0" r="19050" b="190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35528" w:rsidRDefault="005529C9" w:rsidP="005529C9">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235528">
        <w:rPr>
          <w:rFonts w:ascii="Times New Roman" w:hAnsi="Times New Roman" w:cs="Times New Roman"/>
          <w:sz w:val="24"/>
          <w:szCs w:val="24"/>
        </w:rPr>
        <w:t>ICB has obtained the best  position among all four mutual funds as it is only company with positive growth rate throughout the five years.</w:t>
      </w:r>
    </w:p>
    <w:p w:rsidR="00235528" w:rsidRDefault="00235528" w:rsidP="005529C9">
      <w:pPr>
        <w:spacing w:line="360" w:lineRule="auto"/>
        <w:jc w:val="both"/>
        <w:rPr>
          <w:rFonts w:ascii="Times New Roman" w:hAnsi="Times New Roman" w:cs="Times New Roman"/>
          <w:sz w:val="24"/>
          <w:szCs w:val="24"/>
        </w:rPr>
      </w:pPr>
      <w:r>
        <w:rPr>
          <w:rFonts w:ascii="Times New Roman" w:hAnsi="Times New Roman" w:cs="Times New Roman"/>
          <w:sz w:val="24"/>
          <w:szCs w:val="24"/>
        </w:rPr>
        <w:t>Reliance and Grameen two is in vulnerable position.</w:t>
      </w:r>
    </w:p>
    <w:p w:rsidR="005529C9" w:rsidRDefault="00235528" w:rsidP="005529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Even though facing the negative growth rate of 91% in 2013, Grameen one has recovered it quite successfully. But still they are in a vulnerable position.</w:t>
      </w:r>
    </w:p>
    <w:p w:rsidR="005529C9" w:rsidRDefault="005529C9" w:rsidP="004B7285">
      <w:pPr>
        <w:spacing w:line="360" w:lineRule="auto"/>
        <w:rPr>
          <w:rFonts w:ascii="Times New Roman" w:hAnsi="Times New Roman" w:cs="Times New Roman"/>
          <w:sz w:val="24"/>
          <w:szCs w:val="24"/>
        </w:rPr>
      </w:pPr>
    </w:p>
    <w:p w:rsidR="0053618E" w:rsidRDefault="0053618E" w:rsidP="004B7285">
      <w:pPr>
        <w:spacing w:line="360" w:lineRule="auto"/>
        <w:rPr>
          <w:rFonts w:ascii="Times New Roman" w:hAnsi="Times New Roman" w:cs="Times New Roman"/>
          <w:sz w:val="24"/>
          <w:szCs w:val="24"/>
        </w:rPr>
      </w:pPr>
    </w:p>
    <w:p w:rsidR="0053618E" w:rsidRDefault="0053618E" w:rsidP="004B7285">
      <w:pPr>
        <w:spacing w:line="360" w:lineRule="auto"/>
        <w:rPr>
          <w:rFonts w:ascii="Times New Roman" w:hAnsi="Times New Roman" w:cs="Times New Roman"/>
          <w:sz w:val="24"/>
          <w:szCs w:val="24"/>
        </w:rPr>
      </w:pPr>
    </w:p>
    <w:p w:rsidR="0053618E" w:rsidRDefault="0053618E" w:rsidP="004B7285">
      <w:pPr>
        <w:spacing w:line="360" w:lineRule="auto"/>
        <w:rPr>
          <w:rFonts w:ascii="Times New Roman" w:hAnsi="Times New Roman" w:cs="Times New Roman"/>
          <w:sz w:val="24"/>
          <w:szCs w:val="24"/>
        </w:rPr>
      </w:pPr>
    </w:p>
    <w:p w:rsidR="00310B60" w:rsidRDefault="00310B60" w:rsidP="004B7285">
      <w:pPr>
        <w:spacing w:line="360" w:lineRule="auto"/>
        <w:rPr>
          <w:rFonts w:ascii="Times New Roman" w:hAnsi="Times New Roman" w:cs="Times New Roman"/>
          <w:sz w:val="24"/>
          <w:szCs w:val="24"/>
        </w:rPr>
      </w:pPr>
    </w:p>
    <w:p w:rsidR="005529C9" w:rsidRPr="005529C9" w:rsidRDefault="005529C9" w:rsidP="005529C9">
      <w:pPr>
        <w:pStyle w:val="ListParagraph"/>
        <w:numPr>
          <w:ilvl w:val="0"/>
          <w:numId w:val="19"/>
        </w:numPr>
        <w:spacing w:line="360" w:lineRule="auto"/>
        <w:rPr>
          <w:rFonts w:cs="Times New Roman"/>
          <w:b/>
        </w:rPr>
      </w:pPr>
      <w:r w:rsidRPr="005529C9">
        <w:rPr>
          <w:rFonts w:cs="Times New Roman"/>
          <w:b/>
        </w:rPr>
        <w:lastRenderedPageBreak/>
        <w:t>Expense Ratio</w:t>
      </w:r>
    </w:p>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year</w:t>
      </w:r>
    </w:p>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year</w:t>
      </w:r>
    </w:p>
    <w:p w:rsidR="005529C9" w:rsidRPr="005529C9" w:rsidRDefault="005529C9" w:rsidP="005529C9">
      <w:pPr>
        <w:spacing w:after="0" w:line="240" w:lineRule="auto"/>
        <w:rPr>
          <w:rFonts w:ascii="Calibri" w:eastAsia="Times New Roman" w:hAnsi="Calibri" w:cs="Times New Roman"/>
          <w:b/>
          <w:bCs/>
          <w:color w:val="FFFFFF"/>
        </w:rPr>
      </w:pPr>
      <w:r>
        <w:rPr>
          <w:rFonts w:ascii="Calibri" w:eastAsia="Times New Roman" w:hAnsi="Calibri" w:cs="Times New Roman"/>
          <w:b/>
          <w:bCs/>
          <w:color w:val="FFFFFF"/>
        </w:rPr>
        <w:t>y</w:t>
      </w:r>
    </w:p>
    <w:tbl>
      <w:tblPr>
        <w:tblW w:w="10338" w:type="dxa"/>
        <w:tblInd w:w="93" w:type="dxa"/>
        <w:tblLook w:val="04A0" w:firstRow="1" w:lastRow="0" w:firstColumn="1" w:lastColumn="0" w:noHBand="0" w:noVBand="1"/>
      </w:tblPr>
      <w:tblGrid>
        <w:gridCol w:w="1931"/>
        <w:gridCol w:w="1755"/>
        <w:gridCol w:w="1860"/>
        <w:gridCol w:w="1562"/>
        <w:gridCol w:w="1738"/>
        <w:gridCol w:w="1492"/>
      </w:tblGrid>
      <w:tr w:rsidR="005529C9" w:rsidRPr="005529C9" w:rsidTr="005529C9">
        <w:trPr>
          <w:trHeight w:val="280"/>
        </w:trPr>
        <w:tc>
          <w:tcPr>
            <w:tcW w:w="1931" w:type="dxa"/>
            <w:tcBorders>
              <w:top w:val="nil"/>
              <w:left w:val="nil"/>
              <w:bottom w:val="single" w:sz="12" w:space="0" w:color="FFFFFF"/>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year</w:t>
            </w:r>
          </w:p>
        </w:tc>
        <w:tc>
          <w:tcPr>
            <w:tcW w:w="1755" w:type="dxa"/>
            <w:tcBorders>
              <w:top w:val="nil"/>
              <w:left w:val="single" w:sz="4" w:space="0" w:color="FFFFFF"/>
              <w:bottom w:val="single" w:sz="4" w:space="0" w:color="auto"/>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2013</w:t>
            </w:r>
          </w:p>
        </w:tc>
        <w:tc>
          <w:tcPr>
            <w:tcW w:w="1860" w:type="dxa"/>
            <w:tcBorders>
              <w:top w:val="nil"/>
              <w:left w:val="single" w:sz="4" w:space="0" w:color="FFFFFF"/>
              <w:bottom w:val="single" w:sz="4" w:space="0" w:color="auto"/>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2014</w:t>
            </w:r>
          </w:p>
        </w:tc>
        <w:tc>
          <w:tcPr>
            <w:tcW w:w="1562" w:type="dxa"/>
            <w:tcBorders>
              <w:top w:val="nil"/>
              <w:left w:val="single" w:sz="4" w:space="0" w:color="FFFFFF"/>
              <w:bottom w:val="single" w:sz="4" w:space="0" w:color="auto"/>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2015</w:t>
            </w:r>
          </w:p>
        </w:tc>
        <w:tc>
          <w:tcPr>
            <w:tcW w:w="1738" w:type="dxa"/>
            <w:tcBorders>
              <w:top w:val="nil"/>
              <w:left w:val="single" w:sz="4" w:space="0" w:color="FFFFFF"/>
              <w:bottom w:val="single" w:sz="4" w:space="0" w:color="auto"/>
              <w:right w:val="single" w:sz="4" w:space="0" w:color="FFFFFF"/>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2016</w:t>
            </w:r>
          </w:p>
        </w:tc>
        <w:tc>
          <w:tcPr>
            <w:tcW w:w="1492" w:type="dxa"/>
            <w:tcBorders>
              <w:top w:val="nil"/>
              <w:left w:val="single" w:sz="4" w:space="0" w:color="FFFFFF"/>
              <w:bottom w:val="single" w:sz="4" w:space="0" w:color="auto"/>
              <w:right w:val="nil"/>
            </w:tcBorders>
            <w:shd w:val="clear" w:color="4F81BD" w:fill="4F81BD"/>
            <w:noWrap/>
            <w:vAlign w:val="bottom"/>
            <w:hideMark/>
          </w:tcPr>
          <w:p w:rsidR="005529C9" w:rsidRPr="005529C9" w:rsidRDefault="005529C9" w:rsidP="005529C9">
            <w:pPr>
              <w:spacing w:after="0" w:line="240" w:lineRule="auto"/>
              <w:rPr>
                <w:rFonts w:ascii="Calibri" w:eastAsia="Times New Roman" w:hAnsi="Calibri" w:cs="Times New Roman"/>
                <w:b/>
                <w:bCs/>
                <w:color w:val="FFFFFF"/>
              </w:rPr>
            </w:pPr>
            <w:r w:rsidRPr="005529C9">
              <w:rPr>
                <w:rFonts w:ascii="Calibri" w:eastAsia="Times New Roman" w:hAnsi="Calibri" w:cs="Times New Roman"/>
                <w:b/>
                <w:bCs/>
                <w:color w:val="FFFFFF"/>
              </w:rPr>
              <w:t>2017</w:t>
            </w:r>
          </w:p>
        </w:tc>
      </w:tr>
      <w:tr w:rsidR="005529C9" w:rsidRPr="005529C9" w:rsidTr="005529C9">
        <w:trPr>
          <w:trHeight w:val="294"/>
        </w:trPr>
        <w:tc>
          <w:tcPr>
            <w:tcW w:w="1931" w:type="dxa"/>
            <w:tcBorders>
              <w:top w:val="single" w:sz="4" w:space="0" w:color="FFFFFF"/>
              <w:left w:val="nil"/>
              <w:bottom w:val="single" w:sz="4" w:space="0" w:color="FFFFFF"/>
              <w:right w:val="single" w:sz="4" w:space="0" w:color="FFFFFF"/>
            </w:tcBorders>
            <w:shd w:val="clear" w:color="B8CCE4" w:fill="B8CCE4"/>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Reliance</w:t>
            </w:r>
          </w:p>
        </w:tc>
        <w:tc>
          <w:tcPr>
            <w:tcW w:w="175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0.01866221</w:t>
            </w:r>
          </w:p>
        </w:tc>
        <w:tc>
          <w:tcPr>
            <w:tcW w:w="18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0.0182273</w:t>
            </w:r>
          </w:p>
        </w:tc>
        <w:tc>
          <w:tcPr>
            <w:tcW w:w="156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0.0186484</w:t>
            </w:r>
          </w:p>
        </w:tc>
        <w:tc>
          <w:tcPr>
            <w:tcW w:w="173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0.0233385</w:t>
            </w:r>
          </w:p>
        </w:tc>
        <w:tc>
          <w:tcPr>
            <w:tcW w:w="1492" w:type="dxa"/>
            <w:tcBorders>
              <w:top w:val="single" w:sz="4" w:space="0" w:color="FFFFFF"/>
              <w:left w:val="single" w:sz="4" w:space="0" w:color="FFFFFF"/>
              <w:bottom w:val="single" w:sz="4" w:space="0" w:color="FFFFFF"/>
              <w:right w:val="nil"/>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0.0180033</w:t>
            </w:r>
          </w:p>
        </w:tc>
      </w:tr>
      <w:tr w:rsidR="005529C9" w:rsidRPr="005529C9" w:rsidTr="005529C9">
        <w:trPr>
          <w:trHeight w:val="294"/>
        </w:trPr>
        <w:tc>
          <w:tcPr>
            <w:tcW w:w="1931" w:type="dxa"/>
            <w:tcBorders>
              <w:top w:val="single" w:sz="4" w:space="0" w:color="FFFFFF"/>
              <w:left w:val="nil"/>
              <w:bottom w:val="single" w:sz="4" w:space="0" w:color="FFFFFF"/>
              <w:right w:val="single" w:sz="4" w:space="0" w:color="FFFFFF"/>
            </w:tcBorders>
            <w:shd w:val="clear" w:color="DCE6F1" w:fill="DCE6F1"/>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Grameen 1</w:t>
            </w:r>
          </w:p>
        </w:tc>
        <w:tc>
          <w:tcPr>
            <w:tcW w:w="1755"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0.0148472</w:t>
            </w:r>
          </w:p>
        </w:tc>
        <w:tc>
          <w:tcPr>
            <w:tcW w:w="18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0.016991061</w:t>
            </w:r>
          </w:p>
        </w:tc>
        <w:tc>
          <w:tcPr>
            <w:tcW w:w="156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0.0142926</w:t>
            </w:r>
          </w:p>
        </w:tc>
        <w:tc>
          <w:tcPr>
            <w:tcW w:w="173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0.01395507</w:t>
            </w:r>
          </w:p>
        </w:tc>
        <w:tc>
          <w:tcPr>
            <w:tcW w:w="1492" w:type="dxa"/>
            <w:tcBorders>
              <w:top w:val="single" w:sz="4" w:space="0" w:color="FFFFFF"/>
              <w:left w:val="single" w:sz="4" w:space="0" w:color="FFFFFF"/>
              <w:bottom w:val="single" w:sz="4" w:space="0" w:color="FFFFFF"/>
              <w:right w:val="nil"/>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0.01338686</w:t>
            </w:r>
          </w:p>
        </w:tc>
      </w:tr>
      <w:tr w:rsidR="005529C9" w:rsidRPr="005529C9" w:rsidTr="005529C9">
        <w:trPr>
          <w:trHeight w:val="294"/>
        </w:trPr>
        <w:tc>
          <w:tcPr>
            <w:tcW w:w="1931" w:type="dxa"/>
            <w:tcBorders>
              <w:top w:val="single" w:sz="4" w:space="0" w:color="FFFFFF"/>
              <w:left w:val="nil"/>
              <w:bottom w:val="single" w:sz="4" w:space="0" w:color="FFFFFF"/>
              <w:right w:val="single" w:sz="4" w:space="0" w:color="FFFFFF"/>
            </w:tcBorders>
            <w:shd w:val="clear" w:color="B8CCE4" w:fill="B8CCE4"/>
            <w:vAlign w:val="bottom"/>
            <w:hideMark/>
          </w:tcPr>
          <w:p w:rsidR="005529C9" w:rsidRPr="005529C9" w:rsidRDefault="005529C9" w:rsidP="005529C9">
            <w:pPr>
              <w:spacing w:after="0" w:line="240" w:lineRule="auto"/>
              <w:rPr>
                <w:rFonts w:ascii="Times New Roman" w:eastAsia="Times New Roman" w:hAnsi="Times New Roman" w:cs="Times New Roman"/>
                <w:b/>
                <w:bCs/>
                <w:color w:val="000000"/>
                <w:sz w:val="24"/>
                <w:szCs w:val="24"/>
              </w:rPr>
            </w:pPr>
            <w:r w:rsidRPr="005529C9">
              <w:rPr>
                <w:rFonts w:ascii="Times New Roman" w:eastAsia="Times New Roman" w:hAnsi="Times New Roman" w:cs="Times New Roman"/>
                <w:b/>
                <w:bCs/>
                <w:color w:val="000000"/>
                <w:sz w:val="24"/>
                <w:szCs w:val="24"/>
              </w:rPr>
              <w:t>Grameen 2</w:t>
            </w:r>
          </w:p>
        </w:tc>
        <w:tc>
          <w:tcPr>
            <w:tcW w:w="175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0.0906717</w:t>
            </w:r>
          </w:p>
        </w:tc>
        <w:tc>
          <w:tcPr>
            <w:tcW w:w="18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0.00948638</w:t>
            </w:r>
          </w:p>
        </w:tc>
        <w:tc>
          <w:tcPr>
            <w:tcW w:w="156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0.0103557</w:t>
            </w:r>
          </w:p>
        </w:tc>
        <w:tc>
          <w:tcPr>
            <w:tcW w:w="173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0.00956667</w:t>
            </w:r>
          </w:p>
        </w:tc>
        <w:tc>
          <w:tcPr>
            <w:tcW w:w="1492" w:type="dxa"/>
            <w:tcBorders>
              <w:top w:val="single" w:sz="4" w:space="0" w:color="FFFFFF"/>
              <w:left w:val="single" w:sz="4" w:space="0" w:color="FFFFFF"/>
              <w:bottom w:val="single" w:sz="4" w:space="0" w:color="FFFFFF"/>
              <w:right w:val="nil"/>
            </w:tcBorders>
            <w:shd w:val="clear" w:color="B8CCE4" w:fill="B8CCE4"/>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0.01071694</w:t>
            </w:r>
          </w:p>
        </w:tc>
      </w:tr>
      <w:tr w:rsidR="005529C9" w:rsidRPr="005529C9" w:rsidTr="005529C9">
        <w:trPr>
          <w:trHeight w:val="280"/>
        </w:trPr>
        <w:tc>
          <w:tcPr>
            <w:tcW w:w="1931" w:type="dxa"/>
            <w:tcBorders>
              <w:top w:val="single" w:sz="4" w:space="0" w:color="FFFFFF"/>
              <w:left w:val="nil"/>
              <w:bottom w:val="single" w:sz="4" w:space="0" w:color="auto"/>
              <w:right w:val="single" w:sz="4" w:space="0" w:color="FFFFFF"/>
            </w:tcBorders>
            <w:shd w:val="clear" w:color="DCE6F1" w:fill="DCE6F1"/>
            <w:vAlign w:val="bottom"/>
            <w:hideMark/>
          </w:tcPr>
          <w:p w:rsidR="005529C9" w:rsidRPr="005529C9" w:rsidRDefault="005529C9" w:rsidP="005529C9">
            <w:pPr>
              <w:spacing w:after="0" w:line="240" w:lineRule="auto"/>
              <w:rPr>
                <w:rFonts w:ascii="Calibri" w:eastAsia="Times New Roman" w:hAnsi="Calibri" w:cs="Times New Roman"/>
                <w:b/>
                <w:bCs/>
                <w:color w:val="000000"/>
              </w:rPr>
            </w:pPr>
            <w:r w:rsidRPr="005529C9">
              <w:rPr>
                <w:rFonts w:ascii="Calibri" w:eastAsia="Times New Roman" w:hAnsi="Calibri" w:cs="Times New Roman"/>
                <w:b/>
                <w:bCs/>
                <w:color w:val="000000"/>
              </w:rPr>
              <w:t>ICB</w:t>
            </w:r>
          </w:p>
        </w:tc>
        <w:tc>
          <w:tcPr>
            <w:tcW w:w="1755"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0.058643504</w:t>
            </w:r>
          </w:p>
        </w:tc>
        <w:tc>
          <w:tcPr>
            <w:tcW w:w="186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0.058954177</w:t>
            </w:r>
          </w:p>
        </w:tc>
        <w:tc>
          <w:tcPr>
            <w:tcW w:w="1562"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0.056597326</w:t>
            </w:r>
          </w:p>
        </w:tc>
        <w:tc>
          <w:tcPr>
            <w:tcW w:w="1738"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0.31224646</w:t>
            </w:r>
          </w:p>
        </w:tc>
        <w:tc>
          <w:tcPr>
            <w:tcW w:w="1492" w:type="dxa"/>
            <w:tcBorders>
              <w:top w:val="single" w:sz="4" w:space="0" w:color="FFFFFF"/>
              <w:left w:val="single" w:sz="4" w:space="0" w:color="FFFFFF"/>
              <w:bottom w:val="single" w:sz="4" w:space="0" w:color="auto"/>
              <w:right w:val="nil"/>
            </w:tcBorders>
            <w:shd w:val="clear" w:color="DCE6F1" w:fill="DCE6F1"/>
            <w:noWrap/>
            <w:vAlign w:val="bottom"/>
            <w:hideMark/>
          </w:tcPr>
          <w:p w:rsidR="005529C9" w:rsidRPr="005529C9" w:rsidRDefault="005529C9" w:rsidP="005529C9">
            <w:pPr>
              <w:spacing w:after="0" w:line="240" w:lineRule="auto"/>
              <w:jc w:val="right"/>
              <w:rPr>
                <w:rFonts w:ascii="Calibri" w:eastAsia="Times New Roman" w:hAnsi="Calibri" w:cs="Times New Roman"/>
                <w:color w:val="000000"/>
              </w:rPr>
            </w:pPr>
            <w:r w:rsidRPr="005529C9">
              <w:rPr>
                <w:rFonts w:ascii="Calibri" w:eastAsia="Times New Roman" w:hAnsi="Calibri" w:cs="Times New Roman"/>
                <w:color w:val="000000"/>
              </w:rPr>
              <w:t>0.609404342</w:t>
            </w:r>
          </w:p>
        </w:tc>
      </w:tr>
    </w:tbl>
    <w:p w:rsidR="001002FF" w:rsidRPr="005529C9" w:rsidRDefault="001002FF" w:rsidP="005529C9">
      <w:pPr>
        <w:spacing w:after="0" w:line="240" w:lineRule="auto"/>
        <w:rPr>
          <w:rFonts w:ascii="Calibri" w:eastAsia="Times New Roman" w:hAnsi="Calibri" w:cs="Times New Roman"/>
          <w:b/>
          <w:bCs/>
          <w:color w:val="FFFFFF"/>
        </w:rPr>
      </w:pPr>
    </w:p>
    <w:p w:rsidR="001002FF" w:rsidRDefault="001002FF" w:rsidP="004B7285">
      <w:pPr>
        <w:spacing w:line="360" w:lineRule="auto"/>
        <w:rPr>
          <w:rFonts w:ascii="Times New Roman" w:hAnsi="Times New Roman" w:cs="Times New Roman"/>
          <w:sz w:val="24"/>
          <w:szCs w:val="24"/>
        </w:rPr>
      </w:pPr>
    </w:p>
    <w:p w:rsidR="001002FF" w:rsidRDefault="0053618E" w:rsidP="004B7285">
      <w:pPr>
        <w:spacing w:line="360" w:lineRule="auto"/>
        <w:rPr>
          <w:rFonts w:ascii="Times New Roman" w:hAnsi="Times New Roman" w:cs="Times New Roman"/>
          <w:sz w:val="28"/>
          <w:szCs w:val="24"/>
        </w:rPr>
      </w:pPr>
      <w:r>
        <w:rPr>
          <w:noProof/>
        </w:rPr>
        <w:drawing>
          <wp:inline distT="0" distB="0" distL="0" distR="0">
            <wp:extent cx="4572000" cy="2743200"/>
            <wp:effectExtent l="0" t="0" r="19050" b="1905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529C9" w:rsidRDefault="005529C9" w:rsidP="005529C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Interpretation:</w:t>
      </w:r>
    </w:p>
    <w:p w:rsidR="005529C9" w:rsidRDefault="001516F4" w:rsidP="004B7285">
      <w:pPr>
        <w:spacing w:line="360" w:lineRule="auto"/>
        <w:rPr>
          <w:rFonts w:ascii="Times New Roman" w:hAnsi="Times New Roman" w:cs="Times New Roman"/>
          <w:sz w:val="24"/>
          <w:szCs w:val="24"/>
        </w:rPr>
      </w:pPr>
      <w:r w:rsidRPr="003F7126">
        <w:rPr>
          <w:rFonts w:ascii="Times New Roman" w:hAnsi="Times New Roman" w:cs="Times New Roman"/>
          <w:sz w:val="24"/>
          <w:szCs w:val="24"/>
        </w:rPr>
        <w:t xml:space="preserve">Reliance,Grameen one and Grameen two </w:t>
      </w:r>
      <w:r w:rsidR="003F7126" w:rsidRPr="003F7126">
        <w:rPr>
          <w:rFonts w:ascii="Times New Roman" w:hAnsi="Times New Roman" w:cs="Times New Roman"/>
          <w:sz w:val="24"/>
          <w:szCs w:val="24"/>
        </w:rPr>
        <w:t>are going with a lower expense ratio which refelects their cost management efficiency.</w:t>
      </w:r>
    </w:p>
    <w:p w:rsidR="009A3032" w:rsidRPr="009A3032" w:rsidRDefault="003F7126" w:rsidP="004B7285">
      <w:pPr>
        <w:spacing w:line="360" w:lineRule="auto"/>
        <w:rPr>
          <w:rFonts w:ascii="Times New Roman" w:hAnsi="Times New Roman" w:cs="Times New Roman"/>
          <w:sz w:val="24"/>
          <w:szCs w:val="24"/>
        </w:rPr>
      </w:pPr>
      <w:r>
        <w:rPr>
          <w:rFonts w:ascii="Times New Roman" w:hAnsi="Times New Roman" w:cs="Times New Roman"/>
          <w:sz w:val="24"/>
          <w:szCs w:val="24"/>
        </w:rPr>
        <w:t>Comparing with other three companies ICB ha</w:t>
      </w:r>
      <w:r w:rsidR="00FE7DD0">
        <w:rPr>
          <w:rFonts w:ascii="Times New Roman" w:hAnsi="Times New Roman" w:cs="Times New Roman"/>
          <w:sz w:val="24"/>
          <w:szCs w:val="24"/>
        </w:rPr>
        <w:t xml:space="preserve">d to face higher </w:t>
      </w:r>
      <w:r w:rsidR="008B1F67">
        <w:rPr>
          <w:rFonts w:ascii="Times New Roman" w:hAnsi="Times New Roman" w:cs="Times New Roman"/>
          <w:sz w:val="24"/>
          <w:szCs w:val="24"/>
        </w:rPr>
        <w:t>expense ratio in past two year.</w:t>
      </w:r>
    </w:p>
    <w:p w:rsidR="007F2B8A" w:rsidRPr="00AC1A75" w:rsidRDefault="006974F8" w:rsidP="006974F8">
      <w:pPr>
        <w:pStyle w:val="ListParagraph"/>
        <w:numPr>
          <w:ilvl w:val="0"/>
          <w:numId w:val="20"/>
        </w:numPr>
        <w:spacing w:line="360" w:lineRule="auto"/>
        <w:rPr>
          <w:rFonts w:cs="Times New Roman"/>
          <w:b/>
        </w:rPr>
      </w:pPr>
      <w:r w:rsidRPr="00AC1A75">
        <w:rPr>
          <w:rFonts w:cs="Times New Roman"/>
          <w:b/>
        </w:rPr>
        <w:t>Price Earning Ratio</w:t>
      </w:r>
    </w:p>
    <w:tbl>
      <w:tblPr>
        <w:tblW w:w="10394" w:type="dxa"/>
        <w:tblInd w:w="93" w:type="dxa"/>
        <w:tblLook w:val="04A0" w:firstRow="1" w:lastRow="0" w:firstColumn="1" w:lastColumn="0" w:noHBand="0" w:noVBand="1"/>
      </w:tblPr>
      <w:tblGrid>
        <w:gridCol w:w="1871"/>
        <w:gridCol w:w="1890"/>
        <w:gridCol w:w="1760"/>
        <w:gridCol w:w="1797"/>
        <w:gridCol w:w="1575"/>
        <w:gridCol w:w="1501"/>
      </w:tblGrid>
      <w:tr w:rsidR="006974F8" w:rsidRPr="006974F8" w:rsidTr="006974F8">
        <w:trPr>
          <w:trHeight w:val="297"/>
        </w:trPr>
        <w:tc>
          <w:tcPr>
            <w:tcW w:w="1871" w:type="dxa"/>
            <w:tcBorders>
              <w:top w:val="nil"/>
              <w:left w:val="nil"/>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year</w:t>
            </w:r>
          </w:p>
        </w:tc>
        <w:tc>
          <w:tcPr>
            <w:tcW w:w="1890"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2013</w:t>
            </w:r>
          </w:p>
        </w:tc>
        <w:tc>
          <w:tcPr>
            <w:tcW w:w="1760"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2014</w:t>
            </w:r>
          </w:p>
        </w:tc>
        <w:tc>
          <w:tcPr>
            <w:tcW w:w="1797"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2015</w:t>
            </w:r>
          </w:p>
        </w:tc>
        <w:tc>
          <w:tcPr>
            <w:tcW w:w="1575"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2016</w:t>
            </w:r>
          </w:p>
        </w:tc>
        <w:tc>
          <w:tcPr>
            <w:tcW w:w="1501" w:type="dxa"/>
            <w:tcBorders>
              <w:top w:val="nil"/>
              <w:left w:val="single" w:sz="4" w:space="0" w:color="FFFFFF"/>
              <w:bottom w:val="single" w:sz="12" w:space="0" w:color="FFFFFF"/>
              <w:right w:val="nil"/>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2017</w:t>
            </w:r>
          </w:p>
        </w:tc>
      </w:tr>
      <w:tr w:rsidR="006974F8" w:rsidRPr="006974F8" w:rsidTr="006974F8">
        <w:trPr>
          <w:trHeight w:val="312"/>
        </w:trPr>
        <w:tc>
          <w:tcPr>
            <w:tcW w:w="1871"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Reliance</w:t>
            </w:r>
          </w:p>
        </w:tc>
        <w:tc>
          <w:tcPr>
            <w:tcW w:w="189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11.05</w:t>
            </w:r>
          </w:p>
        </w:tc>
        <w:tc>
          <w:tcPr>
            <w:tcW w:w="17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6.52</w:t>
            </w:r>
          </w:p>
        </w:tc>
        <w:tc>
          <w:tcPr>
            <w:tcW w:w="179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7</w:t>
            </w:r>
          </w:p>
        </w:tc>
        <w:tc>
          <w:tcPr>
            <w:tcW w:w="157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11.45</w:t>
            </w:r>
          </w:p>
        </w:tc>
        <w:tc>
          <w:tcPr>
            <w:tcW w:w="1501"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12.02</w:t>
            </w:r>
          </w:p>
        </w:tc>
      </w:tr>
      <w:tr w:rsidR="006974F8" w:rsidRPr="006974F8" w:rsidTr="006974F8">
        <w:trPr>
          <w:trHeight w:val="312"/>
        </w:trPr>
        <w:tc>
          <w:tcPr>
            <w:tcW w:w="1871" w:type="dxa"/>
            <w:tcBorders>
              <w:top w:val="single" w:sz="4" w:space="0" w:color="FFFFFF"/>
              <w:left w:val="nil"/>
              <w:bottom w:val="single" w:sz="4" w:space="0" w:color="FFFFFF"/>
              <w:right w:val="single" w:sz="4" w:space="0" w:color="FFFFFF"/>
            </w:tcBorders>
            <w:shd w:val="clear" w:color="DCE6F1" w:fill="DCE6F1"/>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1</w:t>
            </w:r>
          </w:p>
        </w:tc>
        <w:tc>
          <w:tcPr>
            <w:tcW w:w="189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w:t>
            </w:r>
          </w:p>
        </w:tc>
        <w:tc>
          <w:tcPr>
            <w:tcW w:w="17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13.87317073</w:t>
            </w:r>
          </w:p>
        </w:tc>
        <w:tc>
          <w:tcPr>
            <w:tcW w:w="179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13.441048</w:t>
            </w:r>
          </w:p>
        </w:tc>
        <w:tc>
          <w:tcPr>
            <w:tcW w:w="1575"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10.237537</w:t>
            </w:r>
          </w:p>
        </w:tc>
        <w:tc>
          <w:tcPr>
            <w:tcW w:w="1501" w:type="dxa"/>
            <w:tcBorders>
              <w:top w:val="single" w:sz="4" w:space="0" w:color="FFFFFF"/>
              <w:left w:val="single" w:sz="4" w:space="0" w:color="FFFFFF"/>
              <w:bottom w:val="single" w:sz="4" w:space="0" w:color="FFFFFF"/>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18.3505747</w:t>
            </w:r>
          </w:p>
        </w:tc>
      </w:tr>
      <w:tr w:rsidR="006974F8" w:rsidRPr="006974F8" w:rsidTr="006974F8">
        <w:trPr>
          <w:trHeight w:val="312"/>
        </w:trPr>
        <w:tc>
          <w:tcPr>
            <w:tcW w:w="1871"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2</w:t>
            </w:r>
          </w:p>
        </w:tc>
        <w:tc>
          <w:tcPr>
            <w:tcW w:w="189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11.64</w:t>
            </w:r>
          </w:p>
        </w:tc>
        <w:tc>
          <w:tcPr>
            <w:tcW w:w="17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9.4</w:t>
            </w:r>
          </w:p>
        </w:tc>
        <w:tc>
          <w:tcPr>
            <w:tcW w:w="179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10.49</w:t>
            </w:r>
          </w:p>
        </w:tc>
        <w:tc>
          <w:tcPr>
            <w:tcW w:w="157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13.4</w:t>
            </w:r>
          </w:p>
        </w:tc>
        <w:tc>
          <w:tcPr>
            <w:tcW w:w="1501"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12.56</w:t>
            </w:r>
          </w:p>
        </w:tc>
      </w:tr>
      <w:tr w:rsidR="006974F8" w:rsidRPr="006974F8" w:rsidTr="006974F8">
        <w:trPr>
          <w:trHeight w:val="297"/>
        </w:trPr>
        <w:tc>
          <w:tcPr>
            <w:tcW w:w="1871" w:type="dxa"/>
            <w:tcBorders>
              <w:top w:val="single" w:sz="4" w:space="0" w:color="FFFFFF"/>
              <w:left w:val="nil"/>
              <w:bottom w:val="single" w:sz="4" w:space="0" w:color="auto"/>
              <w:right w:val="single" w:sz="4" w:space="0" w:color="FFFFFF"/>
            </w:tcBorders>
            <w:shd w:val="clear" w:color="DCE6F1" w:fill="DCE6F1"/>
            <w:vAlign w:val="bottom"/>
            <w:hideMark/>
          </w:tcPr>
          <w:p w:rsidR="006974F8" w:rsidRPr="006974F8" w:rsidRDefault="006974F8" w:rsidP="006974F8">
            <w:pPr>
              <w:spacing w:after="0" w:line="240" w:lineRule="auto"/>
              <w:rPr>
                <w:rFonts w:ascii="Calibri" w:eastAsia="Times New Roman" w:hAnsi="Calibri" w:cs="Times New Roman"/>
                <w:b/>
                <w:bCs/>
                <w:color w:val="000000"/>
              </w:rPr>
            </w:pPr>
            <w:r w:rsidRPr="006974F8">
              <w:rPr>
                <w:rFonts w:ascii="Calibri" w:eastAsia="Times New Roman" w:hAnsi="Calibri" w:cs="Times New Roman"/>
                <w:b/>
                <w:bCs/>
                <w:color w:val="000000"/>
              </w:rPr>
              <w:t>ICB</w:t>
            </w:r>
          </w:p>
        </w:tc>
        <w:tc>
          <w:tcPr>
            <w:tcW w:w="189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1.967307692</w:t>
            </w:r>
          </w:p>
        </w:tc>
        <w:tc>
          <w:tcPr>
            <w:tcW w:w="176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14.17986212</w:t>
            </w:r>
          </w:p>
        </w:tc>
        <w:tc>
          <w:tcPr>
            <w:tcW w:w="1797"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25.276</w:t>
            </w:r>
          </w:p>
        </w:tc>
        <w:tc>
          <w:tcPr>
            <w:tcW w:w="1575"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10.1378</w:t>
            </w:r>
          </w:p>
        </w:tc>
        <w:tc>
          <w:tcPr>
            <w:tcW w:w="1501" w:type="dxa"/>
            <w:tcBorders>
              <w:top w:val="single" w:sz="4" w:space="0" w:color="FFFFFF"/>
              <w:left w:val="single" w:sz="4" w:space="0" w:color="FFFFFF"/>
              <w:bottom w:val="single" w:sz="4" w:space="0" w:color="auto"/>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13.0906</w:t>
            </w:r>
          </w:p>
        </w:tc>
      </w:tr>
    </w:tbl>
    <w:p w:rsidR="006974F8" w:rsidRDefault="0053618E" w:rsidP="00685B1C">
      <w:pPr>
        <w:spacing w:line="360" w:lineRule="auto"/>
        <w:rPr>
          <w:rFonts w:cs="Times New Roman"/>
          <w:b/>
          <w:sz w:val="28"/>
        </w:rPr>
      </w:pPr>
      <w:r>
        <w:rPr>
          <w:noProof/>
        </w:rPr>
        <w:lastRenderedPageBreak/>
        <w:drawing>
          <wp:inline distT="0" distB="0" distL="0" distR="0">
            <wp:extent cx="4572000" cy="2743200"/>
            <wp:effectExtent l="0" t="0" r="19050" b="1905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974F8" w:rsidRDefault="006974F8" w:rsidP="006974F8">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8B1F67">
        <w:rPr>
          <w:rFonts w:ascii="Times New Roman" w:hAnsi="Times New Roman" w:cs="Times New Roman"/>
          <w:sz w:val="24"/>
          <w:szCs w:val="24"/>
        </w:rPr>
        <w:t>A higher P/E ratio confirms the investor about the higher growth of the company.</w:t>
      </w:r>
      <w:r w:rsidR="0043049E">
        <w:rPr>
          <w:rFonts w:ascii="Times New Roman" w:hAnsi="Times New Roman" w:cs="Times New Roman"/>
          <w:sz w:val="24"/>
          <w:szCs w:val="24"/>
        </w:rPr>
        <w:t xml:space="preserve"> All four companies are in almost at the same position in last years where Grameen one is in the best position of 18.35.</w:t>
      </w:r>
    </w:p>
    <w:p w:rsidR="006C419A" w:rsidRPr="008B1F67" w:rsidRDefault="006C419A" w:rsidP="006974F8">
      <w:pPr>
        <w:spacing w:line="360" w:lineRule="auto"/>
        <w:jc w:val="both"/>
        <w:rPr>
          <w:rFonts w:ascii="Times New Roman" w:hAnsi="Times New Roman" w:cs="Times New Roman"/>
          <w:sz w:val="24"/>
          <w:szCs w:val="24"/>
        </w:rPr>
      </w:pPr>
      <w:r>
        <w:rPr>
          <w:rFonts w:ascii="Times New Roman" w:hAnsi="Times New Roman" w:cs="Times New Roman"/>
          <w:sz w:val="24"/>
          <w:szCs w:val="24"/>
        </w:rPr>
        <w:t>In last five years,Reliance is developing in their P/E ratio by every years when ICB is the most vulnerable among all four companies.</w:t>
      </w:r>
    </w:p>
    <w:p w:rsidR="006974F8" w:rsidRDefault="006974F8" w:rsidP="006974F8">
      <w:pPr>
        <w:spacing w:line="360" w:lineRule="auto"/>
        <w:ind w:left="360"/>
        <w:rPr>
          <w:rFonts w:cs="Times New Roman"/>
          <w:b/>
          <w:sz w:val="28"/>
        </w:rPr>
      </w:pPr>
    </w:p>
    <w:p w:rsidR="007A0C96" w:rsidRDefault="007A0C96" w:rsidP="006974F8">
      <w:pPr>
        <w:spacing w:line="360" w:lineRule="auto"/>
        <w:ind w:left="360"/>
        <w:rPr>
          <w:rFonts w:cs="Times New Roman"/>
          <w:b/>
          <w:sz w:val="28"/>
        </w:rPr>
      </w:pPr>
    </w:p>
    <w:p w:rsidR="007A0C96" w:rsidRDefault="007A0C96" w:rsidP="006974F8">
      <w:pPr>
        <w:spacing w:line="360" w:lineRule="auto"/>
        <w:ind w:left="360"/>
        <w:rPr>
          <w:rFonts w:cs="Times New Roman"/>
          <w:b/>
          <w:sz w:val="28"/>
        </w:rPr>
      </w:pPr>
    </w:p>
    <w:p w:rsidR="007A0C96" w:rsidRDefault="007A0C96" w:rsidP="006974F8">
      <w:pPr>
        <w:spacing w:line="360" w:lineRule="auto"/>
        <w:ind w:left="360"/>
        <w:rPr>
          <w:rFonts w:cs="Times New Roman"/>
          <w:b/>
          <w:sz w:val="28"/>
        </w:rPr>
      </w:pPr>
    </w:p>
    <w:p w:rsidR="007A0C96" w:rsidRDefault="007A0C96" w:rsidP="006974F8">
      <w:pPr>
        <w:spacing w:line="360" w:lineRule="auto"/>
        <w:ind w:left="360"/>
        <w:rPr>
          <w:rFonts w:cs="Times New Roman"/>
          <w:b/>
          <w:sz w:val="28"/>
        </w:rPr>
      </w:pPr>
    </w:p>
    <w:p w:rsidR="006974F8" w:rsidRPr="00AC1A75" w:rsidRDefault="006974F8" w:rsidP="006974F8">
      <w:pPr>
        <w:pStyle w:val="ListParagraph"/>
        <w:numPr>
          <w:ilvl w:val="0"/>
          <w:numId w:val="20"/>
        </w:numPr>
        <w:spacing w:line="360" w:lineRule="auto"/>
        <w:rPr>
          <w:rFonts w:cs="Times New Roman"/>
          <w:b/>
        </w:rPr>
      </w:pPr>
      <w:r w:rsidRPr="00AC1A75">
        <w:rPr>
          <w:rFonts w:cs="Times New Roman"/>
          <w:b/>
        </w:rPr>
        <w:t>Dividend Payout Ratio</w:t>
      </w:r>
    </w:p>
    <w:tbl>
      <w:tblPr>
        <w:tblW w:w="10437" w:type="dxa"/>
        <w:tblInd w:w="93" w:type="dxa"/>
        <w:tblLook w:val="04A0" w:firstRow="1" w:lastRow="0" w:firstColumn="1" w:lastColumn="0" w:noHBand="0" w:noVBand="1"/>
      </w:tblPr>
      <w:tblGrid>
        <w:gridCol w:w="1681"/>
        <w:gridCol w:w="1933"/>
        <w:gridCol w:w="1832"/>
        <w:gridCol w:w="1748"/>
        <w:gridCol w:w="1798"/>
        <w:gridCol w:w="1445"/>
      </w:tblGrid>
      <w:tr w:rsidR="006974F8" w:rsidRPr="006974F8" w:rsidTr="006974F8">
        <w:trPr>
          <w:trHeight w:val="283"/>
        </w:trPr>
        <w:tc>
          <w:tcPr>
            <w:tcW w:w="1681" w:type="dxa"/>
            <w:tcBorders>
              <w:top w:val="nil"/>
              <w:left w:val="nil"/>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year</w:t>
            </w:r>
          </w:p>
        </w:tc>
        <w:tc>
          <w:tcPr>
            <w:tcW w:w="1933"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2013</w:t>
            </w:r>
          </w:p>
        </w:tc>
        <w:tc>
          <w:tcPr>
            <w:tcW w:w="1832"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2014</w:t>
            </w:r>
          </w:p>
        </w:tc>
        <w:tc>
          <w:tcPr>
            <w:tcW w:w="1748"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2015</w:t>
            </w:r>
          </w:p>
        </w:tc>
        <w:tc>
          <w:tcPr>
            <w:tcW w:w="1798"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2016</w:t>
            </w:r>
          </w:p>
        </w:tc>
        <w:tc>
          <w:tcPr>
            <w:tcW w:w="1445" w:type="dxa"/>
            <w:tcBorders>
              <w:top w:val="nil"/>
              <w:left w:val="single" w:sz="4" w:space="0" w:color="FFFFFF"/>
              <w:bottom w:val="single" w:sz="12" w:space="0" w:color="FFFFFF"/>
              <w:right w:val="nil"/>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2017</w:t>
            </w:r>
          </w:p>
        </w:tc>
      </w:tr>
      <w:tr w:rsidR="006974F8" w:rsidRPr="006974F8" w:rsidTr="006974F8">
        <w:trPr>
          <w:trHeight w:val="297"/>
        </w:trPr>
        <w:tc>
          <w:tcPr>
            <w:tcW w:w="1681"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Reliance</w:t>
            </w:r>
          </w:p>
        </w:tc>
        <w:tc>
          <w:tcPr>
            <w:tcW w:w="193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0.32994536</w:t>
            </w:r>
          </w:p>
        </w:tc>
        <w:tc>
          <w:tcPr>
            <w:tcW w:w="183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0.82312</w:t>
            </w:r>
          </w:p>
        </w:tc>
        <w:tc>
          <w:tcPr>
            <w:tcW w:w="17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0.8791987</w:t>
            </w:r>
          </w:p>
        </w:tc>
        <w:tc>
          <w:tcPr>
            <w:tcW w:w="179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1.3850538</w:t>
            </w:r>
          </w:p>
        </w:tc>
        <w:tc>
          <w:tcPr>
            <w:tcW w:w="1445"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1.1186176</w:t>
            </w:r>
          </w:p>
        </w:tc>
      </w:tr>
      <w:tr w:rsidR="006974F8" w:rsidRPr="006974F8" w:rsidTr="006974F8">
        <w:trPr>
          <w:trHeight w:val="297"/>
        </w:trPr>
        <w:tc>
          <w:tcPr>
            <w:tcW w:w="1681" w:type="dxa"/>
            <w:tcBorders>
              <w:top w:val="single" w:sz="4" w:space="0" w:color="FFFFFF"/>
              <w:left w:val="nil"/>
              <w:bottom w:val="single" w:sz="4" w:space="0" w:color="FFFFFF"/>
              <w:right w:val="single" w:sz="4" w:space="0" w:color="FFFFFF"/>
            </w:tcBorders>
            <w:shd w:val="clear" w:color="DCE6F1" w:fill="DCE6F1"/>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1</w:t>
            </w:r>
          </w:p>
        </w:tc>
        <w:tc>
          <w:tcPr>
            <w:tcW w:w="1933"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0.6392904</w:t>
            </w:r>
          </w:p>
        </w:tc>
        <w:tc>
          <w:tcPr>
            <w:tcW w:w="183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2.438178455</w:t>
            </w:r>
          </w:p>
        </w:tc>
        <w:tc>
          <w:tcPr>
            <w:tcW w:w="174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0.6547124</w:t>
            </w:r>
          </w:p>
        </w:tc>
        <w:tc>
          <w:tcPr>
            <w:tcW w:w="179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0.5863272</w:t>
            </w:r>
          </w:p>
        </w:tc>
        <w:tc>
          <w:tcPr>
            <w:tcW w:w="1445" w:type="dxa"/>
            <w:tcBorders>
              <w:top w:val="single" w:sz="4" w:space="0" w:color="FFFFFF"/>
              <w:left w:val="single" w:sz="4" w:space="0" w:color="FFFFFF"/>
              <w:bottom w:val="single" w:sz="4" w:space="0" w:color="FFFFFF"/>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0.88230144</w:t>
            </w:r>
          </w:p>
        </w:tc>
      </w:tr>
      <w:tr w:rsidR="006974F8" w:rsidRPr="006974F8" w:rsidTr="006974F8">
        <w:trPr>
          <w:trHeight w:val="297"/>
        </w:trPr>
        <w:tc>
          <w:tcPr>
            <w:tcW w:w="1681"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2</w:t>
            </w:r>
          </w:p>
        </w:tc>
        <w:tc>
          <w:tcPr>
            <w:tcW w:w="1933"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0.65025387</w:t>
            </w:r>
          </w:p>
        </w:tc>
        <w:tc>
          <w:tcPr>
            <w:tcW w:w="183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0.74412502</w:t>
            </w:r>
          </w:p>
        </w:tc>
        <w:tc>
          <w:tcPr>
            <w:tcW w:w="17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0.9022193</w:t>
            </w:r>
          </w:p>
        </w:tc>
        <w:tc>
          <w:tcPr>
            <w:tcW w:w="179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0.83865601</w:t>
            </w:r>
          </w:p>
        </w:tc>
        <w:tc>
          <w:tcPr>
            <w:tcW w:w="1445"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0.82104434</w:t>
            </w:r>
          </w:p>
        </w:tc>
      </w:tr>
      <w:tr w:rsidR="006974F8" w:rsidRPr="006974F8" w:rsidTr="006974F8">
        <w:trPr>
          <w:trHeight w:val="283"/>
        </w:trPr>
        <w:tc>
          <w:tcPr>
            <w:tcW w:w="1681" w:type="dxa"/>
            <w:tcBorders>
              <w:top w:val="single" w:sz="4" w:space="0" w:color="FFFFFF"/>
              <w:left w:val="nil"/>
              <w:bottom w:val="single" w:sz="4" w:space="0" w:color="auto"/>
              <w:right w:val="single" w:sz="4" w:space="0" w:color="FFFFFF"/>
            </w:tcBorders>
            <w:shd w:val="clear" w:color="DCE6F1" w:fill="DCE6F1"/>
            <w:vAlign w:val="bottom"/>
            <w:hideMark/>
          </w:tcPr>
          <w:p w:rsidR="006974F8" w:rsidRPr="006974F8" w:rsidRDefault="006974F8" w:rsidP="006974F8">
            <w:pPr>
              <w:spacing w:after="0" w:line="240" w:lineRule="auto"/>
              <w:rPr>
                <w:rFonts w:ascii="Calibri" w:eastAsia="Times New Roman" w:hAnsi="Calibri" w:cs="Times New Roman"/>
                <w:b/>
                <w:bCs/>
                <w:color w:val="000000"/>
              </w:rPr>
            </w:pPr>
            <w:r w:rsidRPr="006974F8">
              <w:rPr>
                <w:rFonts w:ascii="Calibri" w:eastAsia="Times New Roman" w:hAnsi="Calibri" w:cs="Times New Roman"/>
                <w:b/>
                <w:bCs/>
                <w:color w:val="000000"/>
              </w:rPr>
              <w:t>ICB</w:t>
            </w:r>
          </w:p>
        </w:tc>
        <w:tc>
          <w:tcPr>
            <w:tcW w:w="1933"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0.036606262</w:t>
            </w:r>
          </w:p>
        </w:tc>
        <w:tc>
          <w:tcPr>
            <w:tcW w:w="1832"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0.05435852</w:t>
            </w:r>
          </w:p>
        </w:tc>
        <w:tc>
          <w:tcPr>
            <w:tcW w:w="1748"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11.86563966</w:t>
            </w:r>
          </w:p>
        </w:tc>
        <w:tc>
          <w:tcPr>
            <w:tcW w:w="1798"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3.570314751</w:t>
            </w:r>
          </w:p>
        </w:tc>
        <w:tc>
          <w:tcPr>
            <w:tcW w:w="1445" w:type="dxa"/>
            <w:tcBorders>
              <w:top w:val="single" w:sz="4" w:space="0" w:color="FFFFFF"/>
              <w:left w:val="single" w:sz="4" w:space="0" w:color="FFFFFF"/>
              <w:bottom w:val="single" w:sz="4" w:space="0" w:color="auto"/>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3.133714463</w:t>
            </w:r>
          </w:p>
        </w:tc>
      </w:tr>
    </w:tbl>
    <w:p w:rsidR="006974F8" w:rsidRPr="006974F8" w:rsidRDefault="006974F8" w:rsidP="006974F8">
      <w:pPr>
        <w:spacing w:line="360" w:lineRule="auto"/>
        <w:ind w:left="360"/>
        <w:rPr>
          <w:rFonts w:cs="Times New Roman"/>
          <w:b/>
          <w:sz w:val="28"/>
        </w:rPr>
      </w:pPr>
    </w:p>
    <w:p w:rsidR="00612131" w:rsidRDefault="007B07F8" w:rsidP="004B7285">
      <w:pPr>
        <w:spacing w:line="360" w:lineRule="auto"/>
        <w:rPr>
          <w:rFonts w:ascii="Times New Roman" w:hAnsi="Times New Roman" w:cs="Times New Roman"/>
          <w:sz w:val="28"/>
          <w:szCs w:val="24"/>
        </w:rPr>
      </w:pPr>
      <w:r>
        <w:rPr>
          <w:noProof/>
        </w:rPr>
        <w:drawing>
          <wp:inline distT="0" distB="0" distL="0" distR="0">
            <wp:extent cx="4572000" cy="2743200"/>
            <wp:effectExtent l="0" t="0" r="19050"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974F8" w:rsidRDefault="006974F8" w:rsidP="006974F8">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483256">
        <w:rPr>
          <w:rFonts w:ascii="Times New Roman" w:hAnsi="Times New Roman" w:cs="Times New Roman"/>
          <w:sz w:val="24"/>
          <w:szCs w:val="24"/>
        </w:rPr>
        <w:t>Dividend payout ratio more than 1.0 refers that the company’s dividend payment is more than their earning which is unsustainable. Around 0.3 to 0.50 percent is considered as standard dividend payout ratio.</w:t>
      </w:r>
    </w:p>
    <w:p w:rsidR="00483256" w:rsidRDefault="00483256" w:rsidP="006974F8">
      <w:pPr>
        <w:spacing w:line="360" w:lineRule="auto"/>
        <w:jc w:val="both"/>
        <w:rPr>
          <w:rFonts w:ascii="Times New Roman" w:hAnsi="Times New Roman" w:cs="Times New Roman"/>
          <w:sz w:val="24"/>
          <w:szCs w:val="24"/>
        </w:rPr>
      </w:pPr>
      <w:r>
        <w:rPr>
          <w:rFonts w:ascii="Times New Roman" w:hAnsi="Times New Roman" w:cs="Times New Roman"/>
          <w:sz w:val="24"/>
          <w:szCs w:val="24"/>
        </w:rPr>
        <w:t>None of the four companies is in a standard position,butGrameen one and Grameen two are in relatively good position as they are roaming around 0.8.</w:t>
      </w:r>
    </w:p>
    <w:p w:rsidR="008C1C8F" w:rsidRDefault="008C1C8F" w:rsidP="006974F8">
      <w:pPr>
        <w:spacing w:line="360" w:lineRule="auto"/>
        <w:jc w:val="both"/>
        <w:rPr>
          <w:rFonts w:ascii="Times New Roman" w:hAnsi="Times New Roman" w:cs="Times New Roman"/>
          <w:sz w:val="24"/>
          <w:szCs w:val="24"/>
        </w:rPr>
      </w:pPr>
    </w:p>
    <w:p w:rsidR="008C1C8F" w:rsidRDefault="008C1C8F" w:rsidP="006974F8">
      <w:pPr>
        <w:spacing w:line="360" w:lineRule="auto"/>
        <w:jc w:val="both"/>
        <w:rPr>
          <w:rFonts w:ascii="Times New Roman" w:hAnsi="Times New Roman" w:cs="Times New Roman"/>
          <w:sz w:val="24"/>
          <w:szCs w:val="24"/>
        </w:rPr>
      </w:pPr>
    </w:p>
    <w:p w:rsidR="008C1C8F" w:rsidRPr="003E46EC" w:rsidRDefault="008C1C8F" w:rsidP="006974F8">
      <w:pPr>
        <w:spacing w:line="360" w:lineRule="auto"/>
        <w:jc w:val="both"/>
        <w:rPr>
          <w:rFonts w:ascii="Times New Roman" w:hAnsi="Times New Roman" w:cs="Times New Roman"/>
          <w:sz w:val="24"/>
          <w:szCs w:val="24"/>
        </w:rPr>
      </w:pPr>
    </w:p>
    <w:p w:rsidR="006974F8" w:rsidRDefault="006974F8" w:rsidP="004B7285">
      <w:pPr>
        <w:spacing w:line="360" w:lineRule="auto"/>
        <w:rPr>
          <w:rFonts w:ascii="Times New Roman" w:hAnsi="Times New Roman" w:cs="Times New Roman"/>
          <w:sz w:val="28"/>
          <w:szCs w:val="24"/>
        </w:rPr>
      </w:pPr>
    </w:p>
    <w:p w:rsidR="006974F8" w:rsidRPr="00AC1A75" w:rsidRDefault="006974F8" w:rsidP="006974F8">
      <w:pPr>
        <w:pStyle w:val="ListParagraph"/>
        <w:numPr>
          <w:ilvl w:val="0"/>
          <w:numId w:val="21"/>
        </w:numPr>
        <w:spacing w:line="360" w:lineRule="auto"/>
        <w:rPr>
          <w:rFonts w:cs="Times New Roman"/>
          <w:b/>
        </w:rPr>
      </w:pPr>
      <w:r w:rsidRPr="00AC1A75">
        <w:rPr>
          <w:rFonts w:cs="Times New Roman"/>
          <w:b/>
        </w:rPr>
        <w:t>Total Liabilities to Total Asset</w:t>
      </w:r>
    </w:p>
    <w:tbl>
      <w:tblPr>
        <w:tblW w:w="10327" w:type="dxa"/>
        <w:tblInd w:w="93" w:type="dxa"/>
        <w:tblLook w:val="04A0" w:firstRow="1" w:lastRow="0" w:firstColumn="1" w:lastColumn="0" w:noHBand="0" w:noVBand="1"/>
      </w:tblPr>
      <w:tblGrid>
        <w:gridCol w:w="2137"/>
        <w:gridCol w:w="1545"/>
        <w:gridCol w:w="1527"/>
        <w:gridCol w:w="1706"/>
        <w:gridCol w:w="1742"/>
        <w:gridCol w:w="1670"/>
      </w:tblGrid>
      <w:tr w:rsidR="006974F8" w:rsidRPr="006974F8" w:rsidTr="006974F8">
        <w:trPr>
          <w:trHeight w:val="283"/>
        </w:trPr>
        <w:tc>
          <w:tcPr>
            <w:tcW w:w="2137" w:type="dxa"/>
            <w:tcBorders>
              <w:top w:val="nil"/>
              <w:left w:val="nil"/>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year</w:t>
            </w:r>
          </w:p>
        </w:tc>
        <w:tc>
          <w:tcPr>
            <w:tcW w:w="1545"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2013</w:t>
            </w:r>
          </w:p>
        </w:tc>
        <w:tc>
          <w:tcPr>
            <w:tcW w:w="1527"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2014</w:t>
            </w:r>
          </w:p>
        </w:tc>
        <w:tc>
          <w:tcPr>
            <w:tcW w:w="1706"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2015</w:t>
            </w:r>
          </w:p>
        </w:tc>
        <w:tc>
          <w:tcPr>
            <w:tcW w:w="1742" w:type="dxa"/>
            <w:tcBorders>
              <w:top w:val="nil"/>
              <w:left w:val="single" w:sz="4" w:space="0" w:color="FFFFFF"/>
              <w:bottom w:val="single" w:sz="12" w:space="0" w:color="FFFFFF"/>
              <w:right w:val="single" w:sz="4" w:space="0" w:color="FFFFFF"/>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2016</w:t>
            </w:r>
          </w:p>
        </w:tc>
        <w:tc>
          <w:tcPr>
            <w:tcW w:w="1670" w:type="dxa"/>
            <w:tcBorders>
              <w:top w:val="nil"/>
              <w:left w:val="single" w:sz="4" w:space="0" w:color="FFFFFF"/>
              <w:bottom w:val="single" w:sz="12" w:space="0" w:color="FFFFFF"/>
              <w:right w:val="nil"/>
            </w:tcBorders>
            <w:shd w:val="clear" w:color="4F81BD" w:fill="4F81BD"/>
            <w:noWrap/>
            <w:vAlign w:val="bottom"/>
            <w:hideMark/>
          </w:tcPr>
          <w:p w:rsidR="006974F8" w:rsidRPr="006974F8" w:rsidRDefault="006974F8" w:rsidP="006974F8">
            <w:pPr>
              <w:spacing w:after="0" w:line="240" w:lineRule="auto"/>
              <w:rPr>
                <w:rFonts w:ascii="Calibri" w:eastAsia="Times New Roman" w:hAnsi="Calibri" w:cs="Times New Roman"/>
                <w:b/>
                <w:bCs/>
                <w:color w:val="FFFFFF"/>
              </w:rPr>
            </w:pPr>
            <w:r w:rsidRPr="006974F8">
              <w:rPr>
                <w:rFonts w:ascii="Calibri" w:eastAsia="Times New Roman" w:hAnsi="Calibri" w:cs="Times New Roman"/>
                <w:b/>
                <w:bCs/>
                <w:color w:val="FFFFFF"/>
              </w:rPr>
              <w:t>2017</w:t>
            </w:r>
          </w:p>
        </w:tc>
      </w:tr>
      <w:tr w:rsidR="006974F8" w:rsidRPr="006974F8" w:rsidTr="006974F8">
        <w:trPr>
          <w:trHeight w:val="297"/>
        </w:trPr>
        <w:tc>
          <w:tcPr>
            <w:tcW w:w="2137"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Reliance</w:t>
            </w:r>
          </w:p>
        </w:tc>
        <w:tc>
          <w:tcPr>
            <w:tcW w:w="154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0.00420308</w:t>
            </w:r>
          </w:p>
        </w:tc>
        <w:tc>
          <w:tcPr>
            <w:tcW w:w="152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0.0041508</w:t>
            </w:r>
          </w:p>
        </w:tc>
        <w:tc>
          <w:tcPr>
            <w:tcW w:w="170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0.0117075</w:t>
            </w:r>
          </w:p>
        </w:tc>
        <w:tc>
          <w:tcPr>
            <w:tcW w:w="17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0.0266348</w:t>
            </w:r>
          </w:p>
        </w:tc>
        <w:tc>
          <w:tcPr>
            <w:tcW w:w="1670"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0.021427</w:t>
            </w:r>
          </w:p>
        </w:tc>
      </w:tr>
      <w:tr w:rsidR="006974F8" w:rsidRPr="006974F8" w:rsidTr="006974F8">
        <w:trPr>
          <w:trHeight w:val="297"/>
        </w:trPr>
        <w:tc>
          <w:tcPr>
            <w:tcW w:w="2137" w:type="dxa"/>
            <w:tcBorders>
              <w:top w:val="single" w:sz="4" w:space="0" w:color="FFFFFF"/>
              <w:left w:val="nil"/>
              <w:bottom w:val="single" w:sz="4" w:space="0" w:color="FFFFFF"/>
              <w:right w:val="single" w:sz="4" w:space="0" w:color="FFFFFF"/>
            </w:tcBorders>
            <w:shd w:val="clear" w:color="DCE6F1" w:fill="DCE6F1"/>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1</w:t>
            </w:r>
          </w:p>
        </w:tc>
        <w:tc>
          <w:tcPr>
            <w:tcW w:w="1545"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0.0130608</w:t>
            </w:r>
          </w:p>
        </w:tc>
        <w:tc>
          <w:tcPr>
            <w:tcW w:w="152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0.023567921</w:t>
            </w:r>
          </w:p>
        </w:tc>
        <w:tc>
          <w:tcPr>
            <w:tcW w:w="170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0.0126153</w:t>
            </w:r>
          </w:p>
        </w:tc>
        <w:tc>
          <w:tcPr>
            <w:tcW w:w="174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0.0096883</w:t>
            </w:r>
          </w:p>
        </w:tc>
        <w:tc>
          <w:tcPr>
            <w:tcW w:w="1670" w:type="dxa"/>
            <w:tcBorders>
              <w:top w:val="single" w:sz="4" w:space="0" w:color="FFFFFF"/>
              <w:left w:val="single" w:sz="4" w:space="0" w:color="FFFFFF"/>
              <w:bottom w:val="single" w:sz="4" w:space="0" w:color="FFFFFF"/>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0.00646532</w:t>
            </w:r>
          </w:p>
        </w:tc>
      </w:tr>
      <w:tr w:rsidR="006974F8" w:rsidRPr="006974F8" w:rsidTr="006974F8">
        <w:trPr>
          <w:trHeight w:val="297"/>
        </w:trPr>
        <w:tc>
          <w:tcPr>
            <w:tcW w:w="2137" w:type="dxa"/>
            <w:tcBorders>
              <w:top w:val="single" w:sz="4" w:space="0" w:color="FFFFFF"/>
              <w:left w:val="nil"/>
              <w:bottom w:val="single" w:sz="4" w:space="0" w:color="FFFFFF"/>
              <w:right w:val="single" w:sz="4" w:space="0" w:color="FFFFFF"/>
            </w:tcBorders>
            <w:shd w:val="clear" w:color="B8CCE4" w:fill="B8CCE4"/>
            <w:vAlign w:val="bottom"/>
            <w:hideMark/>
          </w:tcPr>
          <w:p w:rsidR="006974F8" w:rsidRPr="006974F8" w:rsidRDefault="006974F8" w:rsidP="006974F8">
            <w:pPr>
              <w:spacing w:after="0" w:line="240" w:lineRule="auto"/>
              <w:rPr>
                <w:rFonts w:ascii="Times New Roman" w:eastAsia="Times New Roman" w:hAnsi="Times New Roman" w:cs="Times New Roman"/>
                <w:b/>
                <w:bCs/>
                <w:color w:val="000000"/>
                <w:sz w:val="24"/>
                <w:szCs w:val="24"/>
              </w:rPr>
            </w:pPr>
            <w:r w:rsidRPr="006974F8">
              <w:rPr>
                <w:rFonts w:ascii="Times New Roman" w:eastAsia="Times New Roman" w:hAnsi="Times New Roman" w:cs="Times New Roman"/>
                <w:b/>
                <w:bCs/>
                <w:color w:val="000000"/>
                <w:sz w:val="24"/>
                <w:szCs w:val="24"/>
              </w:rPr>
              <w:t>Grameen 2</w:t>
            </w:r>
          </w:p>
        </w:tc>
        <w:tc>
          <w:tcPr>
            <w:tcW w:w="1545"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0.00915926</w:t>
            </w:r>
          </w:p>
        </w:tc>
        <w:tc>
          <w:tcPr>
            <w:tcW w:w="152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0.00670755</w:t>
            </w:r>
          </w:p>
        </w:tc>
        <w:tc>
          <w:tcPr>
            <w:tcW w:w="170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0.01620604</w:t>
            </w:r>
          </w:p>
        </w:tc>
        <w:tc>
          <w:tcPr>
            <w:tcW w:w="17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0.020133386</w:t>
            </w:r>
          </w:p>
        </w:tc>
        <w:tc>
          <w:tcPr>
            <w:tcW w:w="1670" w:type="dxa"/>
            <w:tcBorders>
              <w:top w:val="single" w:sz="4" w:space="0" w:color="FFFFFF"/>
              <w:left w:val="single" w:sz="4" w:space="0" w:color="FFFFFF"/>
              <w:bottom w:val="single" w:sz="4" w:space="0" w:color="FFFFFF"/>
              <w:right w:val="nil"/>
            </w:tcBorders>
            <w:shd w:val="clear" w:color="B8CCE4" w:fill="B8CCE4"/>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0.98420334</w:t>
            </w:r>
          </w:p>
        </w:tc>
      </w:tr>
      <w:tr w:rsidR="006974F8" w:rsidRPr="006974F8" w:rsidTr="006974F8">
        <w:trPr>
          <w:trHeight w:val="283"/>
        </w:trPr>
        <w:tc>
          <w:tcPr>
            <w:tcW w:w="2137" w:type="dxa"/>
            <w:tcBorders>
              <w:top w:val="single" w:sz="4" w:space="0" w:color="FFFFFF"/>
              <w:left w:val="nil"/>
              <w:bottom w:val="single" w:sz="4" w:space="0" w:color="auto"/>
              <w:right w:val="single" w:sz="4" w:space="0" w:color="FFFFFF"/>
            </w:tcBorders>
            <w:shd w:val="clear" w:color="DCE6F1" w:fill="DCE6F1"/>
            <w:vAlign w:val="bottom"/>
            <w:hideMark/>
          </w:tcPr>
          <w:p w:rsidR="006974F8" w:rsidRPr="006974F8" w:rsidRDefault="006974F8" w:rsidP="006974F8">
            <w:pPr>
              <w:spacing w:after="0" w:line="240" w:lineRule="auto"/>
              <w:rPr>
                <w:rFonts w:ascii="Calibri" w:eastAsia="Times New Roman" w:hAnsi="Calibri" w:cs="Times New Roman"/>
                <w:b/>
                <w:bCs/>
                <w:color w:val="000000"/>
              </w:rPr>
            </w:pPr>
            <w:r w:rsidRPr="006974F8">
              <w:rPr>
                <w:rFonts w:ascii="Calibri" w:eastAsia="Times New Roman" w:hAnsi="Calibri" w:cs="Times New Roman"/>
                <w:b/>
                <w:bCs/>
                <w:color w:val="000000"/>
              </w:rPr>
              <w:t>ICB</w:t>
            </w:r>
          </w:p>
        </w:tc>
        <w:tc>
          <w:tcPr>
            <w:tcW w:w="1545"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0.467272624</w:t>
            </w:r>
          </w:p>
        </w:tc>
        <w:tc>
          <w:tcPr>
            <w:tcW w:w="1527"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0.508646482</w:t>
            </w:r>
          </w:p>
        </w:tc>
        <w:tc>
          <w:tcPr>
            <w:tcW w:w="1706"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2.457505617</w:t>
            </w:r>
          </w:p>
        </w:tc>
        <w:tc>
          <w:tcPr>
            <w:tcW w:w="1742"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0.160296746</w:t>
            </w:r>
          </w:p>
        </w:tc>
        <w:tc>
          <w:tcPr>
            <w:tcW w:w="1670" w:type="dxa"/>
            <w:tcBorders>
              <w:top w:val="single" w:sz="4" w:space="0" w:color="FFFFFF"/>
              <w:left w:val="single" w:sz="4" w:space="0" w:color="FFFFFF"/>
              <w:bottom w:val="single" w:sz="4" w:space="0" w:color="auto"/>
              <w:right w:val="nil"/>
            </w:tcBorders>
            <w:shd w:val="clear" w:color="DCE6F1" w:fill="DCE6F1"/>
            <w:noWrap/>
            <w:vAlign w:val="bottom"/>
            <w:hideMark/>
          </w:tcPr>
          <w:p w:rsidR="006974F8" w:rsidRPr="006974F8" w:rsidRDefault="006974F8" w:rsidP="006974F8">
            <w:pPr>
              <w:spacing w:after="0" w:line="240" w:lineRule="auto"/>
              <w:jc w:val="right"/>
              <w:rPr>
                <w:rFonts w:ascii="Calibri" w:eastAsia="Times New Roman" w:hAnsi="Calibri" w:cs="Times New Roman"/>
                <w:color w:val="000000"/>
              </w:rPr>
            </w:pPr>
            <w:r w:rsidRPr="006974F8">
              <w:rPr>
                <w:rFonts w:ascii="Calibri" w:eastAsia="Times New Roman" w:hAnsi="Calibri" w:cs="Times New Roman"/>
                <w:color w:val="000000"/>
              </w:rPr>
              <w:t>0.172861985</w:t>
            </w:r>
          </w:p>
        </w:tc>
      </w:tr>
    </w:tbl>
    <w:p w:rsidR="006974F8" w:rsidRDefault="006974F8" w:rsidP="006974F8">
      <w:pPr>
        <w:spacing w:line="360" w:lineRule="auto"/>
        <w:ind w:left="360"/>
        <w:rPr>
          <w:noProof/>
        </w:rPr>
      </w:pPr>
    </w:p>
    <w:p w:rsidR="00B37E78" w:rsidRDefault="007B07F8" w:rsidP="006974F8">
      <w:pPr>
        <w:spacing w:line="360" w:lineRule="auto"/>
        <w:ind w:left="360"/>
        <w:rPr>
          <w:rFonts w:cs="Times New Roman"/>
          <w:b/>
          <w:sz w:val="28"/>
        </w:rPr>
      </w:pPr>
      <w:r>
        <w:rPr>
          <w:noProof/>
        </w:rPr>
        <w:lastRenderedPageBreak/>
        <w:drawing>
          <wp:inline distT="0" distB="0" distL="0" distR="0">
            <wp:extent cx="4572000" cy="2743200"/>
            <wp:effectExtent l="0" t="0" r="19050" b="1905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21D1F" w:rsidRDefault="006974F8" w:rsidP="006974F8">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A62EA2">
        <w:rPr>
          <w:rFonts w:ascii="Times New Roman" w:hAnsi="Times New Roman" w:cs="Times New Roman"/>
          <w:sz w:val="24"/>
          <w:szCs w:val="24"/>
        </w:rPr>
        <w:t xml:space="preserve"> The acceptable total liabilities to total asset ratio is below 0.30.</w:t>
      </w:r>
      <w:r w:rsidR="009C4D57">
        <w:rPr>
          <w:rFonts w:ascii="Times New Roman" w:hAnsi="Times New Roman" w:cs="Times New Roman"/>
          <w:sz w:val="24"/>
          <w:szCs w:val="24"/>
        </w:rPr>
        <w:t xml:space="preserve"> Even though ICB had an abnormal ratio of 2.45, but they have recovered it quite well. </w:t>
      </w:r>
    </w:p>
    <w:p w:rsidR="00154F93" w:rsidRDefault="009C4D57" w:rsidP="005C448F">
      <w:pPr>
        <w:spacing w:line="360" w:lineRule="auto"/>
        <w:jc w:val="both"/>
        <w:rPr>
          <w:rFonts w:ascii="Times New Roman" w:hAnsi="Times New Roman" w:cs="Times New Roman"/>
          <w:sz w:val="24"/>
          <w:szCs w:val="24"/>
        </w:rPr>
      </w:pPr>
      <w:r>
        <w:rPr>
          <w:rFonts w:ascii="Times New Roman" w:hAnsi="Times New Roman" w:cs="Times New Roman"/>
          <w:sz w:val="24"/>
          <w:szCs w:val="24"/>
        </w:rPr>
        <w:t>Except Grameen two all three companies performingquite well when Grameen one is obtaining an outstanding ratio throughtout the last five years.</w:t>
      </w:r>
    </w:p>
    <w:p w:rsidR="005C448F" w:rsidRPr="005C448F" w:rsidRDefault="005C448F" w:rsidP="005C448F">
      <w:pPr>
        <w:spacing w:line="360" w:lineRule="auto"/>
        <w:jc w:val="both"/>
        <w:rPr>
          <w:rFonts w:ascii="Times New Roman" w:hAnsi="Times New Roman" w:cs="Times New Roman"/>
          <w:sz w:val="24"/>
          <w:szCs w:val="24"/>
        </w:rPr>
      </w:pPr>
    </w:p>
    <w:p w:rsidR="006974F8" w:rsidRPr="00AC1A75" w:rsidRDefault="00C3740D" w:rsidP="00C3740D">
      <w:pPr>
        <w:pStyle w:val="ListParagraph"/>
        <w:numPr>
          <w:ilvl w:val="0"/>
          <w:numId w:val="21"/>
        </w:numPr>
        <w:spacing w:line="360" w:lineRule="auto"/>
        <w:rPr>
          <w:rFonts w:cs="Times New Roman"/>
          <w:b/>
        </w:rPr>
      </w:pPr>
      <w:r w:rsidRPr="00AC1A75">
        <w:rPr>
          <w:rFonts w:cs="Times New Roman"/>
          <w:b/>
        </w:rPr>
        <w:t>Return on Equity</w:t>
      </w:r>
    </w:p>
    <w:tbl>
      <w:tblPr>
        <w:tblW w:w="10160" w:type="dxa"/>
        <w:tblInd w:w="93" w:type="dxa"/>
        <w:tblLook w:val="04A0" w:firstRow="1" w:lastRow="0" w:firstColumn="1" w:lastColumn="0" w:noHBand="0" w:noVBand="1"/>
      </w:tblPr>
      <w:tblGrid>
        <w:gridCol w:w="1800"/>
        <w:gridCol w:w="1540"/>
        <w:gridCol w:w="1540"/>
        <w:gridCol w:w="1800"/>
        <w:gridCol w:w="1720"/>
        <w:gridCol w:w="1760"/>
      </w:tblGrid>
      <w:tr w:rsidR="00C3740D" w:rsidRPr="00C3740D" w:rsidTr="00C3740D">
        <w:trPr>
          <w:trHeight w:val="300"/>
        </w:trPr>
        <w:tc>
          <w:tcPr>
            <w:tcW w:w="1800" w:type="dxa"/>
            <w:tcBorders>
              <w:top w:val="nil"/>
              <w:left w:val="nil"/>
              <w:bottom w:val="single" w:sz="12" w:space="0" w:color="FFFFFF"/>
              <w:right w:val="single" w:sz="4" w:space="0" w:color="FFFFFF"/>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year</w:t>
            </w:r>
          </w:p>
        </w:tc>
        <w:tc>
          <w:tcPr>
            <w:tcW w:w="1540" w:type="dxa"/>
            <w:tcBorders>
              <w:top w:val="nil"/>
              <w:left w:val="single" w:sz="4" w:space="0" w:color="FFFFFF"/>
              <w:bottom w:val="single" w:sz="12" w:space="0" w:color="FFFFFF"/>
              <w:right w:val="single" w:sz="4" w:space="0" w:color="FFFFFF"/>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2013</w:t>
            </w:r>
          </w:p>
        </w:tc>
        <w:tc>
          <w:tcPr>
            <w:tcW w:w="1540" w:type="dxa"/>
            <w:tcBorders>
              <w:top w:val="nil"/>
              <w:left w:val="single" w:sz="4" w:space="0" w:color="FFFFFF"/>
              <w:bottom w:val="single" w:sz="12" w:space="0" w:color="FFFFFF"/>
              <w:right w:val="single" w:sz="4" w:space="0" w:color="FFFFFF"/>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2014</w:t>
            </w:r>
          </w:p>
        </w:tc>
        <w:tc>
          <w:tcPr>
            <w:tcW w:w="1800" w:type="dxa"/>
            <w:tcBorders>
              <w:top w:val="nil"/>
              <w:left w:val="single" w:sz="4" w:space="0" w:color="FFFFFF"/>
              <w:bottom w:val="single" w:sz="12" w:space="0" w:color="FFFFFF"/>
              <w:right w:val="single" w:sz="4" w:space="0" w:color="FFFFFF"/>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2015</w:t>
            </w:r>
          </w:p>
        </w:tc>
        <w:tc>
          <w:tcPr>
            <w:tcW w:w="1720" w:type="dxa"/>
            <w:tcBorders>
              <w:top w:val="nil"/>
              <w:left w:val="single" w:sz="4" w:space="0" w:color="FFFFFF"/>
              <w:bottom w:val="single" w:sz="12" w:space="0" w:color="FFFFFF"/>
              <w:right w:val="single" w:sz="4" w:space="0" w:color="FFFFFF"/>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2016</w:t>
            </w:r>
          </w:p>
        </w:tc>
        <w:tc>
          <w:tcPr>
            <w:tcW w:w="1760" w:type="dxa"/>
            <w:tcBorders>
              <w:top w:val="nil"/>
              <w:left w:val="single" w:sz="4" w:space="0" w:color="FFFFFF"/>
              <w:bottom w:val="single" w:sz="12" w:space="0" w:color="FFFFFF"/>
              <w:right w:val="nil"/>
            </w:tcBorders>
            <w:shd w:val="clear" w:color="4F81BD" w:fill="4F81BD"/>
            <w:noWrap/>
            <w:vAlign w:val="bottom"/>
            <w:hideMark/>
          </w:tcPr>
          <w:p w:rsidR="00C3740D" w:rsidRPr="00C3740D" w:rsidRDefault="00C3740D" w:rsidP="00C3740D">
            <w:pPr>
              <w:spacing w:after="0" w:line="240" w:lineRule="auto"/>
              <w:rPr>
                <w:rFonts w:ascii="Calibri" w:eastAsia="Times New Roman" w:hAnsi="Calibri" w:cs="Times New Roman"/>
                <w:b/>
                <w:bCs/>
                <w:color w:val="FFFFFF"/>
              </w:rPr>
            </w:pPr>
            <w:r w:rsidRPr="00C3740D">
              <w:rPr>
                <w:rFonts w:ascii="Calibri" w:eastAsia="Times New Roman" w:hAnsi="Calibri" w:cs="Times New Roman"/>
                <w:b/>
                <w:bCs/>
                <w:color w:val="FFFFFF"/>
              </w:rPr>
              <w:t>2017</w:t>
            </w:r>
          </w:p>
        </w:tc>
      </w:tr>
      <w:tr w:rsidR="00C3740D" w:rsidRPr="00C3740D" w:rsidTr="00C3740D">
        <w:trPr>
          <w:trHeight w:val="315"/>
        </w:trPr>
        <w:tc>
          <w:tcPr>
            <w:tcW w:w="1800" w:type="dxa"/>
            <w:tcBorders>
              <w:top w:val="single" w:sz="4" w:space="0" w:color="FFFFFF"/>
              <w:left w:val="nil"/>
              <w:bottom w:val="single" w:sz="4" w:space="0" w:color="FFFFFF"/>
              <w:right w:val="single" w:sz="4" w:space="0" w:color="FFFFFF"/>
            </w:tcBorders>
            <w:shd w:val="clear" w:color="B8CCE4" w:fill="B8CCE4"/>
            <w:vAlign w:val="bottom"/>
            <w:hideMark/>
          </w:tcPr>
          <w:p w:rsidR="00C3740D" w:rsidRPr="00C3740D" w:rsidRDefault="00C3740D" w:rsidP="00C3740D">
            <w:pPr>
              <w:spacing w:after="0" w:line="240" w:lineRule="auto"/>
              <w:rPr>
                <w:rFonts w:ascii="Times New Roman" w:eastAsia="Times New Roman" w:hAnsi="Times New Roman" w:cs="Times New Roman"/>
                <w:b/>
                <w:bCs/>
                <w:color w:val="000000"/>
                <w:sz w:val="24"/>
                <w:szCs w:val="24"/>
              </w:rPr>
            </w:pPr>
            <w:r w:rsidRPr="00C3740D">
              <w:rPr>
                <w:rFonts w:ascii="Times New Roman" w:eastAsia="Times New Roman" w:hAnsi="Times New Roman" w:cs="Times New Roman"/>
                <w:b/>
                <w:bCs/>
                <w:color w:val="000000"/>
                <w:sz w:val="24"/>
                <w:szCs w:val="24"/>
              </w:rPr>
              <w:t>Reliance</w:t>
            </w:r>
          </w:p>
        </w:tc>
        <w:tc>
          <w:tcPr>
            <w:tcW w:w="15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0.0881703</w:t>
            </w:r>
          </w:p>
        </w:tc>
        <w:tc>
          <w:tcPr>
            <w:tcW w:w="15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0.1097666</w:t>
            </w:r>
          </w:p>
        </w:tc>
        <w:tc>
          <w:tcPr>
            <w:tcW w:w="18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0.086977</w:t>
            </w:r>
          </w:p>
        </w:tc>
        <w:tc>
          <w:tcPr>
            <w:tcW w:w="17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0.0571414</w:t>
            </w:r>
          </w:p>
        </w:tc>
        <w:tc>
          <w:tcPr>
            <w:tcW w:w="1760" w:type="dxa"/>
            <w:tcBorders>
              <w:top w:val="single" w:sz="4" w:space="0" w:color="FFFFFF"/>
              <w:left w:val="single" w:sz="4" w:space="0" w:color="FFFFFF"/>
              <w:bottom w:val="single" w:sz="4" w:space="0" w:color="FFFFFF"/>
              <w:right w:val="nil"/>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0.0650588</w:t>
            </w:r>
          </w:p>
        </w:tc>
      </w:tr>
      <w:tr w:rsidR="00C3740D" w:rsidRPr="00C3740D" w:rsidTr="00C3740D">
        <w:trPr>
          <w:trHeight w:val="315"/>
        </w:trPr>
        <w:tc>
          <w:tcPr>
            <w:tcW w:w="1800" w:type="dxa"/>
            <w:tcBorders>
              <w:top w:val="single" w:sz="4" w:space="0" w:color="FFFFFF"/>
              <w:left w:val="nil"/>
              <w:bottom w:val="single" w:sz="4" w:space="0" w:color="FFFFFF"/>
              <w:right w:val="single" w:sz="4" w:space="0" w:color="FFFFFF"/>
            </w:tcBorders>
            <w:shd w:val="clear" w:color="DCE6F1" w:fill="DCE6F1"/>
            <w:vAlign w:val="bottom"/>
            <w:hideMark/>
          </w:tcPr>
          <w:p w:rsidR="00C3740D" w:rsidRPr="00C3740D" w:rsidRDefault="00C3740D" w:rsidP="00C3740D">
            <w:pPr>
              <w:spacing w:after="0" w:line="240" w:lineRule="auto"/>
              <w:rPr>
                <w:rFonts w:ascii="Times New Roman" w:eastAsia="Times New Roman" w:hAnsi="Times New Roman" w:cs="Times New Roman"/>
                <w:b/>
                <w:bCs/>
                <w:color w:val="000000"/>
                <w:sz w:val="24"/>
                <w:szCs w:val="24"/>
              </w:rPr>
            </w:pPr>
            <w:r w:rsidRPr="00C3740D">
              <w:rPr>
                <w:rFonts w:ascii="Times New Roman" w:eastAsia="Times New Roman" w:hAnsi="Times New Roman" w:cs="Times New Roman"/>
                <w:b/>
                <w:bCs/>
                <w:color w:val="000000"/>
                <w:sz w:val="24"/>
                <w:szCs w:val="24"/>
              </w:rPr>
              <w:t>Grameen 1</w:t>
            </w:r>
          </w:p>
        </w:tc>
        <w:tc>
          <w:tcPr>
            <w:tcW w:w="154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0.1793076</w:t>
            </w:r>
          </w:p>
        </w:tc>
        <w:tc>
          <w:tcPr>
            <w:tcW w:w="154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0.07211315</w:t>
            </w:r>
          </w:p>
        </w:tc>
        <w:tc>
          <w:tcPr>
            <w:tcW w:w="180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0.0744373</w:t>
            </w:r>
          </w:p>
        </w:tc>
        <w:tc>
          <w:tcPr>
            <w:tcW w:w="17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0.0977145</w:t>
            </w:r>
          </w:p>
        </w:tc>
        <w:tc>
          <w:tcPr>
            <w:tcW w:w="1760" w:type="dxa"/>
            <w:tcBorders>
              <w:top w:val="single" w:sz="4" w:space="0" w:color="FFFFFF"/>
              <w:left w:val="single" w:sz="4" w:space="0" w:color="FFFFFF"/>
              <w:bottom w:val="single" w:sz="4" w:space="0" w:color="FFFFFF"/>
              <w:right w:val="nil"/>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0.05460728</w:t>
            </w:r>
          </w:p>
        </w:tc>
      </w:tr>
      <w:tr w:rsidR="00C3740D" w:rsidRPr="00C3740D" w:rsidTr="00C3740D">
        <w:trPr>
          <w:trHeight w:val="315"/>
        </w:trPr>
        <w:tc>
          <w:tcPr>
            <w:tcW w:w="1800" w:type="dxa"/>
            <w:tcBorders>
              <w:top w:val="single" w:sz="4" w:space="0" w:color="FFFFFF"/>
              <w:left w:val="nil"/>
              <w:bottom w:val="single" w:sz="4" w:space="0" w:color="FFFFFF"/>
              <w:right w:val="single" w:sz="4" w:space="0" w:color="FFFFFF"/>
            </w:tcBorders>
            <w:shd w:val="clear" w:color="B8CCE4" w:fill="B8CCE4"/>
            <w:vAlign w:val="bottom"/>
            <w:hideMark/>
          </w:tcPr>
          <w:p w:rsidR="00C3740D" w:rsidRPr="00C3740D" w:rsidRDefault="00C3740D" w:rsidP="00C3740D">
            <w:pPr>
              <w:spacing w:after="0" w:line="240" w:lineRule="auto"/>
              <w:rPr>
                <w:rFonts w:ascii="Times New Roman" w:eastAsia="Times New Roman" w:hAnsi="Times New Roman" w:cs="Times New Roman"/>
                <w:b/>
                <w:bCs/>
                <w:color w:val="000000"/>
                <w:sz w:val="24"/>
                <w:szCs w:val="24"/>
              </w:rPr>
            </w:pPr>
            <w:r w:rsidRPr="00C3740D">
              <w:rPr>
                <w:rFonts w:ascii="Times New Roman" w:eastAsia="Times New Roman" w:hAnsi="Times New Roman" w:cs="Times New Roman"/>
                <w:b/>
                <w:bCs/>
                <w:color w:val="000000"/>
                <w:sz w:val="24"/>
                <w:szCs w:val="24"/>
              </w:rPr>
              <w:t>Grameen 2</w:t>
            </w:r>
          </w:p>
        </w:tc>
        <w:tc>
          <w:tcPr>
            <w:tcW w:w="15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0.07940509</w:t>
            </w:r>
          </w:p>
        </w:tc>
        <w:tc>
          <w:tcPr>
            <w:tcW w:w="15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0.05985112</w:t>
            </w:r>
          </w:p>
        </w:tc>
        <w:tc>
          <w:tcPr>
            <w:tcW w:w="18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0.05918901</w:t>
            </w:r>
          </w:p>
        </w:tc>
        <w:tc>
          <w:tcPr>
            <w:tcW w:w="17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0.05754931</w:t>
            </w:r>
          </w:p>
        </w:tc>
        <w:tc>
          <w:tcPr>
            <w:tcW w:w="1760" w:type="dxa"/>
            <w:tcBorders>
              <w:top w:val="single" w:sz="4" w:space="0" w:color="FFFFFF"/>
              <w:left w:val="single" w:sz="4" w:space="0" w:color="FFFFFF"/>
              <w:bottom w:val="single" w:sz="4" w:space="0" w:color="FFFFFF"/>
              <w:right w:val="nil"/>
            </w:tcBorders>
            <w:shd w:val="clear" w:color="B8CCE4" w:fill="B8CCE4"/>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0.06796248</w:t>
            </w:r>
          </w:p>
        </w:tc>
      </w:tr>
      <w:tr w:rsidR="00C3740D" w:rsidRPr="00C3740D" w:rsidTr="00C3740D">
        <w:trPr>
          <w:trHeight w:val="300"/>
        </w:trPr>
        <w:tc>
          <w:tcPr>
            <w:tcW w:w="1800" w:type="dxa"/>
            <w:tcBorders>
              <w:top w:val="single" w:sz="4" w:space="0" w:color="FFFFFF"/>
              <w:left w:val="nil"/>
              <w:bottom w:val="single" w:sz="4" w:space="0" w:color="auto"/>
              <w:right w:val="single" w:sz="4" w:space="0" w:color="FFFFFF"/>
            </w:tcBorders>
            <w:shd w:val="clear" w:color="DCE6F1" w:fill="DCE6F1"/>
            <w:vAlign w:val="bottom"/>
            <w:hideMark/>
          </w:tcPr>
          <w:p w:rsidR="00C3740D" w:rsidRPr="00C3740D" w:rsidRDefault="00C3740D" w:rsidP="00C3740D">
            <w:pPr>
              <w:spacing w:after="0" w:line="240" w:lineRule="auto"/>
              <w:rPr>
                <w:rFonts w:ascii="Calibri" w:eastAsia="Times New Roman" w:hAnsi="Calibri" w:cs="Times New Roman"/>
                <w:b/>
                <w:bCs/>
                <w:color w:val="000000"/>
              </w:rPr>
            </w:pPr>
            <w:r w:rsidRPr="00C3740D">
              <w:rPr>
                <w:rFonts w:ascii="Calibri" w:eastAsia="Times New Roman" w:hAnsi="Calibri" w:cs="Times New Roman"/>
                <w:b/>
                <w:bCs/>
                <w:color w:val="000000"/>
              </w:rPr>
              <w:t>ICB</w:t>
            </w:r>
          </w:p>
        </w:tc>
        <w:tc>
          <w:tcPr>
            <w:tcW w:w="154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0.104028267</w:t>
            </w:r>
          </w:p>
        </w:tc>
        <w:tc>
          <w:tcPr>
            <w:tcW w:w="154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0.269538346</w:t>
            </w:r>
          </w:p>
        </w:tc>
        <w:tc>
          <w:tcPr>
            <w:tcW w:w="180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0.286352673</w:t>
            </w:r>
          </w:p>
        </w:tc>
        <w:tc>
          <w:tcPr>
            <w:tcW w:w="172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0.231936412</w:t>
            </w:r>
          </w:p>
        </w:tc>
        <w:tc>
          <w:tcPr>
            <w:tcW w:w="1760" w:type="dxa"/>
            <w:tcBorders>
              <w:top w:val="single" w:sz="4" w:space="0" w:color="FFFFFF"/>
              <w:left w:val="single" w:sz="4" w:space="0" w:color="FFFFFF"/>
              <w:bottom w:val="single" w:sz="4" w:space="0" w:color="auto"/>
              <w:right w:val="nil"/>
            </w:tcBorders>
            <w:shd w:val="clear" w:color="DCE6F1" w:fill="DCE6F1"/>
            <w:noWrap/>
            <w:vAlign w:val="bottom"/>
            <w:hideMark/>
          </w:tcPr>
          <w:p w:rsidR="00C3740D" w:rsidRPr="00C3740D" w:rsidRDefault="00C3740D" w:rsidP="00C3740D">
            <w:pPr>
              <w:spacing w:after="0" w:line="240" w:lineRule="auto"/>
              <w:jc w:val="right"/>
              <w:rPr>
                <w:rFonts w:ascii="Calibri" w:eastAsia="Times New Roman" w:hAnsi="Calibri" w:cs="Times New Roman"/>
                <w:color w:val="000000"/>
              </w:rPr>
            </w:pPr>
            <w:r w:rsidRPr="00C3740D">
              <w:rPr>
                <w:rFonts w:ascii="Calibri" w:eastAsia="Times New Roman" w:hAnsi="Calibri" w:cs="Times New Roman"/>
                <w:color w:val="000000"/>
              </w:rPr>
              <w:t>0.33112793</w:t>
            </w:r>
          </w:p>
        </w:tc>
      </w:tr>
    </w:tbl>
    <w:p w:rsidR="00B37E78" w:rsidRDefault="007B07F8" w:rsidP="00C3740D">
      <w:pPr>
        <w:spacing w:line="360" w:lineRule="auto"/>
        <w:rPr>
          <w:rFonts w:cs="Times New Roman"/>
          <w:b/>
          <w:sz w:val="28"/>
        </w:rPr>
      </w:pPr>
      <w:r>
        <w:rPr>
          <w:noProof/>
        </w:rPr>
        <w:lastRenderedPageBreak/>
        <w:drawing>
          <wp:inline distT="0" distB="0" distL="0" distR="0">
            <wp:extent cx="4572000" cy="2743200"/>
            <wp:effectExtent l="0" t="0" r="19050" b="1905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3740D" w:rsidRDefault="00C3740D" w:rsidP="00C3740D">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154F93">
        <w:rPr>
          <w:rFonts w:ascii="Times New Roman" w:hAnsi="Times New Roman" w:cs="Times New Roman"/>
          <w:sz w:val="24"/>
          <w:szCs w:val="24"/>
        </w:rPr>
        <w:t xml:space="preserve">As a profitability ratio </w:t>
      </w:r>
      <w:r w:rsidR="00D76464">
        <w:rPr>
          <w:rFonts w:ascii="Times New Roman" w:hAnsi="Times New Roman" w:cs="Times New Roman"/>
          <w:sz w:val="24"/>
          <w:szCs w:val="24"/>
        </w:rPr>
        <w:t>a higher ratio refers better performance of the company. Among all four companies ICB is going with an outstanding ROE of above 33% in 2017.</w:t>
      </w:r>
    </w:p>
    <w:p w:rsidR="00D76464" w:rsidRDefault="00D76464" w:rsidP="00C3740D">
      <w:pPr>
        <w:spacing w:line="360" w:lineRule="auto"/>
        <w:jc w:val="both"/>
        <w:rPr>
          <w:rFonts w:ascii="Times New Roman" w:hAnsi="Times New Roman" w:cs="Times New Roman"/>
          <w:sz w:val="24"/>
          <w:szCs w:val="24"/>
        </w:rPr>
      </w:pPr>
      <w:r>
        <w:rPr>
          <w:rFonts w:ascii="Times New Roman" w:hAnsi="Times New Roman" w:cs="Times New Roman"/>
          <w:sz w:val="24"/>
          <w:szCs w:val="24"/>
        </w:rPr>
        <w:t>All other three companies are at below 10% which refers the poor profitability management.</w:t>
      </w:r>
    </w:p>
    <w:p w:rsidR="00ED3D34" w:rsidRDefault="00ED3D34" w:rsidP="00C3740D">
      <w:pPr>
        <w:spacing w:line="360" w:lineRule="auto"/>
        <w:jc w:val="both"/>
        <w:rPr>
          <w:rFonts w:ascii="Times New Roman" w:hAnsi="Times New Roman" w:cs="Times New Roman"/>
          <w:sz w:val="24"/>
          <w:szCs w:val="24"/>
        </w:rPr>
      </w:pPr>
    </w:p>
    <w:p w:rsidR="00ED3D34" w:rsidRDefault="00ED3D34" w:rsidP="00C3740D">
      <w:pPr>
        <w:spacing w:line="360" w:lineRule="auto"/>
        <w:jc w:val="both"/>
        <w:rPr>
          <w:rFonts w:ascii="Times New Roman" w:hAnsi="Times New Roman" w:cs="Times New Roman"/>
          <w:sz w:val="24"/>
          <w:szCs w:val="24"/>
        </w:rPr>
      </w:pPr>
    </w:p>
    <w:p w:rsidR="00ED3D34" w:rsidRDefault="00ED3D34" w:rsidP="00C3740D">
      <w:pPr>
        <w:spacing w:line="360" w:lineRule="auto"/>
        <w:jc w:val="both"/>
        <w:rPr>
          <w:rFonts w:ascii="Times New Roman" w:hAnsi="Times New Roman" w:cs="Times New Roman"/>
          <w:sz w:val="24"/>
          <w:szCs w:val="24"/>
        </w:rPr>
      </w:pPr>
    </w:p>
    <w:p w:rsidR="00ED3D34" w:rsidRDefault="00ED3D34" w:rsidP="00C3740D">
      <w:pPr>
        <w:spacing w:line="360" w:lineRule="auto"/>
        <w:jc w:val="both"/>
        <w:rPr>
          <w:rFonts w:ascii="Times New Roman" w:hAnsi="Times New Roman" w:cs="Times New Roman"/>
          <w:sz w:val="24"/>
          <w:szCs w:val="24"/>
        </w:rPr>
      </w:pPr>
    </w:p>
    <w:p w:rsidR="00ED3D34" w:rsidRPr="00154F93" w:rsidRDefault="00ED3D34" w:rsidP="00C3740D">
      <w:pPr>
        <w:spacing w:line="360" w:lineRule="auto"/>
        <w:jc w:val="both"/>
        <w:rPr>
          <w:rFonts w:ascii="Times New Roman" w:hAnsi="Times New Roman" w:cs="Times New Roman"/>
          <w:sz w:val="24"/>
          <w:szCs w:val="24"/>
        </w:rPr>
      </w:pPr>
    </w:p>
    <w:p w:rsidR="00C3740D" w:rsidRPr="00AC1A75" w:rsidRDefault="00C3740D" w:rsidP="00C3740D">
      <w:pPr>
        <w:spacing w:line="360" w:lineRule="auto"/>
        <w:rPr>
          <w:rFonts w:cs="Times New Roman"/>
          <w:b/>
          <w:sz w:val="24"/>
        </w:rPr>
      </w:pPr>
    </w:p>
    <w:p w:rsidR="005D71FE" w:rsidRPr="00AC1A75" w:rsidRDefault="005D71FE" w:rsidP="005D71FE">
      <w:pPr>
        <w:pStyle w:val="ListParagraph"/>
        <w:numPr>
          <w:ilvl w:val="0"/>
          <w:numId w:val="21"/>
        </w:numPr>
        <w:spacing w:line="360" w:lineRule="auto"/>
        <w:rPr>
          <w:rFonts w:cs="Times New Roman"/>
          <w:b/>
        </w:rPr>
      </w:pPr>
      <w:r w:rsidRPr="00AC1A75">
        <w:rPr>
          <w:rFonts w:cs="Times New Roman"/>
          <w:b/>
        </w:rPr>
        <w:t>Total Equity To Total Asset</w:t>
      </w:r>
    </w:p>
    <w:tbl>
      <w:tblPr>
        <w:tblW w:w="9880" w:type="dxa"/>
        <w:tblInd w:w="93" w:type="dxa"/>
        <w:tblLook w:val="04A0" w:firstRow="1" w:lastRow="0" w:firstColumn="1" w:lastColumn="0" w:noHBand="0" w:noVBand="1"/>
      </w:tblPr>
      <w:tblGrid>
        <w:gridCol w:w="1660"/>
        <w:gridCol w:w="1620"/>
        <w:gridCol w:w="1520"/>
        <w:gridCol w:w="1600"/>
        <w:gridCol w:w="1740"/>
        <w:gridCol w:w="1740"/>
      </w:tblGrid>
      <w:tr w:rsidR="005D71FE" w:rsidRPr="005D71FE" w:rsidTr="005D71FE">
        <w:trPr>
          <w:trHeight w:val="300"/>
        </w:trPr>
        <w:tc>
          <w:tcPr>
            <w:tcW w:w="1660" w:type="dxa"/>
            <w:tcBorders>
              <w:top w:val="nil"/>
              <w:left w:val="nil"/>
              <w:bottom w:val="single" w:sz="12" w:space="0" w:color="FFFFFF"/>
              <w:right w:val="single" w:sz="4" w:space="0" w:color="FFFFFF"/>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year</w:t>
            </w:r>
          </w:p>
        </w:tc>
        <w:tc>
          <w:tcPr>
            <w:tcW w:w="1620" w:type="dxa"/>
            <w:tcBorders>
              <w:top w:val="nil"/>
              <w:left w:val="single" w:sz="4" w:space="0" w:color="FFFFFF"/>
              <w:bottom w:val="single" w:sz="12" w:space="0" w:color="FFFFFF"/>
              <w:right w:val="single" w:sz="4" w:space="0" w:color="FFFFFF"/>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2013</w:t>
            </w:r>
          </w:p>
        </w:tc>
        <w:tc>
          <w:tcPr>
            <w:tcW w:w="1520" w:type="dxa"/>
            <w:tcBorders>
              <w:top w:val="nil"/>
              <w:left w:val="single" w:sz="4" w:space="0" w:color="FFFFFF"/>
              <w:bottom w:val="single" w:sz="12" w:space="0" w:color="FFFFFF"/>
              <w:right w:val="single" w:sz="4" w:space="0" w:color="FFFFFF"/>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2014</w:t>
            </w:r>
          </w:p>
        </w:tc>
        <w:tc>
          <w:tcPr>
            <w:tcW w:w="1600" w:type="dxa"/>
            <w:tcBorders>
              <w:top w:val="nil"/>
              <w:left w:val="single" w:sz="4" w:space="0" w:color="FFFFFF"/>
              <w:bottom w:val="single" w:sz="12" w:space="0" w:color="FFFFFF"/>
              <w:right w:val="single" w:sz="4" w:space="0" w:color="FFFFFF"/>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2015</w:t>
            </w:r>
          </w:p>
        </w:tc>
        <w:tc>
          <w:tcPr>
            <w:tcW w:w="1740" w:type="dxa"/>
            <w:tcBorders>
              <w:top w:val="nil"/>
              <w:left w:val="single" w:sz="4" w:space="0" w:color="FFFFFF"/>
              <w:bottom w:val="single" w:sz="12" w:space="0" w:color="FFFFFF"/>
              <w:right w:val="single" w:sz="4" w:space="0" w:color="FFFFFF"/>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2016</w:t>
            </w:r>
          </w:p>
        </w:tc>
        <w:tc>
          <w:tcPr>
            <w:tcW w:w="1740" w:type="dxa"/>
            <w:tcBorders>
              <w:top w:val="nil"/>
              <w:left w:val="single" w:sz="4" w:space="0" w:color="FFFFFF"/>
              <w:bottom w:val="single" w:sz="12" w:space="0" w:color="FFFFFF"/>
              <w:right w:val="nil"/>
            </w:tcBorders>
            <w:shd w:val="clear" w:color="4F81BD" w:fill="4F81BD"/>
            <w:noWrap/>
            <w:vAlign w:val="bottom"/>
            <w:hideMark/>
          </w:tcPr>
          <w:p w:rsidR="005D71FE" w:rsidRPr="005D71FE" w:rsidRDefault="005D71FE" w:rsidP="005D71FE">
            <w:pPr>
              <w:spacing w:after="0" w:line="240" w:lineRule="auto"/>
              <w:rPr>
                <w:rFonts w:ascii="Calibri" w:eastAsia="Times New Roman" w:hAnsi="Calibri" w:cs="Times New Roman"/>
                <w:b/>
                <w:bCs/>
                <w:color w:val="FFFFFF"/>
              </w:rPr>
            </w:pPr>
            <w:r w:rsidRPr="005D71FE">
              <w:rPr>
                <w:rFonts w:ascii="Calibri" w:eastAsia="Times New Roman" w:hAnsi="Calibri" w:cs="Times New Roman"/>
                <w:b/>
                <w:bCs/>
                <w:color w:val="FFFFFF"/>
              </w:rPr>
              <w:t>2017</w:t>
            </w:r>
          </w:p>
        </w:tc>
      </w:tr>
      <w:tr w:rsidR="005D71FE" w:rsidRPr="005D71FE" w:rsidTr="005D71FE">
        <w:trPr>
          <w:trHeight w:val="315"/>
        </w:trPr>
        <w:tc>
          <w:tcPr>
            <w:tcW w:w="1660" w:type="dxa"/>
            <w:tcBorders>
              <w:top w:val="single" w:sz="4" w:space="0" w:color="FFFFFF"/>
              <w:left w:val="nil"/>
              <w:bottom w:val="single" w:sz="4" w:space="0" w:color="FFFFFF"/>
              <w:right w:val="single" w:sz="4" w:space="0" w:color="FFFFFF"/>
            </w:tcBorders>
            <w:shd w:val="clear" w:color="B8CCE4" w:fill="B8CCE4"/>
            <w:vAlign w:val="bottom"/>
            <w:hideMark/>
          </w:tcPr>
          <w:p w:rsidR="005D71FE" w:rsidRPr="005D71FE" w:rsidRDefault="005D71FE" w:rsidP="005D71FE">
            <w:pPr>
              <w:spacing w:after="0" w:line="240" w:lineRule="auto"/>
              <w:rPr>
                <w:rFonts w:ascii="Times New Roman" w:eastAsia="Times New Roman" w:hAnsi="Times New Roman" w:cs="Times New Roman"/>
                <w:b/>
                <w:bCs/>
                <w:color w:val="000000"/>
                <w:sz w:val="24"/>
                <w:szCs w:val="24"/>
              </w:rPr>
            </w:pPr>
            <w:r w:rsidRPr="005D71FE">
              <w:rPr>
                <w:rFonts w:ascii="Times New Roman" w:eastAsia="Times New Roman" w:hAnsi="Times New Roman" w:cs="Times New Roman"/>
                <w:b/>
                <w:bCs/>
                <w:color w:val="000000"/>
                <w:sz w:val="24"/>
                <w:szCs w:val="24"/>
              </w:rPr>
              <w:t>Reliance</w:t>
            </w:r>
          </w:p>
        </w:tc>
        <w:tc>
          <w:tcPr>
            <w:tcW w:w="16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0.99579692</w:t>
            </w:r>
          </w:p>
        </w:tc>
        <w:tc>
          <w:tcPr>
            <w:tcW w:w="15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0.9958492</w:t>
            </w:r>
          </w:p>
        </w:tc>
        <w:tc>
          <w:tcPr>
            <w:tcW w:w="16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0.9882925</w:t>
            </w:r>
          </w:p>
        </w:tc>
        <w:tc>
          <w:tcPr>
            <w:tcW w:w="17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0.9733652</w:t>
            </w:r>
          </w:p>
        </w:tc>
        <w:tc>
          <w:tcPr>
            <w:tcW w:w="1740" w:type="dxa"/>
            <w:tcBorders>
              <w:top w:val="single" w:sz="4" w:space="0" w:color="FFFFFF"/>
              <w:left w:val="single" w:sz="4" w:space="0" w:color="FFFFFF"/>
              <w:bottom w:val="single" w:sz="4" w:space="0" w:color="FFFFFF"/>
              <w:right w:val="nil"/>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0.978573</w:t>
            </w:r>
          </w:p>
        </w:tc>
      </w:tr>
      <w:tr w:rsidR="005D71FE" w:rsidRPr="005D71FE" w:rsidTr="005D71FE">
        <w:trPr>
          <w:trHeight w:val="315"/>
        </w:trPr>
        <w:tc>
          <w:tcPr>
            <w:tcW w:w="1660" w:type="dxa"/>
            <w:tcBorders>
              <w:top w:val="single" w:sz="4" w:space="0" w:color="FFFFFF"/>
              <w:left w:val="nil"/>
              <w:bottom w:val="single" w:sz="4" w:space="0" w:color="FFFFFF"/>
              <w:right w:val="single" w:sz="4" w:space="0" w:color="FFFFFF"/>
            </w:tcBorders>
            <w:shd w:val="clear" w:color="DCE6F1" w:fill="DCE6F1"/>
            <w:vAlign w:val="bottom"/>
            <w:hideMark/>
          </w:tcPr>
          <w:p w:rsidR="005D71FE" w:rsidRPr="005D71FE" w:rsidRDefault="005D71FE" w:rsidP="005D71FE">
            <w:pPr>
              <w:spacing w:after="0" w:line="240" w:lineRule="auto"/>
              <w:rPr>
                <w:rFonts w:ascii="Times New Roman" w:eastAsia="Times New Roman" w:hAnsi="Times New Roman" w:cs="Times New Roman"/>
                <w:b/>
                <w:bCs/>
                <w:color w:val="000000"/>
                <w:sz w:val="24"/>
                <w:szCs w:val="24"/>
              </w:rPr>
            </w:pPr>
            <w:r w:rsidRPr="005D71FE">
              <w:rPr>
                <w:rFonts w:ascii="Times New Roman" w:eastAsia="Times New Roman" w:hAnsi="Times New Roman" w:cs="Times New Roman"/>
                <w:b/>
                <w:bCs/>
                <w:color w:val="000000"/>
                <w:sz w:val="24"/>
                <w:szCs w:val="24"/>
              </w:rPr>
              <w:t>Grameen 1</w:t>
            </w:r>
          </w:p>
        </w:tc>
        <w:tc>
          <w:tcPr>
            <w:tcW w:w="16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0.9869392</w:t>
            </w:r>
          </w:p>
        </w:tc>
        <w:tc>
          <w:tcPr>
            <w:tcW w:w="15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0.976432079</w:t>
            </w:r>
          </w:p>
        </w:tc>
        <w:tc>
          <w:tcPr>
            <w:tcW w:w="160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0.09873847</w:t>
            </w:r>
          </w:p>
        </w:tc>
        <w:tc>
          <w:tcPr>
            <w:tcW w:w="174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0.9903117</w:t>
            </w:r>
          </w:p>
        </w:tc>
        <w:tc>
          <w:tcPr>
            <w:tcW w:w="1740" w:type="dxa"/>
            <w:tcBorders>
              <w:top w:val="single" w:sz="4" w:space="0" w:color="FFFFFF"/>
              <w:left w:val="single" w:sz="4" w:space="0" w:color="FFFFFF"/>
              <w:bottom w:val="single" w:sz="4" w:space="0" w:color="FFFFFF"/>
              <w:right w:val="nil"/>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0.99353468</w:t>
            </w:r>
          </w:p>
        </w:tc>
      </w:tr>
      <w:tr w:rsidR="005D71FE" w:rsidRPr="005D71FE" w:rsidTr="005D71FE">
        <w:trPr>
          <w:trHeight w:val="315"/>
        </w:trPr>
        <w:tc>
          <w:tcPr>
            <w:tcW w:w="1660" w:type="dxa"/>
            <w:tcBorders>
              <w:top w:val="single" w:sz="4" w:space="0" w:color="FFFFFF"/>
              <w:left w:val="nil"/>
              <w:bottom w:val="single" w:sz="4" w:space="0" w:color="FFFFFF"/>
              <w:right w:val="single" w:sz="4" w:space="0" w:color="FFFFFF"/>
            </w:tcBorders>
            <w:shd w:val="clear" w:color="B8CCE4" w:fill="B8CCE4"/>
            <w:vAlign w:val="bottom"/>
            <w:hideMark/>
          </w:tcPr>
          <w:p w:rsidR="005D71FE" w:rsidRPr="005D71FE" w:rsidRDefault="005D71FE" w:rsidP="005D71FE">
            <w:pPr>
              <w:spacing w:after="0" w:line="240" w:lineRule="auto"/>
              <w:rPr>
                <w:rFonts w:ascii="Times New Roman" w:eastAsia="Times New Roman" w:hAnsi="Times New Roman" w:cs="Times New Roman"/>
                <w:b/>
                <w:bCs/>
                <w:color w:val="000000"/>
                <w:sz w:val="24"/>
                <w:szCs w:val="24"/>
              </w:rPr>
            </w:pPr>
            <w:r w:rsidRPr="005D71FE">
              <w:rPr>
                <w:rFonts w:ascii="Times New Roman" w:eastAsia="Times New Roman" w:hAnsi="Times New Roman" w:cs="Times New Roman"/>
                <w:b/>
                <w:bCs/>
                <w:color w:val="000000"/>
                <w:sz w:val="24"/>
                <w:szCs w:val="24"/>
              </w:rPr>
              <w:t>Grameen 2</w:t>
            </w:r>
          </w:p>
        </w:tc>
        <w:tc>
          <w:tcPr>
            <w:tcW w:w="16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0.99084074</w:t>
            </w:r>
          </w:p>
        </w:tc>
        <w:tc>
          <w:tcPr>
            <w:tcW w:w="15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0.99329243</w:t>
            </w:r>
          </w:p>
        </w:tc>
        <w:tc>
          <w:tcPr>
            <w:tcW w:w="16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0.98379396</w:t>
            </w:r>
          </w:p>
        </w:tc>
        <w:tc>
          <w:tcPr>
            <w:tcW w:w="174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0.97986614</w:t>
            </w:r>
          </w:p>
        </w:tc>
        <w:tc>
          <w:tcPr>
            <w:tcW w:w="1740" w:type="dxa"/>
            <w:tcBorders>
              <w:top w:val="single" w:sz="4" w:space="0" w:color="FFFFFF"/>
              <w:left w:val="single" w:sz="4" w:space="0" w:color="FFFFFF"/>
              <w:bottom w:val="single" w:sz="4" w:space="0" w:color="FFFFFF"/>
              <w:right w:val="nil"/>
            </w:tcBorders>
            <w:shd w:val="clear" w:color="B8CCE4" w:fill="B8CCE4"/>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0.98420334</w:t>
            </w:r>
          </w:p>
        </w:tc>
      </w:tr>
      <w:tr w:rsidR="005D71FE" w:rsidRPr="005D71FE" w:rsidTr="005D71FE">
        <w:trPr>
          <w:trHeight w:val="300"/>
        </w:trPr>
        <w:tc>
          <w:tcPr>
            <w:tcW w:w="1660" w:type="dxa"/>
            <w:tcBorders>
              <w:top w:val="single" w:sz="4" w:space="0" w:color="FFFFFF"/>
              <w:left w:val="nil"/>
              <w:bottom w:val="single" w:sz="4" w:space="0" w:color="auto"/>
              <w:right w:val="single" w:sz="4" w:space="0" w:color="FFFFFF"/>
            </w:tcBorders>
            <w:shd w:val="clear" w:color="DCE6F1" w:fill="DCE6F1"/>
            <w:vAlign w:val="bottom"/>
            <w:hideMark/>
          </w:tcPr>
          <w:p w:rsidR="005D71FE" w:rsidRPr="005D71FE" w:rsidRDefault="005D71FE" w:rsidP="005D71FE">
            <w:pPr>
              <w:spacing w:after="0" w:line="240" w:lineRule="auto"/>
              <w:rPr>
                <w:rFonts w:ascii="Calibri" w:eastAsia="Times New Roman" w:hAnsi="Calibri" w:cs="Times New Roman"/>
                <w:b/>
                <w:bCs/>
                <w:color w:val="000000"/>
              </w:rPr>
            </w:pPr>
            <w:r w:rsidRPr="005D71FE">
              <w:rPr>
                <w:rFonts w:ascii="Calibri" w:eastAsia="Times New Roman" w:hAnsi="Calibri" w:cs="Times New Roman"/>
                <w:b/>
                <w:bCs/>
                <w:color w:val="000000"/>
              </w:rPr>
              <w:t>ICB</w:t>
            </w:r>
          </w:p>
        </w:tc>
        <w:tc>
          <w:tcPr>
            <w:tcW w:w="162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3.40072831</w:t>
            </w:r>
          </w:p>
        </w:tc>
        <w:tc>
          <w:tcPr>
            <w:tcW w:w="152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3.270654694</w:t>
            </w:r>
          </w:p>
        </w:tc>
        <w:tc>
          <w:tcPr>
            <w:tcW w:w="160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11.15259244</w:t>
            </w:r>
          </w:p>
        </w:tc>
        <w:tc>
          <w:tcPr>
            <w:tcW w:w="174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4.022149993</w:t>
            </w:r>
          </w:p>
        </w:tc>
        <w:tc>
          <w:tcPr>
            <w:tcW w:w="1740" w:type="dxa"/>
            <w:tcBorders>
              <w:top w:val="single" w:sz="4" w:space="0" w:color="FFFFFF"/>
              <w:left w:val="single" w:sz="4" w:space="0" w:color="FFFFFF"/>
              <w:bottom w:val="single" w:sz="4" w:space="0" w:color="auto"/>
              <w:right w:val="nil"/>
            </w:tcBorders>
            <w:shd w:val="clear" w:color="DCE6F1" w:fill="DCE6F1"/>
            <w:noWrap/>
            <w:vAlign w:val="bottom"/>
            <w:hideMark/>
          </w:tcPr>
          <w:p w:rsidR="005D71FE" w:rsidRPr="005D71FE" w:rsidRDefault="005D71FE" w:rsidP="005D71FE">
            <w:pPr>
              <w:spacing w:after="0" w:line="240" w:lineRule="auto"/>
              <w:jc w:val="right"/>
              <w:rPr>
                <w:rFonts w:ascii="Calibri" w:eastAsia="Times New Roman" w:hAnsi="Calibri" w:cs="Times New Roman"/>
                <w:color w:val="000000"/>
              </w:rPr>
            </w:pPr>
            <w:r w:rsidRPr="005D71FE">
              <w:rPr>
                <w:rFonts w:ascii="Calibri" w:eastAsia="Times New Roman" w:hAnsi="Calibri" w:cs="Times New Roman"/>
                <w:color w:val="000000"/>
              </w:rPr>
              <w:t>3.974704571</w:t>
            </w:r>
          </w:p>
        </w:tc>
      </w:tr>
    </w:tbl>
    <w:p w:rsidR="005D71FE" w:rsidRDefault="005D71FE" w:rsidP="005D71FE">
      <w:pPr>
        <w:spacing w:line="360" w:lineRule="auto"/>
        <w:ind w:left="360"/>
        <w:rPr>
          <w:rFonts w:cs="Times New Roman"/>
          <w:b/>
          <w:sz w:val="28"/>
        </w:rPr>
      </w:pPr>
    </w:p>
    <w:p w:rsidR="005D71FE" w:rsidRDefault="007B07F8" w:rsidP="005D71FE">
      <w:pPr>
        <w:spacing w:line="360" w:lineRule="auto"/>
        <w:ind w:left="360"/>
        <w:rPr>
          <w:rFonts w:cs="Times New Roman"/>
          <w:b/>
          <w:sz w:val="28"/>
        </w:rPr>
      </w:pPr>
      <w:r>
        <w:rPr>
          <w:noProof/>
        </w:rPr>
        <w:lastRenderedPageBreak/>
        <w:drawing>
          <wp:inline distT="0" distB="0" distL="0" distR="0">
            <wp:extent cx="4572000" cy="2743200"/>
            <wp:effectExtent l="0" t="0" r="19050" b="190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D71FE" w:rsidRDefault="005D71FE" w:rsidP="005D71FE">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C879DA">
        <w:rPr>
          <w:rFonts w:ascii="Times New Roman" w:hAnsi="Times New Roman" w:cs="Times New Roman"/>
          <w:sz w:val="24"/>
          <w:szCs w:val="24"/>
        </w:rPr>
        <w:t xml:space="preserve">Higher ratio indicates better position for the company. Reliance,Grameen one and Grameen two are at the almost same position which is below 1.0. </w:t>
      </w:r>
    </w:p>
    <w:p w:rsidR="005D71FE" w:rsidRDefault="00C879DA" w:rsidP="005C448F">
      <w:pPr>
        <w:spacing w:line="360" w:lineRule="auto"/>
        <w:jc w:val="both"/>
        <w:rPr>
          <w:rFonts w:ascii="Times New Roman" w:hAnsi="Times New Roman" w:cs="Times New Roman"/>
          <w:sz w:val="24"/>
          <w:szCs w:val="24"/>
        </w:rPr>
      </w:pPr>
      <w:r>
        <w:rPr>
          <w:rFonts w:ascii="Times New Roman" w:hAnsi="Times New Roman" w:cs="Times New Roman"/>
          <w:sz w:val="24"/>
          <w:szCs w:val="24"/>
        </w:rPr>
        <w:t>ICB is in far better position comparing to others companies which is 3.97 in 2017</w:t>
      </w:r>
      <w:r w:rsidR="00481CBF">
        <w:rPr>
          <w:rFonts w:ascii="Times New Roman" w:hAnsi="Times New Roman" w:cs="Times New Roman"/>
          <w:sz w:val="24"/>
          <w:szCs w:val="24"/>
        </w:rPr>
        <w:t>.</w:t>
      </w: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Default="005C448F" w:rsidP="005C448F">
      <w:pPr>
        <w:spacing w:line="360" w:lineRule="auto"/>
        <w:jc w:val="both"/>
        <w:rPr>
          <w:rFonts w:ascii="Times New Roman" w:hAnsi="Times New Roman" w:cs="Times New Roman"/>
          <w:sz w:val="24"/>
          <w:szCs w:val="24"/>
        </w:rPr>
      </w:pPr>
    </w:p>
    <w:p w:rsidR="005C448F" w:rsidRPr="005C448F" w:rsidRDefault="005C448F" w:rsidP="005C448F">
      <w:pPr>
        <w:spacing w:line="360" w:lineRule="auto"/>
        <w:jc w:val="both"/>
        <w:rPr>
          <w:rFonts w:ascii="Times New Roman" w:hAnsi="Times New Roman" w:cs="Times New Roman"/>
          <w:sz w:val="24"/>
          <w:szCs w:val="24"/>
        </w:rPr>
      </w:pPr>
    </w:p>
    <w:p w:rsidR="007751C4" w:rsidRPr="005C448F" w:rsidRDefault="007751C4" w:rsidP="005C448F">
      <w:pPr>
        <w:pStyle w:val="ListParagraph"/>
        <w:numPr>
          <w:ilvl w:val="0"/>
          <w:numId w:val="21"/>
        </w:numPr>
        <w:spacing w:line="360" w:lineRule="auto"/>
        <w:rPr>
          <w:rFonts w:cs="Times New Roman"/>
          <w:b/>
        </w:rPr>
      </w:pPr>
      <w:r w:rsidRPr="005C448F">
        <w:rPr>
          <w:rFonts w:cs="Times New Roman"/>
          <w:b/>
        </w:rPr>
        <w:lastRenderedPageBreak/>
        <w:t>Market to Book Ratio</w:t>
      </w:r>
    </w:p>
    <w:tbl>
      <w:tblPr>
        <w:tblW w:w="10166" w:type="dxa"/>
        <w:tblInd w:w="93" w:type="dxa"/>
        <w:tblLook w:val="04A0" w:firstRow="1" w:lastRow="0" w:firstColumn="1" w:lastColumn="0" w:noHBand="0" w:noVBand="1"/>
      </w:tblPr>
      <w:tblGrid>
        <w:gridCol w:w="1642"/>
        <w:gridCol w:w="1719"/>
        <w:gridCol w:w="2120"/>
        <w:gridCol w:w="1700"/>
        <w:gridCol w:w="1661"/>
        <w:gridCol w:w="1387"/>
      </w:tblGrid>
      <w:tr w:rsidR="005F7751" w:rsidRPr="007751C4" w:rsidTr="005F7751">
        <w:trPr>
          <w:trHeight w:val="300"/>
        </w:trPr>
        <w:tc>
          <w:tcPr>
            <w:tcW w:w="1642" w:type="dxa"/>
            <w:tcBorders>
              <w:top w:val="nil"/>
              <w:left w:val="nil"/>
              <w:bottom w:val="single" w:sz="12" w:space="0" w:color="FFFFFF"/>
              <w:right w:val="single" w:sz="4" w:space="0" w:color="FFFFFF"/>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year</w:t>
            </w:r>
          </w:p>
        </w:tc>
        <w:tc>
          <w:tcPr>
            <w:tcW w:w="1719" w:type="dxa"/>
            <w:tcBorders>
              <w:top w:val="nil"/>
              <w:left w:val="single" w:sz="4" w:space="0" w:color="FFFFFF"/>
              <w:bottom w:val="single" w:sz="12" w:space="0" w:color="FFFFFF"/>
              <w:right w:val="single" w:sz="4" w:space="0" w:color="FFFFFF"/>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2013</w:t>
            </w:r>
          </w:p>
        </w:tc>
        <w:tc>
          <w:tcPr>
            <w:tcW w:w="2120" w:type="dxa"/>
            <w:tcBorders>
              <w:top w:val="nil"/>
              <w:left w:val="single" w:sz="4" w:space="0" w:color="FFFFFF"/>
              <w:bottom w:val="single" w:sz="12" w:space="0" w:color="FFFFFF"/>
              <w:right w:val="single" w:sz="4" w:space="0" w:color="FFFFFF"/>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2014</w:t>
            </w:r>
          </w:p>
        </w:tc>
        <w:tc>
          <w:tcPr>
            <w:tcW w:w="1700" w:type="dxa"/>
            <w:tcBorders>
              <w:top w:val="nil"/>
              <w:left w:val="single" w:sz="4" w:space="0" w:color="FFFFFF"/>
              <w:bottom w:val="single" w:sz="12" w:space="0" w:color="FFFFFF"/>
              <w:right w:val="single" w:sz="4" w:space="0" w:color="FFFFFF"/>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2015</w:t>
            </w:r>
          </w:p>
        </w:tc>
        <w:tc>
          <w:tcPr>
            <w:tcW w:w="1661" w:type="dxa"/>
            <w:tcBorders>
              <w:top w:val="nil"/>
              <w:left w:val="single" w:sz="4" w:space="0" w:color="FFFFFF"/>
              <w:bottom w:val="single" w:sz="12" w:space="0" w:color="FFFFFF"/>
              <w:right w:val="single" w:sz="4" w:space="0" w:color="FFFFFF"/>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2016</w:t>
            </w:r>
          </w:p>
        </w:tc>
        <w:tc>
          <w:tcPr>
            <w:tcW w:w="1324" w:type="dxa"/>
            <w:tcBorders>
              <w:top w:val="nil"/>
              <w:left w:val="single" w:sz="4" w:space="0" w:color="FFFFFF"/>
              <w:bottom w:val="single" w:sz="12" w:space="0" w:color="FFFFFF"/>
              <w:right w:val="nil"/>
            </w:tcBorders>
            <w:shd w:val="clear" w:color="4F81BD" w:fill="4F81BD"/>
            <w:noWrap/>
            <w:vAlign w:val="bottom"/>
            <w:hideMark/>
          </w:tcPr>
          <w:p w:rsidR="007751C4" w:rsidRPr="007751C4" w:rsidRDefault="007751C4" w:rsidP="007751C4">
            <w:pPr>
              <w:spacing w:after="0" w:line="240" w:lineRule="auto"/>
              <w:rPr>
                <w:rFonts w:ascii="Calibri" w:eastAsia="Times New Roman" w:hAnsi="Calibri" w:cs="Times New Roman"/>
                <w:b/>
                <w:bCs/>
                <w:color w:val="FFFFFF"/>
              </w:rPr>
            </w:pPr>
            <w:r w:rsidRPr="007751C4">
              <w:rPr>
                <w:rFonts w:ascii="Calibri" w:eastAsia="Times New Roman" w:hAnsi="Calibri" w:cs="Times New Roman"/>
                <w:b/>
                <w:bCs/>
                <w:color w:val="FFFFFF"/>
              </w:rPr>
              <w:t>2017</w:t>
            </w:r>
          </w:p>
        </w:tc>
      </w:tr>
      <w:tr w:rsidR="007751C4" w:rsidRPr="007751C4" w:rsidTr="005F7751">
        <w:trPr>
          <w:trHeight w:val="315"/>
        </w:trPr>
        <w:tc>
          <w:tcPr>
            <w:tcW w:w="1642" w:type="dxa"/>
            <w:tcBorders>
              <w:top w:val="single" w:sz="4" w:space="0" w:color="FFFFFF"/>
              <w:left w:val="nil"/>
              <w:bottom w:val="single" w:sz="4" w:space="0" w:color="FFFFFF"/>
              <w:right w:val="single" w:sz="4" w:space="0" w:color="FFFFFF"/>
            </w:tcBorders>
            <w:shd w:val="clear" w:color="B8CCE4" w:fill="B8CCE4"/>
            <w:vAlign w:val="bottom"/>
            <w:hideMark/>
          </w:tcPr>
          <w:p w:rsidR="007751C4" w:rsidRPr="007751C4" w:rsidRDefault="007751C4" w:rsidP="007751C4">
            <w:pPr>
              <w:spacing w:after="0" w:line="240" w:lineRule="auto"/>
              <w:rPr>
                <w:rFonts w:ascii="Times New Roman" w:eastAsia="Times New Roman" w:hAnsi="Times New Roman" w:cs="Times New Roman"/>
                <w:b/>
                <w:bCs/>
                <w:color w:val="000000"/>
                <w:sz w:val="24"/>
                <w:szCs w:val="24"/>
              </w:rPr>
            </w:pPr>
            <w:r w:rsidRPr="007751C4">
              <w:rPr>
                <w:rFonts w:ascii="Times New Roman" w:eastAsia="Times New Roman" w:hAnsi="Times New Roman" w:cs="Times New Roman"/>
                <w:b/>
                <w:bCs/>
                <w:color w:val="000000"/>
                <w:sz w:val="24"/>
                <w:szCs w:val="24"/>
              </w:rPr>
              <w:t>Reliance</w:t>
            </w:r>
          </w:p>
        </w:tc>
        <w:tc>
          <w:tcPr>
            <w:tcW w:w="171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1.00847458</w:t>
            </w:r>
          </w:p>
        </w:tc>
        <w:tc>
          <w:tcPr>
            <w:tcW w:w="21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1.0439834</w:t>
            </w:r>
          </w:p>
        </w:tc>
        <w:tc>
          <w:tcPr>
            <w:tcW w:w="17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1.0522822</w:t>
            </w:r>
          </w:p>
        </w:tc>
        <w:tc>
          <w:tcPr>
            <w:tcW w:w="166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1.0351931</w:t>
            </w:r>
          </w:p>
        </w:tc>
        <w:tc>
          <w:tcPr>
            <w:tcW w:w="1324" w:type="dxa"/>
            <w:tcBorders>
              <w:top w:val="single" w:sz="4" w:space="0" w:color="FFFFFF"/>
              <w:left w:val="single" w:sz="4" w:space="0" w:color="FFFFFF"/>
              <w:bottom w:val="single" w:sz="4" w:space="0" w:color="FFFFFF"/>
              <w:right w:val="nil"/>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1.0254669</w:t>
            </w:r>
          </w:p>
        </w:tc>
      </w:tr>
      <w:tr w:rsidR="007751C4" w:rsidRPr="007751C4" w:rsidTr="005F7751">
        <w:trPr>
          <w:trHeight w:val="315"/>
        </w:trPr>
        <w:tc>
          <w:tcPr>
            <w:tcW w:w="1642" w:type="dxa"/>
            <w:tcBorders>
              <w:top w:val="single" w:sz="4" w:space="0" w:color="FFFFFF"/>
              <w:left w:val="nil"/>
              <w:bottom w:val="single" w:sz="4" w:space="0" w:color="FFFFFF"/>
              <w:right w:val="single" w:sz="4" w:space="0" w:color="FFFFFF"/>
            </w:tcBorders>
            <w:shd w:val="clear" w:color="DCE6F1" w:fill="DCE6F1"/>
            <w:vAlign w:val="bottom"/>
            <w:hideMark/>
          </w:tcPr>
          <w:p w:rsidR="007751C4" w:rsidRPr="007751C4" w:rsidRDefault="007751C4" w:rsidP="007751C4">
            <w:pPr>
              <w:spacing w:after="0" w:line="240" w:lineRule="auto"/>
              <w:rPr>
                <w:rFonts w:ascii="Times New Roman" w:eastAsia="Times New Roman" w:hAnsi="Times New Roman" w:cs="Times New Roman"/>
                <w:b/>
                <w:bCs/>
                <w:color w:val="000000"/>
                <w:sz w:val="24"/>
                <w:szCs w:val="24"/>
              </w:rPr>
            </w:pPr>
            <w:r w:rsidRPr="007751C4">
              <w:rPr>
                <w:rFonts w:ascii="Times New Roman" w:eastAsia="Times New Roman" w:hAnsi="Times New Roman" w:cs="Times New Roman"/>
                <w:b/>
                <w:bCs/>
                <w:color w:val="000000"/>
                <w:sz w:val="24"/>
                <w:szCs w:val="24"/>
              </w:rPr>
              <w:t>Grameen 1</w:t>
            </w:r>
          </w:p>
        </w:tc>
        <w:tc>
          <w:tcPr>
            <w:tcW w:w="1719"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1.876</w:t>
            </w:r>
          </w:p>
        </w:tc>
        <w:tc>
          <w:tcPr>
            <w:tcW w:w="21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1.469767442</w:t>
            </w:r>
          </w:p>
        </w:tc>
        <w:tc>
          <w:tcPr>
            <w:tcW w:w="170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1.5283019</w:t>
            </w:r>
          </w:p>
        </w:tc>
        <w:tc>
          <w:tcPr>
            <w:tcW w:w="1661"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1.6199536</w:t>
            </w:r>
          </w:p>
        </w:tc>
        <w:tc>
          <w:tcPr>
            <w:tcW w:w="1324" w:type="dxa"/>
            <w:tcBorders>
              <w:top w:val="single" w:sz="4" w:space="0" w:color="FFFFFF"/>
              <w:left w:val="single" w:sz="4" w:space="0" w:color="FFFFFF"/>
              <w:bottom w:val="single" w:sz="4" w:space="0" w:color="FFFFFF"/>
              <w:right w:val="nil"/>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1.3555225</w:t>
            </w:r>
          </w:p>
        </w:tc>
      </w:tr>
      <w:tr w:rsidR="007751C4" w:rsidRPr="007751C4" w:rsidTr="005F7751">
        <w:trPr>
          <w:trHeight w:val="315"/>
        </w:trPr>
        <w:tc>
          <w:tcPr>
            <w:tcW w:w="1642" w:type="dxa"/>
            <w:tcBorders>
              <w:top w:val="single" w:sz="4" w:space="0" w:color="FFFFFF"/>
              <w:left w:val="nil"/>
              <w:bottom w:val="single" w:sz="4" w:space="0" w:color="FFFFFF"/>
              <w:right w:val="single" w:sz="4" w:space="0" w:color="FFFFFF"/>
            </w:tcBorders>
            <w:shd w:val="clear" w:color="B8CCE4" w:fill="B8CCE4"/>
            <w:vAlign w:val="bottom"/>
            <w:hideMark/>
          </w:tcPr>
          <w:p w:rsidR="007751C4" w:rsidRPr="007751C4" w:rsidRDefault="007751C4" w:rsidP="007751C4">
            <w:pPr>
              <w:spacing w:after="0" w:line="240" w:lineRule="auto"/>
              <w:rPr>
                <w:rFonts w:ascii="Times New Roman" w:eastAsia="Times New Roman" w:hAnsi="Times New Roman" w:cs="Times New Roman"/>
                <w:b/>
                <w:bCs/>
                <w:color w:val="000000"/>
                <w:sz w:val="24"/>
                <w:szCs w:val="24"/>
              </w:rPr>
            </w:pPr>
            <w:r w:rsidRPr="007751C4">
              <w:rPr>
                <w:rFonts w:ascii="Times New Roman" w:eastAsia="Times New Roman" w:hAnsi="Times New Roman" w:cs="Times New Roman"/>
                <w:b/>
                <w:bCs/>
                <w:color w:val="000000"/>
                <w:sz w:val="24"/>
                <w:szCs w:val="24"/>
              </w:rPr>
              <w:t>Grameen 2</w:t>
            </w:r>
          </w:p>
        </w:tc>
        <w:tc>
          <w:tcPr>
            <w:tcW w:w="171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1.45858434</w:t>
            </w:r>
          </w:p>
        </w:tc>
        <w:tc>
          <w:tcPr>
            <w:tcW w:w="21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1.70183086</w:t>
            </w:r>
          </w:p>
        </w:tc>
        <w:tc>
          <w:tcPr>
            <w:tcW w:w="170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1.55080214</w:t>
            </w:r>
          </w:p>
        </w:tc>
        <w:tc>
          <w:tcPr>
            <w:tcW w:w="1661"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1.7645479</w:t>
            </w:r>
          </w:p>
        </w:tc>
        <w:tc>
          <w:tcPr>
            <w:tcW w:w="1324" w:type="dxa"/>
            <w:tcBorders>
              <w:top w:val="single" w:sz="4" w:space="0" w:color="FFFFFF"/>
              <w:left w:val="single" w:sz="4" w:space="0" w:color="FFFFFF"/>
              <w:bottom w:val="single" w:sz="4" w:space="0" w:color="FFFFFF"/>
              <w:right w:val="nil"/>
            </w:tcBorders>
            <w:shd w:val="clear" w:color="B8CCE4" w:fill="B8CCE4"/>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1.56433225</w:t>
            </w:r>
          </w:p>
        </w:tc>
      </w:tr>
      <w:tr w:rsidR="007751C4" w:rsidRPr="007751C4" w:rsidTr="005F7751">
        <w:trPr>
          <w:trHeight w:val="300"/>
        </w:trPr>
        <w:tc>
          <w:tcPr>
            <w:tcW w:w="1642" w:type="dxa"/>
            <w:tcBorders>
              <w:top w:val="single" w:sz="4" w:space="0" w:color="FFFFFF"/>
              <w:left w:val="nil"/>
              <w:bottom w:val="single" w:sz="4" w:space="0" w:color="auto"/>
              <w:right w:val="single" w:sz="4" w:space="0" w:color="FFFFFF"/>
            </w:tcBorders>
            <w:shd w:val="clear" w:color="DCE6F1" w:fill="DCE6F1"/>
            <w:vAlign w:val="bottom"/>
            <w:hideMark/>
          </w:tcPr>
          <w:p w:rsidR="007751C4" w:rsidRPr="007751C4" w:rsidRDefault="007751C4" w:rsidP="007751C4">
            <w:pPr>
              <w:spacing w:after="0" w:line="240" w:lineRule="auto"/>
              <w:rPr>
                <w:rFonts w:ascii="Calibri" w:eastAsia="Times New Roman" w:hAnsi="Calibri" w:cs="Times New Roman"/>
                <w:b/>
                <w:bCs/>
                <w:color w:val="000000"/>
              </w:rPr>
            </w:pPr>
            <w:r w:rsidRPr="007751C4">
              <w:rPr>
                <w:rFonts w:ascii="Calibri" w:eastAsia="Times New Roman" w:hAnsi="Calibri" w:cs="Times New Roman"/>
                <w:b/>
                <w:bCs/>
                <w:color w:val="000000"/>
              </w:rPr>
              <w:t>ICB</w:t>
            </w:r>
          </w:p>
        </w:tc>
        <w:tc>
          <w:tcPr>
            <w:tcW w:w="1719"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0.723782659</w:t>
            </w:r>
          </w:p>
        </w:tc>
        <w:tc>
          <w:tcPr>
            <w:tcW w:w="212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0.703982619</w:t>
            </w:r>
          </w:p>
        </w:tc>
        <w:tc>
          <w:tcPr>
            <w:tcW w:w="1700"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0.693395392</w:t>
            </w:r>
          </w:p>
        </w:tc>
        <w:tc>
          <w:tcPr>
            <w:tcW w:w="1661"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0.703402251</w:t>
            </w:r>
          </w:p>
        </w:tc>
        <w:tc>
          <w:tcPr>
            <w:tcW w:w="1324" w:type="dxa"/>
            <w:tcBorders>
              <w:top w:val="single" w:sz="4" w:space="0" w:color="FFFFFF"/>
              <w:left w:val="single" w:sz="4" w:space="0" w:color="FFFFFF"/>
              <w:bottom w:val="single" w:sz="4" w:space="0" w:color="auto"/>
              <w:right w:val="nil"/>
            </w:tcBorders>
            <w:shd w:val="clear" w:color="DCE6F1" w:fill="DCE6F1"/>
            <w:noWrap/>
            <w:vAlign w:val="bottom"/>
            <w:hideMark/>
          </w:tcPr>
          <w:p w:rsidR="007751C4" w:rsidRPr="007751C4" w:rsidRDefault="007751C4" w:rsidP="007751C4">
            <w:pPr>
              <w:spacing w:after="0" w:line="240" w:lineRule="auto"/>
              <w:jc w:val="right"/>
              <w:rPr>
                <w:rFonts w:ascii="Calibri" w:eastAsia="Times New Roman" w:hAnsi="Calibri" w:cs="Times New Roman"/>
                <w:color w:val="000000"/>
              </w:rPr>
            </w:pPr>
            <w:r w:rsidRPr="007751C4">
              <w:rPr>
                <w:rFonts w:ascii="Calibri" w:eastAsia="Times New Roman" w:hAnsi="Calibri" w:cs="Times New Roman"/>
                <w:color w:val="000000"/>
              </w:rPr>
              <w:t>0.754500865</w:t>
            </w:r>
          </w:p>
        </w:tc>
      </w:tr>
    </w:tbl>
    <w:p w:rsidR="007751C4" w:rsidRPr="005C448F" w:rsidRDefault="007751C4" w:rsidP="005C448F">
      <w:pPr>
        <w:tabs>
          <w:tab w:val="left" w:pos="2134"/>
        </w:tabs>
        <w:rPr>
          <w:rFonts w:cs="Times New Roman"/>
          <w:sz w:val="28"/>
        </w:rPr>
      </w:pPr>
    </w:p>
    <w:p w:rsidR="005F7751" w:rsidRDefault="007B07F8" w:rsidP="007751C4">
      <w:pPr>
        <w:spacing w:line="360" w:lineRule="auto"/>
        <w:rPr>
          <w:rFonts w:cs="Times New Roman"/>
          <w:sz w:val="28"/>
        </w:rPr>
      </w:pPr>
      <w:r>
        <w:rPr>
          <w:noProof/>
        </w:rPr>
        <w:drawing>
          <wp:inline distT="0" distB="0" distL="0" distR="0">
            <wp:extent cx="4572000" cy="2743200"/>
            <wp:effectExtent l="0" t="0" r="19050" b="1905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F7751" w:rsidRDefault="005F7751" w:rsidP="005F7751">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Interpretation:</w:t>
      </w:r>
      <w:r w:rsidR="00D42359">
        <w:rPr>
          <w:rFonts w:ascii="Times New Roman" w:hAnsi="Times New Roman" w:cs="Times New Roman"/>
          <w:sz w:val="24"/>
          <w:szCs w:val="24"/>
        </w:rPr>
        <w:t xml:space="preserve"> As we know 1.0 is the standard of market to book ratio where lower is considered as a bette</w:t>
      </w:r>
      <w:r w:rsidR="00BF688D">
        <w:rPr>
          <w:rFonts w:ascii="Times New Roman" w:hAnsi="Times New Roman" w:cs="Times New Roman"/>
          <w:sz w:val="24"/>
          <w:szCs w:val="24"/>
        </w:rPr>
        <w:t>r performing company-</w:t>
      </w:r>
    </w:p>
    <w:p w:rsidR="00BF688D" w:rsidRDefault="00BF688D" w:rsidP="00BF688D">
      <w:pPr>
        <w:pStyle w:val="ListParagraph"/>
        <w:numPr>
          <w:ilvl w:val="0"/>
          <w:numId w:val="21"/>
        </w:numPr>
        <w:spacing w:line="360" w:lineRule="auto"/>
        <w:rPr>
          <w:rFonts w:cs="Times New Roman"/>
        </w:rPr>
      </w:pPr>
      <w:r>
        <w:rPr>
          <w:rFonts w:cs="Times New Roman"/>
        </w:rPr>
        <w:t>Reliance is slightly overvalued.</w:t>
      </w:r>
    </w:p>
    <w:p w:rsidR="00BF688D" w:rsidRDefault="00BF688D" w:rsidP="00BF688D">
      <w:pPr>
        <w:pStyle w:val="ListParagraph"/>
        <w:numPr>
          <w:ilvl w:val="0"/>
          <w:numId w:val="21"/>
        </w:numPr>
        <w:spacing w:line="360" w:lineRule="auto"/>
        <w:rPr>
          <w:rFonts w:cs="Times New Roman"/>
        </w:rPr>
      </w:pPr>
      <w:r>
        <w:rPr>
          <w:rFonts w:cs="Times New Roman"/>
        </w:rPr>
        <w:t>Grameen one and Grameen two are overvalued stock.</w:t>
      </w:r>
    </w:p>
    <w:p w:rsidR="00BF688D" w:rsidRPr="00BF688D" w:rsidRDefault="00BF688D" w:rsidP="00BF688D">
      <w:pPr>
        <w:pStyle w:val="ListParagraph"/>
        <w:numPr>
          <w:ilvl w:val="0"/>
          <w:numId w:val="21"/>
        </w:numPr>
        <w:spacing w:line="360" w:lineRule="auto"/>
        <w:rPr>
          <w:rFonts w:cs="Times New Roman"/>
        </w:rPr>
      </w:pPr>
      <w:r>
        <w:rPr>
          <w:rFonts w:cs="Times New Roman"/>
        </w:rPr>
        <w:t>ICB is holding the best position as it is below 1.0.</w:t>
      </w:r>
    </w:p>
    <w:p w:rsidR="005F7751" w:rsidRDefault="005F7751" w:rsidP="007751C4">
      <w:pPr>
        <w:spacing w:line="360" w:lineRule="auto"/>
        <w:rPr>
          <w:rFonts w:cs="Times New Roman"/>
          <w:sz w:val="28"/>
        </w:rPr>
      </w:pPr>
    </w:p>
    <w:p w:rsidR="008439CD" w:rsidRDefault="008439CD" w:rsidP="007751C4">
      <w:pPr>
        <w:spacing w:line="360" w:lineRule="auto"/>
        <w:rPr>
          <w:rFonts w:cs="Times New Roman"/>
          <w:sz w:val="28"/>
        </w:rPr>
      </w:pPr>
    </w:p>
    <w:p w:rsidR="008439CD" w:rsidRDefault="008439CD" w:rsidP="007751C4">
      <w:pPr>
        <w:spacing w:line="360" w:lineRule="auto"/>
        <w:rPr>
          <w:rFonts w:cs="Times New Roman"/>
          <w:sz w:val="28"/>
        </w:rPr>
      </w:pPr>
    </w:p>
    <w:p w:rsidR="008439CD" w:rsidRDefault="008439CD" w:rsidP="007751C4">
      <w:pPr>
        <w:spacing w:line="360" w:lineRule="auto"/>
        <w:rPr>
          <w:rFonts w:cs="Times New Roman"/>
          <w:sz w:val="28"/>
        </w:rPr>
      </w:pPr>
    </w:p>
    <w:p w:rsidR="008439CD" w:rsidRPr="005F7751" w:rsidRDefault="008439CD" w:rsidP="007751C4">
      <w:pPr>
        <w:spacing w:line="360" w:lineRule="auto"/>
        <w:rPr>
          <w:rFonts w:cs="Times New Roman"/>
          <w:sz w:val="28"/>
        </w:rPr>
      </w:pPr>
    </w:p>
    <w:p w:rsidR="00587408" w:rsidRDefault="00587408" w:rsidP="004B7285">
      <w:pPr>
        <w:pStyle w:val="Heading1"/>
        <w:spacing w:line="360" w:lineRule="auto"/>
      </w:pPr>
      <w:bookmarkStart w:id="31" w:name="_Toc535797522"/>
      <w:r>
        <w:lastRenderedPageBreak/>
        <w:t>Chapter 5:</w:t>
      </w:r>
      <w:r w:rsidR="005D4C27">
        <w:t xml:space="preserve"> Recommendation &amp; Conclusion</w:t>
      </w:r>
      <w:bookmarkEnd w:id="31"/>
    </w:p>
    <w:p w:rsidR="00612131" w:rsidRDefault="00612131" w:rsidP="004B7285">
      <w:pPr>
        <w:pStyle w:val="Heading2"/>
        <w:spacing w:line="360" w:lineRule="auto"/>
      </w:pPr>
      <w:bookmarkStart w:id="32" w:name="_Toc535797523"/>
      <w:r>
        <w:t>Recommendation</w:t>
      </w:r>
      <w:bookmarkEnd w:id="32"/>
    </w:p>
    <w:p w:rsidR="006F74E4" w:rsidRPr="005C7E8E" w:rsidRDefault="006F74E4" w:rsidP="006F74E4">
      <w:pPr>
        <w:spacing w:line="360" w:lineRule="auto"/>
        <w:jc w:val="both"/>
        <w:rPr>
          <w:rFonts w:ascii="Times New Roman" w:hAnsi="Times New Roman" w:cs="Times New Roman"/>
          <w:sz w:val="24"/>
          <w:szCs w:val="24"/>
        </w:rPr>
      </w:pPr>
      <w:r w:rsidRPr="005C7E8E">
        <w:rPr>
          <w:rFonts w:ascii="Times New Roman" w:hAnsi="Times New Roman" w:cs="Times New Roman"/>
          <w:sz w:val="24"/>
          <w:szCs w:val="24"/>
        </w:rPr>
        <w:t>This report need to concern with some</w:t>
      </w:r>
      <w:r w:rsidR="001C72C8">
        <w:rPr>
          <w:rFonts w:ascii="Times New Roman" w:hAnsi="Times New Roman" w:cs="Times New Roman"/>
          <w:sz w:val="24"/>
          <w:szCs w:val="24"/>
        </w:rPr>
        <w:t xml:space="preserve"> recommendations of mutual fund</w:t>
      </w:r>
      <w:r w:rsidRPr="005C7E8E">
        <w:rPr>
          <w:rFonts w:ascii="Times New Roman" w:hAnsi="Times New Roman" w:cs="Times New Roman"/>
          <w:sz w:val="24"/>
          <w:szCs w:val="24"/>
        </w:rPr>
        <w:t xml:space="preserve"> manager</w:t>
      </w:r>
      <w:r w:rsidR="001C72C8">
        <w:rPr>
          <w:rFonts w:ascii="Times New Roman" w:hAnsi="Times New Roman" w:cs="Times New Roman"/>
          <w:sz w:val="24"/>
          <w:szCs w:val="24"/>
        </w:rPr>
        <w:t>s</w:t>
      </w:r>
      <w:r w:rsidRPr="005C7E8E">
        <w:rPr>
          <w:rFonts w:ascii="Times New Roman" w:hAnsi="Times New Roman" w:cs="Times New Roman"/>
          <w:sz w:val="24"/>
          <w:szCs w:val="24"/>
        </w:rPr>
        <w:t xml:space="preserve"> and that may be help them to better its mode and sectors and development and to be key member in the funding sectors of Bangladesh.   </w:t>
      </w:r>
    </w:p>
    <w:p w:rsidR="006F74E4" w:rsidRPr="005C7E8E" w:rsidRDefault="006F74E4" w:rsidP="006F74E4">
      <w:pPr>
        <w:pStyle w:val="ListParagraph"/>
        <w:numPr>
          <w:ilvl w:val="0"/>
          <w:numId w:val="18"/>
        </w:numPr>
        <w:spacing w:line="360" w:lineRule="auto"/>
        <w:rPr>
          <w:rFonts w:cs="Times New Roman"/>
        </w:rPr>
      </w:pPr>
      <w:r w:rsidRPr="005C7E8E">
        <w:rPr>
          <w:rFonts w:cs="Times New Roman"/>
        </w:rPr>
        <w:t>EPS has fluctuated over the year. This indicates that Fund has fluctuated income level over the year. The management needs to welfare in about the Earning per Share ratio.</w:t>
      </w:r>
    </w:p>
    <w:p w:rsidR="006F74E4" w:rsidRPr="005C7E8E" w:rsidRDefault="006F74E4" w:rsidP="006F74E4">
      <w:pPr>
        <w:pStyle w:val="ListParagraph"/>
        <w:numPr>
          <w:ilvl w:val="0"/>
          <w:numId w:val="18"/>
        </w:numPr>
        <w:spacing w:after="200" w:line="360" w:lineRule="auto"/>
        <w:rPr>
          <w:rFonts w:cs="Times New Roman"/>
        </w:rPr>
      </w:pPr>
      <w:r w:rsidRPr="005C7E8E">
        <w:rPr>
          <w:rFonts w:cs="Times New Roman"/>
        </w:rPr>
        <w:t>Funds’ management team was not consuming enough in managing in working capital for its daily activities.</w:t>
      </w:r>
    </w:p>
    <w:p w:rsidR="006F74E4" w:rsidRPr="00394884" w:rsidRDefault="006F74E4" w:rsidP="00394884">
      <w:pPr>
        <w:pStyle w:val="ListParagraph"/>
        <w:numPr>
          <w:ilvl w:val="0"/>
          <w:numId w:val="18"/>
        </w:numPr>
        <w:spacing w:line="360" w:lineRule="auto"/>
        <w:rPr>
          <w:rFonts w:cs="Times New Roman"/>
        </w:rPr>
      </w:pPr>
      <w:r w:rsidRPr="005C7E8E">
        <w:rPr>
          <w:rFonts w:cs="Times New Roman"/>
        </w:rPr>
        <w:t>The price-earning share is mostly increased. This fluctuation indicating that confidence on the firm’s performance has fluctuating over the years.</w:t>
      </w:r>
    </w:p>
    <w:p w:rsidR="006F74E4" w:rsidRPr="005C7E8E" w:rsidRDefault="006F74E4" w:rsidP="006F74E4">
      <w:pPr>
        <w:pStyle w:val="ListParagraph"/>
        <w:numPr>
          <w:ilvl w:val="0"/>
          <w:numId w:val="18"/>
        </w:numPr>
        <w:spacing w:after="200" w:line="360" w:lineRule="auto"/>
        <w:rPr>
          <w:rFonts w:cs="Times New Roman"/>
        </w:rPr>
      </w:pPr>
      <w:r w:rsidRPr="005C7E8E">
        <w:rPr>
          <w:rFonts w:cs="Times New Roman"/>
          <w:color w:val="111111"/>
          <w:shd w:val="clear" w:color="auto" w:fill="FFFFFF"/>
        </w:rPr>
        <w:t>Fund managers research and find out the best </w:t>
      </w:r>
      <w:r w:rsidRPr="005C7E8E">
        <w:rPr>
          <w:rFonts w:cs="Times New Roman"/>
          <w:shd w:val="clear" w:color="auto" w:fill="FFFFFF"/>
        </w:rPr>
        <w:t>stocks,</w:t>
      </w:r>
      <w:r w:rsidRPr="005C7E8E">
        <w:rPr>
          <w:rFonts w:cs="Times New Roman"/>
          <w:color w:val="111111"/>
          <w:shd w:val="clear" w:color="auto" w:fill="FFFFFF"/>
        </w:rPr>
        <w:t> </w:t>
      </w:r>
      <w:r w:rsidRPr="005C7E8E">
        <w:rPr>
          <w:rFonts w:cs="Times New Roman"/>
          <w:shd w:val="clear" w:color="auto" w:fill="FFFFFF"/>
        </w:rPr>
        <w:t>bonds</w:t>
      </w:r>
      <w:r w:rsidRPr="005C7E8E">
        <w:rPr>
          <w:rFonts w:cs="Times New Roman"/>
          <w:color w:val="111111"/>
          <w:shd w:val="clear" w:color="auto" w:fill="FFFFFF"/>
        </w:rPr>
        <w:t> or other </w:t>
      </w:r>
      <w:r w:rsidRPr="005C7E8E">
        <w:rPr>
          <w:rFonts w:cs="Times New Roman"/>
          <w:shd w:val="clear" w:color="auto" w:fill="FFFFFF"/>
        </w:rPr>
        <w:t>securities</w:t>
      </w:r>
      <w:r w:rsidRPr="005C7E8E">
        <w:rPr>
          <w:rFonts w:cs="Times New Roman"/>
          <w:color w:val="111111"/>
          <w:shd w:val="clear" w:color="auto" w:fill="FFFFFF"/>
        </w:rPr>
        <w:t> to fit the strategy of the fund as outlined in the document, then buy and sell them.</w:t>
      </w:r>
    </w:p>
    <w:p w:rsidR="006F74E4" w:rsidRPr="005C7E8E" w:rsidRDefault="006F74E4" w:rsidP="006F74E4">
      <w:pPr>
        <w:pStyle w:val="ListParagraph"/>
        <w:numPr>
          <w:ilvl w:val="0"/>
          <w:numId w:val="18"/>
        </w:numPr>
        <w:spacing w:after="200" w:line="360" w:lineRule="auto"/>
        <w:rPr>
          <w:rFonts w:cs="Times New Roman"/>
        </w:rPr>
      </w:pPr>
      <w:r w:rsidRPr="005C7E8E">
        <w:rPr>
          <w:rFonts w:cs="Times New Roman"/>
        </w:rPr>
        <w:t>Investing by costly loanword funds should be reduced. Management may look for source of less costly funds &amp; reduce expenses &amp; increase income.</w:t>
      </w:r>
    </w:p>
    <w:p w:rsidR="006F74E4" w:rsidRPr="006F74E4" w:rsidRDefault="006F74E4" w:rsidP="006F74E4"/>
    <w:p w:rsidR="003E6D9E" w:rsidRPr="003E6D9E" w:rsidRDefault="003E6D9E" w:rsidP="003E6D9E">
      <w:pPr>
        <w:rPr>
          <w:rFonts w:ascii="Times New Roman" w:hAnsi="Times New Roman" w:cs="Times New Roman"/>
          <w:sz w:val="24"/>
          <w:szCs w:val="24"/>
        </w:rPr>
      </w:pPr>
    </w:p>
    <w:p w:rsidR="00612131" w:rsidRDefault="00612131" w:rsidP="004B7285">
      <w:pPr>
        <w:spacing w:line="360" w:lineRule="auto"/>
        <w:rPr>
          <w:rFonts w:ascii="Times New Roman" w:hAnsi="Times New Roman" w:cs="Times New Roman"/>
          <w:sz w:val="28"/>
          <w:szCs w:val="24"/>
        </w:rPr>
      </w:pPr>
    </w:p>
    <w:p w:rsidR="00612131" w:rsidRDefault="00612131" w:rsidP="004B7285">
      <w:pPr>
        <w:spacing w:line="360" w:lineRule="auto"/>
        <w:rPr>
          <w:rFonts w:ascii="Times New Roman" w:hAnsi="Times New Roman" w:cs="Times New Roman"/>
          <w:sz w:val="28"/>
          <w:szCs w:val="24"/>
        </w:rPr>
      </w:pPr>
      <w:r>
        <w:rPr>
          <w:rFonts w:ascii="Times New Roman" w:hAnsi="Times New Roman" w:cs="Times New Roman"/>
          <w:sz w:val="28"/>
          <w:szCs w:val="24"/>
        </w:rPr>
        <w:br w:type="page"/>
      </w:r>
    </w:p>
    <w:p w:rsidR="00612131" w:rsidRDefault="00612131" w:rsidP="004B7285">
      <w:pPr>
        <w:pStyle w:val="Heading2"/>
        <w:spacing w:line="360" w:lineRule="auto"/>
      </w:pPr>
      <w:bookmarkStart w:id="33" w:name="_Toc535797524"/>
      <w:r>
        <w:lastRenderedPageBreak/>
        <w:t>Conclusion</w:t>
      </w:r>
      <w:bookmarkEnd w:id="33"/>
    </w:p>
    <w:p w:rsidR="00507BD1" w:rsidRPr="00FF408A" w:rsidRDefault="00507BD1" w:rsidP="00507BD1">
      <w:pPr>
        <w:spacing w:line="360" w:lineRule="auto"/>
        <w:jc w:val="both"/>
        <w:rPr>
          <w:rFonts w:ascii="Times New Roman" w:hAnsi="Times New Roman" w:cs="Times New Roman"/>
          <w:sz w:val="24"/>
          <w:szCs w:val="24"/>
        </w:rPr>
      </w:pPr>
      <w:r w:rsidRPr="00FF408A">
        <w:rPr>
          <w:rFonts w:ascii="Times New Roman" w:hAnsi="Times New Roman" w:cs="Times New Roman"/>
          <w:sz w:val="24"/>
          <w:szCs w:val="24"/>
        </w:rPr>
        <w:t xml:space="preserve">This paper provides me knowledge about the mutual fund managers in Bangladesh and that also find out the mutual funds risk adjusting performance. Mutual fund department should be </w:t>
      </w:r>
      <w:r>
        <w:rPr>
          <w:rFonts w:ascii="Times New Roman" w:hAnsi="Times New Roman" w:cs="Times New Roman"/>
          <w:sz w:val="24"/>
          <w:szCs w:val="24"/>
        </w:rPr>
        <w:t>forward looking</w:t>
      </w:r>
      <w:r w:rsidRPr="00FF408A">
        <w:rPr>
          <w:rFonts w:ascii="Times New Roman" w:hAnsi="Times New Roman" w:cs="Times New Roman"/>
          <w:sz w:val="24"/>
          <w:szCs w:val="24"/>
        </w:rPr>
        <w:t xml:space="preserve">, explorative and </w:t>
      </w:r>
      <w:r>
        <w:rPr>
          <w:rFonts w:ascii="Times New Roman" w:hAnsi="Times New Roman" w:cs="Times New Roman"/>
          <w:sz w:val="24"/>
          <w:szCs w:val="24"/>
        </w:rPr>
        <w:t>universe.</w:t>
      </w:r>
    </w:p>
    <w:p w:rsidR="00507BD1" w:rsidRPr="00FF408A" w:rsidRDefault="00507BD1" w:rsidP="00507BD1">
      <w:pPr>
        <w:spacing w:line="360" w:lineRule="auto"/>
        <w:jc w:val="both"/>
        <w:rPr>
          <w:rFonts w:ascii="Times New Roman" w:hAnsi="Times New Roman" w:cs="Times New Roman"/>
          <w:sz w:val="24"/>
          <w:szCs w:val="24"/>
        </w:rPr>
      </w:pPr>
      <w:r w:rsidRPr="00FF408A">
        <w:rPr>
          <w:rFonts w:ascii="Times New Roman" w:hAnsi="Times New Roman" w:cs="Times New Roman"/>
          <w:color w:val="000000"/>
          <w:sz w:val="24"/>
          <w:szCs w:val="24"/>
          <w:shd w:val="clear" w:color="auto" w:fill="FFFFFF"/>
        </w:rPr>
        <w:t>To mobilize</w:t>
      </w:r>
      <w:r>
        <w:rPr>
          <w:rFonts w:ascii="Times New Roman" w:hAnsi="Times New Roman" w:cs="Times New Roman"/>
          <w:color w:val="000000"/>
          <w:sz w:val="24"/>
          <w:szCs w:val="24"/>
          <w:shd w:val="clear" w:color="auto" w:fill="FFFFFF"/>
        </w:rPr>
        <w:t xml:space="preserve"> reduction</w:t>
      </w:r>
      <w:r w:rsidRPr="00FF408A">
        <w:rPr>
          <w:rFonts w:ascii="Times New Roman" w:hAnsi="Times New Roman" w:cs="Times New Roman"/>
          <w:color w:val="000000"/>
          <w:sz w:val="24"/>
          <w:szCs w:val="24"/>
          <w:shd w:val="clear" w:color="auto" w:fill="FFFFFF"/>
        </w:rPr>
        <w:t xml:space="preserve"> and </w:t>
      </w:r>
      <w:r>
        <w:rPr>
          <w:rFonts w:ascii="Times New Roman" w:hAnsi="Times New Roman" w:cs="Times New Roman"/>
          <w:color w:val="000000"/>
          <w:sz w:val="24"/>
          <w:szCs w:val="24"/>
          <w:shd w:val="clear" w:color="auto" w:fill="FFFFFF"/>
        </w:rPr>
        <w:t>faster</w:t>
      </w:r>
      <w:r w:rsidRPr="00FF408A">
        <w:rPr>
          <w:rFonts w:ascii="Times New Roman" w:hAnsi="Times New Roman" w:cs="Times New Roman"/>
          <w:color w:val="000000"/>
          <w:sz w:val="24"/>
          <w:szCs w:val="24"/>
          <w:shd w:val="clear" w:color="auto" w:fill="FFFFFF"/>
        </w:rPr>
        <w:t xml:space="preserve"> economic growth of a country, mutual fund offers </w:t>
      </w:r>
      <w:r>
        <w:rPr>
          <w:rFonts w:ascii="Times New Roman" w:hAnsi="Times New Roman" w:cs="Times New Roman"/>
          <w:color w:val="000000"/>
          <w:sz w:val="24"/>
          <w:szCs w:val="24"/>
          <w:shd w:val="clear" w:color="auto" w:fill="FFFFFF"/>
        </w:rPr>
        <w:t xml:space="preserve">many </w:t>
      </w:r>
      <w:r w:rsidRPr="00FF408A">
        <w:rPr>
          <w:rFonts w:ascii="Times New Roman" w:hAnsi="Times New Roman" w:cs="Times New Roman"/>
          <w:color w:val="000000"/>
          <w:sz w:val="24"/>
          <w:szCs w:val="24"/>
          <w:shd w:val="clear" w:color="auto" w:fill="FFFFFF"/>
        </w:rPr>
        <w:t xml:space="preserve">advantages of diversification, variety, flexibility, as well as tax benefit to the investors. In a developed country, mutual fund industry is </w:t>
      </w:r>
      <w:r>
        <w:rPr>
          <w:rFonts w:ascii="Times New Roman" w:hAnsi="Times New Roman" w:cs="Times New Roman"/>
          <w:color w:val="000000"/>
          <w:sz w:val="24"/>
          <w:szCs w:val="24"/>
          <w:shd w:val="clear" w:color="auto" w:fill="FFFFFF"/>
        </w:rPr>
        <w:t xml:space="preserve">increase </w:t>
      </w:r>
      <w:r w:rsidRPr="00FF408A">
        <w:rPr>
          <w:rFonts w:ascii="Times New Roman" w:hAnsi="Times New Roman" w:cs="Times New Roman"/>
          <w:color w:val="000000"/>
          <w:sz w:val="24"/>
          <w:szCs w:val="24"/>
          <w:shd w:val="clear" w:color="auto" w:fill="FFFFFF"/>
        </w:rPr>
        <w:t xml:space="preserve">day by day, but developing countries, like Bangladesh, the conditions of mutual fund industry are </w:t>
      </w:r>
      <w:r>
        <w:rPr>
          <w:rFonts w:ascii="Times New Roman" w:hAnsi="Times New Roman" w:cs="Times New Roman"/>
          <w:color w:val="000000"/>
          <w:sz w:val="24"/>
          <w:szCs w:val="24"/>
          <w:shd w:val="clear" w:color="auto" w:fill="FFFFFF"/>
        </w:rPr>
        <w:t xml:space="preserve">distant </w:t>
      </w:r>
      <w:r w:rsidRPr="00FF408A">
        <w:rPr>
          <w:rFonts w:ascii="Times New Roman" w:hAnsi="Times New Roman" w:cs="Times New Roman"/>
          <w:color w:val="000000"/>
          <w:sz w:val="24"/>
          <w:szCs w:val="24"/>
          <w:shd w:val="clear" w:color="auto" w:fill="FFFFFF"/>
        </w:rPr>
        <w:t>behind.</w:t>
      </w:r>
    </w:p>
    <w:p w:rsidR="00507BD1" w:rsidRPr="00FF408A" w:rsidRDefault="00507BD1" w:rsidP="00507BD1">
      <w:pPr>
        <w:spacing w:line="360" w:lineRule="auto"/>
        <w:jc w:val="both"/>
        <w:rPr>
          <w:rFonts w:ascii="Times New Roman" w:hAnsi="Times New Roman" w:cs="Times New Roman"/>
          <w:color w:val="000000"/>
          <w:sz w:val="24"/>
          <w:szCs w:val="24"/>
          <w:shd w:val="clear" w:color="auto" w:fill="FFFFFF"/>
        </w:rPr>
      </w:pPr>
      <w:r w:rsidRPr="00FF408A">
        <w:rPr>
          <w:rFonts w:ascii="Times New Roman" w:hAnsi="Times New Roman" w:cs="Times New Roman"/>
          <w:sz w:val="24"/>
          <w:szCs w:val="24"/>
        </w:rPr>
        <w:t>Mutual funds made a</w:t>
      </w:r>
      <w:r>
        <w:rPr>
          <w:rFonts w:ascii="Times New Roman" w:hAnsi="Times New Roman" w:cs="Times New Roman"/>
          <w:sz w:val="24"/>
          <w:szCs w:val="24"/>
        </w:rPr>
        <w:t xml:space="preserve"> relevantoutcome</w:t>
      </w:r>
      <w:r w:rsidRPr="00FF408A">
        <w:rPr>
          <w:rFonts w:ascii="Times New Roman" w:hAnsi="Times New Roman" w:cs="Times New Roman"/>
          <w:sz w:val="24"/>
          <w:szCs w:val="24"/>
        </w:rPr>
        <w:t xml:space="preserve"> on the capital market and excellent response from the investors. </w:t>
      </w:r>
      <w:r w:rsidRPr="00FF408A">
        <w:rPr>
          <w:rFonts w:ascii="Times New Roman" w:hAnsi="Times New Roman" w:cs="Times New Roman"/>
          <w:color w:val="000000"/>
          <w:sz w:val="24"/>
          <w:szCs w:val="24"/>
          <w:shd w:val="clear" w:color="auto" w:fill="FFFFFF"/>
        </w:rPr>
        <w:t>Bangladesh is now</w:t>
      </w:r>
      <w:r>
        <w:rPr>
          <w:rFonts w:ascii="Times New Roman" w:hAnsi="Times New Roman" w:cs="Times New Roman"/>
          <w:color w:val="000000"/>
          <w:sz w:val="24"/>
          <w:szCs w:val="24"/>
          <w:shd w:val="clear" w:color="auto" w:fill="FFFFFF"/>
        </w:rPr>
        <w:t>diverging</w:t>
      </w:r>
      <w:r w:rsidRPr="00FF408A">
        <w:rPr>
          <w:rFonts w:ascii="Times New Roman" w:hAnsi="Times New Roman" w:cs="Times New Roman"/>
          <w:color w:val="000000"/>
          <w:sz w:val="24"/>
          <w:szCs w:val="24"/>
          <w:shd w:val="clear" w:color="auto" w:fill="FFFFFF"/>
        </w:rPr>
        <w:t xml:space="preserve"> some </w:t>
      </w:r>
      <w:r>
        <w:rPr>
          <w:rFonts w:ascii="Times New Roman" w:hAnsi="Times New Roman" w:cs="Times New Roman"/>
          <w:color w:val="000000"/>
          <w:sz w:val="24"/>
          <w:szCs w:val="24"/>
          <w:shd w:val="clear" w:color="auto" w:fill="FFFFFF"/>
        </w:rPr>
        <w:t>intense</w:t>
      </w:r>
      <w:r w:rsidRPr="00FF408A">
        <w:rPr>
          <w:rFonts w:ascii="Times New Roman" w:hAnsi="Times New Roman" w:cs="Times New Roman"/>
          <w:color w:val="000000"/>
          <w:sz w:val="24"/>
          <w:szCs w:val="24"/>
          <w:shd w:val="clear" w:color="auto" w:fill="FFFFFF"/>
        </w:rPr>
        <w:t xml:space="preserve"> problems regarding the development of mutual fund industry which in turns make the job more difficult for Fund managers</w:t>
      </w:r>
      <w:r>
        <w:rPr>
          <w:rFonts w:ascii="Times New Roman" w:hAnsi="Times New Roman" w:cs="Times New Roman"/>
          <w:color w:val="000000"/>
          <w:sz w:val="24"/>
          <w:szCs w:val="24"/>
          <w:shd w:val="clear" w:color="auto" w:fill="FFFFFF"/>
        </w:rPr>
        <w:t>.</w:t>
      </w:r>
    </w:p>
    <w:p w:rsidR="00507BD1" w:rsidRPr="00FF408A" w:rsidRDefault="00507BD1" w:rsidP="00507BD1">
      <w:pPr>
        <w:spacing w:line="360" w:lineRule="auto"/>
        <w:jc w:val="both"/>
        <w:rPr>
          <w:rFonts w:ascii="Times New Roman" w:hAnsi="Times New Roman" w:cs="Times New Roman"/>
          <w:sz w:val="24"/>
          <w:szCs w:val="24"/>
        </w:rPr>
      </w:pPr>
      <w:r w:rsidRPr="00FF408A">
        <w:rPr>
          <w:rFonts w:ascii="Times New Roman" w:hAnsi="Times New Roman" w:cs="Times New Roman"/>
          <w:color w:val="000000"/>
          <w:sz w:val="24"/>
          <w:szCs w:val="24"/>
          <w:shd w:val="clear" w:color="auto" w:fill="FFFFFF"/>
        </w:rPr>
        <w:t xml:space="preserve">Close-end mutual funds should be </w:t>
      </w:r>
      <w:r>
        <w:rPr>
          <w:rFonts w:ascii="Times New Roman" w:hAnsi="Times New Roman" w:cs="Times New Roman"/>
          <w:color w:val="000000"/>
          <w:sz w:val="24"/>
          <w:szCs w:val="24"/>
          <w:shd w:val="clear" w:color="auto" w:fill="FFFFFF"/>
        </w:rPr>
        <w:t>salvation</w:t>
      </w:r>
      <w:r w:rsidRPr="00FF408A">
        <w:rPr>
          <w:rFonts w:ascii="Times New Roman" w:hAnsi="Times New Roman" w:cs="Times New Roman"/>
          <w:color w:val="000000"/>
          <w:sz w:val="24"/>
          <w:szCs w:val="24"/>
          <w:shd w:val="clear" w:color="auto" w:fill="FFFFFF"/>
        </w:rPr>
        <w:t xml:space="preserve"> by fund managers on the date of its maturity mentioned on the </w:t>
      </w:r>
      <w:r>
        <w:rPr>
          <w:rFonts w:ascii="Times New Roman" w:hAnsi="Times New Roman" w:cs="Times New Roman"/>
          <w:color w:val="000000"/>
          <w:sz w:val="24"/>
          <w:szCs w:val="24"/>
          <w:shd w:val="clear" w:color="auto" w:fill="FFFFFF"/>
        </w:rPr>
        <w:t>document</w:t>
      </w:r>
      <w:r w:rsidRPr="00FF408A">
        <w:rPr>
          <w:rFonts w:ascii="Times New Roman" w:hAnsi="Times New Roman" w:cs="Times New Roman"/>
          <w:color w:val="000000"/>
          <w:sz w:val="24"/>
          <w:szCs w:val="24"/>
          <w:shd w:val="clear" w:color="auto" w:fill="FFFFFF"/>
        </w:rPr>
        <w:t xml:space="preserve"> and trust document which may help mangers to gain investors trust.   Bangladesh S</w:t>
      </w:r>
      <w:r>
        <w:rPr>
          <w:rFonts w:ascii="Times New Roman" w:hAnsi="Times New Roman" w:cs="Times New Roman"/>
          <w:color w:val="000000"/>
          <w:sz w:val="24"/>
          <w:szCs w:val="24"/>
          <w:shd w:val="clear" w:color="auto" w:fill="FFFFFF"/>
        </w:rPr>
        <w:t xml:space="preserve">ecurity and Exchange commission </w:t>
      </w:r>
      <w:r w:rsidRPr="00FF408A">
        <w:rPr>
          <w:rFonts w:ascii="Times New Roman" w:hAnsi="Times New Roman" w:cs="Times New Roman"/>
          <w:color w:val="000000"/>
          <w:sz w:val="24"/>
          <w:szCs w:val="24"/>
          <w:shd w:val="clear" w:color="auto" w:fill="FFFFFF"/>
        </w:rPr>
        <w:t xml:space="preserve">should be inspecting and </w:t>
      </w:r>
      <w:r>
        <w:rPr>
          <w:rFonts w:ascii="Times New Roman" w:hAnsi="Times New Roman" w:cs="Times New Roman"/>
          <w:color w:val="000000"/>
          <w:sz w:val="24"/>
          <w:szCs w:val="24"/>
          <w:shd w:val="clear" w:color="auto" w:fill="FFFFFF"/>
        </w:rPr>
        <w:t xml:space="preserve">surveillance </w:t>
      </w:r>
      <w:r w:rsidRPr="00FF408A">
        <w:rPr>
          <w:rFonts w:ascii="Times New Roman" w:hAnsi="Times New Roman" w:cs="Times New Roman"/>
          <w:color w:val="000000"/>
          <w:sz w:val="24"/>
          <w:szCs w:val="24"/>
          <w:shd w:val="clear" w:color="auto" w:fill="FFFFFF"/>
        </w:rPr>
        <w:t xml:space="preserve">the fund’s portfolio, </w:t>
      </w:r>
      <w:r>
        <w:rPr>
          <w:rFonts w:ascii="Times New Roman" w:hAnsi="Times New Roman" w:cs="Times New Roman"/>
          <w:color w:val="000000"/>
          <w:sz w:val="24"/>
          <w:szCs w:val="24"/>
          <w:shd w:val="clear" w:color="auto" w:fill="FFFFFF"/>
        </w:rPr>
        <w:t>action</w:t>
      </w:r>
      <w:r w:rsidRPr="00FF408A">
        <w:rPr>
          <w:rFonts w:ascii="Times New Roman" w:hAnsi="Times New Roman" w:cs="Times New Roman"/>
          <w:color w:val="000000"/>
          <w:sz w:val="24"/>
          <w:szCs w:val="24"/>
          <w:shd w:val="clear" w:color="auto" w:fill="FFFFFF"/>
        </w:rPr>
        <w:t xml:space="preserve"> and investment decision process on regular basis.</w:t>
      </w:r>
    </w:p>
    <w:p w:rsidR="00507BD1" w:rsidRDefault="00507BD1"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C63AFA" w:rsidRDefault="00C63AFA" w:rsidP="00507BD1">
      <w:pPr>
        <w:rPr>
          <w:rFonts w:ascii="Times New Roman" w:hAnsi="Times New Roman" w:cs="Times New Roman"/>
          <w:sz w:val="24"/>
          <w:szCs w:val="24"/>
        </w:rPr>
      </w:pPr>
    </w:p>
    <w:p w:rsidR="00394884" w:rsidRDefault="00394884" w:rsidP="00C63AFA">
      <w:pPr>
        <w:pStyle w:val="Heading1"/>
        <w:rPr>
          <w:rFonts w:ascii="Times New Roman" w:eastAsiaTheme="minorHAnsi" w:hAnsi="Times New Roman" w:cs="Times New Roman"/>
          <w:b w:val="0"/>
          <w:bCs w:val="0"/>
          <w:color w:val="auto"/>
          <w:sz w:val="24"/>
          <w:szCs w:val="24"/>
        </w:rPr>
      </w:pPr>
      <w:bookmarkStart w:id="34" w:name="_Toc535797525"/>
    </w:p>
    <w:p w:rsidR="00873F8A" w:rsidRDefault="00873F8A" w:rsidP="00873F8A"/>
    <w:p w:rsidR="00873F8A" w:rsidRPr="00873F8A" w:rsidRDefault="00873F8A" w:rsidP="00873F8A"/>
    <w:p w:rsidR="00C63AFA" w:rsidRDefault="00C63AFA" w:rsidP="00C63AFA">
      <w:pPr>
        <w:pStyle w:val="Heading1"/>
      </w:pPr>
      <w:r w:rsidRPr="00C63AFA">
        <w:lastRenderedPageBreak/>
        <w:t>REFERENCE</w:t>
      </w:r>
      <w:bookmarkEnd w:id="34"/>
      <w:r w:rsidR="00394884">
        <w:t>:</w:t>
      </w:r>
    </w:p>
    <w:p w:rsidR="00394884" w:rsidRDefault="002B20B2" w:rsidP="00394884">
      <w:hyperlink r:id="rId69" w:history="1">
        <w:r w:rsidR="00D8710D" w:rsidRPr="007E66C7">
          <w:rPr>
            <w:rStyle w:val="Hyperlink"/>
          </w:rPr>
          <w:t>https://www.dsebd.org/companylistbyindustry.php?industryno=12</w:t>
        </w:r>
      </w:hyperlink>
    </w:p>
    <w:p w:rsidR="00D8710D" w:rsidRDefault="002B20B2" w:rsidP="00394884">
      <w:hyperlink r:id="rId70" w:history="1">
        <w:r w:rsidR="00D8710D" w:rsidRPr="007E66C7">
          <w:rPr>
            <w:rStyle w:val="Hyperlink"/>
          </w:rPr>
          <w:t>https://www.dsebd.org/displayCompany.php?name=ICB2NDNRB</w:t>
        </w:r>
      </w:hyperlink>
    </w:p>
    <w:p w:rsidR="00D8710D" w:rsidRDefault="002B20B2" w:rsidP="00394884">
      <w:hyperlink r:id="rId71" w:history="1">
        <w:r w:rsidR="00D8710D" w:rsidRPr="007E66C7">
          <w:rPr>
            <w:rStyle w:val="Hyperlink"/>
          </w:rPr>
          <w:t>https://www.dsebd.org/displayCompany.php?name=ICB3RDNRB</w:t>
        </w:r>
      </w:hyperlink>
    </w:p>
    <w:p w:rsidR="00D8710D" w:rsidRDefault="002B20B2" w:rsidP="00394884">
      <w:hyperlink r:id="rId72" w:history="1">
        <w:r w:rsidR="00D8710D" w:rsidRPr="007E66C7">
          <w:rPr>
            <w:rStyle w:val="Hyperlink"/>
          </w:rPr>
          <w:t>https://www.dsebd.org/displayCompany.php?name=ICBAGRANI1</w:t>
        </w:r>
      </w:hyperlink>
    </w:p>
    <w:p w:rsidR="00D8710D" w:rsidRDefault="002B20B2" w:rsidP="00394884">
      <w:hyperlink r:id="rId73" w:history="1">
        <w:r w:rsidR="00D8710D" w:rsidRPr="007E66C7">
          <w:rPr>
            <w:rStyle w:val="Hyperlink"/>
          </w:rPr>
          <w:t>https://www.dsebd.org/displayCompany.php?name=ICBAMCL2ND</w:t>
        </w:r>
      </w:hyperlink>
    </w:p>
    <w:p w:rsidR="00D8710D" w:rsidRDefault="002B20B2" w:rsidP="00394884">
      <w:hyperlink r:id="rId74" w:history="1">
        <w:r w:rsidR="00D8710D" w:rsidRPr="007E66C7">
          <w:rPr>
            <w:rStyle w:val="Hyperlink"/>
          </w:rPr>
          <w:t>https://www.dsebd.org/displayCompany.php?name=ICBEPMF1S1</w:t>
        </w:r>
      </w:hyperlink>
    </w:p>
    <w:p w:rsidR="00D8710D" w:rsidRDefault="002B20B2" w:rsidP="00394884">
      <w:hyperlink r:id="rId75" w:history="1">
        <w:r w:rsidR="00D8710D" w:rsidRPr="007E66C7">
          <w:rPr>
            <w:rStyle w:val="Hyperlink"/>
          </w:rPr>
          <w:t>https://www.dsebd.org/displayCompany.php?name=ICBSONALI1</w:t>
        </w:r>
      </w:hyperlink>
    </w:p>
    <w:p w:rsidR="00D8710D" w:rsidRDefault="002B20B2" w:rsidP="00394884">
      <w:hyperlink r:id="rId76" w:history="1">
        <w:r w:rsidR="00D8710D" w:rsidRPr="007E66C7">
          <w:rPr>
            <w:rStyle w:val="Hyperlink"/>
          </w:rPr>
          <w:t>https://www.dsebd.org/displayCompany.php?name=GRAMEENS2</w:t>
        </w:r>
      </w:hyperlink>
    </w:p>
    <w:p w:rsidR="00D8710D" w:rsidRDefault="002B20B2" w:rsidP="00394884">
      <w:hyperlink r:id="rId77" w:history="1">
        <w:r w:rsidR="00D8710D" w:rsidRPr="007E66C7">
          <w:rPr>
            <w:rStyle w:val="Hyperlink"/>
          </w:rPr>
          <w:t>https://www.dsebd.org/displayCompany.php?name=RELIANCE1</w:t>
        </w:r>
      </w:hyperlink>
    </w:p>
    <w:p w:rsidR="00D8710D" w:rsidRDefault="002B20B2" w:rsidP="00394884">
      <w:hyperlink r:id="rId78" w:history="1">
        <w:r w:rsidR="00D8710D" w:rsidRPr="007E66C7">
          <w:rPr>
            <w:rStyle w:val="Hyperlink"/>
          </w:rPr>
          <w:t>http://www.aims-bangladesh.com</w:t>
        </w:r>
      </w:hyperlink>
    </w:p>
    <w:p w:rsidR="00511AB6" w:rsidRDefault="002B20B2" w:rsidP="00394884">
      <w:hyperlink r:id="rId79" w:history="1">
        <w:r w:rsidR="00511AB6" w:rsidRPr="007E66C7">
          <w:rPr>
            <w:rStyle w:val="Hyperlink"/>
          </w:rPr>
          <w:t>http://www.icbamcl.com.bd</w:t>
        </w:r>
      </w:hyperlink>
    </w:p>
    <w:p w:rsidR="00511AB6" w:rsidRDefault="002B20B2" w:rsidP="00394884">
      <w:hyperlink r:id="rId80" w:history="1">
        <w:r w:rsidR="00622FBC" w:rsidRPr="007E66C7">
          <w:rPr>
            <w:rStyle w:val="Hyperlink"/>
          </w:rPr>
          <w:t>https://www.thebalance.com/how-to-analyze-mutual-fund-performance-2466455</w:t>
        </w:r>
      </w:hyperlink>
    </w:p>
    <w:p w:rsidR="00622FBC" w:rsidRDefault="002B20B2" w:rsidP="00394884">
      <w:hyperlink r:id="rId81" w:history="1">
        <w:r w:rsidR="00622FBC" w:rsidRPr="007E66C7">
          <w:rPr>
            <w:rStyle w:val="Hyperlink"/>
          </w:rPr>
          <w:t>https://papers.ssrn.com/sol3/papers.cfm?abstract_id=1124363</w:t>
        </w:r>
      </w:hyperlink>
    </w:p>
    <w:p w:rsidR="00622FBC" w:rsidRDefault="002B20B2" w:rsidP="00394884">
      <w:hyperlink r:id="rId82" w:history="1">
        <w:r w:rsidR="00077544" w:rsidRPr="007E66C7">
          <w:rPr>
            <w:rStyle w:val="Hyperlink"/>
          </w:rPr>
          <w:t>https://www.investopedia.com/terms/f/fundmanager.asp</w:t>
        </w:r>
      </w:hyperlink>
    </w:p>
    <w:p w:rsidR="00077544" w:rsidRDefault="002B20B2" w:rsidP="00394884">
      <w:hyperlink r:id="rId83" w:history="1">
        <w:r w:rsidR="0050020F" w:rsidRPr="007E66C7">
          <w:rPr>
            <w:rStyle w:val="Hyperlink"/>
          </w:rPr>
          <w:t>https://targetjobs.co.uk/careers-advice/job-descriptions/279911-investment-fund-manager-job-description</w:t>
        </w:r>
      </w:hyperlink>
    </w:p>
    <w:p w:rsidR="0050020F" w:rsidRDefault="002B20B2" w:rsidP="00394884">
      <w:hyperlink r:id="rId84" w:history="1">
        <w:r w:rsidR="006C0068" w:rsidRPr="007E66C7">
          <w:rPr>
            <w:rStyle w:val="Hyperlink"/>
          </w:rPr>
          <w:t>http://mutualfunds.com/expert-analysis/the-performance-of-long-serving-active-mutual-fund-managers</w:t>
        </w:r>
      </w:hyperlink>
    </w:p>
    <w:p w:rsidR="006C0068" w:rsidRDefault="002B20B2" w:rsidP="00394884">
      <w:hyperlink r:id="rId85" w:history="1">
        <w:r w:rsidR="00DC61FA" w:rsidRPr="00653DEF">
          <w:rPr>
            <w:rStyle w:val="Hyperlink"/>
          </w:rPr>
          <w:t>https://icb.gov.bd/mutual_fund.php</w:t>
        </w:r>
      </w:hyperlink>
    </w:p>
    <w:p w:rsidR="000079FF" w:rsidRDefault="002B20B2" w:rsidP="00394884">
      <w:hyperlink r:id="rId86" w:history="1">
        <w:r w:rsidR="000079FF" w:rsidRPr="00653DEF">
          <w:rPr>
            <w:rStyle w:val="Hyperlink"/>
          </w:rPr>
          <w:t>https://www.omicsonline.org/open-access/performance-evaluation-of-bangladeshi-mutual-fund-an-analysis-of-monthly-return-based-on-net-asset-value-2162-6359-1000428.php?aid=89658</w:t>
        </w:r>
      </w:hyperlink>
    </w:p>
    <w:p w:rsidR="00DC61FA" w:rsidRDefault="002B20B2" w:rsidP="00394884">
      <w:hyperlink r:id="rId87" w:history="1">
        <w:r w:rsidR="00DC61FA" w:rsidRPr="00653DEF">
          <w:rPr>
            <w:rStyle w:val="Hyperlink"/>
          </w:rPr>
          <w:t>http://www.aims-bangladesh.com/aims2.php?id=fh_rfmf</w:t>
        </w:r>
      </w:hyperlink>
    </w:p>
    <w:p w:rsidR="00DC61FA" w:rsidRDefault="002B20B2" w:rsidP="00394884">
      <w:hyperlink r:id="rId88" w:history="1">
        <w:r w:rsidR="00392576" w:rsidRPr="00653DEF">
          <w:rPr>
            <w:rStyle w:val="Hyperlink"/>
          </w:rPr>
          <w:t>http://www.aims-bangladesh.com/aims2.php?id=fh_go</w:t>
        </w:r>
      </w:hyperlink>
    </w:p>
    <w:p w:rsidR="00392576" w:rsidRDefault="00392576" w:rsidP="00394884"/>
    <w:p w:rsidR="009867F4" w:rsidRDefault="009867F4" w:rsidP="00394884"/>
    <w:p w:rsidR="00511AB6" w:rsidRDefault="00511AB6" w:rsidP="00394884"/>
    <w:p w:rsidR="00D8710D" w:rsidRPr="00394884" w:rsidRDefault="00D8710D" w:rsidP="00394884"/>
    <w:p w:rsidR="00394884" w:rsidRPr="00394884" w:rsidRDefault="00394884" w:rsidP="00394884"/>
    <w:sectPr w:rsidR="00394884" w:rsidRPr="00394884" w:rsidSect="009401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0B2" w:rsidRDefault="002B20B2" w:rsidP="002E3E4E">
      <w:pPr>
        <w:spacing w:after="0" w:line="240" w:lineRule="auto"/>
      </w:pPr>
      <w:r>
        <w:separator/>
      </w:r>
    </w:p>
  </w:endnote>
  <w:endnote w:type="continuationSeparator" w:id="0">
    <w:p w:rsidR="002B20B2" w:rsidRDefault="002B20B2" w:rsidP="002E3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469629"/>
      <w:docPartObj>
        <w:docPartGallery w:val="Page Numbers (Bottom of Page)"/>
        <w:docPartUnique/>
      </w:docPartObj>
    </w:sdtPr>
    <w:sdtEndPr>
      <w:rPr>
        <w:color w:val="808080" w:themeColor="background1" w:themeShade="80"/>
        <w:spacing w:val="60"/>
      </w:rPr>
    </w:sdtEndPr>
    <w:sdtContent>
      <w:p w:rsidR="00392576" w:rsidRDefault="0039257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3788E" w:rsidRPr="00E3788E">
          <w:rPr>
            <w:b/>
            <w:bCs/>
            <w:noProof/>
          </w:rPr>
          <w:t>58</w:t>
        </w:r>
        <w:r>
          <w:rPr>
            <w:b/>
            <w:bCs/>
            <w:noProof/>
          </w:rPr>
          <w:fldChar w:fldCharType="end"/>
        </w:r>
        <w:r>
          <w:rPr>
            <w:b/>
            <w:bCs/>
          </w:rPr>
          <w:t xml:space="preserve"> | </w:t>
        </w:r>
        <w:r w:rsidRPr="004F0D95">
          <w:rPr>
            <w:color w:val="808080" w:themeColor="background1" w:themeShade="80"/>
            <w:spacing w:val="60"/>
          </w:rPr>
          <w:t>Page</w:t>
        </w:r>
      </w:p>
    </w:sdtContent>
  </w:sdt>
  <w:p w:rsidR="00392576" w:rsidRDefault="003925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0B2" w:rsidRDefault="002B20B2" w:rsidP="002E3E4E">
      <w:pPr>
        <w:spacing w:after="0" w:line="240" w:lineRule="auto"/>
      </w:pPr>
      <w:r>
        <w:separator/>
      </w:r>
    </w:p>
  </w:footnote>
  <w:footnote w:type="continuationSeparator" w:id="0">
    <w:p w:rsidR="002B20B2" w:rsidRDefault="002B20B2" w:rsidP="002E3E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B06"/>
    <w:multiLevelType w:val="hybridMultilevel"/>
    <w:tmpl w:val="1C2AC3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3073E2"/>
    <w:multiLevelType w:val="hybridMultilevel"/>
    <w:tmpl w:val="2FD80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E39D6"/>
    <w:multiLevelType w:val="hybridMultilevel"/>
    <w:tmpl w:val="E9A643A4"/>
    <w:lvl w:ilvl="0" w:tplc="0409000B">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nsid w:val="1ABC6418"/>
    <w:multiLevelType w:val="hybridMultilevel"/>
    <w:tmpl w:val="64E40B5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901045"/>
    <w:multiLevelType w:val="hybridMultilevel"/>
    <w:tmpl w:val="79124C7E"/>
    <w:lvl w:ilvl="0" w:tplc="F222ABA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231B8F"/>
    <w:multiLevelType w:val="hybridMultilevel"/>
    <w:tmpl w:val="0A4C6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EE7729"/>
    <w:multiLevelType w:val="hybridMultilevel"/>
    <w:tmpl w:val="85686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89458F"/>
    <w:multiLevelType w:val="hybridMultilevel"/>
    <w:tmpl w:val="20E8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2A304D"/>
    <w:multiLevelType w:val="hybridMultilevel"/>
    <w:tmpl w:val="907EBE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B432D7"/>
    <w:multiLevelType w:val="hybridMultilevel"/>
    <w:tmpl w:val="5030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0C3017"/>
    <w:multiLevelType w:val="hybridMultilevel"/>
    <w:tmpl w:val="1AA6DB4C"/>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nsid w:val="490F77B9"/>
    <w:multiLevelType w:val="hybridMultilevel"/>
    <w:tmpl w:val="9296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5B3A47"/>
    <w:multiLevelType w:val="hybridMultilevel"/>
    <w:tmpl w:val="D8943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81601A"/>
    <w:multiLevelType w:val="hybridMultilevel"/>
    <w:tmpl w:val="02246C5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BA34DB7"/>
    <w:multiLevelType w:val="hybridMultilevel"/>
    <w:tmpl w:val="6584EE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DF6B09"/>
    <w:multiLevelType w:val="hybridMultilevel"/>
    <w:tmpl w:val="11E4C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DF13A6"/>
    <w:multiLevelType w:val="multilevel"/>
    <w:tmpl w:val="02AA902A"/>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4EF3D68"/>
    <w:multiLevelType w:val="hybridMultilevel"/>
    <w:tmpl w:val="1198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D960FE"/>
    <w:multiLevelType w:val="hybridMultilevel"/>
    <w:tmpl w:val="EC9CE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C47E67"/>
    <w:multiLevelType w:val="hybridMultilevel"/>
    <w:tmpl w:val="25823992"/>
    <w:lvl w:ilvl="0" w:tplc="0409000B">
      <w:start w:val="1"/>
      <w:numFmt w:val="bullet"/>
      <w:lvlText w:val=""/>
      <w:lvlJc w:val="left"/>
      <w:pPr>
        <w:ind w:left="883" w:hanging="360"/>
      </w:pPr>
      <w:rPr>
        <w:rFonts w:ascii="Wingdings" w:hAnsi="Wingdings"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0">
    <w:nsid w:val="7F651BF3"/>
    <w:multiLevelType w:val="hybridMultilevel"/>
    <w:tmpl w:val="D2D8650E"/>
    <w:lvl w:ilvl="0" w:tplc="0409001B">
      <w:start w:val="1"/>
      <w:numFmt w:val="lowerRoman"/>
      <w:lvlText w:val="%1."/>
      <w:lvlJc w:val="right"/>
      <w:pPr>
        <w:ind w:left="2065" w:hanging="360"/>
      </w:pPr>
    </w:lvl>
    <w:lvl w:ilvl="1" w:tplc="04090019" w:tentative="1">
      <w:start w:val="1"/>
      <w:numFmt w:val="lowerLetter"/>
      <w:lvlText w:val="%2."/>
      <w:lvlJc w:val="left"/>
      <w:pPr>
        <w:ind w:left="2785" w:hanging="360"/>
      </w:pPr>
    </w:lvl>
    <w:lvl w:ilvl="2" w:tplc="0409001B" w:tentative="1">
      <w:start w:val="1"/>
      <w:numFmt w:val="lowerRoman"/>
      <w:lvlText w:val="%3."/>
      <w:lvlJc w:val="right"/>
      <w:pPr>
        <w:ind w:left="3505" w:hanging="180"/>
      </w:pPr>
    </w:lvl>
    <w:lvl w:ilvl="3" w:tplc="0409000F" w:tentative="1">
      <w:start w:val="1"/>
      <w:numFmt w:val="decimal"/>
      <w:lvlText w:val="%4."/>
      <w:lvlJc w:val="left"/>
      <w:pPr>
        <w:ind w:left="4225" w:hanging="360"/>
      </w:pPr>
    </w:lvl>
    <w:lvl w:ilvl="4" w:tplc="04090019" w:tentative="1">
      <w:start w:val="1"/>
      <w:numFmt w:val="lowerLetter"/>
      <w:lvlText w:val="%5."/>
      <w:lvlJc w:val="left"/>
      <w:pPr>
        <w:ind w:left="4945" w:hanging="360"/>
      </w:pPr>
    </w:lvl>
    <w:lvl w:ilvl="5" w:tplc="0409001B" w:tentative="1">
      <w:start w:val="1"/>
      <w:numFmt w:val="lowerRoman"/>
      <w:lvlText w:val="%6."/>
      <w:lvlJc w:val="right"/>
      <w:pPr>
        <w:ind w:left="5665" w:hanging="180"/>
      </w:pPr>
    </w:lvl>
    <w:lvl w:ilvl="6" w:tplc="0409000F" w:tentative="1">
      <w:start w:val="1"/>
      <w:numFmt w:val="decimal"/>
      <w:lvlText w:val="%7."/>
      <w:lvlJc w:val="left"/>
      <w:pPr>
        <w:ind w:left="6385" w:hanging="360"/>
      </w:pPr>
    </w:lvl>
    <w:lvl w:ilvl="7" w:tplc="04090019" w:tentative="1">
      <w:start w:val="1"/>
      <w:numFmt w:val="lowerLetter"/>
      <w:lvlText w:val="%8."/>
      <w:lvlJc w:val="left"/>
      <w:pPr>
        <w:ind w:left="7105" w:hanging="360"/>
      </w:pPr>
    </w:lvl>
    <w:lvl w:ilvl="8" w:tplc="0409001B" w:tentative="1">
      <w:start w:val="1"/>
      <w:numFmt w:val="lowerRoman"/>
      <w:lvlText w:val="%9."/>
      <w:lvlJc w:val="right"/>
      <w:pPr>
        <w:ind w:left="7825" w:hanging="180"/>
      </w:pPr>
    </w:lvl>
  </w:abstractNum>
  <w:num w:numId="1">
    <w:abstractNumId w:val="5"/>
  </w:num>
  <w:num w:numId="2">
    <w:abstractNumId w:val="11"/>
  </w:num>
  <w:num w:numId="3">
    <w:abstractNumId w:val="6"/>
  </w:num>
  <w:num w:numId="4">
    <w:abstractNumId w:val="15"/>
  </w:num>
  <w:num w:numId="5">
    <w:abstractNumId w:val="9"/>
  </w:num>
  <w:num w:numId="6">
    <w:abstractNumId w:val="10"/>
  </w:num>
  <w:num w:numId="7">
    <w:abstractNumId w:val="19"/>
  </w:num>
  <w:num w:numId="8">
    <w:abstractNumId w:val="2"/>
  </w:num>
  <w:num w:numId="9">
    <w:abstractNumId w:val="8"/>
  </w:num>
  <w:num w:numId="10">
    <w:abstractNumId w:val="7"/>
  </w:num>
  <w:num w:numId="11">
    <w:abstractNumId w:val="4"/>
  </w:num>
  <w:num w:numId="12">
    <w:abstractNumId w:val="16"/>
  </w:num>
  <w:num w:numId="13">
    <w:abstractNumId w:val="0"/>
  </w:num>
  <w:num w:numId="14">
    <w:abstractNumId w:val="13"/>
  </w:num>
  <w:num w:numId="15">
    <w:abstractNumId w:val="3"/>
  </w:num>
  <w:num w:numId="16">
    <w:abstractNumId w:val="20"/>
  </w:num>
  <w:num w:numId="17">
    <w:abstractNumId w:val="14"/>
  </w:num>
  <w:num w:numId="18">
    <w:abstractNumId w:val="17"/>
  </w:num>
  <w:num w:numId="19">
    <w:abstractNumId w:val="1"/>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C2"/>
    <w:rsid w:val="0000636B"/>
    <w:rsid w:val="000079FF"/>
    <w:rsid w:val="00021A0C"/>
    <w:rsid w:val="0002795D"/>
    <w:rsid w:val="000466FF"/>
    <w:rsid w:val="00051803"/>
    <w:rsid w:val="0005683A"/>
    <w:rsid w:val="0006088B"/>
    <w:rsid w:val="00067746"/>
    <w:rsid w:val="000773B6"/>
    <w:rsid w:val="00077544"/>
    <w:rsid w:val="000B6B0D"/>
    <w:rsid w:val="000E0F9F"/>
    <w:rsid w:val="000E3ABF"/>
    <w:rsid w:val="000F2EEE"/>
    <w:rsid w:val="001002FF"/>
    <w:rsid w:val="00131AA0"/>
    <w:rsid w:val="00137D02"/>
    <w:rsid w:val="00137E77"/>
    <w:rsid w:val="001516F4"/>
    <w:rsid w:val="00154F93"/>
    <w:rsid w:val="0016521D"/>
    <w:rsid w:val="0017341B"/>
    <w:rsid w:val="001811B9"/>
    <w:rsid w:val="001908DC"/>
    <w:rsid w:val="00190D8A"/>
    <w:rsid w:val="001A1ABD"/>
    <w:rsid w:val="001B7381"/>
    <w:rsid w:val="001C72C8"/>
    <w:rsid w:val="001C7A63"/>
    <w:rsid w:val="001E4863"/>
    <w:rsid w:val="001F0675"/>
    <w:rsid w:val="001F4E4F"/>
    <w:rsid w:val="00203195"/>
    <w:rsid w:val="002127E9"/>
    <w:rsid w:val="00235528"/>
    <w:rsid w:val="00236F4F"/>
    <w:rsid w:val="002371D1"/>
    <w:rsid w:val="00242323"/>
    <w:rsid w:val="00250984"/>
    <w:rsid w:val="00252A27"/>
    <w:rsid w:val="00256DC9"/>
    <w:rsid w:val="00272CC2"/>
    <w:rsid w:val="002A6C46"/>
    <w:rsid w:val="002B20B2"/>
    <w:rsid w:val="002C0FE2"/>
    <w:rsid w:val="002C41D6"/>
    <w:rsid w:val="002D3CA5"/>
    <w:rsid w:val="002D51C4"/>
    <w:rsid w:val="002D6B49"/>
    <w:rsid w:val="002E3E4E"/>
    <w:rsid w:val="002E66B3"/>
    <w:rsid w:val="00310B60"/>
    <w:rsid w:val="00321D1F"/>
    <w:rsid w:val="003729EA"/>
    <w:rsid w:val="00372ABD"/>
    <w:rsid w:val="00376BFB"/>
    <w:rsid w:val="00382010"/>
    <w:rsid w:val="00392576"/>
    <w:rsid w:val="00394884"/>
    <w:rsid w:val="00395326"/>
    <w:rsid w:val="003A1EAB"/>
    <w:rsid w:val="003A4BC1"/>
    <w:rsid w:val="003A4DAE"/>
    <w:rsid w:val="003C684E"/>
    <w:rsid w:val="003E46EC"/>
    <w:rsid w:val="003E6D9E"/>
    <w:rsid w:val="003F1E8C"/>
    <w:rsid w:val="003F7126"/>
    <w:rsid w:val="00412BBD"/>
    <w:rsid w:val="0043049E"/>
    <w:rsid w:val="00451128"/>
    <w:rsid w:val="004556B6"/>
    <w:rsid w:val="00462202"/>
    <w:rsid w:val="0046279F"/>
    <w:rsid w:val="004652BD"/>
    <w:rsid w:val="00481CBF"/>
    <w:rsid w:val="00483256"/>
    <w:rsid w:val="00485C5F"/>
    <w:rsid w:val="004B7285"/>
    <w:rsid w:val="004C077C"/>
    <w:rsid w:val="004C5279"/>
    <w:rsid w:val="004C5353"/>
    <w:rsid w:val="004D0A42"/>
    <w:rsid w:val="004D1980"/>
    <w:rsid w:val="004D1EA5"/>
    <w:rsid w:val="004E3480"/>
    <w:rsid w:val="004E7141"/>
    <w:rsid w:val="004F0D95"/>
    <w:rsid w:val="0050020F"/>
    <w:rsid w:val="00507BD1"/>
    <w:rsid w:val="00511AB6"/>
    <w:rsid w:val="00520610"/>
    <w:rsid w:val="005304B9"/>
    <w:rsid w:val="0053415E"/>
    <w:rsid w:val="0053618E"/>
    <w:rsid w:val="00545139"/>
    <w:rsid w:val="005529C9"/>
    <w:rsid w:val="00575174"/>
    <w:rsid w:val="005779AE"/>
    <w:rsid w:val="00587408"/>
    <w:rsid w:val="0059463F"/>
    <w:rsid w:val="005A069C"/>
    <w:rsid w:val="005B49FD"/>
    <w:rsid w:val="005C448F"/>
    <w:rsid w:val="005D4C27"/>
    <w:rsid w:val="005D71FE"/>
    <w:rsid w:val="005D7C8D"/>
    <w:rsid w:val="005E06B2"/>
    <w:rsid w:val="005F213F"/>
    <w:rsid w:val="005F7751"/>
    <w:rsid w:val="00603F89"/>
    <w:rsid w:val="00612131"/>
    <w:rsid w:val="00622FBC"/>
    <w:rsid w:val="0063053C"/>
    <w:rsid w:val="006431F8"/>
    <w:rsid w:val="006503E7"/>
    <w:rsid w:val="00677CAB"/>
    <w:rsid w:val="00685B1C"/>
    <w:rsid w:val="00692473"/>
    <w:rsid w:val="006974F8"/>
    <w:rsid w:val="006A29FE"/>
    <w:rsid w:val="006B4E4F"/>
    <w:rsid w:val="006C0068"/>
    <w:rsid w:val="006C419A"/>
    <w:rsid w:val="006D1BAB"/>
    <w:rsid w:val="006D693E"/>
    <w:rsid w:val="006E2A4C"/>
    <w:rsid w:val="006F74E4"/>
    <w:rsid w:val="007159B7"/>
    <w:rsid w:val="00731A3E"/>
    <w:rsid w:val="00742042"/>
    <w:rsid w:val="00773450"/>
    <w:rsid w:val="0077348F"/>
    <w:rsid w:val="007751C4"/>
    <w:rsid w:val="007761AA"/>
    <w:rsid w:val="007865F3"/>
    <w:rsid w:val="00791A3A"/>
    <w:rsid w:val="007A0C96"/>
    <w:rsid w:val="007B07F8"/>
    <w:rsid w:val="007C1F39"/>
    <w:rsid w:val="007C76C7"/>
    <w:rsid w:val="007D586A"/>
    <w:rsid w:val="007E669D"/>
    <w:rsid w:val="007E6E55"/>
    <w:rsid w:val="007F2B8A"/>
    <w:rsid w:val="0080470F"/>
    <w:rsid w:val="008057D7"/>
    <w:rsid w:val="008328CE"/>
    <w:rsid w:val="0084183D"/>
    <w:rsid w:val="008439CD"/>
    <w:rsid w:val="008446D1"/>
    <w:rsid w:val="008504CF"/>
    <w:rsid w:val="008621BA"/>
    <w:rsid w:val="00873F8A"/>
    <w:rsid w:val="00890F99"/>
    <w:rsid w:val="008B0872"/>
    <w:rsid w:val="008B1F67"/>
    <w:rsid w:val="008B6346"/>
    <w:rsid w:val="008C050E"/>
    <w:rsid w:val="008C1C8F"/>
    <w:rsid w:val="008C4867"/>
    <w:rsid w:val="008C5C82"/>
    <w:rsid w:val="008D74B8"/>
    <w:rsid w:val="008E064F"/>
    <w:rsid w:val="008E16D1"/>
    <w:rsid w:val="008E7D0C"/>
    <w:rsid w:val="008F491B"/>
    <w:rsid w:val="00905D6D"/>
    <w:rsid w:val="009230C2"/>
    <w:rsid w:val="0093262E"/>
    <w:rsid w:val="009401DD"/>
    <w:rsid w:val="009476E0"/>
    <w:rsid w:val="00955279"/>
    <w:rsid w:val="009867F4"/>
    <w:rsid w:val="009A3032"/>
    <w:rsid w:val="009B3861"/>
    <w:rsid w:val="009C269A"/>
    <w:rsid w:val="009C28B9"/>
    <w:rsid w:val="009C2CE0"/>
    <w:rsid w:val="009C4D57"/>
    <w:rsid w:val="009D58A5"/>
    <w:rsid w:val="00A02476"/>
    <w:rsid w:val="00A14D8A"/>
    <w:rsid w:val="00A23AF2"/>
    <w:rsid w:val="00A27BCF"/>
    <w:rsid w:val="00A32D77"/>
    <w:rsid w:val="00A4640D"/>
    <w:rsid w:val="00A62EA2"/>
    <w:rsid w:val="00A67D71"/>
    <w:rsid w:val="00A71BA9"/>
    <w:rsid w:val="00A76D83"/>
    <w:rsid w:val="00AB4B65"/>
    <w:rsid w:val="00AC1260"/>
    <w:rsid w:val="00AC1A75"/>
    <w:rsid w:val="00AD506E"/>
    <w:rsid w:val="00AE2759"/>
    <w:rsid w:val="00B02F13"/>
    <w:rsid w:val="00B173C4"/>
    <w:rsid w:val="00B31466"/>
    <w:rsid w:val="00B35F05"/>
    <w:rsid w:val="00B37E78"/>
    <w:rsid w:val="00B40A41"/>
    <w:rsid w:val="00B6245B"/>
    <w:rsid w:val="00B62F81"/>
    <w:rsid w:val="00B75136"/>
    <w:rsid w:val="00B8425E"/>
    <w:rsid w:val="00B96B53"/>
    <w:rsid w:val="00BC3B51"/>
    <w:rsid w:val="00BD76D2"/>
    <w:rsid w:val="00BE19A8"/>
    <w:rsid w:val="00BE38EC"/>
    <w:rsid w:val="00BE4B55"/>
    <w:rsid w:val="00BF688D"/>
    <w:rsid w:val="00C05FD1"/>
    <w:rsid w:val="00C3740D"/>
    <w:rsid w:val="00C41D2D"/>
    <w:rsid w:val="00C42D2F"/>
    <w:rsid w:val="00C53673"/>
    <w:rsid w:val="00C63AFA"/>
    <w:rsid w:val="00C7719D"/>
    <w:rsid w:val="00C879DA"/>
    <w:rsid w:val="00C92B2C"/>
    <w:rsid w:val="00CA6E36"/>
    <w:rsid w:val="00CB387C"/>
    <w:rsid w:val="00CD212A"/>
    <w:rsid w:val="00CD4878"/>
    <w:rsid w:val="00CD712B"/>
    <w:rsid w:val="00CD7803"/>
    <w:rsid w:val="00CE6687"/>
    <w:rsid w:val="00CF3207"/>
    <w:rsid w:val="00D013D0"/>
    <w:rsid w:val="00D02E1B"/>
    <w:rsid w:val="00D07636"/>
    <w:rsid w:val="00D10B6F"/>
    <w:rsid w:val="00D1319A"/>
    <w:rsid w:val="00D321E1"/>
    <w:rsid w:val="00D42131"/>
    <w:rsid w:val="00D42359"/>
    <w:rsid w:val="00D52F9C"/>
    <w:rsid w:val="00D70E64"/>
    <w:rsid w:val="00D73BB6"/>
    <w:rsid w:val="00D76464"/>
    <w:rsid w:val="00D77530"/>
    <w:rsid w:val="00D853D4"/>
    <w:rsid w:val="00D8710D"/>
    <w:rsid w:val="00DB1B5F"/>
    <w:rsid w:val="00DB587E"/>
    <w:rsid w:val="00DC0DBD"/>
    <w:rsid w:val="00DC51B6"/>
    <w:rsid w:val="00DC61FA"/>
    <w:rsid w:val="00DE1470"/>
    <w:rsid w:val="00DE6CA9"/>
    <w:rsid w:val="00DF54EF"/>
    <w:rsid w:val="00E119A9"/>
    <w:rsid w:val="00E15636"/>
    <w:rsid w:val="00E16AE3"/>
    <w:rsid w:val="00E36A4E"/>
    <w:rsid w:val="00E3788E"/>
    <w:rsid w:val="00E71A5E"/>
    <w:rsid w:val="00E87CD4"/>
    <w:rsid w:val="00E965C2"/>
    <w:rsid w:val="00EA0283"/>
    <w:rsid w:val="00EC3C30"/>
    <w:rsid w:val="00ED0CEC"/>
    <w:rsid w:val="00ED3D34"/>
    <w:rsid w:val="00EE1113"/>
    <w:rsid w:val="00EE7DDC"/>
    <w:rsid w:val="00F170E8"/>
    <w:rsid w:val="00F2503C"/>
    <w:rsid w:val="00F27FBF"/>
    <w:rsid w:val="00F32429"/>
    <w:rsid w:val="00F3665D"/>
    <w:rsid w:val="00F429E4"/>
    <w:rsid w:val="00F6358B"/>
    <w:rsid w:val="00F91E8F"/>
    <w:rsid w:val="00F9699E"/>
    <w:rsid w:val="00FC300B"/>
    <w:rsid w:val="00FD054C"/>
    <w:rsid w:val="00FD5C41"/>
    <w:rsid w:val="00FE24EF"/>
    <w:rsid w:val="00FE7DD0"/>
    <w:rsid w:val="00FF1120"/>
    <w:rsid w:val="00FF40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0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0F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0F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867"/>
    <w:pPr>
      <w:spacing w:after="0" w:line="240" w:lineRule="auto"/>
      <w:ind w:left="720"/>
      <w:contextualSpacing/>
      <w:jc w:val="both"/>
    </w:pPr>
    <w:rPr>
      <w:rFonts w:ascii="Times New Roman" w:hAnsi="Times New Roman"/>
      <w:sz w:val="24"/>
      <w:szCs w:val="24"/>
    </w:rPr>
  </w:style>
  <w:style w:type="table" w:styleId="TableGrid">
    <w:name w:val="Table Grid"/>
    <w:basedOn w:val="TableNormal"/>
    <w:uiPriority w:val="59"/>
    <w:rsid w:val="00465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3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E4E"/>
    <w:rPr>
      <w:rFonts w:ascii="Tahoma" w:hAnsi="Tahoma" w:cs="Tahoma"/>
      <w:sz w:val="16"/>
      <w:szCs w:val="16"/>
    </w:rPr>
  </w:style>
  <w:style w:type="paragraph" w:styleId="Header">
    <w:name w:val="header"/>
    <w:basedOn w:val="Normal"/>
    <w:link w:val="HeaderChar"/>
    <w:uiPriority w:val="99"/>
    <w:unhideWhenUsed/>
    <w:rsid w:val="002E3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E4E"/>
  </w:style>
  <w:style w:type="paragraph" w:styleId="Footer">
    <w:name w:val="footer"/>
    <w:basedOn w:val="Normal"/>
    <w:link w:val="FooterChar"/>
    <w:uiPriority w:val="99"/>
    <w:unhideWhenUsed/>
    <w:rsid w:val="002E3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E4E"/>
  </w:style>
  <w:style w:type="character" w:styleId="Hyperlink">
    <w:name w:val="Hyperlink"/>
    <w:basedOn w:val="DefaultParagraphFont"/>
    <w:uiPriority w:val="99"/>
    <w:unhideWhenUsed/>
    <w:rsid w:val="001002FF"/>
    <w:rPr>
      <w:color w:val="0000FF"/>
      <w:u w:val="single"/>
    </w:rPr>
  </w:style>
  <w:style w:type="paragraph" w:styleId="Title">
    <w:name w:val="Title"/>
    <w:basedOn w:val="Normal"/>
    <w:next w:val="Normal"/>
    <w:link w:val="TitleChar"/>
    <w:uiPriority w:val="10"/>
    <w:qFormat/>
    <w:rsid w:val="002C0F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0FE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C0F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0F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C0FE2"/>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4F0D95"/>
    <w:pPr>
      <w:outlineLvl w:val="9"/>
    </w:pPr>
    <w:rPr>
      <w:lang w:eastAsia="ja-JP"/>
    </w:rPr>
  </w:style>
  <w:style w:type="paragraph" w:styleId="TOC2">
    <w:name w:val="toc 2"/>
    <w:basedOn w:val="Normal"/>
    <w:next w:val="Normal"/>
    <w:autoRedefine/>
    <w:uiPriority w:val="39"/>
    <w:unhideWhenUsed/>
    <w:qFormat/>
    <w:rsid w:val="0077348F"/>
    <w:pPr>
      <w:tabs>
        <w:tab w:val="right" w:leader="dot" w:pos="9350"/>
      </w:tabs>
      <w:spacing w:after="100" w:line="360" w:lineRule="auto"/>
      <w:ind w:left="220"/>
      <w:jc w:val="both"/>
    </w:pPr>
    <w:rPr>
      <w:lang w:eastAsia="ja-JP"/>
    </w:rPr>
  </w:style>
  <w:style w:type="paragraph" w:styleId="TOC1">
    <w:name w:val="toc 1"/>
    <w:basedOn w:val="Normal"/>
    <w:next w:val="Normal"/>
    <w:autoRedefine/>
    <w:uiPriority w:val="39"/>
    <w:unhideWhenUsed/>
    <w:qFormat/>
    <w:rsid w:val="004F0D95"/>
    <w:pPr>
      <w:spacing w:after="100"/>
    </w:pPr>
    <w:rPr>
      <w:lang w:eastAsia="ja-JP"/>
    </w:rPr>
  </w:style>
  <w:style w:type="paragraph" w:styleId="TOC3">
    <w:name w:val="toc 3"/>
    <w:basedOn w:val="Normal"/>
    <w:next w:val="Normal"/>
    <w:autoRedefine/>
    <w:uiPriority w:val="39"/>
    <w:unhideWhenUsed/>
    <w:qFormat/>
    <w:rsid w:val="004F0D95"/>
    <w:pPr>
      <w:spacing w:after="100"/>
      <w:ind w:left="440"/>
    </w:pPr>
    <w:rPr>
      <w:lang w:eastAsia="ja-JP"/>
    </w:rPr>
  </w:style>
  <w:style w:type="paragraph" w:styleId="NormalWeb">
    <w:name w:val="Normal (Web)"/>
    <w:basedOn w:val="Normal"/>
    <w:uiPriority w:val="99"/>
    <w:semiHidden/>
    <w:unhideWhenUsed/>
    <w:rsid w:val="00021A0C"/>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0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0F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0F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867"/>
    <w:pPr>
      <w:spacing w:after="0" w:line="240" w:lineRule="auto"/>
      <w:ind w:left="720"/>
      <w:contextualSpacing/>
      <w:jc w:val="both"/>
    </w:pPr>
    <w:rPr>
      <w:rFonts w:ascii="Times New Roman" w:hAnsi="Times New Roman"/>
      <w:sz w:val="24"/>
      <w:szCs w:val="24"/>
    </w:rPr>
  </w:style>
  <w:style w:type="table" w:styleId="TableGrid">
    <w:name w:val="Table Grid"/>
    <w:basedOn w:val="TableNormal"/>
    <w:uiPriority w:val="59"/>
    <w:rsid w:val="00465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3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E4E"/>
    <w:rPr>
      <w:rFonts w:ascii="Tahoma" w:hAnsi="Tahoma" w:cs="Tahoma"/>
      <w:sz w:val="16"/>
      <w:szCs w:val="16"/>
    </w:rPr>
  </w:style>
  <w:style w:type="paragraph" w:styleId="Header">
    <w:name w:val="header"/>
    <w:basedOn w:val="Normal"/>
    <w:link w:val="HeaderChar"/>
    <w:uiPriority w:val="99"/>
    <w:unhideWhenUsed/>
    <w:rsid w:val="002E3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E4E"/>
  </w:style>
  <w:style w:type="paragraph" w:styleId="Footer">
    <w:name w:val="footer"/>
    <w:basedOn w:val="Normal"/>
    <w:link w:val="FooterChar"/>
    <w:uiPriority w:val="99"/>
    <w:unhideWhenUsed/>
    <w:rsid w:val="002E3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E4E"/>
  </w:style>
  <w:style w:type="character" w:styleId="Hyperlink">
    <w:name w:val="Hyperlink"/>
    <w:basedOn w:val="DefaultParagraphFont"/>
    <w:uiPriority w:val="99"/>
    <w:unhideWhenUsed/>
    <w:rsid w:val="001002FF"/>
    <w:rPr>
      <w:color w:val="0000FF"/>
      <w:u w:val="single"/>
    </w:rPr>
  </w:style>
  <w:style w:type="paragraph" w:styleId="Title">
    <w:name w:val="Title"/>
    <w:basedOn w:val="Normal"/>
    <w:next w:val="Normal"/>
    <w:link w:val="TitleChar"/>
    <w:uiPriority w:val="10"/>
    <w:qFormat/>
    <w:rsid w:val="002C0F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0FE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C0F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0F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C0FE2"/>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4F0D95"/>
    <w:pPr>
      <w:outlineLvl w:val="9"/>
    </w:pPr>
    <w:rPr>
      <w:lang w:eastAsia="ja-JP"/>
    </w:rPr>
  </w:style>
  <w:style w:type="paragraph" w:styleId="TOC2">
    <w:name w:val="toc 2"/>
    <w:basedOn w:val="Normal"/>
    <w:next w:val="Normal"/>
    <w:autoRedefine/>
    <w:uiPriority w:val="39"/>
    <w:unhideWhenUsed/>
    <w:qFormat/>
    <w:rsid w:val="0077348F"/>
    <w:pPr>
      <w:tabs>
        <w:tab w:val="right" w:leader="dot" w:pos="9350"/>
      </w:tabs>
      <w:spacing w:after="100" w:line="360" w:lineRule="auto"/>
      <w:ind w:left="220"/>
      <w:jc w:val="both"/>
    </w:pPr>
    <w:rPr>
      <w:lang w:eastAsia="ja-JP"/>
    </w:rPr>
  </w:style>
  <w:style w:type="paragraph" w:styleId="TOC1">
    <w:name w:val="toc 1"/>
    <w:basedOn w:val="Normal"/>
    <w:next w:val="Normal"/>
    <w:autoRedefine/>
    <w:uiPriority w:val="39"/>
    <w:unhideWhenUsed/>
    <w:qFormat/>
    <w:rsid w:val="004F0D95"/>
    <w:pPr>
      <w:spacing w:after="100"/>
    </w:pPr>
    <w:rPr>
      <w:lang w:eastAsia="ja-JP"/>
    </w:rPr>
  </w:style>
  <w:style w:type="paragraph" w:styleId="TOC3">
    <w:name w:val="toc 3"/>
    <w:basedOn w:val="Normal"/>
    <w:next w:val="Normal"/>
    <w:autoRedefine/>
    <w:uiPriority w:val="39"/>
    <w:unhideWhenUsed/>
    <w:qFormat/>
    <w:rsid w:val="004F0D95"/>
    <w:pPr>
      <w:spacing w:after="100"/>
      <w:ind w:left="440"/>
    </w:pPr>
    <w:rPr>
      <w:lang w:eastAsia="ja-JP"/>
    </w:rPr>
  </w:style>
  <w:style w:type="paragraph" w:styleId="NormalWeb">
    <w:name w:val="Normal (Web)"/>
    <w:basedOn w:val="Normal"/>
    <w:uiPriority w:val="99"/>
    <w:semiHidden/>
    <w:unhideWhenUsed/>
    <w:rsid w:val="00021A0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816">
      <w:bodyDiv w:val="1"/>
      <w:marLeft w:val="0"/>
      <w:marRight w:val="0"/>
      <w:marTop w:val="0"/>
      <w:marBottom w:val="0"/>
      <w:divBdr>
        <w:top w:val="none" w:sz="0" w:space="0" w:color="auto"/>
        <w:left w:val="none" w:sz="0" w:space="0" w:color="auto"/>
        <w:bottom w:val="none" w:sz="0" w:space="0" w:color="auto"/>
        <w:right w:val="none" w:sz="0" w:space="0" w:color="auto"/>
      </w:divBdr>
    </w:div>
    <w:div w:id="162280641">
      <w:bodyDiv w:val="1"/>
      <w:marLeft w:val="0"/>
      <w:marRight w:val="0"/>
      <w:marTop w:val="0"/>
      <w:marBottom w:val="0"/>
      <w:divBdr>
        <w:top w:val="none" w:sz="0" w:space="0" w:color="auto"/>
        <w:left w:val="none" w:sz="0" w:space="0" w:color="auto"/>
        <w:bottom w:val="none" w:sz="0" w:space="0" w:color="auto"/>
        <w:right w:val="none" w:sz="0" w:space="0" w:color="auto"/>
      </w:divBdr>
    </w:div>
    <w:div w:id="220747565">
      <w:bodyDiv w:val="1"/>
      <w:marLeft w:val="0"/>
      <w:marRight w:val="0"/>
      <w:marTop w:val="0"/>
      <w:marBottom w:val="0"/>
      <w:divBdr>
        <w:top w:val="none" w:sz="0" w:space="0" w:color="auto"/>
        <w:left w:val="none" w:sz="0" w:space="0" w:color="auto"/>
        <w:bottom w:val="none" w:sz="0" w:space="0" w:color="auto"/>
        <w:right w:val="none" w:sz="0" w:space="0" w:color="auto"/>
      </w:divBdr>
    </w:div>
    <w:div w:id="270089201">
      <w:bodyDiv w:val="1"/>
      <w:marLeft w:val="0"/>
      <w:marRight w:val="0"/>
      <w:marTop w:val="0"/>
      <w:marBottom w:val="0"/>
      <w:divBdr>
        <w:top w:val="none" w:sz="0" w:space="0" w:color="auto"/>
        <w:left w:val="none" w:sz="0" w:space="0" w:color="auto"/>
        <w:bottom w:val="none" w:sz="0" w:space="0" w:color="auto"/>
        <w:right w:val="none" w:sz="0" w:space="0" w:color="auto"/>
      </w:divBdr>
    </w:div>
    <w:div w:id="428699673">
      <w:bodyDiv w:val="1"/>
      <w:marLeft w:val="0"/>
      <w:marRight w:val="0"/>
      <w:marTop w:val="0"/>
      <w:marBottom w:val="0"/>
      <w:divBdr>
        <w:top w:val="none" w:sz="0" w:space="0" w:color="auto"/>
        <w:left w:val="none" w:sz="0" w:space="0" w:color="auto"/>
        <w:bottom w:val="none" w:sz="0" w:space="0" w:color="auto"/>
        <w:right w:val="none" w:sz="0" w:space="0" w:color="auto"/>
      </w:divBdr>
    </w:div>
    <w:div w:id="454062468">
      <w:bodyDiv w:val="1"/>
      <w:marLeft w:val="0"/>
      <w:marRight w:val="0"/>
      <w:marTop w:val="0"/>
      <w:marBottom w:val="0"/>
      <w:divBdr>
        <w:top w:val="none" w:sz="0" w:space="0" w:color="auto"/>
        <w:left w:val="none" w:sz="0" w:space="0" w:color="auto"/>
        <w:bottom w:val="none" w:sz="0" w:space="0" w:color="auto"/>
        <w:right w:val="none" w:sz="0" w:space="0" w:color="auto"/>
      </w:divBdr>
    </w:div>
    <w:div w:id="567879633">
      <w:bodyDiv w:val="1"/>
      <w:marLeft w:val="0"/>
      <w:marRight w:val="0"/>
      <w:marTop w:val="0"/>
      <w:marBottom w:val="0"/>
      <w:divBdr>
        <w:top w:val="none" w:sz="0" w:space="0" w:color="auto"/>
        <w:left w:val="none" w:sz="0" w:space="0" w:color="auto"/>
        <w:bottom w:val="none" w:sz="0" w:space="0" w:color="auto"/>
        <w:right w:val="none" w:sz="0" w:space="0" w:color="auto"/>
      </w:divBdr>
    </w:div>
    <w:div w:id="706953945">
      <w:bodyDiv w:val="1"/>
      <w:marLeft w:val="0"/>
      <w:marRight w:val="0"/>
      <w:marTop w:val="0"/>
      <w:marBottom w:val="0"/>
      <w:divBdr>
        <w:top w:val="none" w:sz="0" w:space="0" w:color="auto"/>
        <w:left w:val="none" w:sz="0" w:space="0" w:color="auto"/>
        <w:bottom w:val="none" w:sz="0" w:space="0" w:color="auto"/>
        <w:right w:val="none" w:sz="0" w:space="0" w:color="auto"/>
      </w:divBdr>
    </w:div>
    <w:div w:id="718751125">
      <w:bodyDiv w:val="1"/>
      <w:marLeft w:val="0"/>
      <w:marRight w:val="0"/>
      <w:marTop w:val="0"/>
      <w:marBottom w:val="0"/>
      <w:divBdr>
        <w:top w:val="none" w:sz="0" w:space="0" w:color="auto"/>
        <w:left w:val="none" w:sz="0" w:space="0" w:color="auto"/>
        <w:bottom w:val="none" w:sz="0" w:space="0" w:color="auto"/>
        <w:right w:val="none" w:sz="0" w:space="0" w:color="auto"/>
      </w:divBdr>
    </w:div>
    <w:div w:id="778719483">
      <w:bodyDiv w:val="1"/>
      <w:marLeft w:val="0"/>
      <w:marRight w:val="0"/>
      <w:marTop w:val="0"/>
      <w:marBottom w:val="0"/>
      <w:divBdr>
        <w:top w:val="none" w:sz="0" w:space="0" w:color="auto"/>
        <w:left w:val="none" w:sz="0" w:space="0" w:color="auto"/>
        <w:bottom w:val="none" w:sz="0" w:space="0" w:color="auto"/>
        <w:right w:val="none" w:sz="0" w:space="0" w:color="auto"/>
      </w:divBdr>
    </w:div>
    <w:div w:id="987396364">
      <w:bodyDiv w:val="1"/>
      <w:marLeft w:val="0"/>
      <w:marRight w:val="0"/>
      <w:marTop w:val="0"/>
      <w:marBottom w:val="0"/>
      <w:divBdr>
        <w:top w:val="none" w:sz="0" w:space="0" w:color="auto"/>
        <w:left w:val="none" w:sz="0" w:space="0" w:color="auto"/>
        <w:bottom w:val="none" w:sz="0" w:space="0" w:color="auto"/>
        <w:right w:val="none" w:sz="0" w:space="0" w:color="auto"/>
      </w:divBdr>
    </w:div>
    <w:div w:id="1384601260">
      <w:bodyDiv w:val="1"/>
      <w:marLeft w:val="0"/>
      <w:marRight w:val="0"/>
      <w:marTop w:val="0"/>
      <w:marBottom w:val="0"/>
      <w:divBdr>
        <w:top w:val="none" w:sz="0" w:space="0" w:color="auto"/>
        <w:left w:val="none" w:sz="0" w:space="0" w:color="auto"/>
        <w:bottom w:val="none" w:sz="0" w:space="0" w:color="auto"/>
        <w:right w:val="none" w:sz="0" w:space="0" w:color="auto"/>
      </w:divBdr>
    </w:div>
    <w:div w:id="1385833439">
      <w:bodyDiv w:val="1"/>
      <w:marLeft w:val="0"/>
      <w:marRight w:val="0"/>
      <w:marTop w:val="0"/>
      <w:marBottom w:val="0"/>
      <w:divBdr>
        <w:top w:val="none" w:sz="0" w:space="0" w:color="auto"/>
        <w:left w:val="none" w:sz="0" w:space="0" w:color="auto"/>
        <w:bottom w:val="none" w:sz="0" w:space="0" w:color="auto"/>
        <w:right w:val="none" w:sz="0" w:space="0" w:color="auto"/>
      </w:divBdr>
    </w:div>
    <w:div w:id="1395854422">
      <w:bodyDiv w:val="1"/>
      <w:marLeft w:val="0"/>
      <w:marRight w:val="0"/>
      <w:marTop w:val="0"/>
      <w:marBottom w:val="0"/>
      <w:divBdr>
        <w:top w:val="none" w:sz="0" w:space="0" w:color="auto"/>
        <w:left w:val="none" w:sz="0" w:space="0" w:color="auto"/>
        <w:bottom w:val="none" w:sz="0" w:space="0" w:color="auto"/>
        <w:right w:val="none" w:sz="0" w:space="0" w:color="auto"/>
      </w:divBdr>
    </w:div>
    <w:div w:id="1464423139">
      <w:bodyDiv w:val="1"/>
      <w:marLeft w:val="0"/>
      <w:marRight w:val="0"/>
      <w:marTop w:val="0"/>
      <w:marBottom w:val="0"/>
      <w:divBdr>
        <w:top w:val="none" w:sz="0" w:space="0" w:color="auto"/>
        <w:left w:val="none" w:sz="0" w:space="0" w:color="auto"/>
        <w:bottom w:val="none" w:sz="0" w:space="0" w:color="auto"/>
        <w:right w:val="none" w:sz="0" w:space="0" w:color="auto"/>
      </w:divBdr>
    </w:div>
    <w:div w:id="1512911251">
      <w:bodyDiv w:val="1"/>
      <w:marLeft w:val="0"/>
      <w:marRight w:val="0"/>
      <w:marTop w:val="0"/>
      <w:marBottom w:val="0"/>
      <w:divBdr>
        <w:top w:val="none" w:sz="0" w:space="0" w:color="auto"/>
        <w:left w:val="none" w:sz="0" w:space="0" w:color="auto"/>
        <w:bottom w:val="none" w:sz="0" w:space="0" w:color="auto"/>
        <w:right w:val="none" w:sz="0" w:space="0" w:color="auto"/>
      </w:divBdr>
    </w:div>
    <w:div w:id="1637493040">
      <w:bodyDiv w:val="1"/>
      <w:marLeft w:val="0"/>
      <w:marRight w:val="0"/>
      <w:marTop w:val="0"/>
      <w:marBottom w:val="0"/>
      <w:divBdr>
        <w:top w:val="none" w:sz="0" w:space="0" w:color="auto"/>
        <w:left w:val="none" w:sz="0" w:space="0" w:color="auto"/>
        <w:bottom w:val="none" w:sz="0" w:space="0" w:color="auto"/>
        <w:right w:val="none" w:sz="0" w:space="0" w:color="auto"/>
      </w:divBdr>
    </w:div>
    <w:div w:id="1641114173">
      <w:bodyDiv w:val="1"/>
      <w:marLeft w:val="0"/>
      <w:marRight w:val="0"/>
      <w:marTop w:val="0"/>
      <w:marBottom w:val="0"/>
      <w:divBdr>
        <w:top w:val="none" w:sz="0" w:space="0" w:color="auto"/>
        <w:left w:val="none" w:sz="0" w:space="0" w:color="auto"/>
        <w:bottom w:val="none" w:sz="0" w:space="0" w:color="auto"/>
        <w:right w:val="none" w:sz="0" w:space="0" w:color="auto"/>
      </w:divBdr>
    </w:div>
    <w:div w:id="1806584688">
      <w:bodyDiv w:val="1"/>
      <w:marLeft w:val="0"/>
      <w:marRight w:val="0"/>
      <w:marTop w:val="0"/>
      <w:marBottom w:val="0"/>
      <w:divBdr>
        <w:top w:val="none" w:sz="0" w:space="0" w:color="auto"/>
        <w:left w:val="none" w:sz="0" w:space="0" w:color="auto"/>
        <w:bottom w:val="none" w:sz="0" w:space="0" w:color="auto"/>
        <w:right w:val="none" w:sz="0" w:space="0" w:color="auto"/>
      </w:divBdr>
    </w:div>
    <w:div w:id="1810319229">
      <w:bodyDiv w:val="1"/>
      <w:marLeft w:val="0"/>
      <w:marRight w:val="0"/>
      <w:marTop w:val="0"/>
      <w:marBottom w:val="0"/>
      <w:divBdr>
        <w:top w:val="none" w:sz="0" w:space="0" w:color="auto"/>
        <w:left w:val="none" w:sz="0" w:space="0" w:color="auto"/>
        <w:bottom w:val="none" w:sz="0" w:space="0" w:color="auto"/>
        <w:right w:val="none" w:sz="0" w:space="0" w:color="auto"/>
      </w:divBdr>
    </w:div>
    <w:div w:id="1841306557">
      <w:bodyDiv w:val="1"/>
      <w:marLeft w:val="0"/>
      <w:marRight w:val="0"/>
      <w:marTop w:val="0"/>
      <w:marBottom w:val="0"/>
      <w:divBdr>
        <w:top w:val="none" w:sz="0" w:space="0" w:color="auto"/>
        <w:left w:val="none" w:sz="0" w:space="0" w:color="auto"/>
        <w:bottom w:val="none" w:sz="0" w:space="0" w:color="auto"/>
        <w:right w:val="none" w:sz="0" w:space="0" w:color="auto"/>
      </w:divBdr>
    </w:div>
    <w:div w:id="1954163423">
      <w:bodyDiv w:val="1"/>
      <w:marLeft w:val="0"/>
      <w:marRight w:val="0"/>
      <w:marTop w:val="0"/>
      <w:marBottom w:val="0"/>
      <w:divBdr>
        <w:top w:val="none" w:sz="0" w:space="0" w:color="auto"/>
        <w:left w:val="none" w:sz="0" w:space="0" w:color="auto"/>
        <w:bottom w:val="none" w:sz="0" w:space="0" w:color="auto"/>
        <w:right w:val="none" w:sz="0" w:space="0" w:color="auto"/>
      </w:divBdr>
    </w:div>
    <w:div w:id="213000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chart" Target="charts/chart40.xml"/><Relationship Id="rId55" Type="http://schemas.openxmlformats.org/officeDocument/2006/relationships/chart" Target="charts/chart45.xml"/><Relationship Id="rId63" Type="http://schemas.openxmlformats.org/officeDocument/2006/relationships/chart" Target="charts/chart53.xml"/><Relationship Id="rId68" Type="http://schemas.openxmlformats.org/officeDocument/2006/relationships/chart" Target="charts/chart58.xml"/><Relationship Id="rId76" Type="http://schemas.openxmlformats.org/officeDocument/2006/relationships/hyperlink" Target="https://www.dsebd.org/displayCompany.php?name=GRAMEENS2" TargetMode="External"/><Relationship Id="rId84" Type="http://schemas.openxmlformats.org/officeDocument/2006/relationships/hyperlink" Target="http://mutualfunds.com/expert-analysis/the-performance-of-long-serving-active-mutual-fund-managers"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dsebd.org/displayCompany.php?name=ICB3RDNRB" TargetMode="Externa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chart" Target="charts/chart43.xml"/><Relationship Id="rId58" Type="http://schemas.openxmlformats.org/officeDocument/2006/relationships/chart" Target="charts/chart48.xml"/><Relationship Id="rId66" Type="http://schemas.openxmlformats.org/officeDocument/2006/relationships/chart" Target="charts/chart56.xml"/><Relationship Id="rId74" Type="http://schemas.openxmlformats.org/officeDocument/2006/relationships/hyperlink" Target="https://www.dsebd.org/displayCompany.php?name=ICBEPMF1S1" TargetMode="External"/><Relationship Id="rId79" Type="http://schemas.openxmlformats.org/officeDocument/2006/relationships/hyperlink" Target="http://www.icbamcl.com.bd" TargetMode="External"/><Relationship Id="rId87" Type="http://schemas.openxmlformats.org/officeDocument/2006/relationships/hyperlink" Target="http://www.aims-bangladesh.com/aims2.php?id=fh_rfmf" TargetMode="External"/><Relationship Id="rId5" Type="http://schemas.openxmlformats.org/officeDocument/2006/relationships/settings" Target="settings.xml"/><Relationship Id="rId61" Type="http://schemas.openxmlformats.org/officeDocument/2006/relationships/chart" Target="charts/chart51.xml"/><Relationship Id="rId82" Type="http://schemas.openxmlformats.org/officeDocument/2006/relationships/hyperlink" Target="https://www.investopedia.com/terms/f/fundmanager.asp" TargetMode="External"/><Relationship Id="rId90" Type="http://schemas.openxmlformats.org/officeDocument/2006/relationships/theme" Target="theme/theme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chart" Target="charts/chart46.xml"/><Relationship Id="rId64" Type="http://schemas.openxmlformats.org/officeDocument/2006/relationships/chart" Target="charts/chart54.xml"/><Relationship Id="rId69" Type="http://schemas.openxmlformats.org/officeDocument/2006/relationships/hyperlink" Target="https://www.dsebd.org/companylistbyindustry.php?industryno=12" TargetMode="External"/><Relationship Id="rId77" Type="http://schemas.openxmlformats.org/officeDocument/2006/relationships/hyperlink" Target="https://www.dsebd.org/displayCompany.php?name=RELIANCE1" TargetMode="External"/><Relationship Id="rId8" Type="http://schemas.openxmlformats.org/officeDocument/2006/relationships/endnotes" Target="endnotes.xml"/><Relationship Id="rId51" Type="http://schemas.openxmlformats.org/officeDocument/2006/relationships/chart" Target="charts/chart41.xml"/><Relationship Id="rId72" Type="http://schemas.openxmlformats.org/officeDocument/2006/relationships/hyperlink" Target="https://www.dsebd.org/displayCompany.php?name=ICBAGRANI1" TargetMode="External"/><Relationship Id="rId80" Type="http://schemas.openxmlformats.org/officeDocument/2006/relationships/hyperlink" Target="https://www.thebalance.com/how-to-analyze-mutual-fund-performance-2466455" TargetMode="External"/><Relationship Id="rId85" Type="http://schemas.openxmlformats.org/officeDocument/2006/relationships/hyperlink" Target="https://icb.gov.bd/mutual_fund.php"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chart" Target="charts/chart49.xml"/><Relationship Id="rId67" Type="http://schemas.openxmlformats.org/officeDocument/2006/relationships/chart" Target="charts/chart57.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chart" Target="charts/chart44.xml"/><Relationship Id="rId62" Type="http://schemas.openxmlformats.org/officeDocument/2006/relationships/chart" Target="charts/chart52.xml"/><Relationship Id="rId70" Type="http://schemas.openxmlformats.org/officeDocument/2006/relationships/hyperlink" Target="https://www.dsebd.org/displayCompany.php?name=ICB2NDNRB" TargetMode="External"/><Relationship Id="rId75" Type="http://schemas.openxmlformats.org/officeDocument/2006/relationships/hyperlink" Target="https://www.dsebd.org/displayCompany.php?name=ICBSONALI1" TargetMode="External"/><Relationship Id="rId83" Type="http://schemas.openxmlformats.org/officeDocument/2006/relationships/hyperlink" Target="https://targetjobs.co.uk/careers-advice/job-descriptions/279911-investment-fund-manager-job-description" TargetMode="External"/><Relationship Id="rId88" Type="http://schemas.openxmlformats.org/officeDocument/2006/relationships/hyperlink" Target="http://www.aims-bangladesh.com/aims2.php?id=fh_g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chart" Target="charts/chart47.xml"/><Relationship Id="rId10" Type="http://schemas.openxmlformats.org/officeDocument/2006/relationships/footer" Target="footer1.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chart" Target="charts/chart42.xml"/><Relationship Id="rId60" Type="http://schemas.openxmlformats.org/officeDocument/2006/relationships/chart" Target="charts/chart50.xml"/><Relationship Id="rId65" Type="http://schemas.openxmlformats.org/officeDocument/2006/relationships/chart" Target="charts/chart55.xml"/><Relationship Id="rId73" Type="http://schemas.openxmlformats.org/officeDocument/2006/relationships/hyperlink" Target="https://www.dsebd.org/displayCompany.php?name=ICBAMCL2ND" TargetMode="External"/><Relationship Id="rId78" Type="http://schemas.openxmlformats.org/officeDocument/2006/relationships/hyperlink" Target="http://www.aims-bangladesh.com" TargetMode="External"/><Relationship Id="rId81" Type="http://schemas.openxmlformats.org/officeDocument/2006/relationships/hyperlink" Target="https://papers.ssrn.com/sol3/papers.cfm?abstract_id=1124363" TargetMode="External"/><Relationship Id="rId86" Type="http://schemas.openxmlformats.org/officeDocument/2006/relationships/hyperlink" Target="https://www.omicsonline.org/open-access/performance-evaluation-of-bangladeshi-mutual-fund-an-analysis-of-monthly-return-based-on-net-asset-value-2162-6359-1000428.php?aid=89658"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rafat\Desktop\Book1.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Arafat\Desktop\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rafat\Desktop\Book1.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Arafat\Desktop\annual\New%20folder\Book1.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Arafat\Desktop\Book1.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Arafat\Desktop\Book1.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Arafat\Desktop\Book1.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Arafat\Desktop\Book1.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Users\Arafat\Desktop\Book1.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Arafat\Desktop\Book1.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Arafat\Desktop\Book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rafat\Desktop\Book1.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Arafat\Desktop\Book1.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Arafat\Desktop\Book1.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Arafat\Desktop\Book1.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Arafat\Desktop\Book1.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Users\Arafat\Desktop\annual\New%20folder\Book1.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Users\Arafat\Desktop\Book1.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Arafat\Desktop\Book1.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file:///C:\Users\Arafat\Desktop\Book1.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27.xml"/><Relationship Id="rId1" Type="http://schemas.openxmlformats.org/officeDocument/2006/relationships/oleObject" Target="file:///C:\Users\Arafat\Desktop\Book1.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28.xml"/><Relationship Id="rId1" Type="http://schemas.openxmlformats.org/officeDocument/2006/relationships/oleObject" Target="file:///C:\Users\Arafat\Desktop\Book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rafat\Desktop\Book1.xlsx" TargetMode="Externa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29.xml"/><Relationship Id="rId1" Type="http://schemas.openxmlformats.org/officeDocument/2006/relationships/oleObject" Target="file:///C:\Users\Arafat\Desktop\Book1.xlsx" TargetMode="External"/></Relationships>
</file>

<file path=word/charts/_rels/chart31.xml.rels><?xml version="1.0" encoding="UTF-8" standalone="yes"?>
<Relationships xmlns="http://schemas.openxmlformats.org/package/2006/relationships"><Relationship Id="rId2" Type="http://schemas.openxmlformats.org/officeDocument/2006/relationships/chartUserShapes" Target="../drawings/drawing30.xml"/><Relationship Id="rId1" Type="http://schemas.openxmlformats.org/officeDocument/2006/relationships/oleObject" Target="file:///C:\Users\Arafat\Desktop\Book1.xlsx" TargetMode="Externa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31.xml"/><Relationship Id="rId1" Type="http://schemas.openxmlformats.org/officeDocument/2006/relationships/oleObject" Target="file:///C:\Users\Arafat\Desktop\Book1.xlsx"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32.xml"/><Relationship Id="rId1" Type="http://schemas.openxmlformats.org/officeDocument/2006/relationships/oleObject" Target="file:///C:\Users\Arafat\Desktop\Book1.xlsx"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33.xml"/><Relationship Id="rId1" Type="http://schemas.openxmlformats.org/officeDocument/2006/relationships/oleObject" Target="file:///C:\Users\Arafat\Desktop\Book1.xlsx"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34.xml"/><Relationship Id="rId1" Type="http://schemas.openxmlformats.org/officeDocument/2006/relationships/oleObject" Target="file:///C:\Users\Arafat\Desktop\Book1.xlsx" TargetMode="External"/></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35.xml"/><Relationship Id="rId1" Type="http://schemas.openxmlformats.org/officeDocument/2006/relationships/oleObject" Target="file:///C:\Users\Arafat\Desktop\annual\New%20folder\Book1.xlsx" TargetMode="Externa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36.xml"/><Relationship Id="rId1" Type="http://schemas.openxmlformats.org/officeDocument/2006/relationships/oleObject" Target="file:///H:\Book1.xlsx" TargetMode="External"/></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37.xml"/><Relationship Id="rId1" Type="http://schemas.openxmlformats.org/officeDocument/2006/relationships/oleObject" Target="file:///H:\Book1.xlsx"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38.xml"/><Relationship Id="rId1" Type="http://schemas.openxmlformats.org/officeDocument/2006/relationships/oleObject" Target="file:///H:\Book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rafat\Desktop\Book1.xlsx" TargetMode="Externa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39.xml"/><Relationship Id="rId1" Type="http://schemas.openxmlformats.org/officeDocument/2006/relationships/oleObject" Target="file:///H:\Book1.xlsx"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40.xml"/><Relationship Id="rId1" Type="http://schemas.openxmlformats.org/officeDocument/2006/relationships/oleObject" Target="file:///H:\Book1.xlsx" TargetMode="External"/></Relationships>
</file>

<file path=word/charts/_rels/chart42.xml.rels><?xml version="1.0" encoding="UTF-8" standalone="yes"?>
<Relationships xmlns="http://schemas.openxmlformats.org/package/2006/relationships"><Relationship Id="rId2" Type="http://schemas.openxmlformats.org/officeDocument/2006/relationships/chartUserShapes" Target="../drawings/drawing41.xml"/><Relationship Id="rId1" Type="http://schemas.openxmlformats.org/officeDocument/2006/relationships/oleObject" Target="file:///H:\Book1.xlsx" TargetMode="External"/></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42.xml"/><Relationship Id="rId1" Type="http://schemas.openxmlformats.org/officeDocument/2006/relationships/oleObject" Target="file:///H:\Book1.xlsx" TargetMode="External"/></Relationships>
</file>

<file path=word/charts/_rels/chart44.xml.rels><?xml version="1.0" encoding="UTF-8" standalone="yes"?>
<Relationships xmlns="http://schemas.openxmlformats.org/package/2006/relationships"><Relationship Id="rId2" Type="http://schemas.openxmlformats.org/officeDocument/2006/relationships/chartUserShapes" Target="../drawings/drawing43.xml"/><Relationship Id="rId1" Type="http://schemas.openxmlformats.org/officeDocument/2006/relationships/oleObject" Target="file:///H:\Book1.xlsx" TargetMode="External"/></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44.xml"/><Relationship Id="rId1" Type="http://schemas.openxmlformats.org/officeDocument/2006/relationships/oleObject" Target="file:///H:\Book1.xlsx" TargetMode="External"/></Relationships>
</file>

<file path=word/charts/_rels/chart46.xml.rels><?xml version="1.0" encoding="UTF-8" standalone="yes"?>
<Relationships xmlns="http://schemas.openxmlformats.org/package/2006/relationships"><Relationship Id="rId2" Type="http://schemas.openxmlformats.org/officeDocument/2006/relationships/chartUserShapes" Target="../drawings/drawing45.xml"/><Relationship Id="rId1" Type="http://schemas.openxmlformats.org/officeDocument/2006/relationships/oleObject" Target="file:///H:\Book1.xlsx"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46.xml"/><Relationship Id="rId1" Type="http://schemas.openxmlformats.org/officeDocument/2006/relationships/oleObject" Target="file:///H:\New%20folder\Book1.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rafat\Desktop\Book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Arafat\Desktop\demo.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Arafat\Desktop\Book1.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Arafat\Desktop\Book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Arafat\Desktop\Book1.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Arafat\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One'!$A$2</c:f>
              <c:strCache>
                <c:ptCount val="1"/>
                <c:pt idx="0">
                  <c:v>Return on Assets</c:v>
                </c:pt>
              </c:strCache>
            </c:strRef>
          </c:tx>
          <c:invertIfNegative val="0"/>
          <c:val>
            <c:numRef>
              <c:f>'Reliance One'!$B$2:$F$2</c:f>
              <c:numCache>
                <c:formatCode>General</c:formatCode>
                <c:ptCount val="5"/>
                <c:pt idx="0">
                  <c:v>8.7799712698616764E-2</c:v>
                </c:pt>
                <c:pt idx="1">
                  <c:v>0.10931099824539597</c:v>
                </c:pt>
                <c:pt idx="2">
                  <c:v>0.10801661868058712</c:v>
                </c:pt>
                <c:pt idx="3">
                  <c:v>5.5619474691282304E-2</c:v>
                </c:pt>
                <c:pt idx="4">
                  <c:v>6.3668120804033612E-2</c:v>
                </c:pt>
              </c:numCache>
            </c:numRef>
          </c:val>
        </c:ser>
        <c:dLbls>
          <c:showLegendKey val="0"/>
          <c:showVal val="0"/>
          <c:showCatName val="0"/>
          <c:showSerName val="0"/>
          <c:showPercent val="0"/>
          <c:showBubbleSize val="0"/>
        </c:dLbls>
        <c:gapWidth val="150"/>
        <c:axId val="260858624"/>
        <c:axId val="260860160"/>
      </c:barChart>
      <c:catAx>
        <c:axId val="260858624"/>
        <c:scaling>
          <c:orientation val="minMax"/>
        </c:scaling>
        <c:delete val="0"/>
        <c:axPos val="b"/>
        <c:majorTickMark val="out"/>
        <c:minorTickMark val="none"/>
        <c:tickLblPos val="nextTo"/>
        <c:crossAx val="260860160"/>
        <c:crosses val="autoZero"/>
        <c:auto val="1"/>
        <c:lblAlgn val="ctr"/>
        <c:lblOffset val="100"/>
        <c:noMultiLvlLbl val="0"/>
      </c:catAx>
      <c:valAx>
        <c:axId val="260860160"/>
        <c:scaling>
          <c:orientation val="minMax"/>
        </c:scaling>
        <c:delete val="0"/>
        <c:axPos val="l"/>
        <c:majorGridlines/>
        <c:numFmt formatCode="General" sourceLinked="1"/>
        <c:majorTickMark val="out"/>
        <c:minorTickMark val="none"/>
        <c:tickLblPos val="nextTo"/>
        <c:crossAx val="26085862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One'!$A$11</c:f>
              <c:strCache>
                <c:ptCount val="1"/>
                <c:pt idx="0">
                  <c:v>Return on Equity</c:v>
                </c:pt>
              </c:strCache>
            </c:strRef>
          </c:tx>
          <c:invertIfNegative val="0"/>
          <c:val>
            <c:numRef>
              <c:f>'Reliance One'!$B$11:$F$11</c:f>
              <c:numCache>
                <c:formatCode>General</c:formatCode>
                <c:ptCount val="5"/>
                <c:pt idx="0">
                  <c:v>8.8170299448053227E-2</c:v>
                </c:pt>
                <c:pt idx="1">
                  <c:v>0.10976661486090528</c:v>
                </c:pt>
                <c:pt idx="2">
                  <c:v>8.6977036241795452E-2</c:v>
                </c:pt>
                <c:pt idx="3">
                  <c:v>5.7141423139541431E-2</c:v>
                </c:pt>
                <c:pt idx="4">
                  <c:v>6.5058767093156986E-2</c:v>
                </c:pt>
              </c:numCache>
            </c:numRef>
          </c:val>
        </c:ser>
        <c:dLbls>
          <c:showLegendKey val="0"/>
          <c:showVal val="0"/>
          <c:showCatName val="0"/>
          <c:showSerName val="0"/>
          <c:showPercent val="0"/>
          <c:showBubbleSize val="0"/>
        </c:dLbls>
        <c:gapWidth val="150"/>
        <c:axId val="260652032"/>
        <c:axId val="260690688"/>
      </c:barChart>
      <c:catAx>
        <c:axId val="260652032"/>
        <c:scaling>
          <c:orientation val="minMax"/>
        </c:scaling>
        <c:delete val="0"/>
        <c:axPos val="b"/>
        <c:majorTickMark val="out"/>
        <c:minorTickMark val="none"/>
        <c:tickLblPos val="nextTo"/>
        <c:crossAx val="260690688"/>
        <c:crosses val="autoZero"/>
        <c:auto val="1"/>
        <c:lblAlgn val="ctr"/>
        <c:lblOffset val="100"/>
        <c:noMultiLvlLbl val="0"/>
      </c:catAx>
      <c:valAx>
        <c:axId val="260690688"/>
        <c:scaling>
          <c:orientation val="minMax"/>
        </c:scaling>
        <c:delete val="0"/>
        <c:axPos val="l"/>
        <c:majorGridlines/>
        <c:numFmt formatCode="General" sourceLinked="1"/>
        <c:majorTickMark val="out"/>
        <c:minorTickMark val="none"/>
        <c:tickLblPos val="nextTo"/>
        <c:crossAx val="26065203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One'!$A$12</c:f>
              <c:strCache>
                <c:ptCount val="1"/>
                <c:pt idx="0">
                  <c:v>Total equity to Total Asset</c:v>
                </c:pt>
              </c:strCache>
            </c:strRef>
          </c:tx>
          <c:invertIfNegative val="0"/>
          <c:val>
            <c:numRef>
              <c:f>'Reliance One'!$B$12:$F$12</c:f>
              <c:numCache>
                <c:formatCode>General</c:formatCode>
                <c:ptCount val="5"/>
                <c:pt idx="0">
                  <c:v>0.99579692082530857</c:v>
                </c:pt>
                <c:pt idx="1">
                  <c:v>0.99584922413717125</c:v>
                </c:pt>
                <c:pt idx="2">
                  <c:v>0.98829248852231733</c:v>
                </c:pt>
                <c:pt idx="3">
                  <c:v>0.9733652337544626</c:v>
                </c:pt>
                <c:pt idx="4">
                  <c:v>0.97857303383463468</c:v>
                </c:pt>
              </c:numCache>
            </c:numRef>
          </c:val>
        </c:ser>
        <c:dLbls>
          <c:showLegendKey val="0"/>
          <c:showVal val="0"/>
          <c:showCatName val="0"/>
          <c:showSerName val="0"/>
          <c:showPercent val="0"/>
          <c:showBubbleSize val="0"/>
        </c:dLbls>
        <c:gapWidth val="150"/>
        <c:axId val="260781184"/>
        <c:axId val="260782720"/>
      </c:barChart>
      <c:catAx>
        <c:axId val="260781184"/>
        <c:scaling>
          <c:orientation val="minMax"/>
        </c:scaling>
        <c:delete val="0"/>
        <c:axPos val="b"/>
        <c:majorTickMark val="out"/>
        <c:minorTickMark val="none"/>
        <c:tickLblPos val="nextTo"/>
        <c:crossAx val="260782720"/>
        <c:crosses val="autoZero"/>
        <c:auto val="1"/>
        <c:lblAlgn val="ctr"/>
        <c:lblOffset val="100"/>
        <c:noMultiLvlLbl val="0"/>
      </c:catAx>
      <c:valAx>
        <c:axId val="260782720"/>
        <c:scaling>
          <c:orientation val="minMax"/>
        </c:scaling>
        <c:delete val="0"/>
        <c:axPos val="l"/>
        <c:majorGridlines/>
        <c:numFmt formatCode="General" sourceLinked="1"/>
        <c:majorTickMark val="out"/>
        <c:minorTickMark val="none"/>
        <c:tickLblPos val="nextTo"/>
        <c:crossAx val="26078118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159711286089226"/>
          <c:y val="4.6296296296296335E-2"/>
        </c:manualLayout>
      </c:layout>
      <c:overlay val="0"/>
    </c:title>
    <c:autoTitleDeleted val="0"/>
    <c:plotArea>
      <c:layout/>
      <c:barChart>
        <c:barDir val="col"/>
        <c:grouping val="clustered"/>
        <c:varyColors val="0"/>
        <c:ser>
          <c:idx val="0"/>
          <c:order val="0"/>
          <c:tx>
            <c:strRef>
              <c:f>'Reliance One'!$A$13</c:f>
              <c:strCache>
                <c:ptCount val="1"/>
                <c:pt idx="0">
                  <c:v>Market To Book Ratio</c:v>
                </c:pt>
              </c:strCache>
            </c:strRef>
          </c:tx>
          <c:invertIfNegative val="0"/>
          <c:val>
            <c:numRef>
              <c:f>'Reliance One'!$B$13:$F$13</c:f>
              <c:numCache>
                <c:formatCode>General</c:formatCode>
                <c:ptCount val="5"/>
                <c:pt idx="0">
                  <c:v>1.0084745762711864</c:v>
                </c:pt>
                <c:pt idx="1">
                  <c:v>1.0439834024896255</c:v>
                </c:pt>
                <c:pt idx="2">
                  <c:v>1.0522821576763493</c:v>
                </c:pt>
                <c:pt idx="3">
                  <c:v>1.0351931330472104</c:v>
                </c:pt>
                <c:pt idx="4">
                  <c:v>1.0254668930390478</c:v>
                </c:pt>
              </c:numCache>
            </c:numRef>
          </c:val>
        </c:ser>
        <c:dLbls>
          <c:showLegendKey val="0"/>
          <c:showVal val="0"/>
          <c:showCatName val="0"/>
          <c:showSerName val="0"/>
          <c:showPercent val="0"/>
          <c:showBubbleSize val="0"/>
        </c:dLbls>
        <c:gapWidth val="150"/>
        <c:axId val="260795008"/>
        <c:axId val="260796800"/>
      </c:barChart>
      <c:catAx>
        <c:axId val="260795008"/>
        <c:scaling>
          <c:orientation val="minMax"/>
        </c:scaling>
        <c:delete val="0"/>
        <c:axPos val="b"/>
        <c:majorTickMark val="out"/>
        <c:minorTickMark val="none"/>
        <c:tickLblPos val="nextTo"/>
        <c:crossAx val="260796800"/>
        <c:crosses val="autoZero"/>
        <c:auto val="1"/>
        <c:lblAlgn val="ctr"/>
        <c:lblOffset val="100"/>
        <c:noMultiLvlLbl val="0"/>
      </c:catAx>
      <c:valAx>
        <c:axId val="260796800"/>
        <c:scaling>
          <c:orientation val="minMax"/>
        </c:scaling>
        <c:delete val="0"/>
        <c:axPos val="l"/>
        <c:majorGridlines/>
        <c:numFmt formatCode="General" sourceLinked="1"/>
        <c:majorTickMark val="out"/>
        <c:minorTickMark val="none"/>
        <c:tickLblPos val="nextTo"/>
        <c:crossAx val="2607950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One'!$A$2</c:f>
              <c:strCache>
                <c:ptCount val="1"/>
                <c:pt idx="0">
                  <c:v>Return on Assets</c:v>
                </c:pt>
              </c:strCache>
            </c:strRef>
          </c:tx>
          <c:invertIfNegative val="0"/>
          <c:val>
            <c:numRef>
              <c:f>'Grameen One'!$B$2:$F$2</c:f>
              <c:numCache>
                <c:formatCode>General</c:formatCode>
                <c:ptCount val="5"/>
                <c:pt idx="0">
                  <c:v>0.17696566188691051</c:v>
                </c:pt>
                <c:pt idx="1">
                  <c:v>7.0413592954575541E-2</c:v>
                </c:pt>
                <c:pt idx="2">
                  <c:v>7.3498286758495124E-2</c:v>
                </c:pt>
                <c:pt idx="3">
                  <c:v>9.6767784821030739E-2</c:v>
                </c:pt>
                <c:pt idx="4">
                  <c:v>5.4254225493644906E-2</c:v>
                </c:pt>
              </c:numCache>
            </c:numRef>
          </c:val>
        </c:ser>
        <c:dLbls>
          <c:showLegendKey val="0"/>
          <c:showVal val="0"/>
          <c:showCatName val="0"/>
          <c:showSerName val="0"/>
          <c:showPercent val="0"/>
          <c:showBubbleSize val="0"/>
        </c:dLbls>
        <c:gapWidth val="150"/>
        <c:axId val="260899200"/>
        <c:axId val="260900736"/>
      </c:barChart>
      <c:catAx>
        <c:axId val="260899200"/>
        <c:scaling>
          <c:orientation val="minMax"/>
        </c:scaling>
        <c:delete val="0"/>
        <c:axPos val="b"/>
        <c:majorTickMark val="out"/>
        <c:minorTickMark val="none"/>
        <c:tickLblPos val="nextTo"/>
        <c:crossAx val="260900736"/>
        <c:crosses val="autoZero"/>
        <c:auto val="1"/>
        <c:lblAlgn val="ctr"/>
        <c:lblOffset val="100"/>
        <c:noMultiLvlLbl val="0"/>
      </c:catAx>
      <c:valAx>
        <c:axId val="260900736"/>
        <c:scaling>
          <c:orientation val="minMax"/>
        </c:scaling>
        <c:delete val="0"/>
        <c:axPos val="l"/>
        <c:majorGridlines/>
        <c:numFmt formatCode="General" sourceLinked="1"/>
        <c:majorTickMark val="out"/>
        <c:minorTickMark val="none"/>
        <c:tickLblPos val="nextTo"/>
        <c:crossAx val="26089920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One'!$A$3</c:f>
              <c:strCache>
                <c:ptCount val="1"/>
                <c:pt idx="0">
                  <c:v>Dividend Yeild Ratio</c:v>
                </c:pt>
              </c:strCache>
            </c:strRef>
          </c:tx>
          <c:invertIfNegative val="0"/>
          <c:val>
            <c:numRef>
              <c:f>'Grameen One'!$B$3:$F$3</c:f>
              <c:numCache>
                <c:formatCode>General</c:formatCode>
                <c:ptCount val="5"/>
                <c:pt idx="1">
                  <c:v>0.17580872011251758</c:v>
                </c:pt>
                <c:pt idx="2">
                  <c:v>4.8732943469785572E-2</c:v>
                </c:pt>
                <c:pt idx="3">
                  <c:v>5.7290174735032964E-2</c:v>
                </c:pt>
                <c:pt idx="4">
                  <c:v>4.8230504227998794E-2</c:v>
                </c:pt>
              </c:numCache>
            </c:numRef>
          </c:val>
        </c:ser>
        <c:dLbls>
          <c:showLegendKey val="0"/>
          <c:showVal val="0"/>
          <c:showCatName val="0"/>
          <c:showSerName val="0"/>
          <c:showPercent val="0"/>
          <c:showBubbleSize val="0"/>
        </c:dLbls>
        <c:gapWidth val="150"/>
        <c:axId val="260925312"/>
        <c:axId val="260926848"/>
      </c:barChart>
      <c:catAx>
        <c:axId val="260925312"/>
        <c:scaling>
          <c:orientation val="minMax"/>
        </c:scaling>
        <c:delete val="0"/>
        <c:axPos val="b"/>
        <c:majorTickMark val="out"/>
        <c:minorTickMark val="none"/>
        <c:tickLblPos val="nextTo"/>
        <c:crossAx val="260926848"/>
        <c:crosses val="autoZero"/>
        <c:auto val="1"/>
        <c:lblAlgn val="ctr"/>
        <c:lblOffset val="100"/>
        <c:noMultiLvlLbl val="0"/>
      </c:catAx>
      <c:valAx>
        <c:axId val="260926848"/>
        <c:scaling>
          <c:orientation val="minMax"/>
        </c:scaling>
        <c:delete val="0"/>
        <c:axPos val="l"/>
        <c:majorGridlines/>
        <c:numFmt formatCode="General" sourceLinked="1"/>
        <c:majorTickMark val="out"/>
        <c:minorTickMark val="none"/>
        <c:tickLblPos val="nextTo"/>
        <c:crossAx val="2609253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527077865266838"/>
          <c:y val="4.1666666666666664E-2"/>
        </c:manualLayout>
      </c:layout>
      <c:overlay val="0"/>
    </c:title>
    <c:autoTitleDeleted val="0"/>
    <c:plotArea>
      <c:layout/>
      <c:barChart>
        <c:barDir val="col"/>
        <c:grouping val="clustered"/>
        <c:varyColors val="0"/>
        <c:ser>
          <c:idx val="0"/>
          <c:order val="0"/>
          <c:tx>
            <c:strRef>
              <c:f>'Grameen One'!$A$4</c:f>
              <c:strCache>
                <c:ptCount val="1"/>
                <c:pt idx="0">
                  <c:v>Change in dividend Percentage</c:v>
                </c:pt>
              </c:strCache>
            </c:strRef>
          </c:tx>
          <c:invertIfNegative val="0"/>
          <c:val>
            <c:numRef>
              <c:f>'Grameen One'!$B$4:$F$4</c:f>
              <c:numCache>
                <c:formatCode>0.0E+00</c:formatCode>
                <c:ptCount val="5"/>
                <c:pt idx="0" formatCode="General">
                  <c:v>-15.492957746478869</c:v>
                </c:pt>
                <c:pt idx="1">
                  <c:v>1.225490196078432E-6</c:v>
                </c:pt>
                <c:pt idx="2" formatCode="General">
                  <c:v>-70</c:v>
                </c:pt>
                <c:pt idx="3" formatCode="General">
                  <c:v>33.333333333333329</c:v>
                </c:pt>
                <c:pt idx="4" formatCode="General">
                  <c:v>0</c:v>
                </c:pt>
              </c:numCache>
            </c:numRef>
          </c:val>
        </c:ser>
        <c:dLbls>
          <c:showLegendKey val="0"/>
          <c:showVal val="0"/>
          <c:showCatName val="0"/>
          <c:showSerName val="0"/>
          <c:showPercent val="0"/>
          <c:showBubbleSize val="0"/>
        </c:dLbls>
        <c:gapWidth val="150"/>
        <c:axId val="260963712"/>
        <c:axId val="261043328"/>
      </c:barChart>
      <c:catAx>
        <c:axId val="260963712"/>
        <c:scaling>
          <c:orientation val="minMax"/>
        </c:scaling>
        <c:delete val="0"/>
        <c:axPos val="b"/>
        <c:majorTickMark val="out"/>
        <c:minorTickMark val="none"/>
        <c:tickLblPos val="nextTo"/>
        <c:crossAx val="261043328"/>
        <c:crosses val="autoZero"/>
        <c:auto val="1"/>
        <c:lblAlgn val="ctr"/>
        <c:lblOffset val="100"/>
        <c:noMultiLvlLbl val="0"/>
      </c:catAx>
      <c:valAx>
        <c:axId val="261043328"/>
        <c:scaling>
          <c:orientation val="minMax"/>
        </c:scaling>
        <c:delete val="0"/>
        <c:axPos val="l"/>
        <c:majorGridlines/>
        <c:numFmt formatCode="General" sourceLinked="1"/>
        <c:majorTickMark val="out"/>
        <c:minorTickMark val="none"/>
        <c:tickLblPos val="nextTo"/>
        <c:crossAx val="2609637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One'!$A$5</c:f>
              <c:strCache>
                <c:ptCount val="1"/>
                <c:pt idx="0">
                  <c:v>Growth Rate</c:v>
                </c:pt>
              </c:strCache>
            </c:strRef>
          </c:tx>
          <c:invertIfNegative val="0"/>
          <c:val>
            <c:numRef>
              <c:f>'Grameen One'!$B$5:$F$5</c:f>
              <c:numCache>
                <c:formatCode>General</c:formatCode>
                <c:ptCount val="5"/>
                <c:pt idx="0">
                  <c:v>-91.810493405112169</c:v>
                </c:pt>
                <c:pt idx="1">
                  <c:v>-17.62883745340223</c:v>
                </c:pt>
                <c:pt idx="2">
                  <c:v>7.0324538366069085</c:v>
                </c:pt>
                <c:pt idx="3">
                  <c:v>13.082566498445212</c:v>
                </c:pt>
                <c:pt idx="4">
                  <c:v>18.527818731683684</c:v>
                </c:pt>
              </c:numCache>
            </c:numRef>
          </c:val>
        </c:ser>
        <c:dLbls>
          <c:showLegendKey val="0"/>
          <c:showVal val="0"/>
          <c:showCatName val="0"/>
          <c:showSerName val="0"/>
          <c:showPercent val="0"/>
          <c:showBubbleSize val="0"/>
        </c:dLbls>
        <c:gapWidth val="150"/>
        <c:axId val="261067904"/>
        <c:axId val="261069440"/>
      </c:barChart>
      <c:catAx>
        <c:axId val="261067904"/>
        <c:scaling>
          <c:orientation val="minMax"/>
        </c:scaling>
        <c:delete val="0"/>
        <c:axPos val="b"/>
        <c:majorTickMark val="out"/>
        <c:minorTickMark val="none"/>
        <c:tickLblPos val="nextTo"/>
        <c:crossAx val="261069440"/>
        <c:crosses val="autoZero"/>
        <c:auto val="1"/>
        <c:lblAlgn val="ctr"/>
        <c:lblOffset val="100"/>
        <c:noMultiLvlLbl val="0"/>
      </c:catAx>
      <c:valAx>
        <c:axId val="261069440"/>
        <c:scaling>
          <c:orientation val="minMax"/>
        </c:scaling>
        <c:delete val="0"/>
        <c:axPos val="l"/>
        <c:majorGridlines/>
        <c:numFmt formatCode="General" sourceLinked="1"/>
        <c:majorTickMark val="out"/>
        <c:minorTickMark val="none"/>
        <c:tickLblPos val="nextTo"/>
        <c:crossAx val="26106790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78888888888897"/>
          <c:y val="2.7777777777777842E-2"/>
        </c:manualLayout>
      </c:layout>
      <c:overlay val="0"/>
    </c:title>
    <c:autoTitleDeleted val="0"/>
    <c:plotArea>
      <c:layout/>
      <c:barChart>
        <c:barDir val="col"/>
        <c:grouping val="clustered"/>
        <c:varyColors val="0"/>
        <c:ser>
          <c:idx val="0"/>
          <c:order val="0"/>
          <c:tx>
            <c:strRef>
              <c:f>'Grameen One'!$A$6</c:f>
              <c:strCache>
                <c:ptCount val="1"/>
                <c:pt idx="0">
                  <c:v>Net asset valuation</c:v>
                </c:pt>
              </c:strCache>
            </c:strRef>
          </c:tx>
          <c:invertIfNegative val="0"/>
          <c:val>
            <c:numRef>
              <c:f>'Grameen One'!$B$6:$F$6</c:f>
              <c:numCache>
                <c:formatCode>General</c:formatCode>
                <c:ptCount val="5"/>
                <c:pt idx="0">
                  <c:v>889822493</c:v>
                </c:pt>
                <c:pt idx="1">
                  <c:v>725153970</c:v>
                </c:pt>
                <c:pt idx="2">
                  <c:v>784856121</c:v>
                </c:pt>
                <c:pt idx="3">
                  <c:v>890166441</c:v>
                </c:pt>
                <c:pt idx="4">
                  <c:v>1058528740</c:v>
                </c:pt>
              </c:numCache>
            </c:numRef>
          </c:val>
        </c:ser>
        <c:dLbls>
          <c:showLegendKey val="0"/>
          <c:showVal val="0"/>
          <c:showCatName val="0"/>
          <c:showSerName val="0"/>
          <c:showPercent val="0"/>
          <c:showBubbleSize val="0"/>
        </c:dLbls>
        <c:gapWidth val="150"/>
        <c:axId val="261065344"/>
        <c:axId val="261095808"/>
      </c:barChart>
      <c:catAx>
        <c:axId val="261065344"/>
        <c:scaling>
          <c:orientation val="minMax"/>
        </c:scaling>
        <c:delete val="0"/>
        <c:axPos val="b"/>
        <c:majorTickMark val="out"/>
        <c:minorTickMark val="none"/>
        <c:tickLblPos val="nextTo"/>
        <c:crossAx val="261095808"/>
        <c:crosses val="autoZero"/>
        <c:auto val="1"/>
        <c:lblAlgn val="ctr"/>
        <c:lblOffset val="100"/>
        <c:noMultiLvlLbl val="0"/>
      </c:catAx>
      <c:valAx>
        <c:axId val="261095808"/>
        <c:scaling>
          <c:orientation val="minMax"/>
        </c:scaling>
        <c:delete val="0"/>
        <c:axPos val="l"/>
        <c:majorGridlines/>
        <c:numFmt formatCode="General" sourceLinked="1"/>
        <c:majorTickMark val="out"/>
        <c:minorTickMark val="none"/>
        <c:tickLblPos val="nextTo"/>
        <c:crossAx val="26106534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One'!$A$7</c:f>
              <c:strCache>
                <c:ptCount val="1"/>
                <c:pt idx="0">
                  <c:v>Expense Ratio </c:v>
                </c:pt>
              </c:strCache>
            </c:strRef>
          </c:tx>
          <c:invertIfNegative val="0"/>
          <c:val>
            <c:numRef>
              <c:f>'Grameen One'!$B$7:$F$7</c:f>
              <c:numCache>
                <c:formatCode>General</c:formatCode>
                <c:ptCount val="5"/>
                <c:pt idx="0">
                  <c:v>1.484715896027592E-2</c:v>
                </c:pt>
                <c:pt idx="1">
                  <c:v>1.6991060532978948E-2</c:v>
                </c:pt>
                <c:pt idx="2">
                  <c:v>1.4292561018327099E-2</c:v>
                </c:pt>
                <c:pt idx="3">
                  <c:v>1.3950709022516402E-2</c:v>
                </c:pt>
                <c:pt idx="4">
                  <c:v>1.3386859009609906E-2</c:v>
                </c:pt>
              </c:numCache>
            </c:numRef>
          </c:val>
        </c:ser>
        <c:dLbls>
          <c:showLegendKey val="0"/>
          <c:showVal val="0"/>
          <c:showCatName val="0"/>
          <c:showSerName val="0"/>
          <c:showPercent val="0"/>
          <c:showBubbleSize val="0"/>
        </c:dLbls>
        <c:gapWidth val="150"/>
        <c:axId val="261120384"/>
        <c:axId val="261121920"/>
      </c:barChart>
      <c:catAx>
        <c:axId val="261120384"/>
        <c:scaling>
          <c:orientation val="minMax"/>
        </c:scaling>
        <c:delete val="0"/>
        <c:axPos val="b"/>
        <c:majorTickMark val="out"/>
        <c:minorTickMark val="none"/>
        <c:tickLblPos val="nextTo"/>
        <c:crossAx val="261121920"/>
        <c:crosses val="autoZero"/>
        <c:auto val="1"/>
        <c:lblAlgn val="ctr"/>
        <c:lblOffset val="100"/>
        <c:noMultiLvlLbl val="0"/>
      </c:catAx>
      <c:valAx>
        <c:axId val="261121920"/>
        <c:scaling>
          <c:orientation val="minMax"/>
        </c:scaling>
        <c:delete val="0"/>
        <c:axPos val="l"/>
        <c:majorGridlines/>
        <c:numFmt formatCode="General" sourceLinked="1"/>
        <c:majorTickMark val="out"/>
        <c:minorTickMark val="none"/>
        <c:tickLblPos val="nextTo"/>
        <c:crossAx val="26112038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One'!$A$8</c:f>
              <c:strCache>
                <c:ptCount val="1"/>
                <c:pt idx="0">
                  <c:v>Price earnings ratio</c:v>
                </c:pt>
              </c:strCache>
            </c:strRef>
          </c:tx>
          <c:invertIfNegative val="0"/>
          <c:val>
            <c:numRef>
              <c:f>'Grameen One'!$B$8:$F$8</c:f>
              <c:numCache>
                <c:formatCode>General</c:formatCode>
                <c:ptCount val="5"/>
                <c:pt idx="1">
                  <c:v>13.873170731707322</c:v>
                </c:pt>
                <c:pt idx="2">
                  <c:v>13.441048034934498</c:v>
                </c:pt>
                <c:pt idx="3">
                  <c:v>10.237536656891496</c:v>
                </c:pt>
                <c:pt idx="4">
                  <c:v>18.350574712643695</c:v>
                </c:pt>
              </c:numCache>
            </c:numRef>
          </c:val>
        </c:ser>
        <c:dLbls>
          <c:showLegendKey val="0"/>
          <c:showVal val="0"/>
          <c:showCatName val="0"/>
          <c:showSerName val="0"/>
          <c:showPercent val="0"/>
          <c:showBubbleSize val="0"/>
        </c:dLbls>
        <c:gapWidth val="150"/>
        <c:axId val="261113728"/>
        <c:axId val="261115264"/>
      </c:barChart>
      <c:catAx>
        <c:axId val="261113728"/>
        <c:scaling>
          <c:orientation val="minMax"/>
        </c:scaling>
        <c:delete val="0"/>
        <c:axPos val="b"/>
        <c:majorTickMark val="out"/>
        <c:minorTickMark val="none"/>
        <c:tickLblPos val="nextTo"/>
        <c:crossAx val="261115264"/>
        <c:crosses val="autoZero"/>
        <c:auto val="1"/>
        <c:lblAlgn val="ctr"/>
        <c:lblOffset val="100"/>
        <c:noMultiLvlLbl val="0"/>
      </c:catAx>
      <c:valAx>
        <c:axId val="261115264"/>
        <c:scaling>
          <c:orientation val="minMax"/>
        </c:scaling>
        <c:delete val="0"/>
        <c:axPos val="l"/>
        <c:majorGridlines/>
        <c:numFmt formatCode="General" sourceLinked="1"/>
        <c:majorTickMark val="out"/>
        <c:minorTickMark val="none"/>
        <c:tickLblPos val="nextTo"/>
        <c:crossAx val="26111372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One'!$A$3</c:f>
              <c:strCache>
                <c:ptCount val="1"/>
                <c:pt idx="0">
                  <c:v>Dividend Yeild Ratio</c:v>
                </c:pt>
              </c:strCache>
            </c:strRef>
          </c:tx>
          <c:invertIfNegative val="0"/>
          <c:val>
            <c:numRef>
              <c:f>'Reliance One'!$B$3:$F$3</c:f>
              <c:numCache>
                <c:formatCode>General</c:formatCode>
                <c:ptCount val="5"/>
                <c:pt idx="1">
                  <c:v>12.219999999999999</c:v>
                </c:pt>
                <c:pt idx="2">
                  <c:v>14.29</c:v>
                </c:pt>
                <c:pt idx="3">
                  <c:v>12.66</c:v>
                </c:pt>
                <c:pt idx="4">
                  <c:v>9.09</c:v>
                </c:pt>
              </c:numCache>
            </c:numRef>
          </c:val>
        </c:ser>
        <c:dLbls>
          <c:showLegendKey val="0"/>
          <c:showVal val="0"/>
          <c:showCatName val="0"/>
          <c:showSerName val="0"/>
          <c:showPercent val="0"/>
          <c:showBubbleSize val="0"/>
        </c:dLbls>
        <c:gapWidth val="150"/>
        <c:axId val="260868352"/>
        <c:axId val="260882432"/>
      </c:barChart>
      <c:catAx>
        <c:axId val="260868352"/>
        <c:scaling>
          <c:orientation val="minMax"/>
        </c:scaling>
        <c:delete val="0"/>
        <c:axPos val="b"/>
        <c:majorTickMark val="out"/>
        <c:minorTickMark val="none"/>
        <c:tickLblPos val="nextTo"/>
        <c:crossAx val="260882432"/>
        <c:crosses val="autoZero"/>
        <c:auto val="1"/>
        <c:lblAlgn val="ctr"/>
        <c:lblOffset val="100"/>
        <c:noMultiLvlLbl val="0"/>
      </c:catAx>
      <c:valAx>
        <c:axId val="260882432"/>
        <c:scaling>
          <c:orientation val="minMax"/>
        </c:scaling>
        <c:delete val="0"/>
        <c:axPos val="l"/>
        <c:majorGridlines/>
        <c:numFmt formatCode="General" sourceLinked="1"/>
        <c:majorTickMark val="out"/>
        <c:minorTickMark val="none"/>
        <c:tickLblPos val="nextTo"/>
        <c:crossAx val="2608683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One'!$A$9</c:f>
              <c:strCache>
                <c:ptCount val="1"/>
                <c:pt idx="0">
                  <c:v>Dividend Payout Ratio</c:v>
                </c:pt>
              </c:strCache>
            </c:strRef>
          </c:tx>
          <c:invertIfNegative val="0"/>
          <c:val>
            <c:numRef>
              <c:f>'Grameen One'!$B$9:$F$9</c:f>
              <c:numCache>
                <c:formatCode>General</c:formatCode>
                <c:ptCount val="5"/>
                <c:pt idx="0">
                  <c:v>0.6392903846645982</c:v>
                </c:pt>
                <c:pt idx="1">
                  <c:v>2.4381784554252284</c:v>
                </c:pt>
                <c:pt idx="2">
                  <c:v>0.65471237749240263</c:v>
                </c:pt>
                <c:pt idx="3">
                  <c:v>0.58632720819908934</c:v>
                </c:pt>
                <c:pt idx="4">
                  <c:v>0.88230143797488436</c:v>
                </c:pt>
              </c:numCache>
            </c:numRef>
          </c:val>
        </c:ser>
        <c:dLbls>
          <c:showLegendKey val="0"/>
          <c:showVal val="0"/>
          <c:showCatName val="0"/>
          <c:showSerName val="0"/>
          <c:showPercent val="0"/>
          <c:showBubbleSize val="0"/>
        </c:dLbls>
        <c:gapWidth val="150"/>
        <c:axId val="261180800"/>
        <c:axId val="199705728"/>
      </c:barChart>
      <c:catAx>
        <c:axId val="261180800"/>
        <c:scaling>
          <c:orientation val="minMax"/>
        </c:scaling>
        <c:delete val="0"/>
        <c:axPos val="b"/>
        <c:majorTickMark val="out"/>
        <c:minorTickMark val="none"/>
        <c:tickLblPos val="nextTo"/>
        <c:crossAx val="199705728"/>
        <c:crosses val="autoZero"/>
        <c:auto val="1"/>
        <c:lblAlgn val="ctr"/>
        <c:lblOffset val="100"/>
        <c:noMultiLvlLbl val="0"/>
      </c:catAx>
      <c:valAx>
        <c:axId val="199705728"/>
        <c:scaling>
          <c:orientation val="minMax"/>
        </c:scaling>
        <c:delete val="0"/>
        <c:axPos val="l"/>
        <c:majorGridlines/>
        <c:numFmt formatCode="General" sourceLinked="1"/>
        <c:majorTickMark val="out"/>
        <c:minorTickMark val="none"/>
        <c:tickLblPos val="nextTo"/>
        <c:crossAx val="26118080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One'!$A$10</c:f>
              <c:strCache>
                <c:ptCount val="1"/>
                <c:pt idx="0">
                  <c:v>Total Liabilites to Total Asset</c:v>
                </c:pt>
              </c:strCache>
            </c:strRef>
          </c:tx>
          <c:invertIfNegative val="0"/>
          <c:val>
            <c:numRef>
              <c:f>'Grameen One'!$B$10:$F$10</c:f>
              <c:numCache>
                <c:formatCode>General</c:formatCode>
                <c:ptCount val="5"/>
                <c:pt idx="0">
                  <c:v>1.3060831447125264E-2</c:v>
                </c:pt>
                <c:pt idx="1">
                  <c:v>2.3567921102640933E-2</c:v>
                </c:pt>
                <c:pt idx="2">
                  <c:v>1.2615336222053916E-2</c:v>
                </c:pt>
                <c:pt idx="3">
                  <c:v>9.6883487219607406E-3</c:v>
                </c:pt>
                <c:pt idx="4">
                  <c:v>6.4653154768470385E-3</c:v>
                </c:pt>
              </c:numCache>
            </c:numRef>
          </c:val>
        </c:ser>
        <c:dLbls>
          <c:showLegendKey val="0"/>
          <c:showVal val="0"/>
          <c:showCatName val="0"/>
          <c:showSerName val="0"/>
          <c:showPercent val="0"/>
          <c:showBubbleSize val="0"/>
        </c:dLbls>
        <c:gapWidth val="150"/>
        <c:axId val="260842624"/>
        <c:axId val="260844160"/>
      </c:barChart>
      <c:catAx>
        <c:axId val="260842624"/>
        <c:scaling>
          <c:orientation val="minMax"/>
        </c:scaling>
        <c:delete val="0"/>
        <c:axPos val="b"/>
        <c:majorTickMark val="out"/>
        <c:minorTickMark val="none"/>
        <c:tickLblPos val="nextTo"/>
        <c:crossAx val="260844160"/>
        <c:crosses val="autoZero"/>
        <c:auto val="1"/>
        <c:lblAlgn val="ctr"/>
        <c:lblOffset val="100"/>
        <c:noMultiLvlLbl val="0"/>
      </c:catAx>
      <c:valAx>
        <c:axId val="260844160"/>
        <c:scaling>
          <c:orientation val="minMax"/>
        </c:scaling>
        <c:delete val="0"/>
        <c:axPos val="l"/>
        <c:majorGridlines/>
        <c:numFmt formatCode="General" sourceLinked="1"/>
        <c:majorTickMark val="out"/>
        <c:minorTickMark val="none"/>
        <c:tickLblPos val="nextTo"/>
        <c:crossAx val="26084262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One'!$A$12</c:f>
              <c:strCache>
                <c:ptCount val="1"/>
                <c:pt idx="0">
                  <c:v>Total equity to Total Asset</c:v>
                </c:pt>
              </c:strCache>
            </c:strRef>
          </c:tx>
          <c:invertIfNegative val="0"/>
          <c:val>
            <c:numRef>
              <c:f>'Grameen One'!$B$12:$F$12</c:f>
              <c:numCache>
                <c:formatCode>General</c:formatCode>
                <c:ptCount val="5"/>
                <c:pt idx="0">
                  <c:v>0.98693916855287478</c:v>
                </c:pt>
                <c:pt idx="1">
                  <c:v>0.97643207889735817</c:v>
                </c:pt>
                <c:pt idx="2">
                  <c:v>0.98738466377794465</c:v>
                </c:pt>
                <c:pt idx="3">
                  <c:v>0.99031165127803922</c:v>
                </c:pt>
                <c:pt idx="4">
                  <c:v>0.99353468452315297</c:v>
                </c:pt>
              </c:numCache>
            </c:numRef>
          </c:val>
        </c:ser>
        <c:dLbls>
          <c:showLegendKey val="0"/>
          <c:showVal val="0"/>
          <c:showCatName val="0"/>
          <c:showSerName val="0"/>
          <c:showPercent val="0"/>
          <c:showBubbleSize val="0"/>
        </c:dLbls>
        <c:gapWidth val="150"/>
        <c:axId val="261200512"/>
        <c:axId val="261214592"/>
      </c:barChart>
      <c:catAx>
        <c:axId val="261200512"/>
        <c:scaling>
          <c:orientation val="minMax"/>
        </c:scaling>
        <c:delete val="0"/>
        <c:axPos val="b"/>
        <c:majorTickMark val="out"/>
        <c:minorTickMark val="none"/>
        <c:tickLblPos val="nextTo"/>
        <c:crossAx val="261214592"/>
        <c:crosses val="autoZero"/>
        <c:auto val="1"/>
        <c:lblAlgn val="ctr"/>
        <c:lblOffset val="100"/>
        <c:noMultiLvlLbl val="0"/>
      </c:catAx>
      <c:valAx>
        <c:axId val="261214592"/>
        <c:scaling>
          <c:orientation val="minMax"/>
        </c:scaling>
        <c:delete val="0"/>
        <c:axPos val="l"/>
        <c:majorGridlines/>
        <c:numFmt formatCode="General" sourceLinked="1"/>
        <c:majorTickMark val="out"/>
        <c:minorTickMark val="none"/>
        <c:tickLblPos val="nextTo"/>
        <c:crossAx val="2612005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One'!$A$11</c:f>
              <c:strCache>
                <c:ptCount val="1"/>
                <c:pt idx="0">
                  <c:v>Return on Equity</c:v>
                </c:pt>
              </c:strCache>
            </c:strRef>
          </c:tx>
          <c:invertIfNegative val="0"/>
          <c:val>
            <c:numRef>
              <c:f>'Grameen One'!$B$11:$F$11</c:f>
              <c:numCache>
                <c:formatCode>General</c:formatCode>
                <c:ptCount val="5"/>
                <c:pt idx="0">
                  <c:v>0.17930756780723475</c:v>
                </c:pt>
                <c:pt idx="1">
                  <c:v>7.2113149983857899E-2</c:v>
                </c:pt>
                <c:pt idx="2">
                  <c:v>7.4437338815122864E-2</c:v>
                </c:pt>
                <c:pt idx="3">
                  <c:v>9.7714476746939186E-2</c:v>
                </c:pt>
                <c:pt idx="4">
                  <c:v>5.460727877827861E-2</c:v>
                </c:pt>
              </c:numCache>
            </c:numRef>
          </c:val>
        </c:ser>
        <c:dLbls>
          <c:showLegendKey val="0"/>
          <c:showVal val="0"/>
          <c:showCatName val="0"/>
          <c:showSerName val="0"/>
          <c:showPercent val="0"/>
          <c:showBubbleSize val="0"/>
        </c:dLbls>
        <c:gapWidth val="150"/>
        <c:axId val="261370240"/>
        <c:axId val="261371776"/>
      </c:barChart>
      <c:catAx>
        <c:axId val="261370240"/>
        <c:scaling>
          <c:orientation val="minMax"/>
        </c:scaling>
        <c:delete val="0"/>
        <c:axPos val="b"/>
        <c:majorTickMark val="out"/>
        <c:minorTickMark val="none"/>
        <c:tickLblPos val="nextTo"/>
        <c:crossAx val="261371776"/>
        <c:crosses val="autoZero"/>
        <c:auto val="1"/>
        <c:lblAlgn val="ctr"/>
        <c:lblOffset val="100"/>
        <c:noMultiLvlLbl val="0"/>
      </c:catAx>
      <c:valAx>
        <c:axId val="261371776"/>
        <c:scaling>
          <c:orientation val="minMax"/>
        </c:scaling>
        <c:delete val="0"/>
        <c:axPos val="l"/>
        <c:majorGridlines/>
        <c:numFmt formatCode="General" sourceLinked="1"/>
        <c:majorTickMark val="out"/>
        <c:minorTickMark val="none"/>
        <c:tickLblPos val="nextTo"/>
        <c:crossAx val="26137024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One'!$A$13</c:f>
              <c:strCache>
                <c:ptCount val="1"/>
                <c:pt idx="0">
                  <c:v>Market To Book Ratio</c:v>
                </c:pt>
              </c:strCache>
            </c:strRef>
          </c:tx>
          <c:invertIfNegative val="0"/>
          <c:val>
            <c:numRef>
              <c:f>'Grameen One'!$B$13:$F$13</c:f>
              <c:numCache>
                <c:formatCode>General</c:formatCode>
                <c:ptCount val="5"/>
                <c:pt idx="0">
                  <c:v>1.8760000000000001</c:v>
                </c:pt>
                <c:pt idx="1">
                  <c:v>1.4697674418604652</c:v>
                </c:pt>
                <c:pt idx="2">
                  <c:v>1.528301886792452</c:v>
                </c:pt>
                <c:pt idx="3">
                  <c:v>1.6199535962877027</c:v>
                </c:pt>
                <c:pt idx="4">
                  <c:v>1.3555224990702859</c:v>
                </c:pt>
              </c:numCache>
            </c:numRef>
          </c:val>
        </c:ser>
        <c:dLbls>
          <c:showLegendKey val="0"/>
          <c:showVal val="0"/>
          <c:showCatName val="0"/>
          <c:showSerName val="0"/>
          <c:showPercent val="0"/>
          <c:showBubbleSize val="0"/>
        </c:dLbls>
        <c:gapWidth val="150"/>
        <c:axId val="261392256"/>
        <c:axId val="261393792"/>
      </c:barChart>
      <c:catAx>
        <c:axId val="261392256"/>
        <c:scaling>
          <c:orientation val="minMax"/>
        </c:scaling>
        <c:delete val="0"/>
        <c:axPos val="b"/>
        <c:majorTickMark val="out"/>
        <c:minorTickMark val="none"/>
        <c:tickLblPos val="nextTo"/>
        <c:crossAx val="261393792"/>
        <c:crosses val="autoZero"/>
        <c:auto val="1"/>
        <c:lblAlgn val="ctr"/>
        <c:lblOffset val="100"/>
        <c:noMultiLvlLbl val="0"/>
      </c:catAx>
      <c:valAx>
        <c:axId val="261393792"/>
        <c:scaling>
          <c:orientation val="minMax"/>
        </c:scaling>
        <c:delete val="0"/>
        <c:axPos val="l"/>
        <c:majorGridlines/>
        <c:numFmt formatCode="General" sourceLinked="1"/>
        <c:majorTickMark val="out"/>
        <c:minorTickMark val="none"/>
        <c:tickLblPos val="nextTo"/>
        <c:crossAx val="26139225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2'!$A$2</c:f>
              <c:strCache>
                <c:ptCount val="1"/>
                <c:pt idx="0">
                  <c:v>Return on Assets</c:v>
                </c:pt>
              </c:strCache>
            </c:strRef>
          </c:tx>
          <c:invertIfNegative val="0"/>
          <c:val>
            <c:numRef>
              <c:f>'Grameen 2'!$B$2:$F$2</c:f>
              <c:numCache>
                <c:formatCode>General</c:formatCode>
                <c:ptCount val="5"/>
                <c:pt idx="0">
                  <c:v>7.8677801042282142E-2</c:v>
                </c:pt>
                <c:pt idx="1">
                  <c:v>5.9449668865839571E-2</c:v>
                </c:pt>
                <c:pt idx="2">
                  <c:v>5.8233111411388677E-2</c:v>
                </c:pt>
                <c:pt idx="3">
                  <c:v>5.6390621556169411E-2</c:v>
                </c:pt>
                <c:pt idx="4">
                  <c:v>6.6888903268331329E-2</c:v>
                </c:pt>
              </c:numCache>
            </c:numRef>
          </c:val>
        </c:ser>
        <c:dLbls>
          <c:showLegendKey val="0"/>
          <c:showVal val="0"/>
          <c:showCatName val="0"/>
          <c:showSerName val="0"/>
          <c:showPercent val="0"/>
          <c:showBubbleSize val="0"/>
        </c:dLbls>
        <c:gapWidth val="150"/>
        <c:axId val="260705664"/>
        <c:axId val="260719744"/>
      </c:barChart>
      <c:catAx>
        <c:axId val="260705664"/>
        <c:scaling>
          <c:orientation val="minMax"/>
        </c:scaling>
        <c:delete val="0"/>
        <c:axPos val="b"/>
        <c:majorTickMark val="out"/>
        <c:minorTickMark val="none"/>
        <c:tickLblPos val="nextTo"/>
        <c:crossAx val="260719744"/>
        <c:crosses val="autoZero"/>
        <c:auto val="1"/>
        <c:lblAlgn val="ctr"/>
        <c:lblOffset val="100"/>
        <c:noMultiLvlLbl val="0"/>
      </c:catAx>
      <c:valAx>
        <c:axId val="260719744"/>
        <c:scaling>
          <c:orientation val="minMax"/>
        </c:scaling>
        <c:delete val="0"/>
        <c:axPos val="l"/>
        <c:majorGridlines/>
        <c:numFmt formatCode="General" sourceLinked="1"/>
        <c:majorTickMark val="out"/>
        <c:minorTickMark val="none"/>
        <c:tickLblPos val="nextTo"/>
        <c:crossAx val="26070566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2'!$A$3</c:f>
              <c:strCache>
                <c:ptCount val="1"/>
                <c:pt idx="0">
                  <c:v>Dividend Yeild Ratio</c:v>
                </c:pt>
              </c:strCache>
            </c:strRef>
          </c:tx>
          <c:invertIfNegative val="0"/>
          <c:val>
            <c:numRef>
              <c:f>'Grameen 2'!$B$3:$F$3</c:f>
              <c:numCache>
                <c:formatCode>General</c:formatCode>
                <c:ptCount val="5"/>
                <c:pt idx="1">
                  <c:v>9.09</c:v>
                </c:pt>
                <c:pt idx="2">
                  <c:v>9.26</c:v>
                </c:pt>
                <c:pt idx="3">
                  <c:v>7.24</c:v>
                </c:pt>
                <c:pt idx="4">
                  <c:v>7.2700000000000014</c:v>
                </c:pt>
              </c:numCache>
            </c:numRef>
          </c:val>
        </c:ser>
        <c:dLbls>
          <c:showLegendKey val="0"/>
          <c:showVal val="0"/>
          <c:showCatName val="0"/>
          <c:showSerName val="0"/>
          <c:showPercent val="0"/>
          <c:showBubbleSize val="0"/>
        </c:dLbls>
        <c:gapWidth val="150"/>
        <c:axId val="260764800"/>
        <c:axId val="260766336"/>
      </c:barChart>
      <c:catAx>
        <c:axId val="260764800"/>
        <c:scaling>
          <c:orientation val="minMax"/>
        </c:scaling>
        <c:delete val="0"/>
        <c:axPos val="b"/>
        <c:majorTickMark val="out"/>
        <c:minorTickMark val="none"/>
        <c:tickLblPos val="nextTo"/>
        <c:crossAx val="260766336"/>
        <c:crosses val="autoZero"/>
        <c:auto val="1"/>
        <c:lblAlgn val="ctr"/>
        <c:lblOffset val="100"/>
        <c:noMultiLvlLbl val="0"/>
      </c:catAx>
      <c:valAx>
        <c:axId val="260766336"/>
        <c:scaling>
          <c:orientation val="minMax"/>
        </c:scaling>
        <c:delete val="0"/>
        <c:axPos val="l"/>
        <c:majorGridlines/>
        <c:numFmt formatCode="General" sourceLinked="1"/>
        <c:majorTickMark val="out"/>
        <c:minorTickMark val="none"/>
        <c:tickLblPos val="nextTo"/>
        <c:crossAx val="26076480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2'!$A$4</c:f>
              <c:strCache>
                <c:ptCount val="1"/>
                <c:pt idx="0">
                  <c:v>Change in dividend Percentage</c:v>
                </c:pt>
              </c:strCache>
            </c:strRef>
          </c:tx>
          <c:invertIfNegative val="0"/>
          <c:val>
            <c:numRef>
              <c:f>'Grameen 2'!$B$4:$F$4</c:f>
              <c:numCache>
                <c:formatCode>0%</c:formatCode>
                <c:ptCount val="5"/>
                <c:pt idx="0">
                  <c:v>0.15000000000000013</c:v>
                </c:pt>
                <c:pt idx="1">
                  <c:v>0.1</c:v>
                </c:pt>
                <c:pt idx="2">
                  <c:v>0.1</c:v>
                </c:pt>
                <c:pt idx="3">
                  <c:v>0.11</c:v>
                </c:pt>
                <c:pt idx="4">
                  <c:v>0.12000000000000002</c:v>
                </c:pt>
              </c:numCache>
            </c:numRef>
          </c:val>
        </c:ser>
        <c:dLbls>
          <c:showLegendKey val="0"/>
          <c:showVal val="0"/>
          <c:showCatName val="0"/>
          <c:showSerName val="0"/>
          <c:showPercent val="0"/>
          <c:showBubbleSize val="0"/>
        </c:dLbls>
        <c:gapWidth val="150"/>
        <c:axId val="261433984"/>
        <c:axId val="261439872"/>
      </c:barChart>
      <c:catAx>
        <c:axId val="261433984"/>
        <c:scaling>
          <c:orientation val="minMax"/>
        </c:scaling>
        <c:delete val="0"/>
        <c:axPos val="b"/>
        <c:majorTickMark val="out"/>
        <c:minorTickMark val="none"/>
        <c:tickLblPos val="nextTo"/>
        <c:crossAx val="261439872"/>
        <c:crosses val="autoZero"/>
        <c:auto val="1"/>
        <c:lblAlgn val="ctr"/>
        <c:lblOffset val="100"/>
        <c:noMultiLvlLbl val="0"/>
      </c:catAx>
      <c:valAx>
        <c:axId val="261439872"/>
        <c:scaling>
          <c:orientation val="minMax"/>
        </c:scaling>
        <c:delete val="0"/>
        <c:axPos val="l"/>
        <c:majorGridlines/>
        <c:numFmt formatCode="0%" sourceLinked="1"/>
        <c:majorTickMark val="out"/>
        <c:minorTickMark val="none"/>
        <c:tickLblPos val="nextTo"/>
        <c:crossAx val="26143398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2'!$A$5</c:f>
              <c:strCache>
                <c:ptCount val="1"/>
                <c:pt idx="0">
                  <c:v>Growth Rate</c:v>
                </c:pt>
              </c:strCache>
            </c:strRef>
          </c:tx>
          <c:invertIfNegative val="0"/>
          <c:val>
            <c:numRef>
              <c:f>'Grameen 2'!$B$5:$F$5</c:f>
              <c:numCache>
                <c:formatCode>General</c:formatCode>
                <c:ptCount val="5"/>
                <c:pt idx="0">
                  <c:v>15.566101000213179</c:v>
                </c:pt>
                <c:pt idx="1">
                  <c:v>15.648450246205027</c:v>
                </c:pt>
                <c:pt idx="2">
                  <c:v>-3.1642205737344895</c:v>
                </c:pt>
                <c:pt idx="3">
                  <c:v>19.586399874158541</c:v>
                </c:pt>
                <c:pt idx="4">
                  <c:v>-0.44799313471272995</c:v>
                </c:pt>
              </c:numCache>
            </c:numRef>
          </c:val>
        </c:ser>
        <c:dLbls>
          <c:showLegendKey val="0"/>
          <c:showVal val="0"/>
          <c:showCatName val="0"/>
          <c:showSerName val="0"/>
          <c:showPercent val="0"/>
          <c:showBubbleSize val="0"/>
        </c:dLbls>
        <c:gapWidth val="150"/>
        <c:axId val="261456256"/>
        <c:axId val="261457792"/>
      </c:barChart>
      <c:catAx>
        <c:axId val="261456256"/>
        <c:scaling>
          <c:orientation val="minMax"/>
        </c:scaling>
        <c:delete val="0"/>
        <c:axPos val="b"/>
        <c:majorTickMark val="out"/>
        <c:minorTickMark val="none"/>
        <c:tickLblPos val="nextTo"/>
        <c:crossAx val="261457792"/>
        <c:crosses val="autoZero"/>
        <c:auto val="1"/>
        <c:lblAlgn val="ctr"/>
        <c:lblOffset val="100"/>
        <c:noMultiLvlLbl val="0"/>
      </c:catAx>
      <c:valAx>
        <c:axId val="261457792"/>
        <c:scaling>
          <c:orientation val="minMax"/>
        </c:scaling>
        <c:delete val="0"/>
        <c:axPos val="l"/>
        <c:majorGridlines/>
        <c:numFmt formatCode="General" sourceLinked="1"/>
        <c:majorTickMark val="out"/>
        <c:minorTickMark val="none"/>
        <c:tickLblPos val="nextTo"/>
        <c:crossAx val="26145625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2'!$A$6</c:f>
              <c:strCache>
                <c:ptCount val="1"/>
                <c:pt idx="0">
                  <c:v>Net asset valuation</c:v>
                </c:pt>
              </c:strCache>
            </c:strRef>
          </c:tx>
          <c:invertIfNegative val="0"/>
          <c:val>
            <c:numRef>
              <c:f>'Grameen 2'!$B$6:$F$6</c:f>
              <c:numCache>
                <c:formatCode>General</c:formatCode>
                <c:ptCount val="5"/>
                <c:pt idx="0">
                  <c:v>2663001389</c:v>
                </c:pt>
                <c:pt idx="1">
                  <c:v>3087340150</c:v>
                </c:pt>
                <c:pt idx="2">
                  <c:v>2961061025</c:v>
                </c:pt>
                <c:pt idx="3">
                  <c:v>3526888635</c:v>
                </c:pt>
                <c:pt idx="4">
                  <c:v>3526629631</c:v>
                </c:pt>
              </c:numCache>
            </c:numRef>
          </c:val>
        </c:ser>
        <c:dLbls>
          <c:showLegendKey val="0"/>
          <c:showVal val="0"/>
          <c:showCatName val="0"/>
          <c:showSerName val="0"/>
          <c:showPercent val="0"/>
          <c:showBubbleSize val="0"/>
        </c:dLbls>
        <c:gapWidth val="150"/>
        <c:axId val="261478272"/>
        <c:axId val="261479808"/>
      </c:barChart>
      <c:catAx>
        <c:axId val="261478272"/>
        <c:scaling>
          <c:orientation val="minMax"/>
        </c:scaling>
        <c:delete val="0"/>
        <c:axPos val="b"/>
        <c:majorTickMark val="out"/>
        <c:minorTickMark val="none"/>
        <c:tickLblPos val="nextTo"/>
        <c:crossAx val="261479808"/>
        <c:crosses val="autoZero"/>
        <c:auto val="1"/>
        <c:lblAlgn val="ctr"/>
        <c:lblOffset val="100"/>
        <c:noMultiLvlLbl val="0"/>
      </c:catAx>
      <c:valAx>
        <c:axId val="261479808"/>
        <c:scaling>
          <c:orientation val="minMax"/>
        </c:scaling>
        <c:delete val="0"/>
        <c:axPos val="l"/>
        <c:majorGridlines/>
        <c:numFmt formatCode="General" sourceLinked="1"/>
        <c:majorTickMark val="out"/>
        <c:minorTickMark val="none"/>
        <c:tickLblPos val="nextTo"/>
        <c:crossAx val="26147827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One'!$A$4</c:f>
              <c:strCache>
                <c:ptCount val="1"/>
                <c:pt idx="0">
                  <c:v>Change in dividend Percentage</c:v>
                </c:pt>
              </c:strCache>
            </c:strRef>
          </c:tx>
          <c:invertIfNegative val="0"/>
          <c:val>
            <c:numRef>
              <c:f>'Reliance One'!$B$4:$F$4</c:f>
              <c:numCache>
                <c:formatCode>0%</c:formatCode>
                <c:ptCount val="5"/>
                <c:pt idx="0">
                  <c:v>0.1</c:v>
                </c:pt>
                <c:pt idx="1">
                  <c:v>0.11</c:v>
                </c:pt>
                <c:pt idx="2">
                  <c:v>0.11</c:v>
                </c:pt>
                <c:pt idx="3">
                  <c:v>0.1</c:v>
                </c:pt>
                <c:pt idx="4">
                  <c:v>0.1</c:v>
                </c:pt>
              </c:numCache>
            </c:numRef>
          </c:val>
        </c:ser>
        <c:dLbls>
          <c:showLegendKey val="0"/>
          <c:showVal val="0"/>
          <c:showCatName val="0"/>
          <c:showSerName val="0"/>
          <c:showPercent val="0"/>
          <c:showBubbleSize val="0"/>
        </c:dLbls>
        <c:gapWidth val="150"/>
        <c:axId val="259850240"/>
        <c:axId val="259851776"/>
      </c:barChart>
      <c:catAx>
        <c:axId val="259850240"/>
        <c:scaling>
          <c:orientation val="minMax"/>
        </c:scaling>
        <c:delete val="0"/>
        <c:axPos val="b"/>
        <c:majorTickMark val="out"/>
        <c:minorTickMark val="none"/>
        <c:tickLblPos val="nextTo"/>
        <c:crossAx val="259851776"/>
        <c:crosses val="autoZero"/>
        <c:auto val="1"/>
        <c:lblAlgn val="ctr"/>
        <c:lblOffset val="100"/>
        <c:noMultiLvlLbl val="0"/>
      </c:catAx>
      <c:valAx>
        <c:axId val="259851776"/>
        <c:scaling>
          <c:orientation val="minMax"/>
        </c:scaling>
        <c:delete val="0"/>
        <c:axPos val="l"/>
        <c:majorGridlines/>
        <c:numFmt formatCode="0%" sourceLinked="1"/>
        <c:majorTickMark val="out"/>
        <c:minorTickMark val="none"/>
        <c:tickLblPos val="nextTo"/>
        <c:crossAx val="25985024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2'!$A$7</c:f>
              <c:strCache>
                <c:ptCount val="1"/>
                <c:pt idx="0">
                  <c:v>Expense Ratio </c:v>
                </c:pt>
              </c:strCache>
            </c:strRef>
          </c:tx>
          <c:invertIfNegative val="0"/>
          <c:val>
            <c:numRef>
              <c:f>'Grameen 2'!$B$7:$F$7</c:f>
              <c:numCache>
                <c:formatCode>General</c:formatCode>
                <c:ptCount val="5"/>
                <c:pt idx="0">
                  <c:v>9.0671780719825984E-2</c:v>
                </c:pt>
                <c:pt idx="1">
                  <c:v>9.4863806956936823E-3</c:v>
                </c:pt>
                <c:pt idx="2">
                  <c:v>1.0355703830859075E-2</c:v>
                </c:pt>
                <c:pt idx="3">
                  <c:v>9.5666715033660248E-3</c:v>
                </c:pt>
                <c:pt idx="4">
                  <c:v>1.0716935701944701E-2</c:v>
                </c:pt>
              </c:numCache>
            </c:numRef>
          </c:val>
        </c:ser>
        <c:dLbls>
          <c:showLegendKey val="0"/>
          <c:showVal val="0"/>
          <c:showCatName val="0"/>
          <c:showSerName val="0"/>
          <c:showPercent val="0"/>
          <c:showBubbleSize val="0"/>
        </c:dLbls>
        <c:gapWidth val="150"/>
        <c:axId val="261508480"/>
        <c:axId val="261526656"/>
      </c:barChart>
      <c:catAx>
        <c:axId val="261508480"/>
        <c:scaling>
          <c:orientation val="minMax"/>
        </c:scaling>
        <c:delete val="0"/>
        <c:axPos val="b"/>
        <c:majorTickMark val="out"/>
        <c:minorTickMark val="none"/>
        <c:tickLblPos val="nextTo"/>
        <c:crossAx val="261526656"/>
        <c:crosses val="autoZero"/>
        <c:auto val="1"/>
        <c:lblAlgn val="ctr"/>
        <c:lblOffset val="100"/>
        <c:noMultiLvlLbl val="0"/>
      </c:catAx>
      <c:valAx>
        <c:axId val="261526656"/>
        <c:scaling>
          <c:orientation val="minMax"/>
        </c:scaling>
        <c:delete val="0"/>
        <c:axPos val="l"/>
        <c:majorGridlines/>
        <c:numFmt formatCode="General" sourceLinked="1"/>
        <c:majorTickMark val="out"/>
        <c:minorTickMark val="none"/>
        <c:tickLblPos val="nextTo"/>
        <c:crossAx val="26150848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2'!$A$8</c:f>
              <c:strCache>
                <c:ptCount val="1"/>
                <c:pt idx="0">
                  <c:v>Price earnings ratio</c:v>
                </c:pt>
              </c:strCache>
            </c:strRef>
          </c:tx>
          <c:invertIfNegative val="0"/>
          <c:val>
            <c:numRef>
              <c:f>'Grameen 2'!$B$8:$F$8</c:f>
              <c:numCache>
                <c:formatCode>0.00</c:formatCode>
                <c:ptCount val="5"/>
                <c:pt idx="0" formatCode="General">
                  <c:v>11.639999999999999</c:v>
                </c:pt>
                <c:pt idx="1">
                  <c:v>9.4</c:v>
                </c:pt>
                <c:pt idx="2" formatCode="General">
                  <c:v>10.49</c:v>
                </c:pt>
                <c:pt idx="3">
                  <c:v>13.4</c:v>
                </c:pt>
                <c:pt idx="4" formatCode="General">
                  <c:v>12.56</c:v>
                </c:pt>
              </c:numCache>
            </c:numRef>
          </c:val>
        </c:ser>
        <c:dLbls>
          <c:showLegendKey val="0"/>
          <c:showVal val="0"/>
          <c:showCatName val="0"/>
          <c:showSerName val="0"/>
          <c:showPercent val="0"/>
          <c:showBubbleSize val="0"/>
        </c:dLbls>
        <c:gapWidth val="150"/>
        <c:axId val="261620864"/>
        <c:axId val="261622400"/>
      </c:barChart>
      <c:catAx>
        <c:axId val="261620864"/>
        <c:scaling>
          <c:orientation val="minMax"/>
        </c:scaling>
        <c:delete val="0"/>
        <c:axPos val="b"/>
        <c:majorTickMark val="out"/>
        <c:minorTickMark val="none"/>
        <c:tickLblPos val="nextTo"/>
        <c:crossAx val="261622400"/>
        <c:crosses val="autoZero"/>
        <c:auto val="1"/>
        <c:lblAlgn val="ctr"/>
        <c:lblOffset val="100"/>
        <c:noMultiLvlLbl val="0"/>
      </c:catAx>
      <c:valAx>
        <c:axId val="261622400"/>
        <c:scaling>
          <c:orientation val="minMax"/>
        </c:scaling>
        <c:delete val="0"/>
        <c:axPos val="l"/>
        <c:majorGridlines/>
        <c:numFmt formatCode="General" sourceLinked="1"/>
        <c:majorTickMark val="out"/>
        <c:minorTickMark val="none"/>
        <c:tickLblPos val="nextTo"/>
        <c:crossAx val="26162086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2'!$A$9</c:f>
              <c:strCache>
                <c:ptCount val="1"/>
                <c:pt idx="0">
                  <c:v>Dividend Payout Ratio</c:v>
                </c:pt>
              </c:strCache>
            </c:strRef>
          </c:tx>
          <c:invertIfNegative val="0"/>
          <c:val>
            <c:numRef>
              <c:f>'Grameen 2'!$B$9:$F$9</c:f>
              <c:numCache>
                <c:formatCode>General</c:formatCode>
                <c:ptCount val="5"/>
                <c:pt idx="0">
                  <c:v>0.65025387424568726</c:v>
                </c:pt>
                <c:pt idx="1">
                  <c:v>0.74412501529718211</c:v>
                </c:pt>
                <c:pt idx="2">
                  <c:v>0.90221930600851663</c:v>
                </c:pt>
                <c:pt idx="3">
                  <c:v>0.83865600875731328</c:v>
                </c:pt>
                <c:pt idx="4">
                  <c:v>0.82104433827667245</c:v>
                </c:pt>
              </c:numCache>
            </c:numRef>
          </c:val>
        </c:ser>
        <c:dLbls>
          <c:showLegendKey val="0"/>
          <c:showVal val="0"/>
          <c:showCatName val="0"/>
          <c:showSerName val="0"/>
          <c:showPercent val="0"/>
          <c:showBubbleSize val="0"/>
        </c:dLbls>
        <c:gapWidth val="150"/>
        <c:axId val="261630592"/>
        <c:axId val="261640576"/>
      </c:barChart>
      <c:catAx>
        <c:axId val="261630592"/>
        <c:scaling>
          <c:orientation val="minMax"/>
        </c:scaling>
        <c:delete val="0"/>
        <c:axPos val="b"/>
        <c:majorTickMark val="out"/>
        <c:minorTickMark val="none"/>
        <c:tickLblPos val="nextTo"/>
        <c:crossAx val="261640576"/>
        <c:crosses val="autoZero"/>
        <c:auto val="1"/>
        <c:lblAlgn val="ctr"/>
        <c:lblOffset val="100"/>
        <c:noMultiLvlLbl val="0"/>
      </c:catAx>
      <c:valAx>
        <c:axId val="261640576"/>
        <c:scaling>
          <c:orientation val="minMax"/>
        </c:scaling>
        <c:delete val="0"/>
        <c:axPos val="l"/>
        <c:majorGridlines/>
        <c:numFmt formatCode="General" sourceLinked="1"/>
        <c:majorTickMark val="out"/>
        <c:minorTickMark val="none"/>
        <c:tickLblPos val="nextTo"/>
        <c:crossAx val="26163059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9588801399824"/>
          <c:y val="2.7777777777777842E-2"/>
        </c:manualLayout>
      </c:layout>
      <c:overlay val="0"/>
    </c:title>
    <c:autoTitleDeleted val="0"/>
    <c:plotArea>
      <c:layout/>
      <c:barChart>
        <c:barDir val="col"/>
        <c:grouping val="clustered"/>
        <c:varyColors val="0"/>
        <c:ser>
          <c:idx val="0"/>
          <c:order val="0"/>
          <c:tx>
            <c:strRef>
              <c:f>'Grameen 2'!$A$10</c:f>
              <c:strCache>
                <c:ptCount val="1"/>
                <c:pt idx="0">
                  <c:v>Total Liabilites to Total Asset</c:v>
                </c:pt>
              </c:strCache>
            </c:strRef>
          </c:tx>
          <c:invertIfNegative val="0"/>
          <c:val>
            <c:numRef>
              <c:f>'Grameen 2'!$B$10:$F$10</c:f>
              <c:numCache>
                <c:formatCode>General</c:formatCode>
                <c:ptCount val="5"/>
                <c:pt idx="0">
                  <c:v>9.1592563621833416E-3</c:v>
                </c:pt>
                <c:pt idx="1">
                  <c:v>6.7075538646894414E-3</c:v>
                </c:pt>
                <c:pt idx="2">
                  <c:v>1.6206040465377245E-2</c:v>
                </c:pt>
                <c:pt idx="3">
                  <c:v>2.0133864370203133E-2</c:v>
                </c:pt>
                <c:pt idx="4">
                  <c:v>0.98420334063156756</c:v>
                </c:pt>
              </c:numCache>
            </c:numRef>
          </c:val>
        </c:ser>
        <c:dLbls>
          <c:showLegendKey val="0"/>
          <c:showVal val="0"/>
          <c:showCatName val="0"/>
          <c:showSerName val="0"/>
          <c:showPercent val="0"/>
          <c:showBubbleSize val="0"/>
        </c:dLbls>
        <c:gapWidth val="150"/>
        <c:axId val="261669248"/>
        <c:axId val="261670784"/>
      </c:barChart>
      <c:catAx>
        <c:axId val="261669248"/>
        <c:scaling>
          <c:orientation val="minMax"/>
        </c:scaling>
        <c:delete val="0"/>
        <c:axPos val="b"/>
        <c:majorTickMark val="out"/>
        <c:minorTickMark val="none"/>
        <c:tickLblPos val="nextTo"/>
        <c:crossAx val="261670784"/>
        <c:crosses val="autoZero"/>
        <c:auto val="1"/>
        <c:lblAlgn val="ctr"/>
        <c:lblOffset val="100"/>
        <c:noMultiLvlLbl val="0"/>
      </c:catAx>
      <c:valAx>
        <c:axId val="261670784"/>
        <c:scaling>
          <c:orientation val="minMax"/>
        </c:scaling>
        <c:delete val="0"/>
        <c:axPos val="l"/>
        <c:majorGridlines/>
        <c:numFmt formatCode="General" sourceLinked="1"/>
        <c:majorTickMark val="out"/>
        <c:minorTickMark val="none"/>
        <c:tickLblPos val="nextTo"/>
        <c:crossAx val="26166924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2'!$A$11</c:f>
              <c:strCache>
                <c:ptCount val="1"/>
                <c:pt idx="0">
                  <c:v>Return on Equity</c:v>
                </c:pt>
              </c:strCache>
            </c:strRef>
          </c:tx>
          <c:invertIfNegative val="0"/>
          <c:val>
            <c:numRef>
              <c:f>'Grameen 2'!$B$11:$F$11</c:f>
              <c:numCache>
                <c:formatCode>General</c:formatCode>
                <c:ptCount val="5"/>
                <c:pt idx="0">
                  <c:v>7.9405092642255481E-2</c:v>
                </c:pt>
                <c:pt idx="1">
                  <c:v>5.9851124276021302E-2</c:v>
                </c:pt>
                <c:pt idx="2">
                  <c:v>5.9189008439972955E-2</c:v>
                </c:pt>
                <c:pt idx="3">
                  <c:v>5.754931159032755E-2</c:v>
                </c:pt>
                <c:pt idx="4">
                  <c:v>6.796248346953232E-2</c:v>
                </c:pt>
              </c:numCache>
            </c:numRef>
          </c:val>
        </c:ser>
        <c:dLbls>
          <c:showLegendKey val="0"/>
          <c:showVal val="0"/>
          <c:showCatName val="0"/>
          <c:showSerName val="0"/>
          <c:showPercent val="0"/>
          <c:showBubbleSize val="0"/>
        </c:dLbls>
        <c:gapWidth val="150"/>
        <c:axId val="261662592"/>
        <c:axId val="261664128"/>
      </c:barChart>
      <c:catAx>
        <c:axId val="261662592"/>
        <c:scaling>
          <c:orientation val="minMax"/>
        </c:scaling>
        <c:delete val="0"/>
        <c:axPos val="b"/>
        <c:majorTickMark val="out"/>
        <c:minorTickMark val="none"/>
        <c:tickLblPos val="nextTo"/>
        <c:crossAx val="261664128"/>
        <c:crosses val="autoZero"/>
        <c:auto val="1"/>
        <c:lblAlgn val="ctr"/>
        <c:lblOffset val="100"/>
        <c:noMultiLvlLbl val="0"/>
      </c:catAx>
      <c:valAx>
        <c:axId val="261664128"/>
        <c:scaling>
          <c:orientation val="minMax"/>
        </c:scaling>
        <c:delete val="0"/>
        <c:axPos val="l"/>
        <c:majorGridlines/>
        <c:numFmt formatCode="General" sourceLinked="1"/>
        <c:majorTickMark val="out"/>
        <c:minorTickMark val="none"/>
        <c:tickLblPos val="nextTo"/>
        <c:crossAx val="26166259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2'!$A$12</c:f>
              <c:strCache>
                <c:ptCount val="1"/>
                <c:pt idx="0">
                  <c:v>Total equity to Total Asset</c:v>
                </c:pt>
              </c:strCache>
            </c:strRef>
          </c:tx>
          <c:invertIfNegative val="0"/>
          <c:val>
            <c:numRef>
              <c:f>'Grameen 2'!$B$12:$F$12</c:f>
              <c:numCache>
                <c:formatCode>General</c:formatCode>
                <c:ptCount val="5"/>
                <c:pt idx="0">
                  <c:v>0.99084074363781671</c:v>
                </c:pt>
                <c:pt idx="1">
                  <c:v>0.99329243326607863</c:v>
                </c:pt>
                <c:pt idx="2">
                  <c:v>0.98379395953462279</c:v>
                </c:pt>
                <c:pt idx="3">
                  <c:v>0.97986613562979685</c:v>
                </c:pt>
                <c:pt idx="4">
                  <c:v>0.98420334063156756</c:v>
                </c:pt>
              </c:numCache>
            </c:numRef>
          </c:val>
        </c:ser>
        <c:dLbls>
          <c:showLegendKey val="0"/>
          <c:showVal val="0"/>
          <c:showCatName val="0"/>
          <c:showSerName val="0"/>
          <c:showPercent val="0"/>
          <c:showBubbleSize val="0"/>
        </c:dLbls>
        <c:gapWidth val="150"/>
        <c:axId val="261700992"/>
        <c:axId val="261751936"/>
      </c:barChart>
      <c:catAx>
        <c:axId val="261700992"/>
        <c:scaling>
          <c:orientation val="minMax"/>
        </c:scaling>
        <c:delete val="0"/>
        <c:axPos val="b"/>
        <c:majorTickMark val="out"/>
        <c:minorTickMark val="none"/>
        <c:tickLblPos val="nextTo"/>
        <c:crossAx val="261751936"/>
        <c:crosses val="autoZero"/>
        <c:auto val="1"/>
        <c:lblAlgn val="ctr"/>
        <c:lblOffset val="100"/>
        <c:noMultiLvlLbl val="0"/>
      </c:catAx>
      <c:valAx>
        <c:axId val="261751936"/>
        <c:scaling>
          <c:orientation val="minMax"/>
        </c:scaling>
        <c:delete val="0"/>
        <c:axPos val="l"/>
        <c:majorGridlines/>
        <c:numFmt formatCode="General" sourceLinked="1"/>
        <c:majorTickMark val="out"/>
        <c:minorTickMark val="none"/>
        <c:tickLblPos val="nextTo"/>
        <c:crossAx val="26170099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'Grameen 2'!$A$13</c:f>
              <c:strCache>
                <c:ptCount val="1"/>
                <c:pt idx="0">
                  <c:v>Market To Book Ratio</c:v>
                </c:pt>
              </c:strCache>
            </c:strRef>
          </c:tx>
          <c:invertIfNegative val="0"/>
          <c:val>
            <c:numRef>
              <c:f>'Grameen 2'!$B$13:$F$13</c:f>
              <c:numCache>
                <c:formatCode>General</c:formatCode>
                <c:ptCount val="5"/>
                <c:pt idx="0">
                  <c:v>1.4585843373493967</c:v>
                </c:pt>
                <c:pt idx="1">
                  <c:v>1.7018308631211856</c:v>
                </c:pt>
                <c:pt idx="2">
                  <c:v>1.5508021390374329</c:v>
                </c:pt>
                <c:pt idx="3">
                  <c:v>1.7645478961504029</c:v>
                </c:pt>
                <c:pt idx="4">
                  <c:v>1.5643322475570034</c:v>
                </c:pt>
              </c:numCache>
            </c:numRef>
          </c:val>
        </c:ser>
        <c:dLbls>
          <c:showLegendKey val="0"/>
          <c:showVal val="0"/>
          <c:showCatName val="0"/>
          <c:showSerName val="0"/>
          <c:showPercent val="0"/>
          <c:showBubbleSize val="0"/>
        </c:dLbls>
        <c:gapWidth val="150"/>
        <c:axId val="261776512"/>
        <c:axId val="261778048"/>
      </c:barChart>
      <c:catAx>
        <c:axId val="261776512"/>
        <c:scaling>
          <c:orientation val="minMax"/>
        </c:scaling>
        <c:delete val="0"/>
        <c:axPos val="b"/>
        <c:majorTickMark val="out"/>
        <c:minorTickMark val="none"/>
        <c:tickLblPos val="nextTo"/>
        <c:crossAx val="261778048"/>
        <c:crosses val="autoZero"/>
        <c:auto val="1"/>
        <c:lblAlgn val="ctr"/>
        <c:lblOffset val="100"/>
        <c:noMultiLvlLbl val="0"/>
      </c:catAx>
      <c:valAx>
        <c:axId val="261778048"/>
        <c:scaling>
          <c:orientation val="minMax"/>
        </c:scaling>
        <c:delete val="0"/>
        <c:axPos val="l"/>
        <c:majorGridlines/>
        <c:numFmt formatCode="General" sourceLinked="1"/>
        <c:majorTickMark val="out"/>
        <c:minorTickMark val="none"/>
        <c:tickLblPos val="nextTo"/>
        <c:crossAx val="2617765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fund'!$A$3</c:f>
              <c:strCache>
                <c:ptCount val="1"/>
                <c:pt idx="0">
                  <c:v>Return on assets</c:v>
                </c:pt>
              </c:strCache>
            </c:strRef>
          </c:tx>
          <c:invertIfNegative val="0"/>
          <c:val>
            <c:numRef>
              <c:f>'average of ICB fund'!$B$3:$I$3</c:f>
              <c:numCache>
                <c:formatCode>General</c:formatCode>
                <c:ptCount val="8"/>
                <c:pt idx="3">
                  <c:v>1.8022317999999999E-2</c:v>
                </c:pt>
                <c:pt idx="4">
                  <c:v>5.8668973999999999E-2</c:v>
                </c:pt>
                <c:pt idx="5">
                  <c:v>5.4973440000000012E-2</c:v>
                </c:pt>
                <c:pt idx="6">
                  <c:v>4.6423480000000024E-2</c:v>
                </c:pt>
                <c:pt idx="7">
                  <c:v>7.7453258999999997E-2</c:v>
                </c:pt>
              </c:numCache>
            </c:numRef>
          </c:val>
        </c:ser>
        <c:dLbls>
          <c:showLegendKey val="0"/>
          <c:showVal val="0"/>
          <c:showCatName val="0"/>
          <c:showSerName val="0"/>
          <c:showPercent val="0"/>
          <c:showBubbleSize val="0"/>
        </c:dLbls>
        <c:gapWidth val="150"/>
        <c:axId val="261790336"/>
        <c:axId val="261792128"/>
      </c:barChart>
      <c:catAx>
        <c:axId val="261790336"/>
        <c:scaling>
          <c:orientation val="minMax"/>
        </c:scaling>
        <c:delete val="0"/>
        <c:axPos val="b"/>
        <c:majorTickMark val="out"/>
        <c:minorTickMark val="none"/>
        <c:tickLblPos val="nextTo"/>
        <c:crossAx val="261792128"/>
        <c:crosses val="autoZero"/>
        <c:auto val="1"/>
        <c:lblAlgn val="ctr"/>
        <c:lblOffset val="100"/>
        <c:noMultiLvlLbl val="0"/>
      </c:catAx>
      <c:valAx>
        <c:axId val="261792128"/>
        <c:scaling>
          <c:orientation val="minMax"/>
        </c:scaling>
        <c:delete val="0"/>
        <c:axPos val="l"/>
        <c:majorGridlines/>
        <c:numFmt formatCode="General" sourceLinked="1"/>
        <c:majorTickMark val="out"/>
        <c:minorTickMark val="none"/>
        <c:tickLblPos val="nextTo"/>
        <c:crossAx val="26179033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897222222222238"/>
          <c:y val="5.555555555555549E-2"/>
        </c:manualLayout>
      </c:layout>
      <c:overlay val="0"/>
    </c:title>
    <c:autoTitleDeleted val="0"/>
    <c:plotArea>
      <c:layout/>
      <c:barChart>
        <c:barDir val="col"/>
        <c:grouping val="clustered"/>
        <c:varyColors val="0"/>
        <c:ser>
          <c:idx val="0"/>
          <c:order val="0"/>
          <c:tx>
            <c:strRef>
              <c:f>'average of ICB fund'!$A$4</c:f>
              <c:strCache>
                <c:ptCount val="1"/>
                <c:pt idx="0">
                  <c:v>Dividend Yeild Ratio</c:v>
                </c:pt>
              </c:strCache>
            </c:strRef>
          </c:tx>
          <c:invertIfNegative val="0"/>
          <c:val>
            <c:numRef>
              <c:f>'average of ICB fund'!$B$4:$I$4</c:f>
              <c:numCache>
                <c:formatCode>General</c:formatCode>
                <c:ptCount val="8"/>
                <c:pt idx="3">
                  <c:v>3.79</c:v>
                </c:pt>
                <c:pt idx="4">
                  <c:v>9.629999999999999</c:v>
                </c:pt>
                <c:pt idx="5">
                  <c:v>12.94</c:v>
                </c:pt>
                <c:pt idx="6">
                  <c:v>10.8</c:v>
                </c:pt>
                <c:pt idx="7">
                  <c:v>7.58</c:v>
                </c:pt>
              </c:numCache>
            </c:numRef>
          </c:val>
        </c:ser>
        <c:dLbls>
          <c:showLegendKey val="0"/>
          <c:showVal val="0"/>
          <c:showCatName val="0"/>
          <c:showSerName val="0"/>
          <c:showPercent val="0"/>
          <c:showBubbleSize val="0"/>
        </c:dLbls>
        <c:gapWidth val="150"/>
        <c:axId val="261845760"/>
        <c:axId val="261847296"/>
      </c:barChart>
      <c:catAx>
        <c:axId val="261845760"/>
        <c:scaling>
          <c:orientation val="minMax"/>
        </c:scaling>
        <c:delete val="0"/>
        <c:axPos val="b"/>
        <c:majorTickMark val="out"/>
        <c:minorTickMark val="none"/>
        <c:tickLblPos val="nextTo"/>
        <c:crossAx val="261847296"/>
        <c:crosses val="autoZero"/>
        <c:auto val="1"/>
        <c:lblAlgn val="ctr"/>
        <c:lblOffset val="100"/>
        <c:noMultiLvlLbl val="0"/>
      </c:catAx>
      <c:valAx>
        <c:axId val="261847296"/>
        <c:scaling>
          <c:orientation val="minMax"/>
        </c:scaling>
        <c:delete val="0"/>
        <c:axPos val="l"/>
        <c:majorGridlines/>
        <c:numFmt formatCode="General" sourceLinked="1"/>
        <c:majorTickMark val="out"/>
        <c:minorTickMark val="none"/>
        <c:tickLblPos val="nextTo"/>
        <c:crossAx val="2618457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fund'!$A$9</c:f>
              <c:strCache>
                <c:ptCount val="1"/>
                <c:pt idx="0">
                  <c:v>Price earnings ratio</c:v>
                </c:pt>
              </c:strCache>
            </c:strRef>
          </c:tx>
          <c:invertIfNegative val="0"/>
          <c:val>
            <c:numRef>
              <c:f>'average of ICB fund'!$B$9:$I$9</c:f>
              <c:numCache>
                <c:formatCode>General</c:formatCode>
                <c:ptCount val="8"/>
                <c:pt idx="3">
                  <c:v>1.9673076919999999</c:v>
                </c:pt>
                <c:pt idx="4">
                  <c:v>14.179862120000001</c:v>
                </c:pt>
                <c:pt idx="5">
                  <c:v>25.276</c:v>
                </c:pt>
                <c:pt idx="6">
                  <c:v>10.137799999999999</c:v>
                </c:pt>
                <c:pt idx="7">
                  <c:v>13.0906</c:v>
                </c:pt>
              </c:numCache>
            </c:numRef>
          </c:val>
        </c:ser>
        <c:dLbls>
          <c:showLegendKey val="0"/>
          <c:showVal val="0"/>
          <c:showCatName val="0"/>
          <c:showSerName val="0"/>
          <c:showPercent val="0"/>
          <c:showBubbleSize val="0"/>
        </c:dLbls>
        <c:gapWidth val="150"/>
        <c:axId val="261876352"/>
        <c:axId val="261878144"/>
      </c:barChart>
      <c:catAx>
        <c:axId val="261876352"/>
        <c:scaling>
          <c:orientation val="minMax"/>
        </c:scaling>
        <c:delete val="0"/>
        <c:axPos val="b"/>
        <c:majorTickMark val="out"/>
        <c:minorTickMark val="none"/>
        <c:tickLblPos val="nextTo"/>
        <c:crossAx val="261878144"/>
        <c:crosses val="autoZero"/>
        <c:auto val="1"/>
        <c:lblAlgn val="ctr"/>
        <c:lblOffset val="100"/>
        <c:noMultiLvlLbl val="0"/>
      </c:catAx>
      <c:valAx>
        <c:axId val="261878144"/>
        <c:scaling>
          <c:orientation val="minMax"/>
        </c:scaling>
        <c:delete val="0"/>
        <c:axPos val="l"/>
        <c:majorGridlines/>
        <c:numFmt formatCode="General" sourceLinked="1"/>
        <c:majorTickMark val="out"/>
        <c:minorTickMark val="none"/>
        <c:tickLblPos val="nextTo"/>
        <c:crossAx val="2618763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One'!$A$5</c:f>
              <c:strCache>
                <c:ptCount val="1"/>
                <c:pt idx="0">
                  <c:v>Growth Rate</c:v>
                </c:pt>
              </c:strCache>
            </c:strRef>
          </c:tx>
          <c:invertIfNegative val="0"/>
          <c:val>
            <c:numRef>
              <c:f>'Reliance One'!$B$5:$F$5</c:f>
              <c:numCache>
                <c:formatCode>General</c:formatCode>
                <c:ptCount val="5"/>
                <c:pt idx="0">
                  <c:v>14.889997274534554</c:v>
                </c:pt>
                <c:pt idx="1">
                  <c:v>16.30480094084977</c:v>
                </c:pt>
                <c:pt idx="2">
                  <c:v>0.84426991805349116</c:v>
                </c:pt>
                <c:pt idx="3">
                  <c:v>-4.9233127143999704</c:v>
                </c:pt>
                <c:pt idx="4">
                  <c:v>16.672917072527255</c:v>
                </c:pt>
              </c:numCache>
            </c:numRef>
          </c:val>
        </c:ser>
        <c:dLbls>
          <c:showLegendKey val="0"/>
          <c:showVal val="0"/>
          <c:showCatName val="0"/>
          <c:showSerName val="0"/>
          <c:showPercent val="0"/>
          <c:showBubbleSize val="0"/>
        </c:dLbls>
        <c:gapWidth val="150"/>
        <c:axId val="199702016"/>
        <c:axId val="199703552"/>
      </c:barChart>
      <c:catAx>
        <c:axId val="199702016"/>
        <c:scaling>
          <c:orientation val="minMax"/>
        </c:scaling>
        <c:delete val="0"/>
        <c:axPos val="b"/>
        <c:majorTickMark val="out"/>
        <c:minorTickMark val="none"/>
        <c:tickLblPos val="nextTo"/>
        <c:crossAx val="199703552"/>
        <c:crosses val="autoZero"/>
        <c:auto val="1"/>
        <c:lblAlgn val="ctr"/>
        <c:lblOffset val="100"/>
        <c:noMultiLvlLbl val="0"/>
      </c:catAx>
      <c:valAx>
        <c:axId val="199703552"/>
        <c:scaling>
          <c:orientation val="minMax"/>
        </c:scaling>
        <c:delete val="0"/>
        <c:axPos val="l"/>
        <c:majorGridlines/>
        <c:numFmt formatCode="General" sourceLinked="1"/>
        <c:majorTickMark val="out"/>
        <c:minorTickMark val="none"/>
        <c:tickLblPos val="nextTo"/>
        <c:crossAx val="19970201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fund'!$A$5</c:f>
              <c:strCache>
                <c:ptCount val="1"/>
                <c:pt idx="0">
                  <c:v>Change in dividend Percentage</c:v>
                </c:pt>
              </c:strCache>
            </c:strRef>
          </c:tx>
          <c:invertIfNegative val="0"/>
          <c:val>
            <c:numRef>
              <c:f>'average of ICB fund'!$B$5:$I$5</c:f>
              <c:numCache>
                <c:formatCode>General</c:formatCode>
                <c:ptCount val="8"/>
                <c:pt idx="3" formatCode="0%">
                  <c:v>4.0000000000000022E-2</c:v>
                </c:pt>
                <c:pt idx="4" formatCode="0.00%">
                  <c:v>6.9600000000000023E-2</c:v>
                </c:pt>
                <c:pt idx="5">
                  <c:v>7.4</c:v>
                </c:pt>
                <c:pt idx="6">
                  <c:v>6.9</c:v>
                </c:pt>
                <c:pt idx="7">
                  <c:v>6.22</c:v>
                </c:pt>
              </c:numCache>
            </c:numRef>
          </c:val>
        </c:ser>
        <c:dLbls>
          <c:showLegendKey val="0"/>
          <c:showVal val="0"/>
          <c:showCatName val="0"/>
          <c:showSerName val="0"/>
          <c:showPercent val="0"/>
          <c:showBubbleSize val="0"/>
        </c:dLbls>
        <c:gapWidth val="150"/>
        <c:axId val="261583616"/>
        <c:axId val="261585152"/>
      </c:barChart>
      <c:catAx>
        <c:axId val="261583616"/>
        <c:scaling>
          <c:orientation val="minMax"/>
        </c:scaling>
        <c:delete val="0"/>
        <c:axPos val="b"/>
        <c:majorTickMark val="out"/>
        <c:minorTickMark val="none"/>
        <c:tickLblPos val="nextTo"/>
        <c:crossAx val="261585152"/>
        <c:crosses val="autoZero"/>
        <c:auto val="1"/>
        <c:lblAlgn val="ctr"/>
        <c:lblOffset val="100"/>
        <c:noMultiLvlLbl val="0"/>
      </c:catAx>
      <c:valAx>
        <c:axId val="261585152"/>
        <c:scaling>
          <c:orientation val="minMax"/>
        </c:scaling>
        <c:delete val="0"/>
        <c:axPos val="l"/>
        <c:majorGridlines/>
        <c:numFmt formatCode="General" sourceLinked="1"/>
        <c:majorTickMark val="out"/>
        <c:minorTickMark val="none"/>
        <c:tickLblPos val="nextTo"/>
        <c:crossAx val="26158361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fund'!$A$6</c:f>
              <c:strCache>
                <c:ptCount val="1"/>
                <c:pt idx="0">
                  <c:v>Growth Rate</c:v>
                </c:pt>
              </c:strCache>
            </c:strRef>
          </c:tx>
          <c:invertIfNegative val="0"/>
          <c:val>
            <c:numRef>
              <c:f>'average of ICB fund'!$B$6:$I$6</c:f>
              <c:numCache>
                <c:formatCode>General</c:formatCode>
                <c:ptCount val="8"/>
                <c:pt idx="3">
                  <c:v>0.43350082894173936</c:v>
                </c:pt>
                <c:pt idx="4">
                  <c:v>31.105251738767556</c:v>
                </c:pt>
                <c:pt idx="5">
                  <c:v>5.1974580811015816</c:v>
                </c:pt>
                <c:pt idx="6">
                  <c:v>7.1059573848291864</c:v>
                </c:pt>
                <c:pt idx="7">
                  <c:v>13.055046774720275</c:v>
                </c:pt>
              </c:numCache>
            </c:numRef>
          </c:val>
        </c:ser>
        <c:dLbls>
          <c:showLegendKey val="0"/>
          <c:showVal val="0"/>
          <c:showCatName val="0"/>
          <c:showSerName val="0"/>
          <c:showPercent val="0"/>
          <c:showBubbleSize val="0"/>
        </c:dLbls>
        <c:gapWidth val="150"/>
        <c:axId val="261597824"/>
        <c:axId val="261603712"/>
      </c:barChart>
      <c:catAx>
        <c:axId val="261597824"/>
        <c:scaling>
          <c:orientation val="minMax"/>
        </c:scaling>
        <c:delete val="0"/>
        <c:axPos val="b"/>
        <c:majorTickMark val="out"/>
        <c:minorTickMark val="none"/>
        <c:tickLblPos val="nextTo"/>
        <c:crossAx val="261603712"/>
        <c:crosses val="autoZero"/>
        <c:auto val="1"/>
        <c:lblAlgn val="ctr"/>
        <c:lblOffset val="100"/>
        <c:noMultiLvlLbl val="0"/>
      </c:catAx>
      <c:valAx>
        <c:axId val="261603712"/>
        <c:scaling>
          <c:orientation val="minMax"/>
        </c:scaling>
        <c:delete val="0"/>
        <c:axPos val="l"/>
        <c:majorGridlines/>
        <c:numFmt formatCode="General" sourceLinked="1"/>
        <c:majorTickMark val="out"/>
        <c:minorTickMark val="none"/>
        <c:tickLblPos val="nextTo"/>
        <c:crossAx val="26159782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fund'!$A$8</c:f>
              <c:strCache>
                <c:ptCount val="1"/>
                <c:pt idx="0">
                  <c:v>Expense Ratio </c:v>
                </c:pt>
              </c:strCache>
            </c:strRef>
          </c:tx>
          <c:invertIfNegative val="0"/>
          <c:val>
            <c:numRef>
              <c:f>'average of ICB fund'!$C$8:$J$8</c:f>
              <c:numCache>
                <c:formatCode>General</c:formatCode>
                <c:ptCount val="8"/>
                <c:pt idx="2">
                  <c:v>5.8643503700035307E-2</c:v>
                </c:pt>
                <c:pt idx="3">
                  <c:v>5.8954176847217571E-2</c:v>
                </c:pt>
                <c:pt idx="4">
                  <c:v>5.6597326441693914E-2</c:v>
                </c:pt>
                <c:pt idx="5">
                  <c:v>0.31224645994262662</c:v>
                </c:pt>
                <c:pt idx="6">
                  <c:v>0.60940434163996349</c:v>
                </c:pt>
              </c:numCache>
            </c:numRef>
          </c:val>
        </c:ser>
        <c:dLbls>
          <c:showLegendKey val="0"/>
          <c:showVal val="0"/>
          <c:showCatName val="0"/>
          <c:showSerName val="0"/>
          <c:showPercent val="0"/>
          <c:showBubbleSize val="0"/>
        </c:dLbls>
        <c:gapWidth val="150"/>
        <c:axId val="261972736"/>
        <c:axId val="261974272"/>
      </c:barChart>
      <c:catAx>
        <c:axId val="261972736"/>
        <c:scaling>
          <c:orientation val="minMax"/>
        </c:scaling>
        <c:delete val="0"/>
        <c:axPos val="b"/>
        <c:majorTickMark val="out"/>
        <c:minorTickMark val="none"/>
        <c:tickLblPos val="nextTo"/>
        <c:crossAx val="261974272"/>
        <c:crosses val="autoZero"/>
        <c:auto val="1"/>
        <c:lblAlgn val="ctr"/>
        <c:lblOffset val="100"/>
        <c:noMultiLvlLbl val="0"/>
      </c:catAx>
      <c:valAx>
        <c:axId val="261974272"/>
        <c:scaling>
          <c:orientation val="minMax"/>
        </c:scaling>
        <c:delete val="0"/>
        <c:axPos val="l"/>
        <c:majorGridlines/>
        <c:numFmt formatCode="General" sourceLinked="1"/>
        <c:majorTickMark val="out"/>
        <c:minorTickMark val="none"/>
        <c:tickLblPos val="nextTo"/>
        <c:crossAx val="26197273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fund'!$A$10</c:f>
              <c:strCache>
                <c:ptCount val="1"/>
                <c:pt idx="0">
                  <c:v>Dividend Payout Ratio</c:v>
                </c:pt>
              </c:strCache>
            </c:strRef>
          </c:tx>
          <c:invertIfNegative val="0"/>
          <c:val>
            <c:numRef>
              <c:f>'average of ICB fund'!$B$10:$I$10</c:f>
              <c:numCache>
                <c:formatCode>General</c:formatCode>
                <c:ptCount val="8"/>
                <c:pt idx="3">
                  <c:v>3.6606262000000035E-2</c:v>
                </c:pt>
                <c:pt idx="4">
                  <c:v>5.4358520000000049E-2</c:v>
                </c:pt>
                <c:pt idx="5">
                  <c:v>11.865639655481639</c:v>
                </c:pt>
                <c:pt idx="6">
                  <c:v>3.5703147506144872</c:v>
                </c:pt>
                <c:pt idx="7">
                  <c:v>3.1337144630167142</c:v>
                </c:pt>
              </c:numCache>
            </c:numRef>
          </c:val>
        </c:ser>
        <c:dLbls>
          <c:showLegendKey val="0"/>
          <c:showVal val="0"/>
          <c:showCatName val="0"/>
          <c:showSerName val="0"/>
          <c:showPercent val="0"/>
          <c:showBubbleSize val="0"/>
        </c:dLbls>
        <c:gapWidth val="150"/>
        <c:axId val="261999232"/>
        <c:axId val="262001024"/>
      </c:barChart>
      <c:catAx>
        <c:axId val="261999232"/>
        <c:scaling>
          <c:orientation val="minMax"/>
        </c:scaling>
        <c:delete val="0"/>
        <c:axPos val="b"/>
        <c:majorTickMark val="out"/>
        <c:minorTickMark val="none"/>
        <c:tickLblPos val="nextTo"/>
        <c:crossAx val="262001024"/>
        <c:crosses val="autoZero"/>
        <c:auto val="1"/>
        <c:lblAlgn val="ctr"/>
        <c:lblOffset val="100"/>
        <c:noMultiLvlLbl val="0"/>
      </c:catAx>
      <c:valAx>
        <c:axId val="262001024"/>
        <c:scaling>
          <c:orientation val="minMax"/>
        </c:scaling>
        <c:delete val="0"/>
        <c:axPos val="l"/>
        <c:majorGridlines/>
        <c:numFmt formatCode="General" sourceLinked="1"/>
        <c:majorTickMark val="out"/>
        <c:minorTickMark val="none"/>
        <c:tickLblPos val="nextTo"/>
        <c:crossAx val="26199923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fund'!$A$11</c:f>
              <c:strCache>
                <c:ptCount val="1"/>
                <c:pt idx="0">
                  <c:v>Total Liabilites to Total Asset</c:v>
                </c:pt>
              </c:strCache>
            </c:strRef>
          </c:tx>
          <c:invertIfNegative val="0"/>
          <c:val>
            <c:numRef>
              <c:f>'average of ICB fund'!$B$11:$I$11</c:f>
              <c:numCache>
                <c:formatCode>General</c:formatCode>
                <c:ptCount val="8"/>
                <c:pt idx="3">
                  <c:v>0.46727262361387467</c:v>
                </c:pt>
                <c:pt idx="4">
                  <c:v>0.50864648154647163</c:v>
                </c:pt>
                <c:pt idx="5">
                  <c:v>2.4575056169377238</c:v>
                </c:pt>
                <c:pt idx="6">
                  <c:v>0.16029674551096507</c:v>
                </c:pt>
                <c:pt idx="7">
                  <c:v>0.17286198475304423</c:v>
                </c:pt>
              </c:numCache>
            </c:numRef>
          </c:val>
        </c:ser>
        <c:dLbls>
          <c:showLegendKey val="0"/>
          <c:showVal val="0"/>
          <c:showCatName val="0"/>
          <c:showSerName val="0"/>
          <c:showPercent val="0"/>
          <c:showBubbleSize val="0"/>
        </c:dLbls>
        <c:gapWidth val="150"/>
        <c:axId val="262222208"/>
        <c:axId val="262223744"/>
      </c:barChart>
      <c:catAx>
        <c:axId val="262222208"/>
        <c:scaling>
          <c:orientation val="minMax"/>
        </c:scaling>
        <c:delete val="0"/>
        <c:axPos val="b"/>
        <c:majorTickMark val="out"/>
        <c:minorTickMark val="none"/>
        <c:tickLblPos val="nextTo"/>
        <c:crossAx val="262223744"/>
        <c:crosses val="autoZero"/>
        <c:auto val="1"/>
        <c:lblAlgn val="ctr"/>
        <c:lblOffset val="100"/>
        <c:noMultiLvlLbl val="0"/>
      </c:catAx>
      <c:valAx>
        <c:axId val="262223744"/>
        <c:scaling>
          <c:orientation val="minMax"/>
        </c:scaling>
        <c:delete val="0"/>
        <c:axPos val="l"/>
        <c:majorGridlines/>
        <c:numFmt formatCode="General" sourceLinked="1"/>
        <c:majorTickMark val="out"/>
        <c:minorTickMark val="none"/>
        <c:tickLblPos val="nextTo"/>
        <c:crossAx val="2622222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fund'!$A$12</c:f>
              <c:strCache>
                <c:ptCount val="1"/>
                <c:pt idx="0">
                  <c:v>Return on Equity</c:v>
                </c:pt>
              </c:strCache>
            </c:strRef>
          </c:tx>
          <c:invertIfNegative val="0"/>
          <c:val>
            <c:numRef>
              <c:f>'average of ICB fund'!$B$12:$I$12</c:f>
              <c:numCache>
                <c:formatCode>General</c:formatCode>
                <c:ptCount val="8"/>
                <c:pt idx="3">
                  <c:v>0.10402826699999999</c:v>
                </c:pt>
                <c:pt idx="4">
                  <c:v>0.26953834582990482</c:v>
                </c:pt>
                <c:pt idx="5">
                  <c:v>0.28635267305920348</c:v>
                </c:pt>
                <c:pt idx="6">
                  <c:v>0.23193641203820403</c:v>
                </c:pt>
                <c:pt idx="7">
                  <c:v>0.33112792977734351</c:v>
                </c:pt>
              </c:numCache>
            </c:numRef>
          </c:val>
        </c:ser>
        <c:dLbls>
          <c:showLegendKey val="0"/>
          <c:showVal val="0"/>
          <c:showCatName val="0"/>
          <c:showSerName val="0"/>
          <c:showPercent val="0"/>
          <c:showBubbleSize val="0"/>
        </c:dLbls>
        <c:gapWidth val="150"/>
        <c:axId val="262256512"/>
        <c:axId val="262258048"/>
      </c:barChart>
      <c:catAx>
        <c:axId val="262256512"/>
        <c:scaling>
          <c:orientation val="minMax"/>
        </c:scaling>
        <c:delete val="0"/>
        <c:axPos val="b"/>
        <c:majorTickMark val="out"/>
        <c:minorTickMark val="none"/>
        <c:tickLblPos val="nextTo"/>
        <c:crossAx val="262258048"/>
        <c:crosses val="autoZero"/>
        <c:auto val="1"/>
        <c:lblAlgn val="ctr"/>
        <c:lblOffset val="100"/>
        <c:noMultiLvlLbl val="0"/>
      </c:catAx>
      <c:valAx>
        <c:axId val="262258048"/>
        <c:scaling>
          <c:orientation val="minMax"/>
        </c:scaling>
        <c:delete val="0"/>
        <c:axPos val="l"/>
        <c:majorGridlines/>
        <c:numFmt formatCode="General" sourceLinked="1"/>
        <c:majorTickMark val="out"/>
        <c:minorTickMark val="none"/>
        <c:tickLblPos val="nextTo"/>
        <c:crossAx val="2622565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fund'!$A$13</c:f>
              <c:strCache>
                <c:ptCount val="1"/>
                <c:pt idx="0">
                  <c:v>Total equity to Total Asset</c:v>
                </c:pt>
              </c:strCache>
            </c:strRef>
          </c:tx>
          <c:invertIfNegative val="0"/>
          <c:val>
            <c:numRef>
              <c:f>'average of ICB fund'!$B$13:$I$13</c:f>
              <c:numCache>
                <c:formatCode>General</c:formatCode>
                <c:ptCount val="8"/>
                <c:pt idx="3">
                  <c:v>3.4007283104868371</c:v>
                </c:pt>
                <c:pt idx="4">
                  <c:v>3.2706546941394969</c:v>
                </c:pt>
                <c:pt idx="5">
                  <c:v>11.152592437525191</c:v>
                </c:pt>
                <c:pt idx="6">
                  <c:v>4.0221499926110509</c:v>
                </c:pt>
                <c:pt idx="7">
                  <c:v>3.9747045707327389</c:v>
                </c:pt>
              </c:numCache>
            </c:numRef>
          </c:val>
        </c:ser>
        <c:dLbls>
          <c:showLegendKey val="0"/>
          <c:showVal val="0"/>
          <c:showCatName val="0"/>
          <c:showSerName val="0"/>
          <c:showPercent val="0"/>
          <c:showBubbleSize val="0"/>
        </c:dLbls>
        <c:gapWidth val="150"/>
        <c:axId val="262086016"/>
        <c:axId val="262091904"/>
      </c:barChart>
      <c:catAx>
        <c:axId val="262086016"/>
        <c:scaling>
          <c:orientation val="minMax"/>
        </c:scaling>
        <c:delete val="0"/>
        <c:axPos val="b"/>
        <c:majorTickMark val="out"/>
        <c:minorTickMark val="none"/>
        <c:tickLblPos val="nextTo"/>
        <c:crossAx val="262091904"/>
        <c:crosses val="autoZero"/>
        <c:auto val="1"/>
        <c:lblAlgn val="ctr"/>
        <c:lblOffset val="100"/>
        <c:noMultiLvlLbl val="0"/>
      </c:catAx>
      <c:valAx>
        <c:axId val="262091904"/>
        <c:scaling>
          <c:orientation val="minMax"/>
        </c:scaling>
        <c:delete val="0"/>
        <c:axPos val="l"/>
        <c:majorGridlines/>
        <c:numFmt formatCode="General" sourceLinked="1"/>
        <c:majorTickMark val="out"/>
        <c:minorTickMark val="none"/>
        <c:tickLblPos val="nextTo"/>
        <c:crossAx val="262086016"/>
        <c:crosses val="autoZero"/>
        <c:crossBetween val="between"/>
      </c:valAx>
    </c:plotArea>
    <c:legend>
      <c:legendPos val="r"/>
      <c:overlay val="0"/>
    </c:legend>
    <c:plotVisOnly val="1"/>
    <c:dispBlanksAs val="gap"/>
    <c:showDLblsOverMax val="0"/>
  </c:chart>
  <c:txPr>
    <a:bodyPr/>
    <a:lstStyle/>
    <a:p>
      <a:pPr>
        <a:defRPr baseline="0"/>
      </a:pPr>
      <a:endParaRPr lang="en-US"/>
    </a:p>
  </c:txPr>
  <c:externalData r:id="rId1">
    <c:autoUpdate val="0"/>
  </c:externalData>
  <c:userShapes r:id="rId2"/>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'average of ICB fund'!$A$14</c:f>
              <c:strCache>
                <c:ptCount val="1"/>
                <c:pt idx="0">
                  <c:v>Market to Book Ratio</c:v>
                </c:pt>
              </c:strCache>
            </c:strRef>
          </c:tx>
          <c:invertIfNegative val="0"/>
          <c:val>
            <c:numRef>
              <c:f>'average of ICB fund'!$B$14:$I$14</c:f>
              <c:numCache>
                <c:formatCode>General</c:formatCode>
                <c:ptCount val="7"/>
                <c:pt idx="2">
                  <c:v>0.72378265866500402</c:v>
                </c:pt>
                <c:pt idx="3">
                  <c:v>0.70398261896447956</c:v>
                </c:pt>
                <c:pt idx="4">
                  <c:v>0.693395392190708</c:v>
                </c:pt>
                <c:pt idx="5">
                  <c:v>0.7034022508669312</c:v>
                </c:pt>
                <c:pt idx="6">
                  <c:v>0.75450086455085263</c:v>
                </c:pt>
              </c:numCache>
            </c:numRef>
          </c:val>
        </c:ser>
        <c:dLbls>
          <c:showLegendKey val="0"/>
          <c:showVal val="0"/>
          <c:showCatName val="0"/>
          <c:showSerName val="0"/>
          <c:showPercent val="0"/>
          <c:showBubbleSize val="0"/>
        </c:dLbls>
        <c:gapWidth val="150"/>
        <c:axId val="262120576"/>
        <c:axId val="262122112"/>
      </c:barChart>
      <c:catAx>
        <c:axId val="262120576"/>
        <c:scaling>
          <c:orientation val="minMax"/>
        </c:scaling>
        <c:delete val="0"/>
        <c:axPos val="b"/>
        <c:majorTickMark val="out"/>
        <c:minorTickMark val="none"/>
        <c:tickLblPos val="nextTo"/>
        <c:crossAx val="262122112"/>
        <c:crosses val="autoZero"/>
        <c:auto val="1"/>
        <c:lblAlgn val="ctr"/>
        <c:lblOffset val="100"/>
        <c:noMultiLvlLbl val="0"/>
      </c:catAx>
      <c:valAx>
        <c:axId val="262122112"/>
        <c:scaling>
          <c:orientation val="minMax"/>
        </c:scaling>
        <c:delete val="0"/>
        <c:axPos val="l"/>
        <c:majorGridlines/>
        <c:numFmt formatCode="General" sourceLinked="1"/>
        <c:majorTickMark val="out"/>
        <c:minorTickMark val="none"/>
        <c:tickLblPos val="nextTo"/>
        <c:crossAx val="26212057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'Return on asset'!$B$8</c:f>
              <c:strCache>
                <c:ptCount val="1"/>
                <c:pt idx="0">
                  <c:v>Reliance</c:v>
                </c:pt>
              </c:strCache>
            </c:strRef>
          </c:tx>
          <c:invertIfNegative val="0"/>
          <c:cat>
            <c:numRef>
              <c:f>'Return on asset'!$A$9:$A$13</c:f>
              <c:numCache>
                <c:formatCode>General</c:formatCode>
                <c:ptCount val="5"/>
                <c:pt idx="0">
                  <c:v>2013</c:v>
                </c:pt>
                <c:pt idx="1">
                  <c:v>2014</c:v>
                </c:pt>
                <c:pt idx="2">
                  <c:v>2015</c:v>
                </c:pt>
                <c:pt idx="3">
                  <c:v>2016</c:v>
                </c:pt>
                <c:pt idx="4">
                  <c:v>2017</c:v>
                </c:pt>
              </c:numCache>
            </c:numRef>
          </c:cat>
          <c:val>
            <c:numRef>
              <c:f>'Return on asset'!$B$9:$B$13</c:f>
              <c:numCache>
                <c:formatCode>General</c:formatCode>
                <c:ptCount val="5"/>
                <c:pt idx="0">
                  <c:v>8.7799710000000031E-2</c:v>
                </c:pt>
                <c:pt idx="1">
                  <c:v>0.10931100000000002</c:v>
                </c:pt>
                <c:pt idx="2">
                  <c:v>0.10801660000000005</c:v>
                </c:pt>
                <c:pt idx="3">
                  <c:v>5.5619500000000002E-2</c:v>
                </c:pt>
                <c:pt idx="4">
                  <c:v>6.3668100000000005E-2</c:v>
                </c:pt>
              </c:numCache>
            </c:numRef>
          </c:val>
        </c:ser>
        <c:ser>
          <c:idx val="1"/>
          <c:order val="1"/>
          <c:tx>
            <c:strRef>
              <c:f>'Return on asset'!$C$8</c:f>
              <c:strCache>
                <c:ptCount val="1"/>
                <c:pt idx="0">
                  <c:v>Grameen 1</c:v>
                </c:pt>
              </c:strCache>
            </c:strRef>
          </c:tx>
          <c:invertIfNegative val="0"/>
          <c:cat>
            <c:numRef>
              <c:f>'Return on asset'!$A$9:$A$13</c:f>
              <c:numCache>
                <c:formatCode>General</c:formatCode>
                <c:ptCount val="5"/>
                <c:pt idx="0">
                  <c:v>2013</c:v>
                </c:pt>
                <c:pt idx="1">
                  <c:v>2014</c:v>
                </c:pt>
                <c:pt idx="2">
                  <c:v>2015</c:v>
                </c:pt>
                <c:pt idx="3">
                  <c:v>2016</c:v>
                </c:pt>
                <c:pt idx="4">
                  <c:v>2017</c:v>
                </c:pt>
              </c:numCache>
            </c:numRef>
          </c:cat>
          <c:val>
            <c:numRef>
              <c:f>'Return on asset'!$C$9:$C$13</c:f>
              <c:numCache>
                <c:formatCode>General</c:formatCode>
                <c:ptCount val="5"/>
                <c:pt idx="0">
                  <c:v>0.17696570000000009</c:v>
                </c:pt>
                <c:pt idx="1">
                  <c:v>7.4139300000000019E-2</c:v>
                </c:pt>
                <c:pt idx="2">
                  <c:v>7.3498300000000003E-2</c:v>
                </c:pt>
                <c:pt idx="3">
                  <c:v>9.6767800000000057E-2</c:v>
                </c:pt>
                <c:pt idx="4">
                  <c:v>5.4254230000000028E-2</c:v>
                </c:pt>
              </c:numCache>
            </c:numRef>
          </c:val>
        </c:ser>
        <c:ser>
          <c:idx val="2"/>
          <c:order val="2"/>
          <c:tx>
            <c:strRef>
              <c:f>'Return on asset'!$D$8</c:f>
              <c:strCache>
                <c:ptCount val="1"/>
                <c:pt idx="0">
                  <c:v>Grameen 2</c:v>
                </c:pt>
              </c:strCache>
            </c:strRef>
          </c:tx>
          <c:invertIfNegative val="0"/>
          <c:cat>
            <c:numRef>
              <c:f>'Return on asset'!$A$9:$A$13</c:f>
              <c:numCache>
                <c:formatCode>General</c:formatCode>
                <c:ptCount val="5"/>
                <c:pt idx="0">
                  <c:v>2013</c:v>
                </c:pt>
                <c:pt idx="1">
                  <c:v>2014</c:v>
                </c:pt>
                <c:pt idx="2">
                  <c:v>2015</c:v>
                </c:pt>
                <c:pt idx="3">
                  <c:v>2016</c:v>
                </c:pt>
                <c:pt idx="4">
                  <c:v>2017</c:v>
                </c:pt>
              </c:numCache>
            </c:numRef>
          </c:cat>
          <c:val>
            <c:numRef>
              <c:f>'Return on asset'!$D$9:$D$13</c:f>
              <c:numCache>
                <c:formatCode>General</c:formatCode>
                <c:ptCount val="5"/>
                <c:pt idx="0">
                  <c:v>7.8677999999999998E-2</c:v>
                </c:pt>
                <c:pt idx="1">
                  <c:v>5.9449670000000024E-2</c:v>
                </c:pt>
                <c:pt idx="2">
                  <c:v>5.8233109999999977E-2</c:v>
                </c:pt>
                <c:pt idx="3">
                  <c:v>5.6390620000000044E-2</c:v>
                </c:pt>
                <c:pt idx="4">
                  <c:v>6.6888900000000001E-2</c:v>
                </c:pt>
              </c:numCache>
            </c:numRef>
          </c:val>
        </c:ser>
        <c:ser>
          <c:idx val="3"/>
          <c:order val="3"/>
          <c:tx>
            <c:strRef>
              <c:f>'Return on asset'!$E$8</c:f>
              <c:strCache>
                <c:ptCount val="1"/>
                <c:pt idx="0">
                  <c:v>ICB</c:v>
                </c:pt>
              </c:strCache>
            </c:strRef>
          </c:tx>
          <c:invertIfNegative val="0"/>
          <c:cat>
            <c:numRef>
              <c:f>'Return on asset'!$A$9:$A$13</c:f>
              <c:numCache>
                <c:formatCode>General</c:formatCode>
                <c:ptCount val="5"/>
                <c:pt idx="0">
                  <c:v>2013</c:v>
                </c:pt>
                <c:pt idx="1">
                  <c:v>2014</c:v>
                </c:pt>
                <c:pt idx="2">
                  <c:v>2015</c:v>
                </c:pt>
                <c:pt idx="3">
                  <c:v>2016</c:v>
                </c:pt>
                <c:pt idx="4">
                  <c:v>2017</c:v>
                </c:pt>
              </c:numCache>
            </c:numRef>
          </c:cat>
          <c:val>
            <c:numRef>
              <c:f>'Return on asset'!$E$9:$E$13</c:f>
              <c:numCache>
                <c:formatCode>General</c:formatCode>
                <c:ptCount val="5"/>
                <c:pt idx="0">
                  <c:v>1.8022317999999999E-2</c:v>
                </c:pt>
                <c:pt idx="1">
                  <c:v>5.8689739999999997E-2</c:v>
                </c:pt>
                <c:pt idx="2">
                  <c:v>5.4973399999999999E-2</c:v>
                </c:pt>
                <c:pt idx="3">
                  <c:v>4.6423480000000024E-2</c:v>
                </c:pt>
                <c:pt idx="4">
                  <c:v>7.7453258999999997E-2</c:v>
                </c:pt>
              </c:numCache>
            </c:numRef>
          </c:val>
        </c:ser>
        <c:dLbls>
          <c:showLegendKey val="0"/>
          <c:showVal val="0"/>
          <c:showCatName val="0"/>
          <c:showSerName val="0"/>
          <c:showPercent val="0"/>
          <c:showBubbleSize val="0"/>
        </c:dLbls>
        <c:gapWidth val="150"/>
        <c:axId val="262292992"/>
        <c:axId val="262294528"/>
      </c:barChart>
      <c:catAx>
        <c:axId val="262292992"/>
        <c:scaling>
          <c:orientation val="minMax"/>
        </c:scaling>
        <c:delete val="0"/>
        <c:axPos val="b"/>
        <c:numFmt formatCode="General" sourceLinked="1"/>
        <c:majorTickMark val="out"/>
        <c:minorTickMark val="none"/>
        <c:tickLblPos val="nextTo"/>
        <c:crossAx val="262294528"/>
        <c:crosses val="autoZero"/>
        <c:auto val="1"/>
        <c:lblAlgn val="ctr"/>
        <c:lblOffset val="100"/>
        <c:noMultiLvlLbl val="0"/>
      </c:catAx>
      <c:valAx>
        <c:axId val="262294528"/>
        <c:scaling>
          <c:orientation val="minMax"/>
        </c:scaling>
        <c:delete val="0"/>
        <c:axPos val="l"/>
        <c:majorGridlines/>
        <c:numFmt formatCode="General" sourceLinked="1"/>
        <c:majorTickMark val="out"/>
        <c:minorTickMark val="none"/>
        <c:tickLblPos val="nextTo"/>
        <c:crossAx val="262292992"/>
        <c:crosses val="autoZero"/>
        <c:crossBetween val="between"/>
      </c:valAx>
    </c:plotArea>
    <c:legend>
      <c:legendPos val="r"/>
      <c:overlay val="0"/>
    </c:legend>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'Dividend Yield Ratio'!$C$4</c:f>
              <c:strCache>
                <c:ptCount val="1"/>
                <c:pt idx="0">
                  <c:v>Reliance</c:v>
                </c:pt>
              </c:strCache>
            </c:strRef>
          </c:tx>
          <c:invertIfNegative val="0"/>
          <c:cat>
            <c:numRef>
              <c:f>'Dividend Yield Ratio'!$B$5:$B$9</c:f>
              <c:numCache>
                <c:formatCode>General</c:formatCode>
                <c:ptCount val="5"/>
                <c:pt idx="0">
                  <c:v>2013</c:v>
                </c:pt>
                <c:pt idx="1">
                  <c:v>2014</c:v>
                </c:pt>
                <c:pt idx="2">
                  <c:v>2015</c:v>
                </c:pt>
                <c:pt idx="3">
                  <c:v>2016</c:v>
                </c:pt>
                <c:pt idx="4">
                  <c:v>2017</c:v>
                </c:pt>
              </c:numCache>
            </c:numRef>
          </c:cat>
          <c:val>
            <c:numRef>
              <c:f>'Dividend Yield Ratio'!$C$5:$C$9</c:f>
              <c:numCache>
                <c:formatCode>General</c:formatCode>
                <c:ptCount val="5"/>
                <c:pt idx="0">
                  <c:v>0</c:v>
                </c:pt>
                <c:pt idx="1">
                  <c:v>12.219999999999999</c:v>
                </c:pt>
                <c:pt idx="2">
                  <c:v>14.29</c:v>
                </c:pt>
                <c:pt idx="3">
                  <c:v>12.6</c:v>
                </c:pt>
                <c:pt idx="4">
                  <c:v>9.09</c:v>
                </c:pt>
              </c:numCache>
            </c:numRef>
          </c:val>
        </c:ser>
        <c:ser>
          <c:idx val="1"/>
          <c:order val="1"/>
          <c:tx>
            <c:strRef>
              <c:f>'Dividend Yield Ratio'!$D$4</c:f>
              <c:strCache>
                <c:ptCount val="1"/>
                <c:pt idx="0">
                  <c:v>Grameen 1</c:v>
                </c:pt>
              </c:strCache>
            </c:strRef>
          </c:tx>
          <c:invertIfNegative val="0"/>
          <c:cat>
            <c:numRef>
              <c:f>'Dividend Yield Ratio'!$B$5:$B$9</c:f>
              <c:numCache>
                <c:formatCode>General</c:formatCode>
                <c:ptCount val="5"/>
                <c:pt idx="0">
                  <c:v>2013</c:v>
                </c:pt>
                <c:pt idx="1">
                  <c:v>2014</c:v>
                </c:pt>
                <c:pt idx="2">
                  <c:v>2015</c:v>
                </c:pt>
                <c:pt idx="3">
                  <c:v>2016</c:v>
                </c:pt>
                <c:pt idx="4">
                  <c:v>2017</c:v>
                </c:pt>
              </c:numCache>
            </c:numRef>
          </c:cat>
          <c:val>
            <c:numRef>
              <c:f>'Dividend Yield Ratio'!$D$5:$D$9</c:f>
              <c:numCache>
                <c:formatCode>General</c:formatCode>
                <c:ptCount val="5"/>
                <c:pt idx="0">
                  <c:v>0</c:v>
                </c:pt>
                <c:pt idx="1">
                  <c:v>0.17580872</c:v>
                </c:pt>
                <c:pt idx="2">
                  <c:v>4.8732900000000037E-2</c:v>
                </c:pt>
                <c:pt idx="3">
                  <c:v>5.7290199999999999E-2</c:v>
                </c:pt>
                <c:pt idx="4">
                  <c:v>4.8230500000000003E-2</c:v>
                </c:pt>
              </c:numCache>
            </c:numRef>
          </c:val>
        </c:ser>
        <c:ser>
          <c:idx val="2"/>
          <c:order val="2"/>
          <c:tx>
            <c:strRef>
              <c:f>'Dividend Yield Ratio'!$E$4</c:f>
              <c:strCache>
                <c:ptCount val="1"/>
                <c:pt idx="0">
                  <c:v>Grameen 2</c:v>
                </c:pt>
              </c:strCache>
            </c:strRef>
          </c:tx>
          <c:invertIfNegative val="0"/>
          <c:cat>
            <c:numRef>
              <c:f>'Dividend Yield Ratio'!$B$5:$B$9</c:f>
              <c:numCache>
                <c:formatCode>General</c:formatCode>
                <c:ptCount val="5"/>
                <c:pt idx="0">
                  <c:v>2013</c:v>
                </c:pt>
                <c:pt idx="1">
                  <c:v>2014</c:v>
                </c:pt>
                <c:pt idx="2">
                  <c:v>2015</c:v>
                </c:pt>
                <c:pt idx="3">
                  <c:v>2016</c:v>
                </c:pt>
                <c:pt idx="4">
                  <c:v>2017</c:v>
                </c:pt>
              </c:numCache>
            </c:numRef>
          </c:cat>
          <c:val>
            <c:numRef>
              <c:f>'Dividend Yield Ratio'!$E$5:$E$9</c:f>
              <c:numCache>
                <c:formatCode>General</c:formatCode>
                <c:ptCount val="5"/>
                <c:pt idx="0">
                  <c:v>0</c:v>
                </c:pt>
                <c:pt idx="1">
                  <c:v>9.09</c:v>
                </c:pt>
                <c:pt idx="2">
                  <c:v>9.26</c:v>
                </c:pt>
                <c:pt idx="3">
                  <c:v>7.24</c:v>
                </c:pt>
                <c:pt idx="4">
                  <c:v>7.2700000000000014</c:v>
                </c:pt>
              </c:numCache>
            </c:numRef>
          </c:val>
        </c:ser>
        <c:ser>
          <c:idx val="3"/>
          <c:order val="3"/>
          <c:tx>
            <c:strRef>
              <c:f>'Dividend Yield Ratio'!$F$4</c:f>
              <c:strCache>
                <c:ptCount val="1"/>
                <c:pt idx="0">
                  <c:v>ICB</c:v>
                </c:pt>
              </c:strCache>
            </c:strRef>
          </c:tx>
          <c:invertIfNegative val="0"/>
          <c:cat>
            <c:numRef>
              <c:f>'Dividend Yield Ratio'!$B$5:$B$9</c:f>
              <c:numCache>
                <c:formatCode>General</c:formatCode>
                <c:ptCount val="5"/>
                <c:pt idx="0">
                  <c:v>2013</c:v>
                </c:pt>
                <c:pt idx="1">
                  <c:v>2014</c:v>
                </c:pt>
                <c:pt idx="2">
                  <c:v>2015</c:v>
                </c:pt>
                <c:pt idx="3">
                  <c:v>2016</c:v>
                </c:pt>
                <c:pt idx="4">
                  <c:v>2017</c:v>
                </c:pt>
              </c:numCache>
            </c:numRef>
          </c:cat>
          <c:val>
            <c:numRef>
              <c:f>'Dividend Yield Ratio'!$F$5:$F$9</c:f>
              <c:numCache>
                <c:formatCode>General</c:formatCode>
                <c:ptCount val="5"/>
                <c:pt idx="0">
                  <c:v>3.79</c:v>
                </c:pt>
                <c:pt idx="1">
                  <c:v>9.629999999999999</c:v>
                </c:pt>
                <c:pt idx="2">
                  <c:v>12.94</c:v>
                </c:pt>
                <c:pt idx="3">
                  <c:v>10.8</c:v>
                </c:pt>
                <c:pt idx="4">
                  <c:v>7.58</c:v>
                </c:pt>
              </c:numCache>
            </c:numRef>
          </c:val>
        </c:ser>
        <c:dLbls>
          <c:showLegendKey val="0"/>
          <c:showVal val="0"/>
          <c:showCatName val="0"/>
          <c:showSerName val="0"/>
          <c:showPercent val="0"/>
          <c:showBubbleSize val="0"/>
        </c:dLbls>
        <c:gapWidth val="150"/>
        <c:axId val="262325376"/>
        <c:axId val="262326912"/>
      </c:barChart>
      <c:catAx>
        <c:axId val="262325376"/>
        <c:scaling>
          <c:orientation val="minMax"/>
        </c:scaling>
        <c:delete val="0"/>
        <c:axPos val="b"/>
        <c:numFmt formatCode="General" sourceLinked="1"/>
        <c:majorTickMark val="out"/>
        <c:minorTickMark val="none"/>
        <c:tickLblPos val="nextTo"/>
        <c:crossAx val="262326912"/>
        <c:crosses val="autoZero"/>
        <c:auto val="1"/>
        <c:lblAlgn val="ctr"/>
        <c:lblOffset val="100"/>
        <c:noMultiLvlLbl val="0"/>
      </c:catAx>
      <c:valAx>
        <c:axId val="262326912"/>
        <c:scaling>
          <c:orientation val="minMax"/>
        </c:scaling>
        <c:delete val="0"/>
        <c:axPos val="l"/>
        <c:majorGridlines/>
        <c:numFmt formatCode="General" sourceLinked="1"/>
        <c:majorTickMark val="out"/>
        <c:minorTickMark val="none"/>
        <c:tickLblPos val="nextTo"/>
        <c:crossAx val="26232537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0344444444444491"/>
          <c:y val="3.2407407407407454E-2"/>
        </c:manualLayout>
      </c:layout>
      <c:overlay val="0"/>
    </c:title>
    <c:autoTitleDeleted val="0"/>
    <c:plotArea>
      <c:layout>
        <c:manualLayout>
          <c:layoutTarget val="inner"/>
          <c:xMode val="edge"/>
          <c:yMode val="edge"/>
          <c:x val="0.17334951881014873"/>
          <c:y val="0.21795166229221349"/>
          <c:w val="0.51820647419072619"/>
          <c:h val="0.68921660834062359"/>
        </c:manualLayout>
      </c:layout>
      <c:barChart>
        <c:barDir val="col"/>
        <c:grouping val="clustered"/>
        <c:varyColors val="0"/>
        <c:ser>
          <c:idx val="0"/>
          <c:order val="0"/>
          <c:tx>
            <c:strRef>
              <c:f>'Reliance One'!$A$6</c:f>
              <c:strCache>
                <c:ptCount val="1"/>
                <c:pt idx="0">
                  <c:v>Net asset valuation</c:v>
                </c:pt>
              </c:strCache>
            </c:strRef>
          </c:tx>
          <c:invertIfNegative val="0"/>
          <c:val>
            <c:numRef>
              <c:f>'Reliance One'!$B$6:$F$6</c:f>
              <c:numCache>
                <c:formatCode>General</c:formatCode>
                <c:ptCount val="5"/>
                <c:pt idx="0">
                  <c:v>654246865</c:v>
                </c:pt>
                <c:pt idx="1">
                  <c:v>760920514</c:v>
                </c:pt>
                <c:pt idx="2">
                  <c:v>767344737</c:v>
                </c:pt>
                <c:pt idx="3">
                  <c:v>729565956</c:v>
                </c:pt>
                <c:pt idx="4">
                  <c:v>851205884</c:v>
                </c:pt>
              </c:numCache>
            </c:numRef>
          </c:val>
        </c:ser>
        <c:dLbls>
          <c:showLegendKey val="0"/>
          <c:showVal val="0"/>
          <c:showCatName val="0"/>
          <c:showSerName val="0"/>
          <c:showPercent val="0"/>
          <c:showBubbleSize val="0"/>
        </c:dLbls>
        <c:gapWidth val="150"/>
        <c:axId val="259906560"/>
        <c:axId val="259908352"/>
      </c:barChart>
      <c:catAx>
        <c:axId val="259906560"/>
        <c:scaling>
          <c:orientation val="minMax"/>
        </c:scaling>
        <c:delete val="0"/>
        <c:axPos val="b"/>
        <c:majorTickMark val="out"/>
        <c:minorTickMark val="none"/>
        <c:tickLblPos val="nextTo"/>
        <c:crossAx val="259908352"/>
        <c:crosses val="autoZero"/>
        <c:auto val="1"/>
        <c:lblAlgn val="ctr"/>
        <c:lblOffset val="100"/>
        <c:noMultiLvlLbl val="0"/>
      </c:catAx>
      <c:valAx>
        <c:axId val="259908352"/>
        <c:scaling>
          <c:orientation val="minMax"/>
        </c:scaling>
        <c:delete val="0"/>
        <c:axPos val="l"/>
        <c:majorGridlines/>
        <c:numFmt formatCode="General" sourceLinked="1"/>
        <c:majorTickMark val="out"/>
        <c:minorTickMark val="none"/>
        <c:tickLblPos val="nextTo"/>
        <c:crossAx val="2599065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'Change n dividend percentage'!$B$1</c:f>
              <c:strCache>
                <c:ptCount val="1"/>
                <c:pt idx="0">
                  <c:v>Reliance</c:v>
                </c:pt>
              </c:strCache>
            </c:strRef>
          </c:tx>
          <c:invertIfNegative val="0"/>
          <c:cat>
            <c:numRef>
              <c:f>'Change n dividend percentage'!$A$2:$A$6</c:f>
              <c:numCache>
                <c:formatCode>General</c:formatCode>
                <c:ptCount val="5"/>
                <c:pt idx="0">
                  <c:v>2013</c:v>
                </c:pt>
                <c:pt idx="1">
                  <c:v>2014</c:v>
                </c:pt>
                <c:pt idx="2">
                  <c:v>2015</c:v>
                </c:pt>
                <c:pt idx="3">
                  <c:v>2016</c:v>
                </c:pt>
                <c:pt idx="4">
                  <c:v>2017</c:v>
                </c:pt>
              </c:numCache>
            </c:numRef>
          </c:cat>
          <c:val>
            <c:numRef>
              <c:f>'Change n dividend percentage'!$B$2:$B$6</c:f>
              <c:numCache>
                <c:formatCode>0%</c:formatCode>
                <c:ptCount val="5"/>
                <c:pt idx="0">
                  <c:v>0.1</c:v>
                </c:pt>
                <c:pt idx="1">
                  <c:v>0.11</c:v>
                </c:pt>
                <c:pt idx="2">
                  <c:v>0.11</c:v>
                </c:pt>
                <c:pt idx="3">
                  <c:v>0.1</c:v>
                </c:pt>
                <c:pt idx="4">
                  <c:v>0.1</c:v>
                </c:pt>
              </c:numCache>
            </c:numRef>
          </c:val>
        </c:ser>
        <c:ser>
          <c:idx val="1"/>
          <c:order val="1"/>
          <c:tx>
            <c:strRef>
              <c:f>'Change n dividend percentage'!$C$1</c:f>
              <c:strCache>
                <c:ptCount val="1"/>
                <c:pt idx="0">
                  <c:v>Grameen 1</c:v>
                </c:pt>
              </c:strCache>
            </c:strRef>
          </c:tx>
          <c:invertIfNegative val="0"/>
          <c:cat>
            <c:numRef>
              <c:f>'Change n dividend percentage'!$A$2:$A$6</c:f>
              <c:numCache>
                <c:formatCode>General</c:formatCode>
                <c:ptCount val="5"/>
                <c:pt idx="0">
                  <c:v>2013</c:v>
                </c:pt>
                <c:pt idx="1">
                  <c:v>2014</c:v>
                </c:pt>
                <c:pt idx="2">
                  <c:v>2015</c:v>
                </c:pt>
                <c:pt idx="3">
                  <c:v>2016</c:v>
                </c:pt>
                <c:pt idx="4">
                  <c:v>2017</c:v>
                </c:pt>
              </c:numCache>
            </c:numRef>
          </c:cat>
          <c:val>
            <c:numRef>
              <c:f>'Change n dividend percentage'!$C$2:$C$6</c:f>
              <c:numCache>
                <c:formatCode>0.00%</c:formatCode>
                <c:ptCount val="5"/>
                <c:pt idx="0">
                  <c:v>-0.15490000000000012</c:v>
                </c:pt>
                <c:pt idx="1">
                  <c:v>1.2060000000000001E-2</c:v>
                </c:pt>
                <c:pt idx="2" formatCode="0%">
                  <c:v>-0.70000000000000029</c:v>
                </c:pt>
                <c:pt idx="3">
                  <c:v>0.33333333000000015</c:v>
                </c:pt>
                <c:pt idx="4" formatCode="General">
                  <c:v>0</c:v>
                </c:pt>
              </c:numCache>
            </c:numRef>
          </c:val>
        </c:ser>
        <c:ser>
          <c:idx val="2"/>
          <c:order val="2"/>
          <c:tx>
            <c:strRef>
              <c:f>'Change n dividend percentage'!$D$1</c:f>
              <c:strCache>
                <c:ptCount val="1"/>
                <c:pt idx="0">
                  <c:v>Grameen 2</c:v>
                </c:pt>
              </c:strCache>
            </c:strRef>
          </c:tx>
          <c:invertIfNegative val="0"/>
          <c:cat>
            <c:numRef>
              <c:f>'Change n dividend percentage'!$A$2:$A$6</c:f>
              <c:numCache>
                <c:formatCode>General</c:formatCode>
                <c:ptCount val="5"/>
                <c:pt idx="0">
                  <c:v>2013</c:v>
                </c:pt>
                <c:pt idx="1">
                  <c:v>2014</c:v>
                </c:pt>
                <c:pt idx="2">
                  <c:v>2015</c:v>
                </c:pt>
                <c:pt idx="3">
                  <c:v>2016</c:v>
                </c:pt>
                <c:pt idx="4">
                  <c:v>2017</c:v>
                </c:pt>
              </c:numCache>
            </c:numRef>
          </c:cat>
          <c:val>
            <c:numRef>
              <c:f>'Change n dividend percentage'!$D$2:$D$6</c:f>
              <c:numCache>
                <c:formatCode>0%</c:formatCode>
                <c:ptCount val="5"/>
                <c:pt idx="0">
                  <c:v>0.15000000000000008</c:v>
                </c:pt>
                <c:pt idx="1">
                  <c:v>0.1</c:v>
                </c:pt>
                <c:pt idx="2">
                  <c:v>0.1</c:v>
                </c:pt>
                <c:pt idx="3">
                  <c:v>0.11</c:v>
                </c:pt>
                <c:pt idx="4">
                  <c:v>0.12000000000000002</c:v>
                </c:pt>
              </c:numCache>
            </c:numRef>
          </c:val>
        </c:ser>
        <c:ser>
          <c:idx val="3"/>
          <c:order val="3"/>
          <c:tx>
            <c:strRef>
              <c:f>'Change n dividend percentage'!$E$1</c:f>
              <c:strCache>
                <c:ptCount val="1"/>
                <c:pt idx="0">
                  <c:v>ICB</c:v>
                </c:pt>
              </c:strCache>
            </c:strRef>
          </c:tx>
          <c:invertIfNegative val="0"/>
          <c:cat>
            <c:numRef>
              <c:f>'Change n dividend percentage'!$A$2:$A$6</c:f>
              <c:numCache>
                <c:formatCode>General</c:formatCode>
                <c:ptCount val="5"/>
                <c:pt idx="0">
                  <c:v>2013</c:v>
                </c:pt>
                <c:pt idx="1">
                  <c:v>2014</c:v>
                </c:pt>
                <c:pt idx="2">
                  <c:v>2015</c:v>
                </c:pt>
                <c:pt idx="3">
                  <c:v>2016</c:v>
                </c:pt>
                <c:pt idx="4">
                  <c:v>2017</c:v>
                </c:pt>
              </c:numCache>
            </c:numRef>
          </c:cat>
          <c:val>
            <c:numRef>
              <c:f>'Change n dividend percentage'!$E$2:$E$6</c:f>
              <c:numCache>
                <c:formatCode>0.00%</c:formatCode>
                <c:ptCount val="5"/>
                <c:pt idx="0" formatCode="0%">
                  <c:v>4.0000000000000022E-2</c:v>
                </c:pt>
                <c:pt idx="1">
                  <c:v>6.9600000000000023E-2</c:v>
                </c:pt>
                <c:pt idx="2">
                  <c:v>7.3999999999999996E-2</c:v>
                </c:pt>
                <c:pt idx="3">
                  <c:v>6.9000000000000034E-2</c:v>
                </c:pt>
                <c:pt idx="4">
                  <c:v>6.2200000000000012E-2</c:v>
                </c:pt>
              </c:numCache>
            </c:numRef>
          </c:val>
        </c:ser>
        <c:dLbls>
          <c:showLegendKey val="0"/>
          <c:showVal val="0"/>
          <c:showCatName val="0"/>
          <c:showSerName val="0"/>
          <c:showPercent val="0"/>
          <c:showBubbleSize val="0"/>
        </c:dLbls>
        <c:gapWidth val="150"/>
        <c:axId val="262378240"/>
        <c:axId val="262379776"/>
      </c:barChart>
      <c:catAx>
        <c:axId val="262378240"/>
        <c:scaling>
          <c:orientation val="minMax"/>
        </c:scaling>
        <c:delete val="0"/>
        <c:axPos val="b"/>
        <c:numFmt formatCode="General" sourceLinked="1"/>
        <c:majorTickMark val="out"/>
        <c:minorTickMark val="none"/>
        <c:tickLblPos val="nextTo"/>
        <c:crossAx val="262379776"/>
        <c:crosses val="autoZero"/>
        <c:auto val="1"/>
        <c:lblAlgn val="ctr"/>
        <c:lblOffset val="100"/>
        <c:noMultiLvlLbl val="0"/>
      </c:catAx>
      <c:valAx>
        <c:axId val="262379776"/>
        <c:scaling>
          <c:orientation val="minMax"/>
        </c:scaling>
        <c:delete val="0"/>
        <c:axPos val="l"/>
        <c:majorGridlines/>
        <c:numFmt formatCode="0%" sourceLinked="1"/>
        <c:majorTickMark val="out"/>
        <c:minorTickMark val="none"/>
        <c:tickLblPos val="nextTo"/>
        <c:crossAx val="262378240"/>
        <c:crosses val="autoZero"/>
        <c:crossBetween val="between"/>
      </c:valAx>
    </c:plotArea>
    <c:legend>
      <c:legendPos val="r"/>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'Growth rate'!$B$1</c:f>
              <c:strCache>
                <c:ptCount val="1"/>
                <c:pt idx="0">
                  <c:v>Reliance</c:v>
                </c:pt>
              </c:strCache>
            </c:strRef>
          </c:tx>
          <c:invertIfNegative val="0"/>
          <c:cat>
            <c:numRef>
              <c:f>'Growth rate'!$A$2:$A$6</c:f>
              <c:numCache>
                <c:formatCode>General</c:formatCode>
                <c:ptCount val="5"/>
                <c:pt idx="0">
                  <c:v>2013</c:v>
                </c:pt>
                <c:pt idx="1">
                  <c:v>2014</c:v>
                </c:pt>
                <c:pt idx="2">
                  <c:v>2015</c:v>
                </c:pt>
                <c:pt idx="3">
                  <c:v>2016</c:v>
                </c:pt>
                <c:pt idx="4">
                  <c:v>2017</c:v>
                </c:pt>
              </c:numCache>
            </c:numRef>
          </c:cat>
          <c:val>
            <c:numRef>
              <c:f>'Growth rate'!$B$2:$B$6</c:f>
              <c:numCache>
                <c:formatCode>General</c:formatCode>
                <c:ptCount val="5"/>
                <c:pt idx="0">
                  <c:v>14.889997300000006</c:v>
                </c:pt>
                <c:pt idx="1">
                  <c:v>16.304801000000012</c:v>
                </c:pt>
                <c:pt idx="2">
                  <c:v>0.84426990000000002</c:v>
                </c:pt>
                <c:pt idx="3">
                  <c:v>-4.9233130000000003</c:v>
                </c:pt>
                <c:pt idx="4">
                  <c:v>16.672917000000005</c:v>
                </c:pt>
              </c:numCache>
            </c:numRef>
          </c:val>
        </c:ser>
        <c:ser>
          <c:idx val="1"/>
          <c:order val="1"/>
          <c:tx>
            <c:strRef>
              <c:f>'Growth rate'!$C$1</c:f>
              <c:strCache>
                <c:ptCount val="1"/>
                <c:pt idx="0">
                  <c:v>Grameen 1</c:v>
                </c:pt>
              </c:strCache>
            </c:strRef>
          </c:tx>
          <c:invertIfNegative val="0"/>
          <c:cat>
            <c:numRef>
              <c:f>'Growth rate'!$A$2:$A$6</c:f>
              <c:numCache>
                <c:formatCode>General</c:formatCode>
                <c:ptCount val="5"/>
                <c:pt idx="0">
                  <c:v>2013</c:v>
                </c:pt>
                <c:pt idx="1">
                  <c:v>2014</c:v>
                </c:pt>
                <c:pt idx="2">
                  <c:v>2015</c:v>
                </c:pt>
                <c:pt idx="3">
                  <c:v>2016</c:v>
                </c:pt>
                <c:pt idx="4">
                  <c:v>2017</c:v>
                </c:pt>
              </c:numCache>
            </c:numRef>
          </c:cat>
          <c:val>
            <c:numRef>
              <c:f>'Growth rate'!$C$2:$C$6</c:f>
              <c:numCache>
                <c:formatCode>General</c:formatCode>
                <c:ptCount val="5"/>
                <c:pt idx="0">
                  <c:v>-91.810490000000001</c:v>
                </c:pt>
                <c:pt idx="1">
                  <c:v>17.628837449999999</c:v>
                </c:pt>
                <c:pt idx="2">
                  <c:v>7.0324537999999999</c:v>
                </c:pt>
                <c:pt idx="3">
                  <c:v>13.082566000000005</c:v>
                </c:pt>
                <c:pt idx="4">
                  <c:v>18.527818700000012</c:v>
                </c:pt>
              </c:numCache>
            </c:numRef>
          </c:val>
        </c:ser>
        <c:ser>
          <c:idx val="2"/>
          <c:order val="2"/>
          <c:tx>
            <c:strRef>
              <c:f>'Growth rate'!$D$1</c:f>
              <c:strCache>
                <c:ptCount val="1"/>
                <c:pt idx="0">
                  <c:v>Grameen 2</c:v>
                </c:pt>
              </c:strCache>
            </c:strRef>
          </c:tx>
          <c:invertIfNegative val="0"/>
          <c:cat>
            <c:numRef>
              <c:f>'Growth rate'!$A$2:$A$6</c:f>
              <c:numCache>
                <c:formatCode>General</c:formatCode>
                <c:ptCount val="5"/>
                <c:pt idx="0">
                  <c:v>2013</c:v>
                </c:pt>
                <c:pt idx="1">
                  <c:v>2014</c:v>
                </c:pt>
                <c:pt idx="2">
                  <c:v>2015</c:v>
                </c:pt>
                <c:pt idx="3">
                  <c:v>2016</c:v>
                </c:pt>
                <c:pt idx="4">
                  <c:v>2017</c:v>
                </c:pt>
              </c:numCache>
            </c:numRef>
          </c:cat>
          <c:val>
            <c:numRef>
              <c:f>'Growth rate'!$D$2:$D$6</c:f>
              <c:numCache>
                <c:formatCode>General</c:formatCode>
                <c:ptCount val="5"/>
                <c:pt idx="0">
                  <c:v>15.566101</c:v>
                </c:pt>
                <c:pt idx="1">
                  <c:v>15.648450199999999</c:v>
                </c:pt>
                <c:pt idx="2">
                  <c:v>-3.1642206000000002</c:v>
                </c:pt>
                <c:pt idx="3">
                  <c:v>19.586399899999986</c:v>
                </c:pt>
                <c:pt idx="4">
                  <c:v>-0.44799309999999998</c:v>
                </c:pt>
              </c:numCache>
            </c:numRef>
          </c:val>
        </c:ser>
        <c:ser>
          <c:idx val="3"/>
          <c:order val="3"/>
          <c:tx>
            <c:strRef>
              <c:f>'Growth rate'!$E$1</c:f>
              <c:strCache>
                <c:ptCount val="1"/>
                <c:pt idx="0">
                  <c:v>ICB</c:v>
                </c:pt>
              </c:strCache>
            </c:strRef>
          </c:tx>
          <c:invertIfNegative val="0"/>
          <c:cat>
            <c:numRef>
              <c:f>'Growth rate'!$A$2:$A$6</c:f>
              <c:numCache>
                <c:formatCode>General</c:formatCode>
                <c:ptCount val="5"/>
                <c:pt idx="0">
                  <c:v>2013</c:v>
                </c:pt>
                <c:pt idx="1">
                  <c:v>2014</c:v>
                </c:pt>
                <c:pt idx="2">
                  <c:v>2015</c:v>
                </c:pt>
                <c:pt idx="3">
                  <c:v>2016</c:v>
                </c:pt>
                <c:pt idx="4">
                  <c:v>2017</c:v>
                </c:pt>
              </c:numCache>
            </c:numRef>
          </c:cat>
          <c:val>
            <c:numRef>
              <c:f>'Growth rate'!$E$2:$E$6</c:f>
              <c:numCache>
                <c:formatCode>General</c:formatCode>
                <c:ptCount val="5"/>
                <c:pt idx="0">
                  <c:v>0.43350082900000025</c:v>
                </c:pt>
                <c:pt idx="1">
                  <c:v>31.105251740000011</c:v>
                </c:pt>
                <c:pt idx="2">
                  <c:v>5.1974580809999971</c:v>
                </c:pt>
                <c:pt idx="3">
                  <c:v>7.105957385</c:v>
                </c:pt>
                <c:pt idx="4">
                  <c:v>13.055046770000008</c:v>
                </c:pt>
              </c:numCache>
            </c:numRef>
          </c:val>
        </c:ser>
        <c:dLbls>
          <c:showLegendKey val="0"/>
          <c:showVal val="0"/>
          <c:showCatName val="0"/>
          <c:showSerName val="0"/>
          <c:showPercent val="0"/>
          <c:showBubbleSize val="0"/>
        </c:dLbls>
        <c:gapWidth val="150"/>
        <c:axId val="262398336"/>
        <c:axId val="262399872"/>
      </c:barChart>
      <c:catAx>
        <c:axId val="262398336"/>
        <c:scaling>
          <c:orientation val="minMax"/>
        </c:scaling>
        <c:delete val="0"/>
        <c:axPos val="b"/>
        <c:numFmt formatCode="General" sourceLinked="1"/>
        <c:majorTickMark val="out"/>
        <c:minorTickMark val="none"/>
        <c:tickLblPos val="nextTo"/>
        <c:crossAx val="262399872"/>
        <c:crosses val="autoZero"/>
        <c:auto val="1"/>
        <c:lblAlgn val="ctr"/>
        <c:lblOffset val="100"/>
        <c:noMultiLvlLbl val="0"/>
      </c:catAx>
      <c:valAx>
        <c:axId val="262399872"/>
        <c:scaling>
          <c:orientation val="minMax"/>
        </c:scaling>
        <c:delete val="0"/>
        <c:axPos val="l"/>
        <c:majorGridlines/>
        <c:numFmt formatCode="General" sourceLinked="1"/>
        <c:majorTickMark val="out"/>
        <c:minorTickMark val="none"/>
        <c:tickLblPos val="nextTo"/>
        <c:crossAx val="262398336"/>
        <c:crosses val="autoZero"/>
        <c:crossBetween val="between"/>
      </c:valAx>
    </c:plotArea>
    <c:legend>
      <c:legendPos val="r"/>
      <c:overlay val="0"/>
    </c:legend>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'Expense Ratio'!$B$1</c:f>
              <c:strCache>
                <c:ptCount val="1"/>
                <c:pt idx="0">
                  <c:v>Reliance</c:v>
                </c:pt>
              </c:strCache>
            </c:strRef>
          </c:tx>
          <c:invertIfNegative val="0"/>
          <c:cat>
            <c:numRef>
              <c:f>'Expense Ratio'!$A$2:$A$6</c:f>
              <c:numCache>
                <c:formatCode>General</c:formatCode>
                <c:ptCount val="5"/>
                <c:pt idx="0">
                  <c:v>2013</c:v>
                </c:pt>
                <c:pt idx="1">
                  <c:v>2014</c:v>
                </c:pt>
                <c:pt idx="2">
                  <c:v>2015</c:v>
                </c:pt>
                <c:pt idx="3">
                  <c:v>2016</c:v>
                </c:pt>
                <c:pt idx="4">
                  <c:v>2017</c:v>
                </c:pt>
              </c:numCache>
            </c:numRef>
          </c:cat>
          <c:val>
            <c:numRef>
              <c:f>'Expense Ratio'!$B$2:$B$6</c:f>
              <c:numCache>
                <c:formatCode>General</c:formatCode>
                <c:ptCount val="5"/>
                <c:pt idx="0">
                  <c:v>1.8662210000000002E-2</c:v>
                </c:pt>
                <c:pt idx="1">
                  <c:v>1.8227299999999998E-2</c:v>
                </c:pt>
                <c:pt idx="2">
                  <c:v>1.8648399999999999E-2</c:v>
                </c:pt>
                <c:pt idx="3">
                  <c:v>2.3338499999999988E-2</c:v>
                </c:pt>
                <c:pt idx="4">
                  <c:v>1.8003300000000003E-2</c:v>
                </c:pt>
              </c:numCache>
            </c:numRef>
          </c:val>
        </c:ser>
        <c:ser>
          <c:idx val="1"/>
          <c:order val="1"/>
          <c:tx>
            <c:strRef>
              <c:f>'Expense Ratio'!$C$1</c:f>
              <c:strCache>
                <c:ptCount val="1"/>
                <c:pt idx="0">
                  <c:v>Grameen 1</c:v>
                </c:pt>
              </c:strCache>
            </c:strRef>
          </c:tx>
          <c:invertIfNegative val="0"/>
          <c:cat>
            <c:numRef>
              <c:f>'Expense Ratio'!$A$2:$A$6</c:f>
              <c:numCache>
                <c:formatCode>General</c:formatCode>
                <c:ptCount val="5"/>
                <c:pt idx="0">
                  <c:v>2013</c:v>
                </c:pt>
                <c:pt idx="1">
                  <c:v>2014</c:v>
                </c:pt>
                <c:pt idx="2">
                  <c:v>2015</c:v>
                </c:pt>
                <c:pt idx="3">
                  <c:v>2016</c:v>
                </c:pt>
                <c:pt idx="4">
                  <c:v>2017</c:v>
                </c:pt>
              </c:numCache>
            </c:numRef>
          </c:cat>
          <c:val>
            <c:numRef>
              <c:f>'Expense Ratio'!$C$2:$C$6</c:f>
              <c:numCache>
                <c:formatCode>General</c:formatCode>
                <c:ptCount val="5"/>
                <c:pt idx="0">
                  <c:v>1.48472E-2</c:v>
                </c:pt>
                <c:pt idx="1">
                  <c:v>1.6991061000000009E-2</c:v>
                </c:pt>
                <c:pt idx="2">
                  <c:v>1.4292599999999999E-2</c:v>
                </c:pt>
                <c:pt idx="3">
                  <c:v>1.3955070000000003E-2</c:v>
                </c:pt>
                <c:pt idx="4">
                  <c:v>1.3386860000000006E-2</c:v>
                </c:pt>
              </c:numCache>
            </c:numRef>
          </c:val>
        </c:ser>
        <c:ser>
          <c:idx val="2"/>
          <c:order val="2"/>
          <c:tx>
            <c:strRef>
              <c:f>'Expense Ratio'!$D$1</c:f>
              <c:strCache>
                <c:ptCount val="1"/>
                <c:pt idx="0">
                  <c:v>Grameen 2</c:v>
                </c:pt>
              </c:strCache>
            </c:strRef>
          </c:tx>
          <c:invertIfNegative val="0"/>
          <c:cat>
            <c:numRef>
              <c:f>'Expense Ratio'!$A$2:$A$6</c:f>
              <c:numCache>
                <c:formatCode>General</c:formatCode>
                <c:ptCount val="5"/>
                <c:pt idx="0">
                  <c:v>2013</c:v>
                </c:pt>
                <c:pt idx="1">
                  <c:v>2014</c:v>
                </c:pt>
                <c:pt idx="2">
                  <c:v>2015</c:v>
                </c:pt>
                <c:pt idx="3">
                  <c:v>2016</c:v>
                </c:pt>
                <c:pt idx="4">
                  <c:v>2017</c:v>
                </c:pt>
              </c:numCache>
            </c:numRef>
          </c:cat>
          <c:val>
            <c:numRef>
              <c:f>'Expense Ratio'!$D$2:$D$6</c:f>
              <c:numCache>
                <c:formatCode>General</c:formatCode>
                <c:ptCount val="5"/>
                <c:pt idx="0">
                  <c:v>9.0671700000000022E-2</c:v>
                </c:pt>
                <c:pt idx="1">
                  <c:v>9.4863800000000078E-3</c:v>
                </c:pt>
                <c:pt idx="2">
                  <c:v>1.0355700000000001E-2</c:v>
                </c:pt>
                <c:pt idx="3">
                  <c:v>9.5666700000000028E-3</c:v>
                </c:pt>
                <c:pt idx="4">
                  <c:v>1.0716939999999998E-2</c:v>
                </c:pt>
              </c:numCache>
            </c:numRef>
          </c:val>
        </c:ser>
        <c:ser>
          <c:idx val="3"/>
          <c:order val="3"/>
          <c:tx>
            <c:strRef>
              <c:f>'Expense Ratio'!$E$1</c:f>
              <c:strCache>
                <c:ptCount val="1"/>
                <c:pt idx="0">
                  <c:v>ICB</c:v>
                </c:pt>
              </c:strCache>
            </c:strRef>
          </c:tx>
          <c:invertIfNegative val="0"/>
          <c:cat>
            <c:numRef>
              <c:f>'Expense Ratio'!$A$2:$A$6</c:f>
              <c:numCache>
                <c:formatCode>General</c:formatCode>
                <c:ptCount val="5"/>
                <c:pt idx="0">
                  <c:v>2013</c:v>
                </c:pt>
                <c:pt idx="1">
                  <c:v>2014</c:v>
                </c:pt>
                <c:pt idx="2">
                  <c:v>2015</c:v>
                </c:pt>
                <c:pt idx="3">
                  <c:v>2016</c:v>
                </c:pt>
                <c:pt idx="4">
                  <c:v>2017</c:v>
                </c:pt>
              </c:numCache>
            </c:numRef>
          </c:cat>
          <c:val>
            <c:numRef>
              <c:f>'Expense Ratio'!$E$2:$E$6</c:f>
              <c:numCache>
                <c:formatCode>General</c:formatCode>
                <c:ptCount val="5"/>
                <c:pt idx="0">
                  <c:v>5.8643503999999971E-2</c:v>
                </c:pt>
                <c:pt idx="1">
                  <c:v>5.8954177000000003E-2</c:v>
                </c:pt>
                <c:pt idx="2">
                  <c:v>5.6597326000000003E-2</c:v>
                </c:pt>
                <c:pt idx="3">
                  <c:v>0.31224646000000017</c:v>
                </c:pt>
                <c:pt idx="4">
                  <c:v>0.60940434200000004</c:v>
                </c:pt>
              </c:numCache>
            </c:numRef>
          </c:val>
        </c:ser>
        <c:dLbls>
          <c:showLegendKey val="0"/>
          <c:showVal val="0"/>
          <c:showCatName val="0"/>
          <c:showSerName val="0"/>
          <c:showPercent val="0"/>
          <c:showBubbleSize val="0"/>
        </c:dLbls>
        <c:gapWidth val="150"/>
        <c:axId val="262496256"/>
        <c:axId val="262497792"/>
      </c:barChart>
      <c:catAx>
        <c:axId val="262496256"/>
        <c:scaling>
          <c:orientation val="minMax"/>
        </c:scaling>
        <c:delete val="0"/>
        <c:axPos val="b"/>
        <c:numFmt formatCode="General" sourceLinked="1"/>
        <c:majorTickMark val="out"/>
        <c:minorTickMark val="none"/>
        <c:tickLblPos val="nextTo"/>
        <c:crossAx val="262497792"/>
        <c:crosses val="autoZero"/>
        <c:auto val="1"/>
        <c:lblAlgn val="ctr"/>
        <c:lblOffset val="100"/>
        <c:noMultiLvlLbl val="0"/>
      </c:catAx>
      <c:valAx>
        <c:axId val="262497792"/>
        <c:scaling>
          <c:orientation val="minMax"/>
        </c:scaling>
        <c:delete val="0"/>
        <c:axPos val="l"/>
        <c:majorGridlines/>
        <c:numFmt formatCode="General" sourceLinked="1"/>
        <c:majorTickMark val="out"/>
        <c:minorTickMark val="none"/>
        <c:tickLblPos val="nextTo"/>
        <c:crossAx val="262496256"/>
        <c:crosses val="autoZero"/>
        <c:crossBetween val="between"/>
      </c:valAx>
    </c:plotArea>
    <c:legend>
      <c:legendPos val="r"/>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'Price earning ratio'!$B$1</c:f>
              <c:strCache>
                <c:ptCount val="1"/>
                <c:pt idx="0">
                  <c:v>Reliance</c:v>
                </c:pt>
              </c:strCache>
            </c:strRef>
          </c:tx>
          <c:invertIfNegative val="0"/>
          <c:cat>
            <c:numRef>
              <c:f>'Price earning ratio'!$A$2:$A$6</c:f>
              <c:numCache>
                <c:formatCode>General</c:formatCode>
                <c:ptCount val="5"/>
                <c:pt idx="0">
                  <c:v>2013</c:v>
                </c:pt>
                <c:pt idx="1">
                  <c:v>2014</c:v>
                </c:pt>
                <c:pt idx="2">
                  <c:v>2015</c:v>
                </c:pt>
                <c:pt idx="3">
                  <c:v>2016</c:v>
                </c:pt>
                <c:pt idx="4">
                  <c:v>2017</c:v>
                </c:pt>
              </c:numCache>
            </c:numRef>
          </c:cat>
          <c:val>
            <c:numRef>
              <c:f>'Price earning ratio'!$B$2:$B$6</c:f>
              <c:numCache>
                <c:formatCode>General</c:formatCode>
                <c:ptCount val="5"/>
                <c:pt idx="0">
                  <c:v>11.05</c:v>
                </c:pt>
                <c:pt idx="1">
                  <c:v>6.52</c:v>
                </c:pt>
                <c:pt idx="2">
                  <c:v>7</c:v>
                </c:pt>
                <c:pt idx="3">
                  <c:v>11.450000000000005</c:v>
                </c:pt>
                <c:pt idx="4">
                  <c:v>12.02</c:v>
                </c:pt>
              </c:numCache>
            </c:numRef>
          </c:val>
        </c:ser>
        <c:ser>
          <c:idx val="1"/>
          <c:order val="1"/>
          <c:tx>
            <c:strRef>
              <c:f>'Price earning ratio'!$C$1</c:f>
              <c:strCache>
                <c:ptCount val="1"/>
                <c:pt idx="0">
                  <c:v>Grameen 1</c:v>
                </c:pt>
              </c:strCache>
            </c:strRef>
          </c:tx>
          <c:invertIfNegative val="0"/>
          <c:cat>
            <c:numRef>
              <c:f>'Price earning ratio'!$A$2:$A$6</c:f>
              <c:numCache>
                <c:formatCode>General</c:formatCode>
                <c:ptCount val="5"/>
                <c:pt idx="0">
                  <c:v>2013</c:v>
                </c:pt>
                <c:pt idx="1">
                  <c:v>2014</c:v>
                </c:pt>
                <c:pt idx="2">
                  <c:v>2015</c:v>
                </c:pt>
                <c:pt idx="3">
                  <c:v>2016</c:v>
                </c:pt>
                <c:pt idx="4">
                  <c:v>2017</c:v>
                </c:pt>
              </c:numCache>
            </c:numRef>
          </c:cat>
          <c:val>
            <c:numRef>
              <c:f>'Price earning ratio'!$C$2:$C$6</c:f>
              <c:numCache>
                <c:formatCode>General</c:formatCode>
                <c:ptCount val="5"/>
                <c:pt idx="0">
                  <c:v>0</c:v>
                </c:pt>
                <c:pt idx="1">
                  <c:v>13.87317073</c:v>
                </c:pt>
                <c:pt idx="2">
                  <c:v>13.441047999999999</c:v>
                </c:pt>
                <c:pt idx="3">
                  <c:v>10.237537</c:v>
                </c:pt>
                <c:pt idx="4">
                  <c:v>18.350574699999999</c:v>
                </c:pt>
              </c:numCache>
            </c:numRef>
          </c:val>
        </c:ser>
        <c:ser>
          <c:idx val="2"/>
          <c:order val="2"/>
          <c:tx>
            <c:strRef>
              <c:f>'Price earning ratio'!$D$1</c:f>
              <c:strCache>
                <c:ptCount val="1"/>
                <c:pt idx="0">
                  <c:v>Grameen 2</c:v>
                </c:pt>
              </c:strCache>
            </c:strRef>
          </c:tx>
          <c:invertIfNegative val="0"/>
          <c:cat>
            <c:numRef>
              <c:f>'Price earning ratio'!$A$2:$A$6</c:f>
              <c:numCache>
                <c:formatCode>General</c:formatCode>
                <c:ptCount val="5"/>
                <c:pt idx="0">
                  <c:v>2013</c:v>
                </c:pt>
                <c:pt idx="1">
                  <c:v>2014</c:v>
                </c:pt>
                <c:pt idx="2">
                  <c:v>2015</c:v>
                </c:pt>
                <c:pt idx="3">
                  <c:v>2016</c:v>
                </c:pt>
                <c:pt idx="4">
                  <c:v>2017</c:v>
                </c:pt>
              </c:numCache>
            </c:numRef>
          </c:cat>
          <c:val>
            <c:numRef>
              <c:f>'Price earning ratio'!$D$2:$D$6</c:f>
              <c:numCache>
                <c:formatCode>General</c:formatCode>
                <c:ptCount val="5"/>
                <c:pt idx="0">
                  <c:v>11.639999999999999</c:v>
                </c:pt>
                <c:pt idx="1">
                  <c:v>9.4</c:v>
                </c:pt>
                <c:pt idx="2">
                  <c:v>10.49</c:v>
                </c:pt>
                <c:pt idx="3">
                  <c:v>13.4</c:v>
                </c:pt>
                <c:pt idx="4">
                  <c:v>12.56</c:v>
                </c:pt>
              </c:numCache>
            </c:numRef>
          </c:val>
        </c:ser>
        <c:ser>
          <c:idx val="3"/>
          <c:order val="3"/>
          <c:tx>
            <c:strRef>
              <c:f>'Price earning ratio'!$E$1</c:f>
              <c:strCache>
                <c:ptCount val="1"/>
                <c:pt idx="0">
                  <c:v>ICB</c:v>
                </c:pt>
              </c:strCache>
            </c:strRef>
          </c:tx>
          <c:invertIfNegative val="0"/>
          <c:cat>
            <c:numRef>
              <c:f>'Price earning ratio'!$A$2:$A$6</c:f>
              <c:numCache>
                <c:formatCode>General</c:formatCode>
                <c:ptCount val="5"/>
                <c:pt idx="0">
                  <c:v>2013</c:v>
                </c:pt>
                <c:pt idx="1">
                  <c:v>2014</c:v>
                </c:pt>
                <c:pt idx="2">
                  <c:v>2015</c:v>
                </c:pt>
                <c:pt idx="3">
                  <c:v>2016</c:v>
                </c:pt>
                <c:pt idx="4">
                  <c:v>2017</c:v>
                </c:pt>
              </c:numCache>
            </c:numRef>
          </c:cat>
          <c:val>
            <c:numRef>
              <c:f>'Price earning ratio'!$E$2:$E$6</c:f>
              <c:numCache>
                <c:formatCode>General</c:formatCode>
                <c:ptCount val="5"/>
                <c:pt idx="0">
                  <c:v>1.9673076919999999</c:v>
                </c:pt>
                <c:pt idx="1">
                  <c:v>14.179862120000001</c:v>
                </c:pt>
                <c:pt idx="2">
                  <c:v>25.276</c:v>
                </c:pt>
                <c:pt idx="3">
                  <c:v>10.137799999999999</c:v>
                </c:pt>
                <c:pt idx="4">
                  <c:v>13.0906</c:v>
                </c:pt>
              </c:numCache>
            </c:numRef>
          </c:val>
        </c:ser>
        <c:dLbls>
          <c:showLegendKey val="0"/>
          <c:showVal val="0"/>
          <c:showCatName val="0"/>
          <c:showSerName val="0"/>
          <c:showPercent val="0"/>
          <c:showBubbleSize val="0"/>
        </c:dLbls>
        <c:gapWidth val="150"/>
        <c:axId val="262528384"/>
        <c:axId val="262534272"/>
      </c:barChart>
      <c:catAx>
        <c:axId val="262528384"/>
        <c:scaling>
          <c:orientation val="minMax"/>
        </c:scaling>
        <c:delete val="0"/>
        <c:axPos val="b"/>
        <c:numFmt formatCode="General" sourceLinked="1"/>
        <c:majorTickMark val="out"/>
        <c:minorTickMark val="none"/>
        <c:tickLblPos val="nextTo"/>
        <c:crossAx val="262534272"/>
        <c:crosses val="autoZero"/>
        <c:auto val="1"/>
        <c:lblAlgn val="ctr"/>
        <c:lblOffset val="100"/>
        <c:noMultiLvlLbl val="0"/>
      </c:catAx>
      <c:valAx>
        <c:axId val="262534272"/>
        <c:scaling>
          <c:orientation val="minMax"/>
        </c:scaling>
        <c:delete val="0"/>
        <c:axPos val="l"/>
        <c:majorGridlines/>
        <c:numFmt formatCode="General" sourceLinked="1"/>
        <c:majorTickMark val="out"/>
        <c:minorTickMark val="none"/>
        <c:tickLblPos val="nextTo"/>
        <c:crossAx val="262528384"/>
        <c:crosses val="autoZero"/>
        <c:crossBetween val="between"/>
      </c:valAx>
    </c:plotArea>
    <c:legend>
      <c:legendPos val="r"/>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'Dividend payout ratio'!$B$1</c:f>
              <c:strCache>
                <c:ptCount val="1"/>
                <c:pt idx="0">
                  <c:v>Reliance</c:v>
                </c:pt>
              </c:strCache>
            </c:strRef>
          </c:tx>
          <c:invertIfNegative val="0"/>
          <c:cat>
            <c:numRef>
              <c:f>'Dividend payout ratio'!$A$2:$A$6</c:f>
              <c:numCache>
                <c:formatCode>General</c:formatCode>
                <c:ptCount val="5"/>
                <c:pt idx="0">
                  <c:v>2013</c:v>
                </c:pt>
                <c:pt idx="1">
                  <c:v>2014</c:v>
                </c:pt>
                <c:pt idx="2">
                  <c:v>2015</c:v>
                </c:pt>
                <c:pt idx="3">
                  <c:v>2016</c:v>
                </c:pt>
                <c:pt idx="4">
                  <c:v>2017</c:v>
                </c:pt>
              </c:numCache>
            </c:numRef>
          </c:cat>
          <c:val>
            <c:numRef>
              <c:f>'Dividend payout ratio'!$B$2:$B$6</c:f>
              <c:numCache>
                <c:formatCode>General</c:formatCode>
                <c:ptCount val="5"/>
                <c:pt idx="0">
                  <c:v>0.32994536000000024</c:v>
                </c:pt>
                <c:pt idx="1">
                  <c:v>0.82311999999999996</c:v>
                </c:pt>
                <c:pt idx="2">
                  <c:v>0.87919870000000033</c:v>
                </c:pt>
                <c:pt idx="3">
                  <c:v>1.3850537999999999</c:v>
                </c:pt>
                <c:pt idx="4">
                  <c:v>1.1186176000000001</c:v>
                </c:pt>
              </c:numCache>
            </c:numRef>
          </c:val>
        </c:ser>
        <c:ser>
          <c:idx val="1"/>
          <c:order val="1"/>
          <c:tx>
            <c:strRef>
              <c:f>'Dividend payout ratio'!$C$1</c:f>
              <c:strCache>
                <c:ptCount val="1"/>
                <c:pt idx="0">
                  <c:v>Grameen 1</c:v>
                </c:pt>
              </c:strCache>
            </c:strRef>
          </c:tx>
          <c:invertIfNegative val="0"/>
          <c:cat>
            <c:numRef>
              <c:f>'Dividend payout ratio'!$A$2:$A$6</c:f>
              <c:numCache>
                <c:formatCode>General</c:formatCode>
                <c:ptCount val="5"/>
                <c:pt idx="0">
                  <c:v>2013</c:v>
                </c:pt>
                <c:pt idx="1">
                  <c:v>2014</c:v>
                </c:pt>
                <c:pt idx="2">
                  <c:v>2015</c:v>
                </c:pt>
                <c:pt idx="3">
                  <c:v>2016</c:v>
                </c:pt>
                <c:pt idx="4">
                  <c:v>2017</c:v>
                </c:pt>
              </c:numCache>
            </c:numRef>
          </c:cat>
          <c:val>
            <c:numRef>
              <c:f>'Dividend payout ratio'!$C$2:$C$6</c:f>
              <c:numCache>
                <c:formatCode>General</c:formatCode>
                <c:ptCount val="5"/>
                <c:pt idx="0">
                  <c:v>0.63929040000000048</c:v>
                </c:pt>
                <c:pt idx="1">
                  <c:v>2.4381784549999987</c:v>
                </c:pt>
                <c:pt idx="2">
                  <c:v>0.65471239999999997</c:v>
                </c:pt>
                <c:pt idx="3">
                  <c:v>0.58632719999999949</c:v>
                </c:pt>
                <c:pt idx="4">
                  <c:v>0.88230143999999999</c:v>
                </c:pt>
              </c:numCache>
            </c:numRef>
          </c:val>
        </c:ser>
        <c:ser>
          <c:idx val="2"/>
          <c:order val="2"/>
          <c:tx>
            <c:strRef>
              <c:f>'Dividend payout ratio'!$D$1</c:f>
              <c:strCache>
                <c:ptCount val="1"/>
                <c:pt idx="0">
                  <c:v>Grameen 2</c:v>
                </c:pt>
              </c:strCache>
            </c:strRef>
          </c:tx>
          <c:invertIfNegative val="0"/>
          <c:cat>
            <c:numRef>
              <c:f>'Dividend payout ratio'!$A$2:$A$6</c:f>
              <c:numCache>
                <c:formatCode>General</c:formatCode>
                <c:ptCount val="5"/>
                <c:pt idx="0">
                  <c:v>2013</c:v>
                </c:pt>
                <c:pt idx="1">
                  <c:v>2014</c:v>
                </c:pt>
                <c:pt idx="2">
                  <c:v>2015</c:v>
                </c:pt>
                <c:pt idx="3">
                  <c:v>2016</c:v>
                </c:pt>
                <c:pt idx="4">
                  <c:v>2017</c:v>
                </c:pt>
              </c:numCache>
            </c:numRef>
          </c:cat>
          <c:val>
            <c:numRef>
              <c:f>'Dividend payout ratio'!$D$2:$D$6</c:f>
              <c:numCache>
                <c:formatCode>General</c:formatCode>
                <c:ptCount val="5"/>
                <c:pt idx="0">
                  <c:v>0.65025387000000034</c:v>
                </c:pt>
                <c:pt idx="1">
                  <c:v>0.74412502000000036</c:v>
                </c:pt>
                <c:pt idx="2">
                  <c:v>0.90221929999999961</c:v>
                </c:pt>
                <c:pt idx="3">
                  <c:v>0.83865601000000034</c:v>
                </c:pt>
                <c:pt idx="4">
                  <c:v>0.82104434000000004</c:v>
                </c:pt>
              </c:numCache>
            </c:numRef>
          </c:val>
        </c:ser>
        <c:ser>
          <c:idx val="3"/>
          <c:order val="3"/>
          <c:tx>
            <c:strRef>
              <c:f>'Dividend payout ratio'!$E$1</c:f>
              <c:strCache>
                <c:ptCount val="1"/>
                <c:pt idx="0">
                  <c:v>ICB</c:v>
                </c:pt>
              </c:strCache>
            </c:strRef>
          </c:tx>
          <c:invertIfNegative val="0"/>
          <c:cat>
            <c:numRef>
              <c:f>'Dividend payout ratio'!$A$2:$A$6</c:f>
              <c:numCache>
                <c:formatCode>General</c:formatCode>
                <c:ptCount val="5"/>
                <c:pt idx="0">
                  <c:v>2013</c:v>
                </c:pt>
                <c:pt idx="1">
                  <c:v>2014</c:v>
                </c:pt>
                <c:pt idx="2">
                  <c:v>2015</c:v>
                </c:pt>
                <c:pt idx="3">
                  <c:v>2016</c:v>
                </c:pt>
                <c:pt idx="4">
                  <c:v>2017</c:v>
                </c:pt>
              </c:numCache>
            </c:numRef>
          </c:cat>
          <c:val>
            <c:numRef>
              <c:f>'Dividend payout ratio'!$E$2:$E$6</c:f>
              <c:numCache>
                <c:formatCode>General</c:formatCode>
                <c:ptCount val="5"/>
                <c:pt idx="0">
                  <c:v>3.6606262000000021E-2</c:v>
                </c:pt>
                <c:pt idx="1">
                  <c:v>5.4358520000000028E-2</c:v>
                </c:pt>
                <c:pt idx="2">
                  <c:v>11.865639660000012</c:v>
                </c:pt>
                <c:pt idx="3">
                  <c:v>3.5703147510000015</c:v>
                </c:pt>
                <c:pt idx="4">
                  <c:v>3.133714463</c:v>
                </c:pt>
              </c:numCache>
            </c:numRef>
          </c:val>
        </c:ser>
        <c:dLbls>
          <c:showLegendKey val="0"/>
          <c:showVal val="0"/>
          <c:showCatName val="0"/>
          <c:showSerName val="0"/>
          <c:showPercent val="0"/>
          <c:showBubbleSize val="0"/>
        </c:dLbls>
        <c:gapWidth val="150"/>
        <c:axId val="262552576"/>
        <c:axId val="262566656"/>
      </c:barChart>
      <c:catAx>
        <c:axId val="262552576"/>
        <c:scaling>
          <c:orientation val="minMax"/>
        </c:scaling>
        <c:delete val="0"/>
        <c:axPos val="b"/>
        <c:numFmt formatCode="General" sourceLinked="1"/>
        <c:majorTickMark val="out"/>
        <c:minorTickMark val="none"/>
        <c:tickLblPos val="nextTo"/>
        <c:crossAx val="262566656"/>
        <c:crosses val="autoZero"/>
        <c:auto val="1"/>
        <c:lblAlgn val="ctr"/>
        <c:lblOffset val="100"/>
        <c:noMultiLvlLbl val="0"/>
      </c:catAx>
      <c:valAx>
        <c:axId val="262566656"/>
        <c:scaling>
          <c:orientation val="minMax"/>
        </c:scaling>
        <c:delete val="0"/>
        <c:axPos val="l"/>
        <c:majorGridlines/>
        <c:numFmt formatCode="General" sourceLinked="1"/>
        <c:majorTickMark val="out"/>
        <c:minorTickMark val="none"/>
        <c:tickLblPos val="nextTo"/>
        <c:crossAx val="262552576"/>
        <c:crosses val="autoZero"/>
        <c:crossBetween val="between"/>
      </c:valAx>
    </c:plotArea>
    <c:legend>
      <c:legendPos val="r"/>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'Total liabilities titotal asset'!$B$1</c:f>
              <c:strCache>
                <c:ptCount val="1"/>
                <c:pt idx="0">
                  <c:v>Reliance</c:v>
                </c:pt>
              </c:strCache>
            </c:strRef>
          </c:tx>
          <c:invertIfNegative val="0"/>
          <c:cat>
            <c:numRef>
              <c:f>'Total liabilities titotal asset'!$A$2:$A$6</c:f>
              <c:numCache>
                <c:formatCode>General</c:formatCode>
                <c:ptCount val="5"/>
                <c:pt idx="0">
                  <c:v>2013</c:v>
                </c:pt>
                <c:pt idx="1">
                  <c:v>2014</c:v>
                </c:pt>
                <c:pt idx="2">
                  <c:v>2015</c:v>
                </c:pt>
                <c:pt idx="3">
                  <c:v>2016</c:v>
                </c:pt>
                <c:pt idx="4">
                  <c:v>2017</c:v>
                </c:pt>
              </c:numCache>
            </c:numRef>
          </c:cat>
          <c:val>
            <c:numRef>
              <c:f>'Total liabilities titotal asset'!$B$2:$B$6</c:f>
              <c:numCache>
                <c:formatCode>General</c:formatCode>
                <c:ptCount val="5"/>
                <c:pt idx="0">
                  <c:v>4.2030800000000014E-3</c:v>
                </c:pt>
                <c:pt idx="1">
                  <c:v>4.1508000000000014E-3</c:v>
                </c:pt>
                <c:pt idx="2">
                  <c:v>1.1707500000000006E-2</c:v>
                </c:pt>
                <c:pt idx="3">
                  <c:v>2.6634800000000017E-2</c:v>
                </c:pt>
                <c:pt idx="4">
                  <c:v>2.1427000000000002E-2</c:v>
                </c:pt>
              </c:numCache>
            </c:numRef>
          </c:val>
        </c:ser>
        <c:ser>
          <c:idx val="1"/>
          <c:order val="1"/>
          <c:tx>
            <c:strRef>
              <c:f>'Total liabilities titotal asset'!$C$1</c:f>
              <c:strCache>
                <c:ptCount val="1"/>
                <c:pt idx="0">
                  <c:v>Grameen 1</c:v>
                </c:pt>
              </c:strCache>
            </c:strRef>
          </c:tx>
          <c:invertIfNegative val="0"/>
          <c:cat>
            <c:numRef>
              <c:f>'Total liabilities titotal asset'!$A$2:$A$6</c:f>
              <c:numCache>
                <c:formatCode>General</c:formatCode>
                <c:ptCount val="5"/>
                <c:pt idx="0">
                  <c:v>2013</c:v>
                </c:pt>
                <c:pt idx="1">
                  <c:v>2014</c:v>
                </c:pt>
                <c:pt idx="2">
                  <c:v>2015</c:v>
                </c:pt>
                <c:pt idx="3">
                  <c:v>2016</c:v>
                </c:pt>
                <c:pt idx="4">
                  <c:v>2017</c:v>
                </c:pt>
              </c:numCache>
            </c:numRef>
          </c:cat>
          <c:val>
            <c:numRef>
              <c:f>'Total liabilities titotal asset'!$C$2:$C$6</c:f>
              <c:numCache>
                <c:formatCode>General</c:formatCode>
                <c:ptCount val="5"/>
                <c:pt idx="0">
                  <c:v>1.3060800000000004E-2</c:v>
                </c:pt>
                <c:pt idx="1">
                  <c:v>2.3567920999999988E-2</c:v>
                </c:pt>
                <c:pt idx="2">
                  <c:v>1.2615299999999998E-2</c:v>
                </c:pt>
                <c:pt idx="3">
                  <c:v>9.6883000000000004E-3</c:v>
                </c:pt>
                <c:pt idx="4">
                  <c:v>6.4653200000000027E-3</c:v>
                </c:pt>
              </c:numCache>
            </c:numRef>
          </c:val>
        </c:ser>
        <c:ser>
          <c:idx val="2"/>
          <c:order val="2"/>
          <c:tx>
            <c:strRef>
              <c:f>'Total liabilities titotal asset'!$D$1</c:f>
              <c:strCache>
                <c:ptCount val="1"/>
                <c:pt idx="0">
                  <c:v>Grameen 2</c:v>
                </c:pt>
              </c:strCache>
            </c:strRef>
          </c:tx>
          <c:invertIfNegative val="0"/>
          <c:cat>
            <c:numRef>
              <c:f>'Total liabilities titotal asset'!$A$2:$A$6</c:f>
              <c:numCache>
                <c:formatCode>General</c:formatCode>
                <c:ptCount val="5"/>
                <c:pt idx="0">
                  <c:v>2013</c:v>
                </c:pt>
                <c:pt idx="1">
                  <c:v>2014</c:v>
                </c:pt>
                <c:pt idx="2">
                  <c:v>2015</c:v>
                </c:pt>
                <c:pt idx="3">
                  <c:v>2016</c:v>
                </c:pt>
                <c:pt idx="4">
                  <c:v>2017</c:v>
                </c:pt>
              </c:numCache>
            </c:numRef>
          </c:cat>
          <c:val>
            <c:numRef>
              <c:f>'Total liabilities titotal asset'!$D$2:$D$6</c:f>
              <c:numCache>
                <c:formatCode>General</c:formatCode>
                <c:ptCount val="5"/>
                <c:pt idx="0">
                  <c:v>9.1592600000000007E-3</c:v>
                </c:pt>
                <c:pt idx="1">
                  <c:v>6.7075500000000014E-3</c:v>
                </c:pt>
                <c:pt idx="2">
                  <c:v>1.6206040000000001E-2</c:v>
                </c:pt>
                <c:pt idx="3">
                  <c:v>2.013338600000001E-2</c:v>
                </c:pt>
                <c:pt idx="4">
                  <c:v>0.98420333999999965</c:v>
                </c:pt>
              </c:numCache>
            </c:numRef>
          </c:val>
        </c:ser>
        <c:ser>
          <c:idx val="3"/>
          <c:order val="3"/>
          <c:tx>
            <c:strRef>
              <c:f>'Total liabilities titotal asset'!$E$1</c:f>
              <c:strCache>
                <c:ptCount val="1"/>
                <c:pt idx="0">
                  <c:v>ICB</c:v>
                </c:pt>
              </c:strCache>
            </c:strRef>
          </c:tx>
          <c:invertIfNegative val="0"/>
          <c:cat>
            <c:numRef>
              <c:f>'Total liabilities titotal asset'!$A$2:$A$6</c:f>
              <c:numCache>
                <c:formatCode>General</c:formatCode>
                <c:ptCount val="5"/>
                <c:pt idx="0">
                  <c:v>2013</c:v>
                </c:pt>
                <c:pt idx="1">
                  <c:v>2014</c:v>
                </c:pt>
                <c:pt idx="2">
                  <c:v>2015</c:v>
                </c:pt>
                <c:pt idx="3">
                  <c:v>2016</c:v>
                </c:pt>
                <c:pt idx="4">
                  <c:v>2017</c:v>
                </c:pt>
              </c:numCache>
            </c:numRef>
          </c:cat>
          <c:val>
            <c:numRef>
              <c:f>'Total liabilities titotal asset'!$E$2:$E$6</c:f>
              <c:numCache>
                <c:formatCode>General</c:formatCode>
                <c:ptCount val="5"/>
                <c:pt idx="0">
                  <c:v>0.46727262400000008</c:v>
                </c:pt>
                <c:pt idx="1">
                  <c:v>0.50864648199999996</c:v>
                </c:pt>
                <c:pt idx="2">
                  <c:v>2.4575056169999998</c:v>
                </c:pt>
                <c:pt idx="3">
                  <c:v>0.16029674599999999</c:v>
                </c:pt>
                <c:pt idx="4">
                  <c:v>0.17286198500000008</c:v>
                </c:pt>
              </c:numCache>
            </c:numRef>
          </c:val>
        </c:ser>
        <c:dLbls>
          <c:showLegendKey val="0"/>
          <c:showVal val="0"/>
          <c:showCatName val="0"/>
          <c:showSerName val="0"/>
          <c:showPercent val="0"/>
          <c:showBubbleSize val="0"/>
        </c:dLbls>
        <c:gapWidth val="150"/>
        <c:axId val="262584960"/>
        <c:axId val="262590848"/>
      </c:barChart>
      <c:catAx>
        <c:axId val="262584960"/>
        <c:scaling>
          <c:orientation val="minMax"/>
        </c:scaling>
        <c:delete val="0"/>
        <c:axPos val="b"/>
        <c:numFmt formatCode="General" sourceLinked="1"/>
        <c:majorTickMark val="out"/>
        <c:minorTickMark val="none"/>
        <c:tickLblPos val="nextTo"/>
        <c:crossAx val="262590848"/>
        <c:crosses val="autoZero"/>
        <c:auto val="1"/>
        <c:lblAlgn val="ctr"/>
        <c:lblOffset val="100"/>
        <c:noMultiLvlLbl val="0"/>
      </c:catAx>
      <c:valAx>
        <c:axId val="262590848"/>
        <c:scaling>
          <c:orientation val="minMax"/>
        </c:scaling>
        <c:delete val="0"/>
        <c:axPos val="l"/>
        <c:majorGridlines/>
        <c:numFmt formatCode="General" sourceLinked="1"/>
        <c:majorTickMark val="out"/>
        <c:minorTickMark val="none"/>
        <c:tickLblPos val="nextTo"/>
        <c:crossAx val="262584960"/>
        <c:crosses val="autoZero"/>
        <c:crossBetween val="between"/>
      </c:valAx>
    </c:plotArea>
    <c:legend>
      <c:legendPos val="r"/>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'Return on equity'!$B$1</c:f>
              <c:strCache>
                <c:ptCount val="1"/>
                <c:pt idx="0">
                  <c:v>Reliance</c:v>
                </c:pt>
              </c:strCache>
            </c:strRef>
          </c:tx>
          <c:invertIfNegative val="0"/>
          <c:cat>
            <c:numRef>
              <c:f>'Return on equity'!$A$2:$A$6</c:f>
              <c:numCache>
                <c:formatCode>General</c:formatCode>
                <c:ptCount val="5"/>
                <c:pt idx="0">
                  <c:v>2013</c:v>
                </c:pt>
                <c:pt idx="1">
                  <c:v>2014</c:v>
                </c:pt>
                <c:pt idx="2">
                  <c:v>2015</c:v>
                </c:pt>
                <c:pt idx="3">
                  <c:v>2016</c:v>
                </c:pt>
                <c:pt idx="4">
                  <c:v>2017</c:v>
                </c:pt>
              </c:numCache>
            </c:numRef>
          </c:cat>
          <c:val>
            <c:numRef>
              <c:f>'Return on equity'!$B$2:$B$6</c:f>
              <c:numCache>
                <c:formatCode>General</c:formatCode>
                <c:ptCount val="5"/>
                <c:pt idx="0">
                  <c:v>8.8170300000000049E-2</c:v>
                </c:pt>
                <c:pt idx="1">
                  <c:v>0.10976660000000012</c:v>
                </c:pt>
                <c:pt idx="2">
                  <c:v>8.697700000000004E-2</c:v>
                </c:pt>
                <c:pt idx="3">
                  <c:v>5.7141400000000002E-2</c:v>
                </c:pt>
                <c:pt idx="4">
                  <c:v>6.50588E-2</c:v>
                </c:pt>
              </c:numCache>
            </c:numRef>
          </c:val>
        </c:ser>
        <c:ser>
          <c:idx val="1"/>
          <c:order val="1"/>
          <c:tx>
            <c:strRef>
              <c:f>'Return on equity'!$C$1</c:f>
              <c:strCache>
                <c:ptCount val="1"/>
                <c:pt idx="0">
                  <c:v>Grameen 1</c:v>
                </c:pt>
              </c:strCache>
            </c:strRef>
          </c:tx>
          <c:invertIfNegative val="0"/>
          <c:cat>
            <c:numRef>
              <c:f>'Return on equity'!$A$2:$A$6</c:f>
              <c:numCache>
                <c:formatCode>General</c:formatCode>
                <c:ptCount val="5"/>
                <c:pt idx="0">
                  <c:v>2013</c:v>
                </c:pt>
                <c:pt idx="1">
                  <c:v>2014</c:v>
                </c:pt>
                <c:pt idx="2">
                  <c:v>2015</c:v>
                </c:pt>
                <c:pt idx="3">
                  <c:v>2016</c:v>
                </c:pt>
                <c:pt idx="4">
                  <c:v>2017</c:v>
                </c:pt>
              </c:numCache>
            </c:numRef>
          </c:cat>
          <c:val>
            <c:numRef>
              <c:f>'Return on equity'!$C$2:$C$6</c:f>
              <c:numCache>
                <c:formatCode>General</c:formatCode>
                <c:ptCount val="5"/>
                <c:pt idx="0">
                  <c:v>0.17930760000000001</c:v>
                </c:pt>
                <c:pt idx="1">
                  <c:v>7.2113150000000001E-2</c:v>
                </c:pt>
                <c:pt idx="2">
                  <c:v>7.443730000000004E-2</c:v>
                </c:pt>
                <c:pt idx="3">
                  <c:v>9.7714500000000024E-2</c:v>
                </c:pt>
                <c:pt idx="4">
                  <c:v>5.4607280000000029E-2</c:v>
                </c:pt>
              </c:numCache>
            </c:numRef>
          </c:val>
        </c:ser>
        <c:ser>
          <c:idx val="2"/>
          <c:order val="2"/>
          <c:tx>
            <c:strRef>
              <c:f>'Return on equity'!$D$1</c:f>
              <c:strCache>
                <c:ptCount val="1"/>
                <c:pt idx="0">
                  <c:v>Grameen 2</c:v>
                </c:pt>
              </c:strCache>
            </c:strRef>
          </c:tx>
          <c:invertIfNegative val="0"/>
          <c:cat>
            <c:numRef>
              <c:f>'Return on equity'!$A$2:$A$6</c:f>
              <c:numCache>
                <c:formatCode>General</c:formatCode>
                <c:ptCount val="5"/>
                <c:pt idx="0">
                  <c:v>2013</c:v>
                </c:pt>
                <c:pt idx="1">
                  <c:v>2014</c:v>
                </c:pt>
                <c:pt idx="2">
                  <c:v>2015</c:v>
                </c:pt>
                <c:pt idx="3">
                  <c:v>2016</c:v>
                </c:pt>
                <c:pt idx="4">
                  <c:v>2017</c:v>
                </c:pt>
              </c:numCache>
            </c:numRef>
          </c:cat>
          <c:val>
            <c:numRef>
              <c:f>'Return on equity'!$D$2:$D$6</c:f>
              <c:numCache>
                <c:formatCode>General</c:formatCode>
                <c:ptCount val="5"/>
                <c:pt idx="0">
                  <c:v>7.9405090000000039E-2</c:v>
                </c:pt>
                <c:pt idx="1">
                  <c:v>5.9851120000000022E-2</c:v>
                </c:pt>
                <c:pt idx="2">
                  <c:v>5.9189010000000014E-2</c:v>
                </c:pt>
                <c:pt idx="3">
                  <c:v>5.7549309999999972E-2</c:v>
                </c:pt>
                <c:pt idx="4">
                  <c:v>6.7962480000000075E-2</c:v>
                </c:pt>
              </c:numCache>
            </c:numRef>
          </c:val>
        </c:ser>
        <c:ser>
          <c:idx val="3"/>
          <c:order val="3"/>
          <c:tx>
            <c:strRef>
              <c:f>'Return on equity'!$E$1</c:f>
              <c:strCache>
                <c:ptCount val="1"/>
                <c:pt idx="0">
                  <c:v>ICB</c:v>
                </c:pt>
              </c:strCache>
            </c:strRef>
          </c:tx>
          <c:invertIfNegative val="0"/>
          <c:cat>
            <c:numRef>
              <c:f>'Return on equity'!$A$2:$A$6</c:f>
              <c:numCache>
                <c:formatCode>General</c:formatCode>
                <c:ptCount val="5"/>
                <c:pt idx="0">
                  <c:v>2013</c:v>
                </c:pt>
                <c:pt idx="1">
                  <c:v>2014</c:v>
                </c:pt>
                <c:pt idx="2">
                  <c:v>2015</c:v>
                </c:pt>
                <c:pt idx="3">
                  <c:v>2016</c:v>
                </c:pt>
                <c:pt idx="4">
                  <c:v>2017</c:v>
                </c:pt>
              </c:numCache>
            </c:numRef>
          </c:cat>
          <c:val>
            <c:numRef>
              <c:f>'Return on equity'!$E$2:$E$6</c:f>
              <c:numCache>
                <c:formatCode>General</c:formatCode>
                <c:ptCount val="5"/>
                <c:pt idx="0">
                  <c:v>0.10402826699999999</c:v>
                </c:pt>
                <c:pt idx="1">
                  <c:v>0.26953834599999998</c:v>
                </c:pt>
                <c:pt idx="2">
                  <c:v>0.28635267300000034</c:v>
                </c:pt>
                <c:pt idx="3">
                  <c:v>0.23193641200000009</c:v>
                </c:pt>
                <c:pt idx="4">
                  <c:v>0.33112793000000024</c:v>
                </c:pt>
              </c:numCache>
            </c:numRef>
          </c:val>
        </c:ser>
        <c:dLbls>
          <c:showLegendKey val="0"/>
          <c:showVal val="0"/>
          <c:showCatName val="0"/>
          <c:showSerName val="0"/>
          <c:showPercent val="0"/>
          <c:showBubbleSize val="0"/>
        </c:dLbls>
        <c:gapWidth val="150"/>
        <c:axId val="291461376"/>
        <c:axId val="291463168"/>
      </c:barChart>
      <c:catAx>
        <c:axId val="291461376"/>
        <c:scaling>
          <c:orientation val="minMax"/>
        </c:scaling>
        <c:delete val="0"/>
        <c:axPos val="b"/>
        <c:numFmt formatCode="General" sourceLinked="1"/>
        <c:majorTickMark val="out"/>
        <c:minorTickMark val="none"/>
        <c:tickLblPos val="nextTo"/>
        <c:crossAx val="291463168"/>
        <c:crosses val="autoZero"/>
        <c:auto val="1"/>
        <c:lblAlgn val="ctr"/>
        <c:lblOffset val="100"/>
        <c:noMultiLvlLbl val="0"/>
      </c:catAx>
      <c:valAx>
        <c:axId val="291463168"/>
        <c:scaling>
          <c:orientation val="minMax"/>
        </c:scaling>
        <c:delete val="0"/>
        <c:axPos val="l"/>
        <c:majorGridlines/>
        <c:numFmt formatCode="General" sourceLinked="1"/>
        <c:majorTickMark val="out"/>
        <c:minorTickMark val="none"/>
        <c:tickLblPos val="nextTo"/>
        <c:crossAx val="291461376"/>
        <c:crosses val="autoZero"/>
        <c:crossBetween val="between"/>
      </c:valAx>
    </c:plotArea>
    <c:legend>
      <c:legendPos val="r"/>
      <c:overlay val="0"/>
    </c:legend>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'Total equity tototal asset'!$B$1</c:f>
              <c:strCache>
                <c:ptCount val="1"/>
                <c:pt idx="0">
                  <c:v>Reliance</c:v>
                </c:pt>
              </c:strCache>
            </c:strRef>
          </c:tx>
          <c:invertIfNegative val="0"/>
          <c:cat>
            <c:numRef>
              <c:f>'Total equity tototal asset'!$A$2:$A$6</c:f>
              <c:numCache>
                <c:formatCode>General</c:formatCode>
                <c:ptCount val="5"/>
                <c:pt idx="0">
                  <c:v>2013</c:v>
                </c:pt>
                <c:pt idx="1">
                  <c:v>2014</c:v>
                </c:pt>
                <c:pt idx="2">
                  <c:v>2015</c:v>
                </c:pt>
                <c:pt idx="3">
                  <c:v>2016</c:v>
                </c:pt>
                <c:pt idx="4">
                  <c:v>2017</c:v>
                </c:pt>
              </c:numCache>
            </c:numRef>
          </c:cat>
          <c:val>
            <c:numRef>
              <c:f>'Total equity tototal asset'!$B$2:$B$6</c:f>
              <c:numCache>
                <c:formatCode>General</c:formatCode>
                <c:ptCount val="5"/>
                <c:pt idx="0">
                  <c:v>0.99579691999999997</c:v>
                </c:pt>
                <c:pt idx="1">
                  <c:v>0.99584919999999999</c:v>
                </c:pt>
                <c:pt idx="2">
                  <c:v>0.98829249999999969</c:v>
                </c:pt>
                <c:pt idx="3">
                  <c:v>0.97336520000000004</c:v>
                </c:pt>
                <c:pt idx="4">
                  <c:v>0.97857300000000003</c:v>
                </c:pt>
              </c:numCache>
            </c:numRef>
          </c:val>
        </c:ser>
        <c:ser>
          <c:idx val="1"/>
          <c:order val="1"/>
          <c:tx>
            <c:strRef>
              <c:f>'Total equity tototal asset'!$C$1</c:f>
              <c:strCache>
                <c:ptCount val="1"/>
                <c:pt idx="0">
                  <c:v>Grameen 1</c:v>
                </c:pt>
              </c:strCache>
            </c:strRef>
          </c:tx>
          <c:invertIfNegative val="0"/>
          <c:cat>
            <c:numRef>
              <c:f>'Total equity tototal asset'!$A$2:$A$6</c:f>
              <c:numCache>
                <c:formatCode>General</c:formatCode>
                <c:ptCount val="5"/>
                <c:pt idx="0">
                  <c:v>2013</c:v>
                </c:pt>
                <c:pt idx="1">
                  <c:v>2014</c:v>
                </c:pt>
                <c:pt idx="2">
                  <c:v>2015</c:v>
                </c:pt>
                <c:pt idx="3">
                  <c:v>2016</c:v>
                </c:pt>
                <c:pt idx="4">
                  <c:v>2017</c:v>
                </c:pt>
              </c:numCache>
            </c:numRef>
          </c:cat>
          <c:val>
            <c:numRef>
              <c:f>'Total equity tototal asset'!$C$2:$C$6</c:f>
              <c:numCache>
                <c:formatCode>General</c:formatCode>
                <c:ptCount val="5"/>
                <c:pt idx="0">
                  <c:v>0.98693920000000002</c:v>
                </c:pt>
                <c:pt idx="1">
                  <c:v>0.97643207899999962</c:v>
                </c:pt>
                <c:pt idx="2">
                  <c:v>9.8738470000000078E-2</c:v>
                </c:pt>
                <c:pt idx="3">
                  <c:v>0.99031169999999968</c:v>
                </c:pt>
                <c:pt idx="4">
                  <c:v>0.99353467999999967</c:v>
                </c:pt>
              </c:numCache>
            </c:numRef>
          </c:val>
        </c:ser>
        <c:ser>
          <c:idx val="2"/>
          <c:order val="2"/>
          <c:tx>
            <c:strRef>
              <c:f>'Total equity tototal asset'!$D$1</c:f>
              <c:strCache>
                <c:ptCount val="1"/>
                <c:pt idx="0">
                  <c:v>Grameen 2</c:v>
                </c:pt>
              </c:strCache>
            </c:strRef>
          </c:tx>
          <c:invertIfNegative val="0"/>
          <c:cat>
            <c:numRef>
              <c:f>'Total equity tototal asset'!$A$2:$A$6</c:f>
              <c:numCache>
                <c:formatCode>General</c:formatCode>
                <c:ptCount val="5"/>
                <c:pt idx="0">
                  <c:v>2013</c:v>
                </c:pt>
                <c:pt idx="1">
                  <c:v>2014</c:v>
                </c:pt>
                <c:pt idx="2">
                  <c:v>2015</c:v>
                </c:pt>
                <c:pt idx="3">
                  <c:v>2016</c:v>
                </c:pt>
                <c:pt idx="4">
                  <c:v>2017</c:v>
                </c:pt>
              </c:numCache>
            </c:numRef>
          </c:cat>
          <c:val>
            <c:numRef>
              <c:f>'Total equity tototal asset'!$D$2:$D$6</c:f>
              <c:numCache>
                <c:formatCode>General</c:formatCode>
                <c:ptCount val="5"/>
                <c:pt idx="0">
                  <c:v>0.99084074</c:v>
                </c:pt>
                <c:pt idx="1">
                  <c:v>0.99329243</c:v>
                </c:pt>
                <c:pt idx="2">
                  <c:v>0.98379395999999997</c:v>
                </c:pt>
                <c:pt idx="3">
                  <c:v>0.97986613999999972</c:v>
                </c:pt>
                <c:pt idx="4">
                  <c:v>0.98420333999999965</c:v>
                </c:pt>
              </c:numCache>
            </c:numRef>
          </c:val>
        </c:ser>
        <c:ser>
          <c:idx val="3"/>
          <c:order val="3"/>
          <c:tx>
            <c:strRef>
              <c:f>'Total equity tototal asset'!$E$1</c:f>
              <c:strCache>
                <c:ptCount val="1"/>
                <c:pt idx="0">
                  <c:v>ICB</c:v>
                </c:pt>
              </c:strCache>
            </c:strRef>
          </c:tx>
          <c:invertIfNegative val="0"/>
          <c:cat>
            <c:numRef>
              <c:f>'Total equity tototal asset'!$A$2:$A$6</c:f>
              <c:numCache>
                <c:formatCode>General</c:formatCode>
                <c:ptCount val="5"/>
                <c:pt idx="0">
                  <c:v>2013</c:v>
                </c:pt>
                <c:pt idx="1">
                  <c:v>2014</c:v>
                </c:pt>
                <c:pt idx="2">
                  <c:v>2015</c:v>
                </c:pt>
                <c:pt idx="3">
                  <c:v>2016</c:v>
                </c:pt>
                <c:pt idx="4">
                  <c:v>2017</c:v>
                </c:pt>
              </c:numCache>
            </c:numRef>
          </c:cat>
          <c:val>
            <c:numRef>
              <c:f>'Total equity tototal asset'!$E$2:$E$6</c:f>
              <c:numCache>
                <c:formatCode>General</c:formatCode>
                <c:ptCount val="5"/>
                <c:pt idx="0">
                  <c:v>3.4007283099999999</c:v>
                </c:pt>
                <c:pt idx="1">
                  <c:v>3.2706546939999988</c:v>
                </c:pt>
                <c:pt idx="2">
                  <c:v>11.152592440000006</c:v>
                </c:pt>
                <c:pt idx="3">
                  <c:v>4.0221499930000002</c:v>
                </c:pt>
                <c:pt idx="4">
                  <c:v>3.9747045710000002</c:v>
                </c:pt>
              </c:numCache>
            </c:numRef>
          </c:val>
        </c:ser>
        <c:dLbls>
          <c:showLegendKey val="0"/>
          <c:showVal val="0"/>
          <c:showCatName val="0"/>
          <c:showSerName val="0"/>
          <c:showPercent val="0"/>
          <c:showBubbleSize val="0"/>
        </c:dLbls>
        <c:gapWidth val="150"/>
        <c:axId val="291493760"/>
        <c:axId val="291495296"/>
      </c:barChart>
      <c:catAx>
        <c:axId val="291493760"/>
        <c:scaling>
          <c:orientation val="minMax"/>
        </c:scaling>
        <c:delete val="0"/>
        <c:axPos val="b"/>
        <c:numFmt formatCode="General" sourceLinked="1"/>
        <c:majorTickMark val="out"/>
        <c:minorTickMark val="none"/>
        <c:tickLblPos val="nextTo"/>
        <c:crossAx val="291495296"/>
        <c:crosses val="autoZero"/>
        <c:auto val="1"/>
        <c:lblAlgn val="ctr"/>
        <c:lblOffset val="100"/>
        <c:noMultiLvlLbl val="0"/>
      </c:catAx>
      <c:valAx>
        <c:axId val="291495296"/>
        <c:scaling>
          <c:orientation val="minMax"/>
        </c:scaling>
        <c:delete val="0"/>
        <c:axPos val="l"/>
        <c:majorGridlines/>
        <c:numFmt formatCode="General" sourceLinked="1"/>
        <c:majorTickMark val="out"/>
        <c:minorTickMark val="none"/>
        <c:tickLblPos val="nextTo"/>
        <c:crossAx val="291493760"/>
        <c:crosses val="autoZero"/>
        <c:crossBetween val="between"/>
      </c:valAx>
    </c:plotArea>
    <c:legend>
      <c:legendPos val="r"/>
      <c:overlay val="0"/>
    </c:legend>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'Market to book ratio'!$B$1</c:f>
              <c:strCache>
                <c:ptCount val="1"/>
                <c:pt idx="0">
                  <c:v>Reliance</c:v>
                </c:pt>
              </c:strCache>
            </c:strRef>
          </c:tx>
          <c:invertIfNegative val="0"/>
          <c:cat>
            <c:numRef>
              <c:f>'Market to book ratio'!$A$2:$A$6</c:f>
              <c:numCache>
                <c:formatCode>General</c:formatCode>
                <c:ptCount val="5"/>
                <c:pt idx="0">
                  <c:v>2013</c:v>
                </c:pt>
                <c:pt idx="1">
                  <c:v>2014</c:v>
                </c:pt>
                <c:pt idx="2">
                  <c:v>2015</c:v>
                </c:pt>
                <c:pt idx="3">
                  <c:v>2016</c:v>
                </c:pt>
                <c:pt idx="4">
                  <c:v>2017</c:v>
                </c:pt>
              </c:numCache>
            </c:numRef>
          </c:cat>
          <c:val>
            <c:numRef>
              <c:f>'Market to book ratio'!$B$2:$B$6</c:f>
              <c:numCache>
                <c:formatCode>General</c:formatCode>
                <c:ptCount val="5"/>
                <c:pt idx="0">
                  <c:v>1.0084745799999999</c:v>
                </c:pt>
                <c:pt idx="1">
                  <c:v>1.0439833999999992</c:v>
                </c:pt>
                <c:pt idx="2">
                  <c:v>1.0522822000000001</c:v>
                </c:pt>
                <c:pt idx="3">
                  <c:v>1.0351930999999994</c:v>
                </c:pt>
                <c:pt idx="4">
                  <c:v>1.0254668999999994</c:v>
                </c:pt>
              </c:numCache>
            </c:numRef>
          </c:val>
        </c:ser>
        <c:ser>
          <c:idx val="1"/>
          <c:order val="1"/>
          <c:tx>
            <c:strRef>
              <c:f>'Market to book ratio'!$C$1</c:f>
              <c:strCache>
                <c:ptCount val="1"/>
                <c:pt idx="0">
                  <c:v>Grameen 1</c:v>
                </c:pt>
              </c:strCache>
            </c:strRef>
          </c:tx>
          <c:invertIfNegative val="0"/>
          <c:cat>
            <c:numRef>
              <c:f>'Market to book ratio'!$A$2:$A$6</c:f>
              <c:numCache>
                <c:formatCode>General</c:formatCode>
                <c:ptCount val="5"/>
                <c:pt idx="0">
                  <c:v>2013</c:v>
                </c:pt>
                <c:pt idx="1">
                  <c:v>2014</c:v>
                </c:pt>
                <c:pt idx="2">
                  <c:v>2015</c:v>
                </c:pt>
                <c:pt idx="3">
                  <c:v>2016</c:v>
                </c:pt>
                <c:pt idx="4">
                  <c:v>2017</c:v>
                </c:pt>
              </c:numCache>
            </c:numRef>
          </c:cat>
          <c:val>
            <c:numRef>
              <c:f>'Market to book ratio'!$C$2:$C$6</c:f>
              <c:numCache>
                <c:formatCode>General</c:formatCode>
                <c:ptCount val="5"/>
                <c:pt idx="0">
                  <c:v>1.8759999999999992</c:v>
                </c:pt>
                <c:pt idx="1">
                  <c:v>1.4697674419999998</c:v>
                </c:pt>
                <c:pt idx="2">
                  <c:v>1.5283019</c:v>
                </c:pt>
                <c:pt idx="3">
                  <c:v>1.6199535999999999</c:v>
                </c:pt>
                <c:pt idx="4">
                  <c:v>1.3555225</c:v>
                </c:pt>
              </c:numCache>
            </c:numRef>
          </c:val>
        </c:ser>
        <c:ser>
          <c:idx val="2"/>
          <c:order val="2"/>
          <c:tx>
            <c:strRef>
              <c:f>'Market to book ratio'!$D$1</c:f>
              <c:strCache>
                <c:ptCount val="1"/>
                <c:pt idx="0">
                  <c:v>Grameen 2</c:v>
                </c:pt>
              </c:strCache>
            </c:strRef>
          </c:tx>
          <c:invertIfNegative val="0"/>
          <c:cat>
            <c:numRef>
              <c:f>'Market to book ratio'!$A$2:$A$6</c:f>
              <c:numCache>
                <c:formatCode>General</c:formatCode>
                <c:ptCount val="5"/>
                <c:pt idx="0">
                  <c:v>2013</c:v>
                </c:pt>
                <c:pt idx="1">
                  <c:v>2014</c:v>
                </c:pt>
                <c:pt idx="2">
                  <c:v>2015</c:v>
                </c:pt>
                <c:pt idx="3">
                  <c:v>2016</c:v>
                </c:pt>
                <c:pt idx="4">
                  <c:v>2017</c:v>
                </c:pt>
              </c:numCache>
            </c:numRef>
          </c:cat>
          <c:val>
            <c:numRef>
              <c:f>'Market to book ratio'!$D$2:$D$6</c:f>
              <c:numCache>
                <c:formatCode>General</c:formatCode>
                <c:ptCount val="5"/>
                <c:pt idx="0">
                  <c:v>1.4585843399999998</c:v>
                </c:pt>
                <c:pt idx="1">
                  <c:v>1.7018308599999994</c:v>
                </c:pt>
                <c:pt idx="2">
                  <c:v>1.5508021400000001</c:v>
                </c:pt>
                <c:pt idx="3">
                  <c:v>1.7645478999999999</c:v>
                </c:pt>
                <c:pt idx="4">
                  <c:v>1.5643322499999999</c:v>
                </c:pt>
              </c:numCache>
            </c:numRef>
          </c:val>
        </c:ser>
        <c:ser>
          <c:idx val="3"/>
          <c:order val="3"/>
          <c:tx>
            <c:strRef>
              <c:f>'Market to book ratio'!$E$1</c:f>
              <c:strCache>
                <c:ptCount val="1"/>
                <c:pt idx="0">
                  <c:v>ICB</c:v>
                </c:pt>
              </c:strCache>
            </c:strRef>
          </c:tx>
          <c:invertIfNegative val="0"/>
          <c:cat>
            <c:numRef>
              <c:f>'Market to book ratio'!$A$2:$A$6</c:f>
              <c:numCache>
                <c:formatCode>General</c:formatCode>
                <c:ptCount val="5"/>
                <c:pt idx="0">
                  <c:v>2013</c:v>
                </c:pt>
                <c:pt idx="1">
                  <c:v>2014</c:v>
                </c:pt>
                <c:pt idx="2">
                  <c:v>2015</c:v>
                </c:pt>
                <c:pt idx="3">
                  <c:v>2016</c:v>
                </c:pt>
                <c:pt idx="4">
                  <c:v>2017</c:v>
                </c:pt>
              </c:numCache>
            </c:numRef>
          </c:cat>
          <c:val>
            <c:numRef>
              <c:f>'Market to book ratio'!$E$2:$E$6</c:f>
              <c:numCache>
                <c:formatCode>General</c:formatCode>
                <c:ptCount val="5"/>
                <c:pt idx="0">
                  <c:v>0.72378265900000005</c:v>
                </c:pt>
                <c:pt idx="1">
                  <c:v>0.70398261900000003</c:v>
                </c:pt>
                <c:pt idx="2">
                  <c:v>0.69339539200000033</c:v>
                </c:pt>
                <c:pt idx="3">
                  <c:v>0.70340225099999998</c:v>
                </c:pt>
                <c:pt idx="4">
                  <c:v>0.75450086500000002</c:v>
                </c:pt>
              </c:numCache>
            </c:numRef>
          </c:val>
        </c:ser>
        <c:dLbls>
          <c:showLegendKey val="0"/>
          <c:showVal val="0"/>
          <c:showCatName val="0"/>
          <c:showSerName val="0"/>
          <c:showPercent val="0"/>
          <c:showBubbleSize val="0"/>
        </c:dLbls>
        <c:gapWidth val="150"/>
        <c:axId val="262444544"/>
        <c:axId val="262446080"/>
      </c:barChart>
      <c:catAx>
        <c:axId val="262444544"/>
        <c:scaling>
          <c:orientation val="minMax"/>
        </c:scaling>
        <c:delete val="0"/>
        <c:axPos val="b"/>
        <c:numFmt formatCode="General" sourceLinked="1"/>
        <c:majorTickMark val="out"/>
        <c:minorTickMark val="none"/>
        <c:tickLblPos val="nextTo"/>
        <c:crossAx val="262446080"/>
        <c:crosses val="autoZero"/>
        <c:auto val="1"/>
        <c:lblAlgn val="ctr"/>
        <c:lblOffset val="100"/>
        <c:noMultiLvlLbl val="0"/>
      </c:catAx>
      <c:valAx>
        <c:axId val="262446080"/>
        <c:scaling>
          <c:orientation val="minMax"/>
        </c:scaling>
        <c:delete val="0"/>
        <c:axPos val="l"/>
        <c:majorGridlines/>
        <c:numFmt formatCode="General" sourceLinked="1"/>
        <c:majorTickMark val="out"/>
        <c:minorTickMark val="none"/>
        <c:tickLblPos val="nextTo"/>
        <c:crossAx val="26244454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One'!$A$7</c:f>
              <c:strCache>
                <c:ptCount val="1"/>
                <c:pt idx="0">
                  <c:v>Expense Ratio </c:v>
                </c:pt>
              </c:strCache>
            </c:strRef>
          </c:tx>
          <c:invertIfNegative val="0"/>
          <c:val>
            <c:numRef>
              <c:f>'Reliance One'!$B$7:$F$7</c:f>
              <c:numCache>
                <c:formatCode>General</c:formatCode>
                <c:ptCount val="5"/>
                <c:pt idx="0">
                  <c:v>1.866221399471284E-2</c:v>
                </c:pt>
                <c:pt idx="1">
                  <c:v>1.8227330903579766E-2</c:v>
                </c:pt>
                <c:pt idx="2">
                  <c:v>1.8648364040320511E-2</c:v>
                </c:pt>
                <c:pt idx="3">
                  <c:v>2.3338483463995398E-2</c:v>
                </c:pt>
                <c:pt idx="4">
                  <c:v>1.8003266058250134E-2</c:v>
                </c:pt>
              </c:numCache>
            </c:numRef>
          </c:val>
        </c:ser>
        <c:dLbls>
          <c:showLegendKey val="0"/>
          <c:showVal val="0"/>
          <c:showCatName val="0"/>
          <c:showSerName val="0"/>
          <c:showPercent val="0"/>
          <c:showBubbleSize val="0"/>
        </c:dLbls>
        <c:gapWidth val="150"/>
        <c:axId val="260375296"/>
        <c:axId val="260376832"/>
      </c:barChart>
      <c:catAx>
        <c:axId val="260375296"/>
        <c:scaling>
          <c:orientation val="minMax"/>
        </c:scaling>
        <c:delete val="0"/>
        <c:axPos val="b"/>
        <c:majorTickMark val="out"/>
        <c:minorTickMark val="none"/>
        <c:tickLblPos val="nextTo"/>
        <c:crossAx val="260376832"/>
        <c:crosses val="autoZero"/>
        <c:auto val="1"/>
        <c:lblAlgn val="ctr"/>
        <c:lblOffset val="100"/>
        <c:noMultiLvlLbl val="0"/>
      </c:catAx>
      <c:valAx>
        <c:axId val="260376832"/>
        <c:scaling>
          <c:orientation val="minMax"/>
        </c:scaling>
        <c:delete val="0"/>
        <c:axPos val="l"/>
        <c:majorGridlines/>
        <c:numFmt formatCode="General" sourceLinked="1"/>
        <c:majorTickMark val="out"/>
        <c:minorTickMark val="none"/>
        <c:tickLblPos val="nextTo"/>
        <c:crossAx val="26037529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1390266841644854"/>
          <c:y val="2.7777777777777842E-2"/>
        </c:manualLayout>
      </c:layout>
      <c:overlay val="0"/>
    </c:title>
    <c:autoTitleDeleted val="0"/>
    <c:plotArea>
      <c:layout/>
      <c:barChart>
        <c:barDir val="col"/>
        <c:grouping val="clustered"/>
        <c:varyColors val="0"/>
        <c:ser>
          <c:idx val="0"/>
          <c:order val="0"/>
          <c:tx>
            <c:strRef>
              <c:f>'Reliance One'!$A$8</c:f>
              <c:strCache>
                <c:ptCount val="1"/>
                <c:pt idx="0">
                  <c:v>Price earnings ratio</c:v>
                </c:pt>
              </c:strCache>
            </c:strRef>
          </c:tx>
          <c:invertIfNegative val="0"/>
          <c:val>
            <c:numRef>
              <c:f>'Reliance One'!$B$8:$F$8</c:f>
              <c:numCache>
                <c:formatCode>General</c:formatCode>
                <c:ptCount val="5"/>
                <c:pt idx="0">
                  <c:v>11.05</c:v>
                </c:pt>
                <c:pt idx="1">
                  <c:v>6.52</c:v>
                </c:pt>
                <c:pt idx="2">
                  <c:v>7</c:v>
                </c:pt>
                <c:pt idx="3">
                  <c:v>11.450000000000006</c:v>
                </c:pt>
                <c:pt idx="4">
                  <c:v>12.02</c:v>
                </c:pt>
              </c:numCache>
            </c:numRef>
          </c:val>
        </c:ser>
        <c:dLbls>
          <c:showLegendKey val="0"/>
          <c:showVal val="0"/>
          <c:showCatName val="0"/>
          <c:showSerName val="0"/>
          <c:showPercent val="0"/>
          <c:showBubbleSize val="0"/>
        </c:dLbls>
        <c:gapWidth val="150"/>
        <c:axId val="260397312"/>
        <c:axId val="260407296"/>
      </c:barChart>
      <c:catAx>
        <c:axId val="260397312"/>
        <c:scaling>
          <c:orientation val="minMax"/>
        </c:scaling>
        <c:delete val="0"/>
        <c:axPos val="b"/>
        <c:majorTickMark val="out"/>
        <c:minorTickMark val="none"/>
        <c:tickLblPos val="nextTo"/>
        <c:crossAx val="260407296"/>
        <c:crosses val="autoZero"/>
        <c:auto val="1"/>
        <c:lblAlgn val="ctr"/>
        <c:lblOffset val="100"/>
        <c:noMultiLvlLbl val="0"/>
      </c:catAx>
      <c:valAx>
        <c:axId val="260407296"/>
        <c:scaling>
          <c:orientation val="minMax"/>
        </c:scaling>
        <c:delete val="0"/>
        <c:axPos val="l"/>
        <c:majorGridlines/>
        <c:numFmt formatCode="General" sourceLinked="1"/>
        <c:majorTickMark val="out"/>
        <c:minorTickMark val="none"/>
        <c:tickLblPos val="nextTo"/>
        <c:crossAx val="2603973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One'!$A$9</c:f>
              <c:strCache>
                <c:ptCount val="1"/>
                <c:pt idx="0">
                  <c:v>Dividend Payout Ratio</c:v>
                </c:pt>
              </c:strCache>
            </c:strRef>
          </c:tx>
          <c:invertIfNegative val="0"/>
          <c:val>
            <c:numRef>
              <c:f>'Reliance One'!$B$9:$F$9</c:f>
              <c:numCache>
                <c:formatCode>General</c:formatCode>
                <c:ptCount val="5"/>
                <c:pt idx="0">
                  <c:v>0.32994536097354193</c:v>
                </c:pt>
                <c:pt idx="1">
                  <c:v>0.82311997093901612</c:v>
                </c:pt>
                <c:pt idx="2">
                  <c:v>0.87919870570234449</c:v>
                </c:pt>
                <c:pt idx="3">
                  <c:v>1.3850538219986535</c:v>
                </c:pt>
                <c:pt idx="4">
                  <c:v>1.1186176035163342</c:v>
                </c:pt>
              </c:numCache>
            </c:numRef>
          </c:val>
        </c:ser>
        <c:dLbls>
          <c:showLegendKey val="0"/>
          <c:showVal val="0"/>
          <c:showCatName val="0"/>
          <c:showSerName val="0"/>
          <c:showPercent val="0"/>
          <c:showBubbleSize val="0"/>
        </c:dLbls>
        <c:gapWidth val="150"/>
        <c:axId val="260427776"/>
        <c:axId val="260429312"/>
      </c:barChart>
      <c:catAx>
        <c:axId val="260427776"/>
        <c:scaling>
          <c:orientation val="minMax"/>
        </c:scaling>
        <c:delete val="0"/>
        <c:axPos val="b"/>
        <c:majorTickMark val="none"/>
        <c:minorTickMark val="none"/>
        <c:tickLblPos val="nextTo"/>
        <c:crossAx val="260429312"/>
        <c:crosses val="autoZero"/>
        <c:auto val="1"/>
        <c:lblAlgn val="ctr"/>
        <c:lblOffset val="100"/>
        <c:noMultiLvlLbl val="0"/>
      </c:catAx>
      <c:valAx>
        <c:axId val="260429312"/>
        <c:scaling>
          <c:orientation val="minMax"/>
        </c:scaling>
        <c:delete val="0"/>
        <c:axPos val="l"/>
        <c:majorGridlines/>
        <c:numFmt formatCode="General" sourceLinked="1"/>
        <c:majorTickMark val="none"/>
        <c:minorTickMark val="none"/>
        <c:tickLblPos val="nextTo"/>
        <c:crossAx val="26042777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'Reliance One'!$A$10</c:f>
              <c:strCache>
                <c:ptCount val="1"/>
                <c:pt idx="0">
                  <c:v>Total Liabilites to Total Asset</c:v>
                </c:pt>
              </c:strCache>
            </c:strRef>
          </c:tx>
          <c:invertIfNegative val="0"/>
          <c:val>
            <c:numRef>
              <c:f>'Reliance One'!$B$10:$F$10</c:f>
              <c:numCache>
                <c:formatCode>General</c:formatCode>
                <c:ptCount val="5"/>
                <c:pt idx="0">
                  <c:v>4.2030791746910734E-3</c:v>
                </c:pt>
                <c:pt idx="1">
                  <c:v>4.1507758628292766E-3</c:v>
                </c:pt>
                <c:pt idx="2">
                  <c:v>1.1707511477682168E-2</c:v>
                </c:pt>
                <c:pt idx="3">
                  <c:v>2.6634766245537726E-2</c:v>
                </c:pt>
                <c:pt idx="4">
                  <c:v>2.1426966165365383E-2</c:v>
                </c:pt>
              </c:numCache>
            </c:numRef>
          </c:val>
        </c:ser>
        <c:dLbls>
          <c:showLegendKey val="0"/>
          <c:showVal val="0"/>
          <c:showCatName val="0"/>
          <c:showSerName val="0"/>
          <c:showPercent val="0"/>
          <c:showBubbleSize val="0"/>
        </c:dLbls>
        <c:gapWidth val="150"/>
        <c:axId val="260642304"/>
        <c:axId val="260643840"/>
      </c:barChart>
      <c:catAx>
        <c:axId val="260642304"/>
        <c:scaling>
          <c:orientation val="minMax"/>
        </c:scaling>
        <c:delete val="0"/>
        <c:axPos val="b"/>
        <c:majorTickMark val="out"/>
        <c:minorTickMark val="none"/>
        <c:tickLblPos val="nextTo"/>
        <c:crossAx val="260643840"/>
        <c:crosses val="autoZero"/>
        <c:auto val="1"/>
        <c:lblAlgn val="ctr"/>
        <c:lblOffset val="100"/>
        <c:noMultiLvlLbl val="0"/>
      </c:catAx>
      <c:valAx>
        <c:axId val="260643840"/>
        <c:scaling>
          <c:orientation val="minMax"/>
        </c:scaling>
        <c:delete val="0"/>
        <c:axPos val="l"/>
        <c:majorGridlines/>
        <c:numFmt formatCode="General" sourceLinked="1"/>
        <c:majorTickMark val="out"/>
        <c:minorTickMark val="none"/>
        <c:tickLblPos val="nextTo"/>
        <c:crossAx val="26064230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0.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3.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4.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5.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6.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8.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9.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0.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3.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4.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5.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6.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8.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9.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0.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3.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4.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5.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6.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8.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9.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40.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4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4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4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4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4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46.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0.10625</cdr:x>
      <cdr:y>0.87847</cdr:y>
    </cdr:from>
    <cdr:to>
      <cdr:x>0.85</cdr:x>
      <cdr:y>0.97915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85775" y="2409825"/>
          <a:ext cx="3400425" cy="276190"/>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0.11042</cdr:x>
      <cdr:y>0.87153</cdr:y>
    </cdr:from>
    <cdr:to>
      <cdr:x>0.85</cdr:x>
      <cdr:y>0.97221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4824" y="2390775"/>
          <a:ext cx="3381375" cy="276190"/>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0.07383</cdr:x>
      <cdr:y>0.89897</cdr:y>
    </cdr:from>
    <cdr:to>
      <cdr:x>0.81913</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7562" y="2466055"/>
          <a:ext cx="3407509" cy="277145"/>
        </a:xfrm>
        <a:prstGeom xmlns:a="http://schemas.openxmlformats.org/drawingml/2006/main" prst="rect">
          <a:avLst/>
        </a:prstGeom>
      </cdr:spPr>
    </cdr:pic>
  </cdr:relSizeAnchor>
</c:userShapes>
</file>

<file path=word/drawings/drawing12.xml><?xml version="1.0" encoding="utf-8"?>
<c:userShapes xmlns:c="http://schemas.openxmlformats.org/drawingml/2006/chart">
  <cdr:relSizeAnchor xmlns:cdr="http://schemas.openxmlformats.org/drawingml/2006/chartDrawing">
    <cdr:from>
      <cdr:x>0.09792</cdr:x>
      <cdr:y>0.87153</cdr:y>
    </cdr:from>
    <cdr:to>
      <cdr:x>0.84167</cdr:x>
      <cdr:y>0.97221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7690" y="2390781"/>
          <a:ext cx="3400425" cy="276185"/>
        </a:xfrm>
        <a:prstGeom xmlns:a="http://schemas.openxmlformats.org/drawingml/2006/main" prst="rect">
          <a:avLst/>
        </a:prstGeom>
      </cdr:spPr>
    </cdr:pic>
  </cdr:relSizeAnchor>
</c:userShapes>
</file>

<file path=word/drawings/drawing13.xml><?xml version="1.0" encoding="utf-8"?>
<c:userShapes xmlns:c="http://schemas.openxmlformats.org/drawingml/2006/chart">
  <cdr:relSizeAnchor xmlns:cdr="http://schemas.openxmlformats.org/drawingml/2006/chartDrawing">
    <cdr:from>
      <cdr:x>0.10833</cdr:x>
      <cdr:y>0.86806</cdr:y>
    </cdr:from>
    <cdr:to>
      <cdr:x>0.80208</cdr:x>
      <cdr:y>0.96874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95300" y="2381250"/>
          <a:ext cx="3171825" cy="276190"/>
        </a:xfrm>
        <a:prstGeom xmlns:a="http://schemas.openxmlformats.org/drawingml/2006/main" prst="rect">
          <a:avLst/>
        </a:prstGeom>
      </cdr:spPr>
    </cdr:pic>
  </cdr:relSizeAnchor>
</c:userShapes>
</file>

<file path=word/drawings/drawing14.xml><?xml version="1.0" encoding="utf-8"?>
<c:userShapes xmlns:c="http://schemas.openxmlformats.org/drawingml/2006/chart">
  <cdr:relSizeAnchor xmlns:cdr="http://schemas.openxmlformats.org/drawingml/2006/chartDrawing">
    <cdr:from>
      <cdr:x>0.09583</cdr:x>
      <cdr:y>0.47222</cdr:y>
    </cdr:from>
    <cdr:to>
      <cdr:x>0.74375</cdr:x>
      <cdr:y>0.5729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8150" y="1295400"/>
          <a:ext cx="2962275" cy="276190"/>
        </a:xfrm>
        <a:prstGeom xmlns:a="http://schemas.openxmlformats.org/drawingml/2006/main" prst="rect">
          <a:avLst/>
        </a:prstGeom>
      </cdr:spPr>
    </cdr:pic>
  </cdr:relSizeAnchor>
</c:userShapes>
</file>

<file path=word/drawings/drawing15.xml><?xml version="1.0" encoding="utf-8"?>
<c:userShapes xmlns:c="http://schemas.openxmlformats.org/drawingml/2006/chart">
  <cdr:relSizeAnchor xmlns:cdr="http://schemas.openxmlformats.org/drawingml/2006/chartDrawing">
    <cdr:from>
      <cdr:x>0.13333</cdr:x>
      <cdr:y>0.4603</cdr:y>
    </cdr:from>
    <cdr:to>
      <cdr:x>0.87083</cdr:x>
      <cdr:y>0.55207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9600" y="1262686"/>
          <a:ext cx="3371849" cy="251754"/>
        </a:xfrm>
        <a:prstGeom xmlns:a="http://schemas.openxmlformats.org/drawingml/2006/main" prst="rect">
          <a:avLst/>
        </a:prstGeom>
      </cdr:spPr>
    </cdr:pic>
  </cdr:relSizeAnchor>
</c:userShapes>
</file>

<file path=word/drawings/drawing16.xml><?xml version="1.0" encoding="utf-8"?>
<c:userShapes xmlns:c="http://schemas.openxmlformats.org/drawingml/2006/chart">
  <cdr:relSizeAnchor xmlns:cdr="http://schemas.openxmlformats.org/drawingml/2006/chartDrawing">
    <cdr:from>
      <cdr:x>0.16667</cdr:x>
      <cdr:y>0.875</cdr:y>
    </cdr:from>
    <cdr:to>
      <cdr:x>0.81458</cdr:x>
      <cdr:y>0.97568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62000" y="2400300"/>
          <a:ext cx="2962275" cy="276190"/>
        </a:xfrm>
        <a:prstGeom xmlns:a="http://schemas.openxmlformats.org/drawingml/2006/main" prst="rect">
          <a:avLst/>
        </a:prstGeom>
      </cdr:spPr>
    </cdr:pic>
  </cdr:relSizeAnchor>
</c:userShapes>
</file>

<file path=word/drawings/drawing17.xml><?xml version="1.0" encoding="utf-8"?>
<c:userShapes xmlns:c="http://schemas.openxmlformats.org/drawingml/2006/chart">
  <cdr:relSizeAnchor xmlns:cdr="http://schemas.openxmlformats.org/drawingml/2006/chartDrawing">
    <cdr:from>
      <cdr:x>0.13208</cdr:x>
      <cdr:y>0.87421</cdr:y>
    </cdr:from>
    <cdr:to>
      <cdr:x>0.8581</cdr:x>
      <cdr:y>0.9749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3848" y="2398144"/>
          <a:ext cx="3319373" cy="276190"/>
        </a:xfrm>
        <a:prstGeom xmlns:a="http://schemas.openxmlformats.org/drawingml/2006/main" prst="rect">
          <a:avLst/>
        </a:prstGeom>
      </cdr:spPr>
    </cdr:pic>
  </cdr:relSizeAnchor>
</c:userShapes>
</file>

<file path=word/drawings/drawing18.xml><?xml version="1.0" encoding="utf-8"?>
<c:userShapes xmlns:c="http://schemas.openxmlformats.org/drawingml/2006/chart">
  <cdr:relSizeAnchor xmlns:cdr="http://schemas.openxmlformats.org/drawingml/2006/chartDrawing">
    <cdr:from>
      <cdr:x>0.10338</cdr:x>
      <cdr:y>0.86787</cdr:y>
    </cdr:from>
    <cdr:to>
      <cdr:x>0.79961</cdr:x>
      <cdr:y>0.96855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2656" y="2380746"/>
          <a:ext cx="3183147" cy="276190"/>
        </a:xfrm>
        <a:prstGeom xmlns:a="http://schemas.openxmlformats.org/drawingml/2006/main" prst="rect">
          <a:avLst/>
        </a:prstGeom>
      </cdr:spPr>
    </cdr:pic>
  </cdr:relSizeAnchor>
</c:userShapes>
</file>

<file path=word/drawings/drawing19.xml><?xml version="1.0" encoding="utf-8"?>
<c:userShapes xmlns:c="http://schemas.openxmlformats.org/drawingml/2006/chart">
  <cdr:relSizeAnchor xmlns:cdr="http://schemas.openxmlformats.org/drawingml/2006/chartDrawing">
    <cdr:from>
      <cdr:x>0.09623</cdr:x>
      <cdr:y>0.8805</cdr:y>
    </cdr:from>
    <cdr:to>
      <cdr:x>0.77319</cdr:x>
      <cdr:y>0.98119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9947" y="2415397"/>
          <a:ext cx="3095086" cy="27619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0.10208</cdr:x>
      <cdr:y>0.875</cdr:y>
    </cdr:from>
    <cdr:to>
      <cdr:x>0.79167</cdr:x>
      <cdr:y>0.97568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6725" y="2400300"/>
          <a:ext cx="3152775" cy="276190"/>
        </a:xfrm>
        <a:prstGeom xmlns:a="http://schemas.openxmlformats.org/drawingml/2006/main" prst="rect">
          <a:avLst/>
        </a:prstGeom>
      </cdr:spPr>
    </cdr:pic>
  </cdr:relSizeAnchor>
</c:userShapes>
</file>

<file path=word/drawings/drawing20.xml><?xml version="1.0" encoding="utf-8"?>
<c:userShapes xmlns:c="http://schemas.openxmlformats.org/drawingml/2006/chart">
  <cdr:relSizeAnchor xmlns:cdr="http://schemas.openxmlformats.org/drawingml/2006/chartDrawing">
    <cdr:from>
      <cdr:x>0.11887</cdr:x>
      <cdr:y>0.87421</cdr:y>
    </cdr:from>
    <cdr:to>
      <cdr:x>0.76678</cdr:x>
      <cdr:y>0.9749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3464" y="2398143"/>
          <a:ext cx="2962275" cy="276190"/>
        </a:xfrm>
        <a:prstGeom xmlns:a="http://schemas.openxmlformats.org/drawingml/2006/main" prst="rect">
          <a:avLst/>
        </a:prstGeom>
      </cdr:spPr>
    </cdr:pic>
  </cdr:relSizeAnchor>
</c:userShapes>
</file>

<file path=word/drawings/drawing21.xml><?xml version="1.0" encoding="utf-8"?>
<c:userShapes xmlns:c="http://schemas.openxmlformats.org/drawingml/2006/chart">
  <cdr:relSizeAnchor xmlns:cdr="http://schemas.openxmlformats.org/drawingml/2006/chartDrawing">
    <cdr:from>
      <cdr:x>0.09434</cdr:x>
      <cdr:y>0.87736</cdr:y>
    </cdr:from>
    <cdr:to>
      <cdr:x>0.74226</cdr:x>
      <cdr:y>0.97804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321" y="2406770"/>
          <a:ext cx="2962275" cy="276190"/>
        </a:xfrm>
        <a:prstGeom xmlns:a="http://schemas.openxmlformats.org/drawingml/2006/main" prst="rect">
          <a:avLst/>
        </a:prstGeom>
      </cdr:spPr>
    </cdr:pic>
  </cdr:relSizeAnchor>
</c:userShapes>
</file>

<file path=word/drawings/drawing22.xml><?xml version="1.0" encoding="utf-8"?>
<c:userShapes xmlns:c="http://schemas.openxmlformats.org/drawingml/2006/chart">
  <cdr:relSizeAnchor xmlns:cdr="http://schemas.openxmlformats.org/drawingml/2006/chartDrawing">
    <cdr:from>
      <cdr:x>0.10943</cdr:x>
      <cdr:y>0.87107</cdr:y>
    </cdr:from>
    <cdr:to>
      <cdr:x>0.84112</cdr:x>
      <cdr:y>0.97175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0333" y="2389517"/>
          <a:ext cx="3345251" cy="276190"/>
        </a:xfrm>
        <a:prstGeom xmlns:a="http://schemas.openxmlformats.org/drawingml/2006/main" prst="rect">
          <a:avLst/>
        </a:prstGeom>
      </cdr:spPr>
    </cdr:pic>
  </cdr:relSizeAnchor>
</c:userShapes>
</file>

<file path=word/drawings/drawing23.xml><?xml version="1.0" encoding="utf-8"?>
<c:userShapes xmlns:c="http://schemas.openxmlformats.org/drawingml/2006/chart">
  <cdr:relSizeAnchor xmlns:cdr="http://schemas.openxmlformats.org/drawingml/2006/chartDrawing">
    <cdr:from>
      <cdr:x>0.06342</cdr:x>
      <cdr:y>0.88161</cdr:y>
    </cdr:from>
    <cdr:to>
      <cdr:x>0.80872</cdr:x>
      <cdr:y>0.98264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9937" y="2418430"/>
          <a:ext cx="3407509" cy="277145"/>
        </a:xfrm>
        <a:prstGeom xmlns:a="http://schemas.openxmlformats.org/drawingml/2006/main" prst="rect">
          <a:avLst/>
        </a:prstGeom>
      </cdr:spPr>
    </cdr:pic>
  </cdr:relSizeAnchor>
</c:userShapes>
</file>

<file path=word/drawings/drawing24.xml><?xml version="1.0" encoding="utf-8"?>
<c:userShapes xmlns:c="http://schemas.openxmlformats.org/drawingml/2006/chart">
  <cdr:relSizeAnchor xmlns:cdr="http://schemas.openxmlformats.org/drawingml/2006/chartDrawing">
    <cdr:from>
      <cdr:x>0.11757</cdr:x>
      <cdr:y>0.87801</cdr:y>
    </cdr:from>
    <cdr:to>
      <cdr:x>0.84171</cdr:x>
      <cdr:y>0.97869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37530" y="2408569"/>
          <a:ext cx="3310768" cy="276186"/>
        </a:xfrm>
        <a:prstGeom xmlns:a="http://schemas.openxmlformats.org/drawingml/2006/main" prst="rect">
          <a:avLst/>
        </a:prstGeom>
      </cdr:spPr>
    </cdr:pic>
  </cdr:relSizeAnchor>
</c:userShapes>
</file>

<file path=word/drawings/drawing25.xml><?xml version="1.0" encoding="utf-8"?>
<c:userShapes xmlns:c="http://schemas.openxmlformats.org/drawingml/2006/chart">
  <cdr:relSizeAnchor xmlns:cdr="http://schemas.openxmlformats.org/drawingml/2006/chartDrawing">
    <cdr:from>
      <cdr:x>0.1</cdr:x>
      <cdr:y>0.87736</cdr:y>
    </cdr:from>
    <cdr:to>
      <cdr:x>0.79206</cdr:x>
      <cdr:y>0.97804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7200" y="2406770"/>
          <a:ext cx="3164097" cy="276190"/>
        </a:xfrm>
        <a:prstGeom xmlns:a="http://schemas.openxmlformats.org/drawingml/2006/main" prst="rect">
          <a:avLst/>
        </a:prstGeom>
      </cdr:spPr>
    </cdr:pic>
  </cdr:relSizeAnchor>
</c:userShapes>
</file>

<file path=word/drawings/drawing26.xml><?xml version="1.0" encoding="utf-8"?>
<c:userShapes xmlns:c="http://schemas.openxmlformats.org/drawingml/2006/chart">
  <cdr:relSizeAnchor xmlns:cdr="http://schemas.openxmlformats.org/drawingml/2006/chartDrawing">
    <cdr:from>
      <cdr:x>0.10189</cdr:x>
      <cdr:y>0.8805</cdr:y>
    </cdr:from>
    <cdr:to>
      <cdr:x>0.80149</cdr:x>
      <cdr:y>0.98118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5826" y="2415396"/>
          <a:ext cx="3198603" cy="276190"/>
        </a:xfrm>
        <a:prstGeom xmlns:a="http://schemas.openxmlformats.org/drawingml/2006/main" prst="rect">
          <a:avLst/>
        </a:prstGeom>
      </cdr:spPr>
    </cdr:pic>
  </cdr:relSizeAnchor>
</c:userShapes>
</file>

<file path=word/drawings/drawing27.xml><?xml version="1.0" encoding="utf-8"?>
<c:userShapes xmlns:c="http://schemas.openxmlformats.org/drawingml/2006/chart">
  <cdr:relSizeAnchor xmlns:cdr="http://schemas.openxmlformats.org/drawingml/2006/chartDrawing">
    <cdr:from>
      <cdr:x>0.10189</cdr:x>
      <cdr:y>0.87416</cdr:y>
    </cdr:from>
    <cdr:to>
      <cdr:x>0.89772</cdr:x>
      <cdr:y>0.97484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5827" y="2397999"/>
          <a:ext cx="3638549" cy="276190"/>
        </a:xfrm>
        <a:prstGeom xmlns:a="http://schemas.openxmlformats.org/drawingml/2006/main" prst="rect">
          <a:avLst/>
        </a:prstGeom>
      </cdr:spPr>
    </cdr:pic>
  </cdr:relSizeAnchor>
</c:userShapes>
</file>

<file path=word/drawings/drawing28.xml><?xml version="1.0" encoding="utf-8"?>
<c:userShapes xmlns:c="http://schemas.openxmlformats.org/drawingml/2006/chart">
  <cdr:relSizeAnchor xmlns:cdr="http://schemas.openxmlformats.org/drawingml/2006/chartDrawing">
    <cdr:from>
      <cdr:x>0.16226</cdr:x>
      <cdr:y>0.87107</cdr:y>
    </cdr:from>
    <cdr:to>
      <cdr:x>0.81018</cdr:x>
      <cdr:y>0.97175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1871" y="2389517"/>
          <a:ext cx="2962275" cy="276190"/>
        </a:xfrm>
        <a:prstGeom xmlns:a="http://schemas.openxmlformats.org/drawingml/2006/main" prst="rect">
          <a:avLst/>
        </a:prstGeom>
      </cdr:spPr>
    </cdr:pic>
  </cdr:relSizeAnchor>
</c:userShapes>
</file>

<file path=word/drawings/drawing29.xml><?xml version="1.0" encoding="utf-8"?>
<c:userShapes xmlns:c="http://schemas.openxmlformats.org/drawingml/2006/chart">
  <cdr:relSizeAnchor xmlns:cdr="http://schemas.openxmlformats.org/drawingml/2006/chartDrawing">
    <cdr:from>
      <cdr:x>0.11321</cdr:x>
      <cdr:y>0.87731</cdr:y>
    </cdr:from>
    <cdr:to>
      <cdr:x>0.85998</cdr:x>
      <cdr:y>0.97799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17584" y="2406625"/>
          <a:ext cx="3414264" cy="27619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0.13159</cdr:x>
      <cdr:y>0.89932</cdr:y>
    </cdr:from>
    <cdr:to>
      <cdr:x>0.82743</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1610" y="2467014"/>
          <a:ext cx="3181380" cy="276186"/>
        </a:xfrm>
        <a:prstGeom xmlns:a="http://schemas.openxmlformats.org/drawingml/2006/main" prst="rect">
          <a:avLst/>
        </a:prstGeom>
      </cdr:spPr>
    </cdr:pic>
  </cdr:relSizeAnchor>
</c:userShapes>
</file>

<file path=word/drawings/drawing30.xml><?xml version="1.0" encoding="utf-8"?>
<c:userShapes xmlns:c="http://schemas.openxmlformats.org/drawingml/2006/chart">
  <cdr:relSizeAnchor xmlns:cdr="http://schemas.openxmlformats.org/drawingml/2006/chartDrawing">
    <cdr:from>
      <cdr:x>0.08113</cdr:x>
      <cdr:y>0.87421</cdr:y>
    </cdr:from>
    <cdr:to>
      <cdr:x>0.80715</cdr:x>
      <cdr:y>0.9749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70936" y="2398143"/>
          <a:ext cx="3319372" cy="276190"/>
        </a:xfrm>
        <a:prstGeom xmlns:a="http://schemas.openxmlformats.org/drawingml/2006/main" prst="rect">
          <a:avLst/>
        </a:prstGeom>
      </cdr:spPr>
    </cdr:pic>
  </cdr:relSizeAnchor>
</c:userShapes>
</file>

<file path=word/drawings/drawing31.xml><?xml version="1.0" encoding="utf-8"?>
<c:userShapes xmlns:c="http://schemas.openxmlformats.org/drawingml/2006/chart">
  <cdr:relSizeAnchor xmlns:cdr="http://schemas.openxmlformats.org/drawingml/2006/chartDrawing">
    <cdr:from>
      <cdr:x>0.09623</cdr:x>
      <cdr:y>0.87736</cdr:y>
    </cdr:from>
    <cdr:to>
      <cdr:x>0.74414</cdr:x>
      <cdr:y>0.97804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9947" y="2406770"/>
          <a:ext cx="2962275" cy="276190"/>
        </a:xfrm>
        <a:prstGeom xmlns:a="http://schemas.openxmlformats.org/drawingml/2006/main" prst="rect">
          <a:avLst/>
        </a:prstGeom>
      </cdr:spPr>
    </cdr:pic>
  </cdr:relSizeAnchor>
</c:userShapes>
</file>

<file path=word/drawings/drawing32.xml><?xml version="1.0" encoding="utf-8"?>
<c:userShapes xmlns:c="http://schemas.openxmlformats.org/drawingml/2006/chart">
  <cdr:relSizeAnchor xmlns:cdr="http://schemas.openxmlformats.org/drawingml/2006/chartDrawing">
    <cdr:from>
      <cdr:x>0.09811</cdr:x>
      <cdr:y>0.87736</cdr:y>
    </cdr:from>
    <cdr:to>
      <cdr:x>0.74603</cdr:x>
      <cdr:y>0.97804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8573" y="2406770"/>
          <a:ext cx="2962275" cy="276190"/>
        </a:xfrm>
        <a:prstGeom xmlns:a="http://schemas.openxmlformats.org/drawingml/2006/main" prst="rect">
          <a:avLst/>
        </a:prstGeom>
      </cdr:spPr>
    </cdr:pic>
  </cdr:relSizeAnchor>
</c:userShapes>
</file>

<file path=word/drawings/drawing33.xml><?xml version="1.0" encoding="utf-8"?>
<c:userShapes xmlns:c="http://schemas.openxmlformats.org/drawingml/2006/chart">
  <cdr:relSizeAnchor xmlns:cdr="http://schemas.openxmlformats.org/drawingml/2006/chartDrawing">
    <cdr:from>
      <cdr:x>0.10189</cdr:x>
      <cdr:y>0.87107</cdr:y>
    </cdr:from>
    <cdr:to>
      <cdr:x>0.8581</cdr:x>
      <cdr:y>0.97175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5827" y="2389517"/>
          <a:ext cx="3457395" cy="276190"/>
        </a:xfrm>
        <a:prstGeom xmlns:a="http://schemas.openxmlformats.org/drawingml/2006/main" prst="rect">
          <a:avLst/>
        </a:prstGeom>
      </cdr:spPr>
    </cdr:pic>
  </cdr:relSizeAnchor>
</c:userShapes>
</file>

<file path=word/drawings/drawing34.xml><?xml version="1.0" encoding="utf-8"?>
<c:userShapes xmlns:c="http://schemas.openxmlformats.org/drawingml/2006/chart">
  <cdr:relSizeAnchor xmlns:cdr="http://schemas.openxmlformats.org/drawingml/2006/chartDrawing">
    <cdr:from>
      <cdr:x>0.09811</cdr:x>
      <cdr:y>0.87421</cdr:y>
    </cdr:from>
    <cdr:to>
      <cdr:x>0.72791</cdr:x>
      <cdr:y>0.9749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8574" y="2398143"/>
          <a:ext cx="2879426" cy="276190"/>
        </a:xfrm>
        <a:prstGeom xmlns:a="http://schemas.openxmlformats.org/drawingml/2006/main" prst="rect">
          <a:avLst/>
        </a:prstGeom>
      </cdr:spPr>
    </cdr:pic>
  </cdr:relSizeAnchor>
</c:userShapes>
</file>

<file path=word/drawings/drawing35.xml><?xml version="1.0" encoding="utf-8"?>
<c:userShapes xmlns:c="http://schemas.openxmlformats.org/drawingml/2006/chart">
  <cdr:relSizeAnchor xmlns:cdr="http://schemas.openxmlformats.org/drawingml/2006/chartDrawing">
    <cdr:from>
      <cdr:x>0.09375</cdr:x>
      <cdr:y>0.86806</cdr:y>
    </cdr:from>
    <cdr:to>
      <cdr:x>0.77083</cdr:x>
      <cdr:y>0.96874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28624" y="2381250"/>
          <a:ext cx="3095625" cy="276185"/>
        </a:xfrm>
        <a:prstGeom xmlns:a="http://schemas.openxmlformats.org/drawingml/2006/main" prst="rect">
          <a:avLst/>
        </a:prstGeom>
      </cdr:spPr>
    </cdr:pic>
  </cdr:relSizeAnchor>
</c:userShapes>
</file>

<file path=word/drawings/drawing36.xml><?xml version="1.0" encoding="utf-8"?>
<c:userShapes xmlns:c="http://schemas.openxmlformats.org/drawingml/2006/chart">
  <cdr:relSizeAnchor xmlns:cdr="http://schemas.openxmlformats.org/drawingml/2006/chartDrawing">
    <cdr:from>
      <cdr:x>0.33655</cdr:x>
      <cdr:y>0.89932</cdr:y>
    </cdr:from>
    <cdr:to>
      <cdr:x>0.78837</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38694" y="2467015"/>
          <a:ext cx="2065744" cy="276185"/>
        </a:xfrm>
        <a:prstGeom xmlns:a="http://schemas.openxmlformats.org/drawingml/2006/main" prst="rect">
          <a:avLst/>
        </a:prstGeom>
      </cdr:spPr>
    </cdr:pic>
  </cdr:relSizeAnchor>
  <cdr:relSizeAnchor xmlns:cdr="http://schemas.openxmlformats.org/drawingml/2006/chartDrawing">
    <cdr:from>
      <cdr:x>0.10465</cdr:x>
      <cdr:y>0.9186</cdr:y>
    </cdr:from>
    <cdr:to>
      <cdr:x>0.30698</cdr:x>
      <cdr:y>0.96512</cdr:y>
    </cdr:to>
    <cdr:sp macro="" textlink="">
      <cdr:nvSpPr>
        <cdr:cNvPr id="3" name="Rectangle 2"/>
        <cdr:cNvSpPr/>
      </cdr:nvSpPr>
      <cdr:spPr>
        <a:xfrm xmlns:a="http://schemas.openxmlformats.org/drawingml/2006/main">
          <a:off x="478465" y="2519916"/>
          <a:ext cx="925033" cy="12759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7.xml><?xml version="1.0" encoding="utf-8"?>
<c:userShapes xmlns:c="http://schemas.openxmlformats.org/drawingml/2006/chart">
  <cdr:relSizeAnchor xmlns:cdr="http://schemas.openxmlformats.org/drawingml/2006/chartDrawing">
    <cdr:from>
      <cdr:x>0.3058</cdr:x>
      <cdr:y>0.89932</cdr:y>
    </cdr:from>
    <cdr:to>
      <cdr:x>0.75762</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98108" y="2467015"/>
          <a:ext cx="2065744" cy="276185"/>
        </a:xfrm>
        <a:prstGeom xmlns:a="http://schemas.openxmlformats.org/drawingml/2006/main" prst="rect">
          <a:avLst/>
        </a:prstGeom>
      </cdr:spPr>
    </cdr:pic>
  </cdr:relSizeAnchor>
  <cdr:relSizeAnchor xmlns:cdr="http://schemas.openxmlformats.org/drawingml/2006/chartDrawing">
    <cdr:from>
      <cdr:x>0.09948</cdr:x>
      <cdr:y>0.91387</cdr:y>
    </cdr:from>
    <cdr:to>
      <cdr:x>0.30181</cdr:x>
      <cdr:y>0.96038</cdr:y>
    </cdr:to>
    <cdr:sp macro="" textlink="">
      <cdr:nvSpPr>
        <cdr:cNvPr id="4" name="Rectangle 3"/>
        <cdr:cNvSpPr/>
      </cdr:nvSpPr>
      <cdr:spPr>
        <a:xfrm xmlns:a="http://schemas.openxmlformats.org/drawingml/2006/main">
          <a:off x="454837" y="2506920"/>
          <a:ext cx="925033" cy="12759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38.xml><?xml version="1.0" encoding="utf-8"?>
<c:userShapes xmlns:c="http://schemas.openxmlformats.org/drawingml/2006/chart">
  <cdr:relSizeAnchor xmlns:cdr="http://schemas.openxmlformats.org/drawingml/2006/chartDrawing">
    <cdr:from>
      <cdr:x>0.31691</cdr:x>
      <cdr:y>0.89932</cdr:y>
    </cdr:from>
    <cdr:to>
      <cdr:x>0.76873</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48908" y="2517815"/>
          <a:ext cx="2065744" cy="276185"/>
        </a:xfrm>
        <a:prstGeom xmlns:a="http://schemas.openxmlformats.org/drawingml/2006/main" prst="rect">
          <a:avLst/>
        </a:prstGeom>
      </cdr:spPr>
    </cdr:pic>
  </cdr:relSizeAnchor>
  <cdr:relSizeAnchor xmlns:cdr="http://schemas.openxmlformats.org/drawingml/2006/chartDrawing">
    <cdr:from>
      <cdr:x>0.10594</cdr:x>
      <cdr:y>0.92076</cdr:y>
    </cdr:from>
    <cdr:to>
      <cdr:x>0.30827</cdr:x>
      <cdr:y>0.96727</cdr:y>
    </cdr:to>
    <cdr:sp macro="" textlink="">
      <cdr:nvSpPr>
        <cdr:cNvPr id="3" name="Rectangle 2"/>
        <cdr:cNvSpPr/>
      </cdr:nvSpPr>
      <cdr:spPr>
        <a:xfrm xmlns:a="http://schemas.openxmlformats.org/drawingml/2006/main">
          <a:off x="484372" y="2525822"/>
          <a:ext cx="925033" cy="12759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39.xml><?xml version="1.0" encoding="utf-8"?>
<c:userShapes xmlns:c="http://schemas.openxmlformats.org/drawingml/2006/chart">
  <cdr:relSizeAnchor xmlns:cdr="http://schemas.openxmlformats.org/drawingml/2006/chartDrawing">
    <cdr:from>
      <cdr:x>0.28837</cdr:x>
      <cdr:y>0.89932</cdr:y>
    </cdr:from>
    <cdr:to>
      <cdr:x>0.76977</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18437" y="2467015"/>
          <a:ext cx="2200940" cy="276185"/>
        </a:xfrm>
        <a:prstGeom xmlns:a="http://schemas.openxmlformats.org/drawingml/2006/main" prst="rect">
          <a:avLst/>
        </a:prstGeom>
      </cdr:spPr>
    </cdr:pic>
  </cdr:relSizeAnchor>
  <cdr:relSizeAnchor xmlns:cdr="http://schemas.openxmlformats.org/drawingml/2006/chartDrawing">
    <cdr:from>
      <cdr:x>0.09612</cdr:x>
      <cdr:y>0.91602</cdr:y>
    </cdr:from>
    <cdr:to>
      <cdr:x>0.29845</cdr:x>
      <cdr:y>0.96253</cdr:y>
    </cdr:to>
    <cdr:sp macro="" textlink="">
      <cdr:nvSpPr>
        <cdr:cNvPr id="3" name="Rectangle 2"/>
        <cdr:cNvSpPr/>
      </cdr:nvSpPr>
      <cdr:spPr>
        <a:xfrm xmlns:a="http://schemas.openxmlformats.org/drawingml/2006/main">
          <a:off x="439479" y="2512826"/>
          <a:ext cx="925033" cy="12759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4.xml><?xml version="1.0" encoding="utf-8"?>
<c:userShapes xmlns:c="http://schemas.openxmlformats.org/drawingml/2006/chart">
  <cdr:relSizeAnchor xmlns:cdr="http://schemas.openxmlformats.org/drawingml/2006/chartDrawing">
    <cdr:from>
      <cdr:x>0.1</cdr:x>
      <cdr:y>0.75347</cdr:y>
    </cdr:from>
    <cdr:to>
      <cdr:x>0.88542</cdr:x>
      <cdr:y>0.85415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7200" y="2066925"/>
          <a:ext cx="3590925" cy="276190"/>
        </a:xfrm>
        <a:prstGeom xmlns:a="http://schemas.openxmlformats.org/drawingml/2006/main" prst="rect">
          <a:avLst/>
        </a:prstGeom>
      </cdr:spPr>
    </cdr:pic>
  </cdr:relSizeAnchor>
</c:userShapes>
</file>

<file path=word/drawings/drawing40.xml><?xml version="1.0" encoding="utf-8"?>
<c:userShapes xmlns:c="http://schemas.openxmlformats.org/drawingml/2006/chart">
  <cdr:relSizeAnchor xmlns:cdr="http://schemas.openxmlformats.org/drawingml/2006/chartDrawing">
    <cdr:from>
      <cdr:x>0.32739</cdr:x>
      <cdr:y>0.89932</cdr:y>
    </cdr:from>
    <cdr:to>
      <cdr:x>0.85814</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96828" y="2467015"/>
          <a:ext cx="2426586" cy="276185"/>
        </a:xfrm>
        <a:prstGeom xmlns:a="http://schemas.openxmlformats.org/drawingml/2006/main" prst="rect">
          <a:avLst/>
        </a:prstGeom>
      </cdr:spPr>
    </cdr:pic>
  </cdr:relSizeAnchor>
  <cdr:relSizeAnchor xmlns:cdr="http://schemas.openxmlformats.org/drawingml/2006/chartDrawing">
    <cdr:from>
      <cdr:x>0.10956</cdr:x>
      <cdr:y>0.91516</cdr:y>
    </cdr:from>
    <cdr:to>
      <cdr:x>0.31189</cdr:x>
      <cdr:y>0.96167</cdr:y>
    </cdr:to>
    <cdr:sp macro="" textlink="">
      <cdr:nvSpPr>
        <cdr:cNvPr id="3" name="Rectangle 2"/>
        <cdr:cNvSpPr/>
      </cdr:nvSpPr>
      <cdr:spPr>
        <a:xfrm xmlns:a="http://schemas.openxmlformats.org/drawingml/2006/main">
          <a:off x="500912" y="2510463"/>
          <a:ext cx="925033" cy="12759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41.xml><?xml version="1.0" encoding="utf-8"?>
<c:userShapes xmlns:c="http://schemas.openxmlformats.org/drawingml/2006/chart">
  <cdr:relSizeAnchor xmlns:cdr="http://schemas.openxmlformats.org/drawingml/2006/chartDrawing">
    <cdr:from>
      <cdr:x>0.23618</cdr:x>
      <cdr:y>0.89932</cdr:y>
    </cdr:from>
    <cdr:to>
      <cdr:x>0.76692</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79795" y="2467015"/>
          <a:ext cx="2426586" cy="276185"/>
        </a:xfrm>
        <a:prstGeom xmlns:a="http://schemas.openxmlformats.org/drawingml/2006/main" prst="rect">
          <a:avLst/>
        </a:prstGeom>
      </cdr:spPr>
    </cdr:pic>
  </cdr:relSizeAnchor>
  <cdr:relSizeAnchor xmlns:cdr="http://schemas.openxmlformats.org/drawingml/2006/chartDrawing">
    <cdr:from>
      <cdr:x>0.07183</cdr:x>
      <cdr:y>0.92205</cdr:y>
    </cdr:from>
    <cdr:to>
      <cdr:x>0.23256</cdr:x>
      <cdr:y>0.95349</cdr:y>
    </cdr:to>
    <cdr:sp macro="" textlink="">
      <cdr:nvSpPr>
        <cdr:cNvPr id="3" name="Rectangle 2"/>
        <cdr:cNvSpPr/>
      </cdr:nvSpPr>
      <cdr:spPr>
        <a:xfrm xmlns:a="http://schemas.openxmlformats.org/drawingml/2006/main">
          <a:off x="328429" y="2529366"/>
          <a:ext cx="734828" cy="86244"/>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42.xml><?xml version="1.0" encoding="utf-8"?>
<c:userShapes xmlns:c="http://schemas.openxmlformats.org/drawingml/2006/chart">
  <cdr:relSizeAnchor xmlns:cdr="http://schemas.openxmlformats.org/drawingml/2006/chartDrawing">
    <cdr:from>
      <cdr:x>0.28372</cdr:x>
      <cdr:y>0.89932</cdr:y>
    </cdr:from>
    <cdr:to>
      <cdr:x>0.74884</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97171" y="2467015"/>
          <a:ext cx="2126513" cy="276185"/>
        </a:xfrm>
        <a:prstGeom xmlns:a="http://schemas.openxmlformats.org/drawingml/2006/main" prst="rect">
          <a:avLst/>
        </a:prstGeom>
      </cdr:spPr>
    </cdr:pic>
  </cdr:relSizeAnchor>
  <cdr:relSizeAnchor xmlns:cdr="http://schemas.openxmlformats.org/drawingml/2006/chartDrawing">
    <cdr:from>
      <cdr:x>0.10233</cdr:x>
      <cdr:y>0.92248</cdr:y>
    </cdr:from>
    <cdr:to>
      <cdr:x>0.26767</cdr:x>
      <cdr:y>0.96248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67832" y="2530548"/>
          <a:ext cx="755970" cy="109738"/>
        </a:xfrm>
        <a:prstGeom xmlns:a="http://schemas.openxmlformats.org/drawingml/2006/main" prst="rect">
          <a:avLst/>
        </a:prstGeom>
      </cdr:spPr>
    </cdr:pic>
  </cdr:relSizeAnchor>
</c:userShapes>
</file>

<file path=word/drawings/drawing43.xml><?xml version="1.0" encoding="utf-8"?>
<c:userShapes xmlns:c="http://schemas.openxmlformats.org/drawingml/2006/chart">
  <cdr:relSizeAnchor xmlns:cdr="http://schemas.openxmlformats.org/drawingml/2006/chartDrawing">
    <cdr:from>
      <cdr:x>0.27158</cdr:x>
      <cdr:y>0.89932</cdr:y>
    </cdr:from>
    <cdr:to>
      <cdr:x>0.73669</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41645" y="2467015"/>
          <a:ext cx="2126513" cy="276185"/>
        </a:xfrm>
        <a:prstGeom xmlns:a="http://schemas.openxmlformats.org/drawingml/2006/main" prst="rect">
          <a:avLst/>
        </a:prstGeom>
      </cdr:spPr>
    </cdr:pic>
  </cdr:relSizeAnchor>
  <cdr:relSizeAnchor xmlns:cdr="http://schemas.openxmlformats.org/drawingml/2006/chartDrawing">
    <cdr:from>
      <cdr:x>0.10413</cdr:x>
      <cdr:y>0.91774</cdr:y>
    </cdr:from>
    <cdr:to>
      <cdr:x>0.26948</cdr:x>
      <cdr:y>0.95775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76101" y="2517553"/>
          <a:ext cx="755970" cy="109738"/>
        </a:xfrm>
        <a:prstGeom xmlns:a="http://schemas.openxmlformats.org/drawingml/2006/main" prst="rect">
          <a:avLst/>
        </a:prstGeom>
      </cdr:spPr>
    </cdr:pic>
  </cdr:relSizeAnchor>
</c:userShapes>
</file>

<file path=word/drawings/drawing44.xml><?xml version="1.0" encoding="utf-8"?>
<c:userShapes xmlns:c="http://schemas.openxmlformats.org/drawingml/2006/chart">
  <cdr:relSizeAnchor xmlns:cdr="http://schemas.openxmlformats.org/drawingml/2006/chartDrawing">
    <cdr:from>
      <cdr:x>0.31757</cdr:x>
      <cdr:y>0.89932</cdr:y>
    </cdr:from>
    <cdr:to>
      <cdr:x>0.78269</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51934" y="2467015"/>
          <a:ext cx="2126513" cy="276185"/>
        </a:xfrm>
        <a:prstGeom xmlns:a="http://schemas.openxmlformats.org/drawingml/2006/main" prst="rect">
          <a:avLst/>
        </a:prstGeom>
      </cdr:spPr>
    </cdr:pic>
  </cdr:relSizeAnchor>
  <cdr:relSizeAnchor xmlns:cdr="http://schemas.openxmlformats.org/drawingml/2006/chartDrawing">
    <cdr:from>
      <cdr:x>0.1292</cdr:x>
      <cdr:y>0.91301</cdr:y>
    </cdr:from>
    <cdr:to>
      <cdr:x>0.29455</cdr:x>
      <cdr:y>0.95736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590697" y="2504556"/>
          <a:ext cx="755970" cy="121685"/>
        </a:xfrm>
        <a:prstGeom xmlns:a="http://schemas.openxmlformats.org/drawingml/2006/main" prst="rect">
          <a:avLst/>
        </a:prstGeom>
      </cdr:spPr>
    </cdr:pic>
  </cdr:relSizeAnchor>
</c:userShapes>
</file>

<file path=word/drawings/drawing45.xml><?xml version="1.0" encoding="utf-8"?>
<c:userShapes xmlns:c="http://schemas.openxmlformats.org/drawingml/2006/chart">
  <cdr:relSizeAnchor xmlns:cdr="http://schemas.openxmlformats.org/drawingml/2006/chartDrawing">
    <cdr:from>
      <cdr:x>0.26357</cdr:x>
      <cdr:y>0.89932</cdr:y>
    </cdr:from>
    <cdr:to>
      <cdr:x>0.69767</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05023" y="2467015"/>
          <a:ext cx="1984745" cy="276185"/>
        </a:xfrm>
        <a:prstGeom xmlns:a="http://schemas.openxmlformats.org/drawingml/2006/main" prst="rect">
          <a:avLst/>
        </a:prstGeom>
      </cdr:spPr>
    </cdr:pic>
  </cdr:relSizeAnchor>
  <cdr:relSizeAnchor xmlns:cdr="http://schemas.openxmlformats.org/drawingml/2006/chartDrawing">
    <cdr:from>
      <cdr:x>0.0845</cdr:x>
      <cdr:y>0.92765</cdr:y>
    </cdr:from>
    <cdr:to>
      <cdr:x>0.24984</cdr:x>
      <cdr:y>0.97201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86316" y="2544723"/>
          <a:ext cx="755970" cy="121685"/>
        </a:xfrm>
        <a:prstGeom xmlns:a="http://schemas.openxmlformats.org/drawingml/2006/main" prst="rect">
          <a:avLst/>
        </a:prstGeom>
      </cdr:spPr>
    </cdr:pic>
  </cdr:relSizeAnchor>
</c:userShapes>
</file>

<file path=word/drawings/drawing46.xml><?xml version="1.0" encoding="utf-8"?>
<c:userShapes xmlns:c="http://schemas.openxmlformats.org/drawingml/2006/chart">
  <cdr:relSizeAnchor xmlns:cdr="http://schemas.openxmlformats.org/drawingml/2006/chartDrawing">
    <cdr:from>
      <cdr:x>0.27349</cdr:x>
      <cdr:y>0.89897</cdr:y>
    </cdr:from>
    <cdr:to>
      <cdr:x>0.73957</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50392" y="2466055"/>
          <a:ext cx="2130918" cy="277145"/>
        </a:xfrm>
        <a:prstGeom xmlns:a="http://schemas.openxmlformats.org/drawingml/2006/main" prst="rect">
          <a:avLst/>
        </a:prstGeom>
      </cdr:spPr>
    </cdr:pic>
  </cdr:relSizeAnchor>
  <cdr:relSizeAnchor xmlns:cdr="http://schemas.openxmlformats.org/drawingml/2006/chartDrawing">
    <cdr:from>
      <cdr:x>0.07706</cdr:x>
      <cdr:y>0.90745</cdr:y>
    </cdr:from>
    <cdr:to>
      <cdr:x>0.27981</cdr:x>
      <cdr:y>0.95412</cdr:y>
    </cdr:to>
    <cdr:sp macro="" textlink="">
      <cdr:nvSpPr>
        <cdr:cNvPr id="3" name="Rectangle 2"/>
        <cdr:cNvSpPr/>
      </cdr:nvSpPr>
      <cdr:spPr>
        <a:xfrm xmlns:a="http://schemas.openxmlformats.org/drawingml/2006/main">
          <a:off x="352334" y="2489314"/>
          <a:ext cx="926980" cy="12802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sp>
  </cdr:relSizeAnchor>
</c:userShapes>
</file>

<file path=word/drawings/drawing5.xml><?xml version="1.0" encoding="utf-8"?>
<c:userShapes xmlns:c="http://schemas.openxmlformats.org/drawingml/2006/chart">
  <cdr:relSizeAnchor xmlns:cdr="http://schemas.openxmlformats.org/drawingml/2006/chartDrawing">
    <cdr:from>
      <cdr:x>0.175</cdr:x>
      <cdr:y>0.89932</cdr:y>
    </cdr:from>
    <cdr:to>
      <cdr:x>0.80208</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00100" y="2467010"/>
          <a:ext cx="2867025" cy="276190"/>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0.11458</cdr:x>
      <cdr:y>0.86458</cdr:y>
    </cdr:from>
    <cdr:to>
      <cdr:x>0.86875</cdr:x>
      <cdr:y>0.96527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23875" y="2371725"/>
          <a:ext cx="3448050" cy="276190"/>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0.08125</cdr:x>
      <cdr:y>0.87153</cdr:y>
    </cdr:from>
    <cdr:to>
      <cdr:x>0.8125</cdr:x>
      <cdr:y>0.97221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71475" y="2390775"/>
          <a:ext cx="3343275" cy="27619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0.08073</cdr:x>
      <cdr:y>0.89932</cdr:y>
    </cdr:from>
    <cdr:to>
      <cdr:x>0.81198</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9112" y="2467015"/>
          <a:ext cx="3343275" cy="276185"/>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0.1125</cdr:x>
      <cdr:y>0.875</cdr:y>
    </cdr:from>
    <cdr:to>
      <cdr:x>0.76042</cdr:x>
      <cdr:y>0.97568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14350" y="2400300"/>
          <a:ext cx="2962275" cy="27619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A43F-02FA-4CFD-8830-FC9E1458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8220</Words>
  <Characters>46860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Arafat</dc:creator>
  <cp:lastModifiedBy>Mosabbir Uddin Ahmad</cp:lastModifiedBy>
  <cp:revision>2</cp:revision>
  <dcterms:created xsi:type="dcterms:W3CDTF">2019-02-02T06:46:00Z</dcterms:created>
  <dcterms:modified xsi:type="dcterms:W3CDTF">2019-02-02T06:46:00Z</dcterms:modified>
</cp:coreProperties>
</file>