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8D7FC" w14:textId="77777777" w:rsidR="00270EFB" w:rsidRDefault="00270EFB" w:rsidP="00270EFB">
      <w:r>
        <w:rPr>
          <w:noProof/>
        </w:rPr>
        <w:drawing>
          <wp:anchor distT="0" distB="0" distL="114300" distR="114300" simplePos="0" relativeHeight="251659264" behindDoc="0" locked="0" layoutInCell="1" allowOverlap="1" wp14:anchorId="133187A1" wp14:editId="6E2CE734">
            <wp:simplePos x="0" y="0"/>
            <wp:positionH relativeFrom="margin">
              <wp:posOffset>971550</wp:posOffset>
            </wp:positionH>
            <wp:positionV relativeFrom="paragraph">
              <wp:posOffset>1295400</wp:posOffset>
            </wp:positionV>
            <wp:extent cx="3943350" cy="279978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3943350" cy="2799780"/>
                    </a:xfrm>
                    <a:prstGeom prst="rect">
                      <a:avLst/>
                    </a:prstGeom>
                  </pic:spPr>
                </pic:pic>
              </a:graphicData>
            </a:graphic>
            <wp14:sizeRelH relativeFrom="page">
              <wp14:pctWidth>0</wp14:pctWidth>
            </wp14:sizeRelH>
            <wp14:sizeRelV relativeFrom="page">
              <wp14:pctHeight>0</wp14:pctHeight>
            </wp14:sizeRelV>
          </wp:anchor>
        </w:drawing>
      </w:r>
    </w:p>
    <w:p w14:paraId="28D2D78F" w14:textId="77777777" w:rsidR="00270EFB" w:rsidRPr="007B722E" w:rsidRDefault="00270EFB" w:rsidP="00270EFB"/>
    <w:p w14:paraId="3BA449EA" w14:textId="77777777" w:rsidR="00270EFB" w:rsidRPr="007B722E" w:rsidRDefault="00270EFB" w:rsidP="00270EFB"/>
    <w:p w14:paraId="28B45BFE" w14:textId="77777777" w:rsidR="00270EFB" w:rsidRPr="007B722E" w:rsidRDefault="00270EFB" w:rsidP="00270EFB"/>
    <w:p w14:paraId="2A39EBC7" w14:textId="77777777" w:rsidR="00270EFB" w:rsidRPr="007B722E" w:rsidRDefault="00270EFB" w:rsidP="00270EFB"/>
    <w:p w14:paraId="0B16F63B" w14:textId="77777777" w:rsidR="00270EFB" w:rsidRPr="007B722E" w:rsidRDefault="00270EFB" w:rsidP="00270EFB"/>
    <w:p w14:paraId="0AF0ED1C" w14:textId="77777777" w:rsidR="00270EFB" w:rsidRPr="007B722E" w:rsidRDefault="00270EFB" w:rsidP="00270EFB"/>
    <w:p w14:paraId="57C4FD13" w14:textId="77777777" w:rsidR="00270EFB" w:rsidRPr="007B722E" w:rsidRDefault="00270EFB" w:rsidP="00270EFB"/>
    <w:p w14:paraId="3B2D9AB1" w14:textId="77777777" w:rsidR="00270EFB" w:rsidRPr="007B722E" w:rsidRDefault="00270EFB" w:rsidP="00270EFB"/>
    <w:p w14:paraId="5F945B81" w14:textId="77777777" w:rsidR="00270EFB" w:rsidRPr="007B722E" w:rsidRDefault="00270EFB" w:rsidP="00270EFB"/>
    <w:p w14:paraId="59875095" w14:textId="77777777" w:rsidR="00270EFB" w:rsidRPr="007B722E" w:rsidRDefault="00270EFB" w:rsidP="00270EFB"/>
    <w:p w14:paraId="372B5379" w14:textId="77777777" w:rsidR="00270EFB" w:rsidRPr="007B722E" w:rsidRDefault="00270EFB" w:rsidP="00270EFB"/>
    <w:p w14:paraId="142E1FA7" w14:textId="77777777" w:rsidR="00270EFB" w:rsidRPr="007B722E" w:rsidRDefault="00270EFB" w:rsidP="00270EFB"/>
    <w:p w14:paraId="48810336" w14:textId="77777777" w:rsidR="00270EFB" w:rsidRPr="007B722E" w:rsidRDefault="00270EFB" w:rsidP="00270EFB"/>
    <w:p w14:paraId="18651BA4" w14:textId="77777777" w:rsidR="00270EFB" w:rsidRPr="007B722E" w:rsidRDefault="00270EFB" w:rsidP="00270EFB"/>
    <w:p w14:paraId="79E22111" w14:textId="77777777" w:rsidR="00270EFB" w:rsidRDefault="00270EFB" w:rsidP="00270EFB"/>
    <w:p w14:paraId="731B75BE" w14:textId="77777777" w:rsidR="00270EFB" w:rsidRPr="00BE4E92" w:rsidRDefault="00270EFB" w:rsidP="00270EFB">
      <w:pPr>
        <w:jc w:val="center"/>
        <w:rPr>
          <w:rFonts w:ascii="Times New Roman" w:hAnsi="Times New Roman" w:cs="Times New Roman"/>
          <w:color w:val="000000" w:themeColor="text1"/>
          <w:sz w:val="56"/>
          <w:szCs w:val="56"/>
        </w:rPr>
      </w:pPr>
      <w:r w:rsidRPr="00BE4E92">
        <w:rPr>
          <w:rFonts w:ascii="Times New Roman" w:hAnsi="Times New Roman" w:cs="Times New Roman"/>
          <w:color w:val="000000" w:themeColor="text1"/>
          <w:sz w:val="56"/>
          <w:szCs w:val="56"/>
        </w:rPr>
        <w:t>“Financial Performance Analysis</w:t>
      </w:r>
    </w:p>
    <w:p w14:paraId="7F8101DD" w14:textId="77777777" w:rsidR="00270EFB" w:rsidRPr="00BE4E92" w:rsidRDefault="00270EFB" w:rsidP="00270EFB">
      <w:pPr>
        <w:jc w:val="center"/>
        <w:rPr>
          <w:rFonts w:ascii="Times New Roman" w:hAnsi="Times New Roman" w:cs="Times New Roman"/>
          <w:color w:val="000000" w:themeColor="text1"/>
          <w:sz w:val="56"/>
          <w:szCs w:val="56"/>
        </w:rPr>
      </w:pPr>
      <w:r w:rsidRPr="00BE4E92">
        <w:rPr>
          <w:rFonts w:ascii="Times New Roman" w:hAnsi="Times New Roman" w:cs="Times New Roman"/>
          <w:color w:val="000000" w:themeColor="text1"/>
          <w:sz w:val="56"/>
          <w:szCs w:val="56"/>
        </w:rPr>
        <w:t xml:space="preserve">of </w:t>
      </w:r>
      <w:r>
        <w:rPr>
          <w:rFonts w:ascii="Times New Roman" w:hAnsi="Times New Roman" w:cs="Times New Roman"/>
          <w:color w:val="000000" w:themeColor="text1"/>
          <w:sz w:val="56"/>
          <w:szCs w:val="56"/>
        </w:rPr>
        <w:t>T</w:t>
      </w:r>
      <w:r w:rsidRPr="00BE4E92">
        <w:rPr>
          <w:rFonts w:ascii="Times New Roman" w:hAnsi="Times New Roman" w:cs="Times New Roman"/>
          <w:color w:val="000000" w:themeColor="text1"/>
          <w:sz w:val="56"/>
          <w:szCs w:val="56"/>
        </w:rPr>
        <w:t>he City Bank Limited”</w:t>
      </w:r>
    </w:p>
    <w:p w14:paraId="584C69EB" w14:textId="77777777" w:rsidR="005F4AF4" w:rsidRDefault="005F4AF4"/>
    <w:p w14:paraId="2F768362" w14:textId="77777777" w:rsidR="00270EFB" w:rsidRDefault="00270EFB"/>
    <w:p w14:paraId="07A8FE36" w14:textId="77777777" w:rsidR="00270EFB" w:rsidRDefault="00270EFB"/>
    <w:p w14:paraId="53BE7751" w14:textId="77777777" w:rsidR="00270EFB" w:rsidRDefault="00270EFB"/>
    <w:p w14:paraId="5224C318" w14:textId="77777777" w:rsidR="00270EFB" w:rsidRDefault="00270EFB"/>
    <w:p w14:paraId="049BD96E" w14:textId="77777777" w:rsidR="00270EFB" w:rsidRDefault="00270EFB"/>
    <w:p w14:paraId="5EE5071E" w14:textId="77777777" w:rsidR="00270EFB" w:rsidRDefault="00270EFB"/>
    <w:p w14:paraId="545B5D24" w14:textId="77777777" w:rsidR="00270EFB" w:rsidRDefault="00270EFB"/>
    <w:p w14:paraId="7E81EE49" w14:textId="77777777" w:rsidR="00270EFB" w:rsidRDefault="00270EFB"/>
    <w:p w14:paraId="7DCE6803" w14:textId="77777777" w:rsidR="008D2BA6" w:rsidRPr="00A863A4" w:rsidRDefault="008D2BA6" w:rsidP="008D2BA6">
      <w:pPr>
        <w:rPr>
          <w:b/>
          <w:color w:val="00B050"/>
          <w:sz w:val="36"/>
          <w:szCs w:val="36"/>
        </w:rPr>
      </w:pPr>
      <w:r w:rsidRPr="00A863A4">
        <w:rPr>
          <w:noProof/>
          <w:color w:val="00B050"/>
          <w:sz w:val="36"/>
          <w:szCs w:val="36"/>
        </w:rPr>
        <w:lastRenderedPageBreak/>
        <w:drawing>
          <wp:anchor distT="0" distB="0" distL="114300" distR="114300" simplePos="0" relativeHeight="251661312" behindDoc="0" locked="0" layoutInCell="1" allowOverlap="1" wp14:anchorId="39B34EF8" wp14:editId="2EE94B2C">
            <wp:simplePos x="0" y="0"/>
            <wp:positionH relativeFrom="margin">
              <wp:align>center</wp:align>
            </wp:positionH>
            <wp:positionV relativeFrom="paragraph">
              <wp:posOffset>0</wp:posOffset>
            </wp:positionV>
            <wp:extent cx="2172335" cy="2057400"/>
            <wp:effectExtent l="0" t="0" r="0" b="0"/>
            <wp:wrapTopAndBottom/>
            <wp:docPr id="1120121184" name="Picture 1120121184"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UIU-Logo-250.png"/>
                    <pic:cNvPicPr>
                      <a:picLocks noChangeAspect="1"/>
                    </pic:cNvPicPr>
                  </pic:nvPicPr>
                  <pic:blipFill>
                    <a:blip r:embed="rId10"/>
                    <a:stretch>
                      <a:fillRect/>
                    </a:stretch>
                  </pic:blipFill>
                  <pic:spPr>
                    <a:xfrm>
                      <a:off x="0" y="0"/>
                      <a:ext cx="2172335" cy="2057400"/>
                    </a:xfrm>
                    <a:prstGeom prst="rect">
                      <a:avLst/>
                    </a:prstGeom>
                  </pic:spPr>
                </pic:pic>
              </a:graphicData>
            </a:graphic>
            <wp14:sizeRelH relativeFrom="margin">
              <wp14:pctWidth>0</wp14:pctWidth>
            </wp14:sizeRelH>
            <wp14:sizeRelV relativeFrom="margin">
              <wp14:pctHeight>0</wp14:pctHeight>
            </wp14:sizeRelV>
          </wp:anchor>
        </w:drawing>
      </w:r>
    </w:p>
    <w:p w14:paraId="72792E54" w14:textId="77777777" w:rsidR="008D2BA6" w:rsidRPr="00D610DC" w:rsidRDefault="008D2BA6" w:rsidP="008D2BA6">
      <w:pPr>
        <w:jc w:val="center"/>
        <w:rPr>
          <w:rFonts w:cstheme="minorHAnsi"/>
          <w:b/>
          <w:color w:val="002060"/>
          <w:sz w:val="40"/>
          <w:szCs w:val="40"/>
        </w:rPr>
      </w:pPr>
      <w:r w:rsidRPr="00D610DC">
        <w:rPr>
          <w:rFonts w:cstheme="minorHAnsi"/>
          <w:b/>
          <w:color w:val="002060"/>
          <w:sz w:val="40"/>
          <w:szCs w:val="40"/>
        </w:rPr>
        <w:t>Internship Report On</w:t>
      </w:r>
    </w:p>
    <w:p w14:paraId="2DF33471" w14:textId="77777777" w:rsidR="008D2BA6" w:rsidRPr="00D610DC" w:rsidRDefault="008D2BA6" w:rsidP="008D2BA6">
      <w:pPr>
        <w:jc w:val="center"/>
        <w:rPr>
          <w:rFonts w:cstheme="minorHAnsi"/>
          <w:b/>
          <w:color w:val="000000" w:themeColor="text1"/>
          <w:sz w:val="40"/>
          <w:szCs w:val="40"/>
        </w:rPr>
      </w:pPr>
      <w:r w:rsidRPr="00D610DC">
        <w:rPr>
          <w:rFonts w:cstheme="minorHAnsi"/>
          <w:b/>
          <w:color w:val="000000" w:themeColor="text1"/>
          <w:sz w:val="40"/>
          <w:szCs w:val="40"/>
        </w:rPr>
        <w:t>“Financial Performance Analysis</w:t>
      </w:r>
    </w:p>
    <w:p w14:paraId="662FAA7D" w14:textId="77777777" w:rsidR="008D2BA6" w:rsidRPr="00D610DC" w:rsidRDefault="008D2BA6" w:rsidP="008D2BA6">
      <w:pPr>
        <w:jc w:val="center"/>
        <w:rPr>
          <w:rFonts w:cstheme="minorHAnsi"/>
          <w:b/>
          <w:color w:val="000000" w:themeColor="text1"/>
          <w:sz w:val="40"/>
          <w:szCs w:val="40"/>
          <w:vertAlign w:val="superscript"/>
        </w:rPr>
      </w:pPr>
      <w:r w:rsidRPr="00D610DC">
        <w:rPr>
          <w:rFonts w:cstheme="minorHAnsi"/>
          <w:b/>
          <w:color w:val="000000" w:themeColor="text1"/>
          <w:sz w:val="40"/>
          <w:szCs w:val="40"/>
        </w:rPr>
        <w:t xml:space="preserve"> of </w:t>
      </w:r>
      <w:r>
        <w:rPr>
          <w:rFonts w:cstheme="minorHAnsi"/>
          <w:b/>
          <w:color w:val="000000" w:themeColor="text1"/>
          <w:sz w:val="40"/>
          <w:szCs w:val="40"/>
        </w:rPr>
        <w:t>T</w:t>
      </w:r>
      <w:r w:rsidRPr="00D610DC">
        <w:rPr>
          <w:rFonts w:cstheme="minorHAnsi"/>
          <w:b/>
          <w:color w:val="000000" w:themeColor="text1"/>
          <w:sz w:val="40"/>
          <w:szCs w:val="40"/>
        </w:rPr>
        <w:t>he City Bank Limited”</w:t>
      </w:r>
    </w:p>
    <w:p w14:paraId="4DAC7CA3" w14:textId="77777777" w:rsidR="008D2BA6" w:rsidRDefault="008D2BA6" w:rsidP="008D2BA6">
      <w:pPr>
        <w:jc w:val="center"/>
        <w:rPr>
          <w:rFonts w:ascii="Times New Roman" w:hAnsi="Times New Roman" w:cs="Times New Roman"/>
          <w:b/>
          <w:color w:val="000000" w:themeColor="text1"/>
          <w:sz w:val="36"/>
          <w:szCs w:val="36"/>
        </w:rPr>
      </w:pPr>
    </w:p>
    <w:p w14:paraId="6D366363" w14:textId="77777777" w:rsidR="008D2BA6" w:rsidRPr="00D610DC" w:rsidRDefault="008D2BA6" w:rsidP="008D2BA6">
      <w:pPr>
        <w:jc w:val="center"/>
        <w:rPr>
          <w:rFonts w:cstheme="minorHAnsi"/>
          <w:b/>
          <w:color w:val="000000" w:themeColor="text1"/>
          <w:sz w:val="36"/>
          <w:szCs w:val="36"/>
        </w:rPr>
      </w:pPr>
      <w:r w:rsidRPr="00D610DC">
        <w:rPr>
          <w:rFonts w:cstheme="minorHAnsi"/>
          <w:b/>
          <w:color w:val="000000" w:themeColor="text1"/>
          <w:sz w:val="36"/>
          <w:szCs w:val="36"/>
        </w:rPr>
        <w:t>Submitted To:</w:t>
      </w:r>
    </w:p>
    <w:p w14:paraId="5A8FB590" w14:textId="77777777" w:rsidR="008D2BA6" w:rsidRPr="00D610DC" w:rsidRDefault="008D2BA6" w:rsidP="008D2BA6">
      <w:pPr>
        <w:jc w:val="center"/>
        <w:rPr>
          <w:rFonts w:cstheme="minorHAnsi"/>
          <w:b/>
          <w:color w:val="000000" w:themeColor="text1"/>
          <w:sz w:val="36"/>
          <w:szCs w:val="36"/>
        </w:rPr>
      </w:pPr>
      <w:r w:rsidRPr="00D610DC">
        <w:rPr>
          <w:rFonts w:cstheme="minorHAnsi"/>
          <w:b/>
          <w:color w:val="000000" w:themeColor="text1"/>
          <w:sz w:val="36"/>
          <w:szCs w:val="36"/>
        </w:rPr>
        <w:t xml:space="preserve">Mr. </w:t>
      </w:r>
      <w:proofErr w:type="spellStart"/>
      <w:r w:rsidRPr="00D610DC">
        <w:rPr>
          <w:rFonts w:cstheme="minorHAnsi"/>
          <w:b/>
          <w:color w:val="000000" w:themeColor="text1"/>
          <w:sz w:val="36"/>
          <w:szCs w:val="36"/>
        </w:rPr>
        <w:t>Mossabir</w:t>
      </w:r>
      <w:proofErr w:type="spellEnd"/>
      <w:r w:rsidRPr="00D610DC">
        <w:rPr>
          <w:rFonts w:cstheme="minorHAnsi"/>
          <w:b/>
          <w:color w:val="000000" w:themeColor="text1"/>
          <w:sz w:val="36"/>
          <w:szCs w:val="36"/>
        </w:rPr>
        <w:t xml:space="preserve"> </w:t>
      </w:r>
      <w:proofErr w:type="spellStart"/>
      <w:r w:rsidRPr="00D610DC">
        <w:rPr>
          <w:rFonts w:cstheme="minorHAnsi"/>
          <w:b/>
          <w:color w:val="000000" w:themeColor="text1"/>
          <w:sz w:val="36"/>
          <w:szCs w:val="36"/>
        </w:rPr>
        <w:t>Uddin</w:t>
      </w:r>
      <w:proofErr w:type="spellEnd"/>
      <w:r w:rsidRPr="00D610DC">
        <w:rPr>
          <w:rFonts w:cstheme="minorHAnsi"/>
          <w:b/>
          <w:color w:val="000000" w:themeColor="text1"/>
          <w:sz w:val="36"/>
          <w:szCs w:val="36"/>
        </w:rPr>
        <w:t xml:space="preserve"> Ahmad</w:t>
      </w:r>
    </w:p>
    <w:p w14:paraId="56354508" w14:textId="77777777" w:rsidR="008D2BA6" w:rsidRPr="00A76298" w:rsidRDefault="008D2BA6" w:rsidP="008D2BA6">
      <w:pPr>
        <w:jc w:val="center"/>
        <w:rPr>
          <w:rFonts w:cstheme="minorHAnsi"/>
          <w:b/>
          <w:color w:val="000000" w:themeColor="text1"/>
          <w:sz w:val="32"/>
          <w:szCs w:val="32"/>
        </w:rPr>
      </w:pPr>
      <w:r w:rsidRPr="00A76298">
        <w:rPr>
          <w:rFonts w:cstheme="minorHAnsi"/>
          <w:b/>
          <w:color w:val="000000" w:themeColor="text1"/>
          <w:sz w:val="32"/>
          <w:szCs w:val="32"/>
        </w:rPr>
        <w:t>Assistant Professor, SOBE</w:t>
      </w:r>
    </w:p>
    <w:p w14:paraId="54A61713" w14:textId="77777777" w:rsidR="008D2BA6" w:rsidRPr="00A76298" w:rsidRDefault="008D2BA6" w:rsidP="008D2BA6">
      <w:pPr>
        <w:jc w:val="center"/>
        <w:rPr>
          <w:rFonts w:cstheme="minorHAnsi"/>
          <w:b/>
          <w:color w:val="000000" w:themeColor="text1"/>
          <w:sz w:val="32"/>
          <w:szCs w:val="32"/>
        </w:rPr>
      </w:pPr>
      <w:r w:rsidRPr="00A76298">
        <w:rPr>
          <w:rFonts w:cstheme="minorHAnsi"/>
          <w:b/>
          <w:color w:val="000000" w:themeColor="text1"/>
          <w:sz w:val="32"/>
          <w:szCs w:val="32"/>
        </w:rPr>
        <w:t>United International University</w:t>
      </w:r>
    </w:p>
    <w:p w14:paraId="02D02593" w14:textId="4EEFCC64" w:rsidR="008D2BA6" w:rsidRPr="00A76298" w:rsidRDefault="008D2BA6" w:rsidP="008D2BA6">
      <w:pPr>
        <w:jc w:val="center"/>
        <w:rPr>
          <w:rFonts w:cstheme="minorHAnsi"/>
          <w:b/>
          <w:color w:val="7030A0"/>
          <w:sz w:val="32"/>
          <w:szCs w:val="32"/>
        </w:rPr>
      </w:pPr>
      <w:r w:rsidRPr="00A76298">
        <w:rPr>
          <w:rFonts w:cstheme="minorHAnsi"/>
          <w:b/>
          <w:color w:val="7030A0"/>
          <w:sz w:val="32"/>
          <w:szCs w:val="32"/>
        </w:rPr>
        <w:t xml:space="preserve">Submission Date: </w:t>
      </w:r>
      <w:r w:rsidR="002F4FE1">
        <w:rPr>
          <w:rFonts w:cstheme="minorHAnsi"/>
          <w:b/>
          <w:color w:val="7030A0"/>
          <w:sz w:val="32"/>
          <w:szCs w:val="32"/>
        </w:rPr>
        <w:t>28</w:t>
      </w:r>
      <w:r w:rsidRPr="00A76298">
        <w:rPr>
          <w:rFonts w:cstheme="minorHAnsi"/>
          <w:b/>
          <w:color w:val="7030A0"/>
          <w:sz w:val="32"/>
          <w:szCs w:val="32"/>
        </w:rPr>
        <w:t>.</w:t>
      </w:r>
      <w:r w:rsidR="002F4FE1">
        <w:rPr>
          <w:rFonts w:cstheme="minorHAnsi"/>
          <w:b/>
          <w:color w:val="7030A0"/>
          <w:sz w:val="32"/>
          <w:szCs w:val="32"/>
        </w:rPr>
        <w:t>0</w:t>
      </w:r>
      <w:r>
        <w:rPr>
          <w:rFonts w:cstheme="minorHAnsi"/>
          <w:b/>
          <w:color w:val="7030A0"/>
          <w:sz w:val="32"/>
          <w:szCs w:val="32"/>
        </w:rPr>
        <w:t>5</w:t>
      </w:r>
      <w:r w:rsidRPr="00A76298">
        <w:rPr>
          <w:rFonts w:cstheme="minorHAnsi"/>
          <w:b/>
          <w:color w:val="7030A0"/>
          <w:sz w:val="32"/>
          <w:szCs w:val="32"/>
        </w:rPr>
        <w:t>.2023</w:t>
      </w:r>
    </w:p>
    <w:p w14:paraId="063E1A93" w14:textId="77777777" w:rsidR="008D2BA6" w:rsidRPr="00A76298" w:rsidRDefault="008D2BA6" w:rsidP="008D2BA6">
      <w:pPr>
        <w:jc w:val="center"/>
        <w:rPr>
          <w:rFonts w:cstheme="minorHAnsi"/>
          <w:b/>
          <w:color w:val="000000" w:themeColor="text1"/>
          <w:sz w:val="36"/>
          <w:szCs w:val="36"/>
        </w:rPr>
      </w:pPr>
      <w:r w:rsidRPr="00A76298">
        <w:rPr>
          <w:rFonts w:cstheme="minorHAnsi"/>
          <w:b/>
          <w:color w:val="000000" w:themeColor="text1"/>
          <w:sz w:val="36"/>
          <w:szCs w:val="36"/>
        </w:rPr>
        <w:t xml:space="preserve">Submitted </w:t>
      </w:r>
      <w:r>
        <w:rPr>
          <w:rFonts w:cstheme="minorHAnsi"/>
          <w:b/>
          <w:color w:val="000000" w:themeColor="text1"/>
          <w:sz w:val="36"/>
          <w:szCs w:val="36"/>
        </w:rPr>
        <w:t>B</w:t>
      </w:r>
      <w:r w:rsidRPr="00A76298">
        <w:rPr>
          <w:rFonts w:cstheme="minorHAnsi"/>
          <w:b/>
          <w:color w:val="000000" w:themeColor="text1"/>
          <w:sz w:val="36"/>
          <w:szCs w:val="36"/>
        </w:rPr>
        <w:t>y:</w:t>
      </w:r>
    </w:p>
    <w:tbl>
      <w:tblPr>
        <w:tblStyle w:val="GridTable4"/>
        <w:tblW w:w="0" w:type="auto"/>
        <w:tblLook w:val="04A0" w:firstRow="1" w:lastRow="0" w:firstColumn="1" w:lastColumn="0" w:noHBand="0" w:noVBand="1"/>
      </w:tblPr>
      <w:tblGrid>
        <w:gridCol w:w="4675"/>
        <w:gridCol w:w="4675"/>
      </w:tblGrid>
      <w:tr w:rsidR="008D2BA6" w:rsidRPr="00D610DC" w14:paraId="47B49C7A" w14:textId="77777777" w:rsidTr="0036570C">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4675" w:type="dxa"/>
          </w:tcPr>
          <w:p w14:paraId="178E264A" w14:textId="77777777" w:rsidR="008D2BA6" w:rsidRPr="00D610DC" w:rsidRDefault="008D2BA6" w:rsidP="0036570C">
            <w:pPr>
              <w:jc w:val="center"/>
              <w:rPr>
                <w:rFonts w:cstheme="minorHAnsi"/>
                <w:sz w:val="32"/>
                <w:szCs w:val="32"/>
              </w:rPr>
            </w:pPr>
            <w:r w:rsidRPr="00D610DC">
              <w:rPr>
                <w:rFonts w:cstheme="minorHAnsi"/>
                <w:sz w:val="32"/>
                <w:szCs w:val="32"/>
              </w:rPr>
              <w:t>Name</w:t>
            </w:r>
          </w:p>
        </w:tc>
        <w:tc>
          <w:tcPr>
            <w:tcW w:w="4675" w:type="dxa"/>
          </w:tcPr>
          <w:p w14:paraId="435FA7C9" w14:textId="77777777" w:rsidR="008D2BA6" w:rsidRPr="00D610DC" w:rsidRDefault="008D2BA6" w:rsidP="0036570C">
            <w:pPr>
              <w:jc w:val="center"/>
              <w:cnfStyle w:val="100000000000" w:firstRow="1" w:lastRow="0" w:firstColumn="0" w:lastColumn="0" w:oddVBand="0" w:evenVBand="0" w:oddHBand="0" w:evenHBand="0" w:firstRowFirstColumn="0" w:firstRowLastColumn="0" w:lastRowFirstColumn="0" w:lastRowLastColumn="0"/>
              <w:rPr>
                <w:rFonts w:cstheme="minorHAnsi"/>
                <w:sz w:val="32"/>
                <w:szCs w:val="32"/>
              </w:rPr>
            </w:pPr>
            <w:r w:rsidRPr="00D610DC">
              <w:rPr>
                <w:rFonts w:cstheme="minorHAnsi"/>
                <w:sz w:val="32"/>
                <w:szCs w:val="32"/>
              </w:rPr>
              <w:t>ID</w:t>
            </w:r>
          </w:p>
        </w:tc>
      </w:tr>
      <w:tr w:rsidR="008D2BA6" w:rsidRPr="00D610DC" w14:paraId="6D52A7F1" w14:textId="77777777" w:rsidTr="003657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6E3DD5E" w14:textId="77777777" w:rsidR="008D2BA6" w:rsidRPr="00D610DC" w:rsidRDefault="008D2BA6" w:rsidP="0036570C">
            <w:pPr>
              <w:jc w:val="center"/>
              <w:rPr>
                <w:rFonts w:cstheme="minorHAnsi"/>
                <w:sz w:val="32"/>
                <w:szCs w:val="32"/>
              </w:rPr>
            </w:pPr>
            <w:proofErr w:type="spellStart"/>
            <w:r w:rsidRPr="00D610DC">
              <w:rPr>
                <w:rFonts w:cstheme="minorHAnsi"/>
                <w:sz w:val="32"/>
                <w:szCs w:val="32"/>
              </w:rPr>
              <w:t>Towhidul</w:t>
            </w:r>
            <w:proofErr w:type="spellEnd"/>
            <w:r w:rsidRPr="00D610DC">
              <w:rPr>
                <w:rFonts w:cstheme="minorHAnsi"/>
                <w:sz w:val="32"/>
                <w:szCs w:val="32"/>
              </w:rPr>
              <w:t xml:space="preserve"> Islam </w:t>
            </w:r>
            <w:proofErr w:type="spellStart"/>
            <w:r w:rsidRPr="00D610DC">
              <w:rPr>
                <w:rFonts w:cstheme="minorHAnsi"/>
                <w:sz w:val="32"/>
                <w:szCs w:val="32"/>
              </w:rPr>
              <w:t>Chowdhury</w:t>
            </w:r>
            <w:proofErr w:type="spellEnd"/>
          </w:p>
        </w:tc>
        <w:tc>
          <w:tcPr>
            <w:tcW w:w="4675" w:type="dxa"/>
          </w:tcPr>
          <w:p w14:paraId="1EB05251" w14:textId="77777777" w:rsidR="008D2BA6" w:rsidRPr="00D610DC" w:rsidRDefault="008D2BA6" w:rsidP="0036570C">
            <w:pPr>
              <w:jc w:val="center"/>
              <w:cnfStyle w:val="000000100000" w:firstRow="0" w:lastRow="0" w:firstColumn="0" w:lastColumn="0" w:oddVBand="0" w:evenVBand="0" w:oddHBand="1" w:evenHBand="0" w:firstRowFirstColumn="0" w:firstRowLastColumn="0" w:lastRowFirstColumn="0" w:lastRowLastColumn="0"/>
              <w:rPr>
                <w:rFonts w:cstheme="minorHAnsi"/>
                <w:b/>
                <w:bCs/>
                <w:sz w:val="32"/>
                <w:szCs w:val="32"/>
              </w:rPr>
            </w:pPr>
            <w:r w:rsidRPr="00D610DC">
              <w:rPr>
                <w:rFonts w:cstheme="minorHAnsi"/>
                <w:b/>
                <w:bCs/>
                <w:sz w:val="32"/>
                <w:szCs w:val="32"/>
              </w:rPr>
              <w:t>111 182 103</w:t>
            </w:r>
          </w:p>
        </w:tc>
      </w:tr>
    </w:tbl>
    <w:p w14:paraId="1701C370" w14:textId="77777777" w:rsidR="008D2BA6" w:rsidRPr="00D610DC" w:rsidRDefault="008D2BA6" w:rsidP="008D2BA6">
      <w:pPr>
        <w:rPr>
          <w:rFonts w:cstheme="minorHAnsi"/>
        </w:rPr>
      </w:pPr>
    </w:p>
    <w:p w14:paraId="5054BA10" w14:textId="77777777" w:rsidR="00270EFB" w:rsidRDefault="00270EFB"/>
    <w:p w14:paraId="4F8939C4" w14:textId="77777777" w:rsidR="002F4FE1" w:rsidRDefault="002F4FE1"/>
    <w:p w14:paraId="0557DD10" w14:textId="77777777" w:rsidR="002F4FE1" w:rsidRDefault="002F4FE1"/>
    <w:p w14:paraId="407136CB" w14:textId="77777777" w:rsidR="002F4FE1" w:rsidRPr="00C31847" w:rsidRDefault="002F4FE1" w:rsidP="002F4FE1">
      <w:pPr>
        <w:jc w:val="center"/>
        <w:rPr>
          <w:rFonts w:ascii="Times New Roman" w:hAnsi="Times New Roman" w:cs="Times New Roman"/>
          <w:b/>
          <w:bCs/>
          <w:color w:val="4472C4" w:themeColor="accent1"/>
          <w:sz w:val="28"/>
          <w:szCs w:val="28"/>
          <w:u w:val="single"/>
        </w:rPr>
      </w:pPr>
      <w:r w:rsidRPr="00C31847">
        <w:rPr>
          <w:rFonts w:ascii="Times New Roman" w:hAnsi="Times New Roman" w:cs="Times New Roman"/>
          <w:b/>
          <w:bCs/>
          <w:color w:val="4472C4" w:themeColor="accent1"/>
          <w:sz w:val="28"/>
          <w:szCs w:val="28"/>
          <w:u w:val="single"/>
        </w:rPr>
        <w:lastRenderedPageBreak/>
        <w:t>Letter of Authorization</w:t>
      </w:r>
    </w:p>
    <w:p w14:paraId="524FEDD9" w14:textId="77777777" w:rsidR="002F4FE1" w:rsidRDefault="002F4FE1" w:rsidP="002F4FE1">
      <w:pPr>
        <w:rPr>
          <w:rFonts w:ascii="Times New Roman" w:hAnsi="Times New Roman" w:cs="Times New Roman"/>
          <w:b/>
          <w:bCs/>
          <w:color w:val="000000" w:themeColor="text1"/>
          <w:sz w:val="24"/>
          <w:szCs w:val="24"/>
        </w:rPr>
      </w:pPr>
    </w:p>
    <w:p w14:paraId="5F649172" w14:textId="77777777" w:rsidR="002F4FE1" w:rsidRDefault="002F4FE1" w:rsidP="002F4FE1">
      <w:pPr>
        <w:rPr>
          <w:rFonts w:ascii="Times New Roman" w:hAnsi="Times New Roman" w:cs="Times New Roman"/>
          <w:b/>
          <w:bCs/>
          <w:color w:val="000000" w:themeColor="text1"/>
          <w:sz w:val="24"/>
          <w:szCs w:val="24"/>
        </w:rPr>
      </w:pPr>
    </w:p>
    <w:p w14:paraId="302CA6AB" w14:textId="578ABFEF" w:rsidR="002F4FE1" w:rsidRPr="0018182C" w:rsidRDefault="0036570C" w:rsidP="002F4FE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May</w:t>
      </w:r>
      <w:r w:rsidR="002F4FE1">
        <w:rPr>
          <w:rFonts w:ascii="Times New Roman" w:hAnsi="Times New Roman" w:cs="Times New Roman"/>
          <w:color w:val="000000" w:themeColor="text1"/>
          <w:sz w:val="24"/>
          <w:szCs w:val="24"/>
        </w:rPr>
        <w:t xml:space="preserve"> 2</w:t>
      </w:r>
      <w:r>
        <w:rPr>
          <w:rFonts w:ascii="Times New Roman" w:hAnsi="Times New Roman" w:cs="Times New Roman"/>
          <w:color w:val="000000" w:themeColor="text1"/>
          <w:sz w:val="24"/>
          <w:szCs w:val="24"/>
        </w:rPr>
        <w:t>8</w:t>
      </w:r>
      <w:r w:rsidR="002F4FE1" w:rsidRPr="0018182C">
        <w:rPr>
          <w:rFonts w:ascii="Times New Roman" w:hAnsi="Times New Roman" w:cs="Times New Roman"/>
          <w:color w:val="000000" w:themeColor="text1"/>
          <w:sz w:val="24"/>
          <w:szCs w:val="24"/>
        </w:rPr>
        <w:t>, 202</w:t>
      </w:r>
      <w:r w:rsidR="002F4FE1">
        <w:rPr>
          <w:rFonts w:ascii="Times New Roman" w:hAnsi="Times New Roman" w:cs="Times New Roman"/>
          <w:color w:val="000000" w:themeColor="text1"/>
          <w:sz w:val="24"/>
          <w:szCs w:val="24"/>
        </w:rPr>
        <w:t>3</w:t>
      </w:r>
    </w:p>
    <w:p w14:paraId="3C02C94F" w14:textId="77777777" w:rsidR="002F4FE1" w:rsidRPr="0018182C" w:rsidRDefault="002F4FE1" w:rsidP="002F4FE1">
      <w:pPr>
        <w:rPr>
          <w:rFonts w:ascii="Times New Roman" w:hAnsi="Times New Roman" w:cs="Times New Roman"/>
          <w:color w:val="000000" w:themeColor="text1"/>
          <w:sz w:val="24"/>
          <w:szCs w:val="24"/>
        </w:rPr>
      </w:pPr>
    </w:p>
    <w:p w14:paraId="51F1B7B6" w14:textId="77777777" w:rsidR="002F4FE1" w:rsidRPr="00C35ABD" w:rsidRDefault="002F4FE1" w:rsidP="002F4FE1">
      <w:pPr>
        <w:rPr>
          <w:rFonts w:ascii="Times New Roman" w:hAnsi="Times New Roman" w:cs="Times New Roman"/>
          <w:b/>
          <w:bCs/>
          <w:color w:val="000000" w:themeColor="text1"/>
          <w:sz w:val="24"/>
          <w:szCs w:val="24"/>
        </w:rPr>
      </w:pPr>
      <w:r w:rsidRPr="00C35ABD">
        <w:rPr>
          <w:rFonts w:ascii="Times New Roman" w:hAnsi="Times New Roman" w:cs="Times New Roman"/>
          <w:b/>
          <w:bCs/>
          <w:color w:val="000000" w:themeColor="text1"/>
          <w:sz w:val="24"/>
          <w:szCs w:val="24"/>
        </w:rPr>
        <w:t xml:space="preserve">Subject: Permission for preparing </w:t>
      </w:r>
      <w:r>
        <w:rPr>
          <w:rFonts w:ascii="Times New Roman" w:hAnsi="Times New Roman" w:cs="Times New Roman"/>
          <w:b/>
          <w:bCs/>
          <w:color w:val="000000" w:themeColor="text1"/>
          <w:sz w:val="24"/>
          <w:szCs w:val="24"/>
        </w:rPr>
        <w:t xml:space="preserve">internship </w:t>
      </w:r>
      <w:r w:rsidRPr="00C35ABD">
        <w:rPr>
          <w:rFonts w:ascii="Times New Roman" w:hAnsi="Times New Roman" w:cs="Times New Roman"/>
          <w:b/>
          <w:bCs/>
          <w:color w:val="000000" w:themeColor="text1"/>
          <w:sz w:val="24"/>
          <w:szCs w:val="24"/>
        </w:rPr>
        <w:t>report</w:t>
      </w:r>
      <w:r>
        <w:rPr>
          <w:rFonts w:ascii="Times New Roman" w:hAnsi="Times New Roman" w:cs="Times New Roman"/>
          <w:b/>
          <w:bCs/>
          <w:color w:val="000000" w:themeColor="text1"/>
          <w:sz w:val="24"/>
          <w:szCs w:val="24"/>
        </w:rPr>
        <w:t>.</w:t>
      </w:r>
    </w:p>
    <w:p w14:paraId="41219D0E" w14:textId="77777777" w:rsidR="002F4FE1" w:rsidRPr="0018182C" w:rsidRDefault="002F4FE1" w:rsidP="002F4FE1">
      <w:pPr>
        <w:rPr>
          <w:rFonts w:ascii="Times New Roman" w:hAnsi="Times New Roman" w:cs="Times New Roman"/>
          <w:color w:val="000000" w:themeColor="text1"/>
          <w:sz w:val="24"/>
          <w:szCs w:val="24"/>
        </w:rPr>
      </w:pPr>
    </w:p>
    <w:p w14:paraId="4192F70E" w14:textId="77777777" w:rsidR="002F4FE1" w:rsidRPr="0018182C" w:rsidRDefault="002F4FE1" w:rsidP="002F4FE1">
      <w:pPr>
        <w:rPr>
          <w:rFonts w:ascii="Times New Roman" w:hAnsi="Times New Roman" w:cs="Times New Roman"/>
          <w:color w:val="000000" w:themeColor="text1"/>
          <w:sz w:val="24"/>
          <w:szCs w:val="24"/>
        </w:rPr>
      </w:pPr>
      <w:r w:rsidRPr="0018182C">
        <w:rPr>
          <w:rFonts w:ascii="Times New Roman" w:hAnsi="Times New Roman" w:cs="Times New Roman"/>
          <w:color w:val="000000" w:themeColor="text1"/>
          <w:sz w:val="24"/>
          <w:szCs w:val="24"/>
        </w:rPr>
        <w:t>To whom it may concern,</w:t>
      </w:r>
    </w:p>
    <w:p w14:paraId="3E1CAD2D" w14:textId="77777777" w:rsidR="002F4FE1" w:rsidRPr="0018182C" w:rsidRDefault="002F4FE1" w:rsidP="002F4FE1">
      <w:pPr>
        <w:rPr>
          <w:rFonts w:ascii="Times New Roman" w:hAnsi="Times New Roman" w:cs="Times New Roman"/>
          <w:color w:val="000000" w:themeColor="text1"/>
          <w:sz w:val="24"/>
          <w:szCs w:val="24"/>
        </w:rPr>
      </w:pPr>
    </w:p>
    <w:p w14:paraId="6D2C700F" w14:textId="77777777" w:rsidR="002F4FE1" w:rsidRPr="0018182C" w:rsidRDefault="002F4FE1" w:rsidP="002F4FE1">
      <w:pPr>
        <w:jc w:val="both"/>
        <w:rPr>
          <w:rFonts w:ascii="Times New Roman" w:hAnsi="Times New Roman" w:cs="Times New Roman"/>
          <w:color w:val="000000" w:themeColor="text1"/>
          <w:sz w:val="24"/>
          <w:szCs w:val="24"/>
        </w:rPr>
      </w:pPr>
      <w:r w:rsidRPr="0018182C">
        <w:rPr>
          <w:rFonts w:ascii="Times New Roman" w:hAnsi="Times New Roman" w:cs="Times New Roman"/>
          <w:color w:val="000000" w:themeColor="text1"/>
          <w:sz w:val="24"/>
          <w:szCs w:val="24"/>
        </w:rPr>
        <w:t xml:space="preserve">This is to authorize </w:t>
      </w:r>
      <w:proofErr w:type="spellStart"/>
      <w:r w:rsidRPr="0018182C">
        <w:rPr>
          <w:rFonts w:ascii="Times New Roman" w:hAnsi="Times New Roman" w:cs="Times New Roman"/>
          <w:color w:val="000000" w:themeColor="text1"/>
          <w:sz w:val="24"/>
          <w:szCs w:val="24"/>
        </w:rPr>
        <w:t>Towhidul</w:t>
      </w:r>
      <w:proofErr w:type="spellEnd"/>
      <w:r w:rsidRPr="0018182C">
        <w:rPr>
          <w:rFonts w:ascii="Times New Roman" w:hAnsi="Times New Roman" w:cs="Times New Roman"/>
          <w:color w:val="000000" w:themeColor="text1"/>
          <w:sz w:val="24"/>
          <w:szCs w:val="24"/>
        </w:rPr>
        <w:t xml:space="preserve"> Islam </w:t>
      </w:r>
      <w:proofErr w:type="spellStart"/>
      <w:r w:rsidRPr="0018182C">
        <w:rPr>
          <w:rFonts w:ascii="Times New Roman" w:hAnsi="Times New Roman" w:cs="Times New Roman"/>
          <w:color w:val="000000" w:themeColor="text1"/>
          <w:sz w:val="24"/>
          <w:szCs w:val="24"/>
        </w:rPr>
        <w:t>Chowdhury</w:t>
      </w:r>
      <w:proofErr w:type="spellEnd"/>
      <w:r>
        <w:rPr>
          <w:rFonts w:ascii="Times New Roman" w:hAnsi="Times New Roman" w:cs="Times New Roman"/>
          <w:color w:val="000000" w:themeColor="text1"/>
          <w:sz w:val="24"/>
          <w:szCs w:val="24"/>
        </w:rPr>
        <w:t xml:space="preserve"> </w:t>
      </w:r>
      <w:r w:rsidRPr="0018182C">
        <w:rPr>
          <w:rFonts w:ascii="Times New Roman" w:hAnsi="Times New Roman" w:cs="Times New Roman"/>
          <w:color w:val="000000" w:themeColor="text1"/>
          <w:sz w:val="24"/>
          <w:szCs w:val="24"/>
        </w:rPr>
        <w:t xml:space="preserve">to carry out </w:t>
      </w:r>
      <w:r>
        <w:rPr>
          <w:rFonts w:ascii="Times New Roman" w:hAnsi="Times New Roman" w:cs="Times New Roman"/>
          <w:color w:val="000000" w:themeColor="text1"/>
          <w:sz w:val="24"/>
          <w:szCs w:val="24"/>
        </w:rPr>
        <w:t xml:space="preserve">the </w:t>
      </w:r>
      <w:r w:rsidRPr="0018182C">
        <w:rPr>
          <w:rFonts w:ascii="Times New Roman" w:hAnsi="Times New Roman" w:cs="Times New Roman"/>
          <w:color w:val="000000" w:themeColor="text1"/>
          <w:sz w:val="24"/>
          <w:szCs w:val="24"/>
        </w:rPr>
        <w:t>research and prepare a</w:t>
      </w:r>
      <w:r>
        <w:rPr>
          <w:rFonts w:ascii="Times New Roman" w:hAnsi="Times New Roman" w:cs="Times New Roman"/>
          <w:color w:val="000000" w:themeColor="text1"/>
          <w:sz w:val="24"/>
          <w:szCs w:val="24"/>
        </w:rPr>
        <w:t xml:space="preserve">n internship </w:t>
      </w:r>
      <w:r w:rsidRPr="0018182C">
        <w:rPr>
          <w:rFonts w:ascii="Times New Roman" w:hAnsi="Times New Roman" w:cs="Times New Roman"/>
          <w:color w:val="000000" w:themeColor="text1"/>
          <w:sz w:val="24"/>
          <w:szCs w:val="24"/>
        </w:rPr>
        <w:t>report on “</w:t>
      </w:r>
      <w:r>
        <w:rPr>
          <w:rFonts w:ascii="Times New Roman" w:hAnsi="Times New Roman" w:cs="Times New Roman"/>
          <w:color w:val="000000" w:themeColor="text1"/>
          <w:sz w:val="24"/>
          <w:szCs w:val="24"/>
        </w:rPr>
        <w:t>Financial Performance Analysis of The City Bank Limited</w:t>
      </w:r>
      <w:r w:rsidRPr="0018182C">
        <w:rPr>
          <w:rFonts w:ascii="Times New Roman" w:hAnsi="Times New Roman" w:cs="Times New Roman"/>
          <w:color w:val="000000" w:themeColor="text1"/>
          <w:sz w:val="24"/>
          <w:szCs w:val="24"/>
        </w:rPr>
        <w:t>”. Under no circumstances the collected information will be shared in public or any other official use.</w:t>
      </w:r>
    </w:p>
    <w:p w14:paraId="5CD3F20C" w14:textId="77777777" w:rsidR="002F4FE1" w:rsidRPr="0018182C" w:rsidRDefault="002F4FE1" w:rsidP="002F4FE1">
      <w:pPr>
        <w:rPr>
          <w:rFonts w:ascii="Times New Roman" w:hAnsi="Times New Roman" w:cs="Times New Roman"/>
          <w:color w:val="000000" w:themeColor="text1"/>
          <w:sz w:val="24"/>
          <w:szCs w:val="24"/>
        </w:rPr>
      </w:pPr>
    </w:p>
    <w:p w14:paraId="49F9A747" w14:textId="77777777" w:rsidR="002F4FE1" w:rsidRPr="0018182C" w:rsidRDefault="002F4FE1" w:rsidP="002F4FE1">
      <w:pPr>
        <w:rPr>
          <w:rFonts w:ascii="Times New Roman" w:hAnsi="Times New Roman" w:cs="Times New Roman"/>
          <w:color w:val="000000" w:themeColor="text1"/>
          <w:sz w:val="24"/>
          <w:szCs w:val="24"/>
        </w:rPr>
      </w:pPr>
      <w:r w:rsidRPr="0018182C">
        <w:rPr>
          <w:rFonts w:ascii="Times New Roman" w:hAnsi="Times New Roman" w:cs="Times New Roman"/>
          <w:color w:val="000000" w:themeColor="text1"/>
          <w:sz w:val="24"/>
          <w:szCs w:val="24"/>
        </w:rPr>
        <w:t xml:space="preserve">I wish </w:t>
      </w:r>
      <w:r>
        <w:rPr>
          <w:rFonts w:ascii="Times New Roman" w:hAnsi="Times New Roman" w:cs="Times New Roman"/>
          <w:color w:val="000000" w:themeColor="text1"/>
          <w:sz w:val="24"/>
          <w:szCs w:val="24"/>
        </w:rPr>
        <w:t>you</w:t>
      </w:r>
      <w:r w:rsidRPr="0018182C">
        <w:rPr>
          <w:rFonts w:ascii="Times New Roman" w:hAnsi="Times New Roman" w:cs="Times New Roman"/>
          <w:color w:val="000000" w:themeColor="text1"/>
          <w:sz w:val="24"/>
          <w:szCs w:val="24"/>
        </w:rPr>
        <w:t xml:space="preserve"> all the best in the research.</w:t>
      </w:r>
    </w:p>
    <w:p w14:paraId="09931E5F" w14:textId="77777777" w:rsidR="002F4FE1" w:rsidRDefault="002F4FE1" w:rsidP="002F4FE1">
      <w:pPr>
        <w:rPr>
          <w:rFonts w:ascii="Times New Roman" w:hAnsi="Times New Roman" w:cs="Times New Roman"/>
          <w:color w:val="000000" w:themeColor="text1"/>
          <w:sz w:val="24"/>
          <w:szCs w:val="24"/>
        </w:rPr>
      </w:pPr>
    </w:p>
    <w:p w14:paraId="6C00D23D" w14:textId="77777777" w:rsidR="002F4FE1" w:rsidRPr="0018182C" w:rsidRDefault="002F4FE1" w:rsidP="002F4FE1">
      <w:pPr>
        <w:rPr>
          <w:rFonts w:ascii="Times New Roman" w:hAnsi="Times New Roman" w:cs="Times New Roman"/>
          <w:color w:val="000000" w:themeColor="text1"/>
          <w:sz w:val="24"/>
          <w:szCs w:val="24"/>
        </w:rPr>
      </w:pPr>
      <w:r w:rsidRPr="0018182C">
        <w:rPr>
          <w:rFonts w:ascii="Times New Roman" w:hAnsi="Times New Roman" w:cs="Times New Roman"/>
          <w:color w:val="000000" w:themeColor="text1"/>
          <w:sz w:val="24"/>
          <w:szCs w:val="24"/>
        </w:rPr>
        <w:t>Regards,</w:t>
      </w:r>
    </w:p>
    <w:p w14:paraId="768E630C" w14:textId="77777777" w:rsidR="002F4FE1" w:rsidRPr="0018182C" w:rsidRDefault="002F4FE1" w:rsidP="002F4FE1">
      <w:pPr>
        <w:rPr>
          <w:rFonts w:ascii="Times New Roman" w:hAnsi="Times New Roman" w:cs="Times New Roman"/>
          <w:color w:val="000000" w:themeColor="text1"/>
          <w:sz w:val="24"/>
          <w:szCs w:val="24"/>
        </w:rPr>
      </w:pPr>
    </w:p>
    <w:p w14:paraId="4F7AAAFC" w14:textId="77777777" w:rsidR="002F4FE1" w:rsidRPr="0018182C" w:rsidRDefault="002F4FE1" w:rsidP="002F4FE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Mosabbir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Uddin</w:t>
      </w:r>
      <w:proofErr w:type="spellEnd"/>
      <w:r>
        <w:rPr>
          <w:rFonts w:ascii="Times New Roman" w:hAnsi="Times New Roman" w:cs="Times New Roman"/>
          <w:color w:val="000000" w:themeColor="text1"/>
          <w:sz w:val="24"/>
          <w:szCs w:val="24"/>
        </w:rPr>
        <w:t xml:space="preserve"> Ahmad</w:t>
      </w:r>
    </w:p>
    <w:p w14:paraId="2FFE677B" w14:textId="77777777" w:rsidR="002F4FE1" w:rsidRPr="0018182C" w:rsidRDefault="002F4FE1" w:rsidP="002F4FE1">
      <w:pPr>
        <w:rPr>
          <w:rFonts w:ascii="Times New Roman" w:hAnsi="Times New Roman" w:cs="Times New Roman"/>
          <w:color w:val="000000" w:themeColor="text1"/>
          <w:sz w:val="24"/>
          <w:szCs w:val="24"/>
        </w:rPr>
      </w:pPr>
      <w:r w:rsidRPr="0018182C">
        <w:rPr>
          <w:rFonts w:ascii="Times New Roman" w:hAnsi="Times New Roman" w:cs="Times New Roman"/>
          <w:color w:val="000000" w:themeColor="text1"/>
          <w:sz w:val="24"/>
          <w:szCs w:val="24"/>
        </w:rPr>
        <w:t xml:space="preserve">Assistant Professor, SOBE </w:t>
      </w:r>
    </w:p>
    <w:p w14:paraId="4DD49CAB" w14:textId="77777777" w:rsidR="002F4FE1" w:rsidRPr="0018182C" w:rsidRDefault="002F4FE1" w:rsidP="002F4FE1">
      <w:pPr>
        <w:rPr>
          <w:rFonts w:ascii="Times New Roman" w:hAnsi="Times New Roman" w:cs="Times New Roman"/>
          <w:b/>
          <w:bCs/>
          <w:color w:val="000000" w:themeColor="text1"/>
          <w:sz w:val="24"/>
          <w:szCs w:val="24"/>
        </w:rPr>
      </w:pPr>
      <w:r w:rsidRPr="0018182C">
        <w:rPr>
          <w:rFonts w:ascii="Times New Roman" w:hAnsi="Times New Roman" w:cs="Times New Roman"/>
          <w:color w:val="000000" w:themeColor="text1"/>
          <w:sz w:val="24"/>
          <w:szCs w:val="24"/>
        </w:rPr>
        <w:t>United International University</w:t>
      </w:r>
    </w:p>
    <w:p w14:paraId="1F1F31B0" w14:textId="77777777" w:rsidR="002F4FE1" w:rsidRDefault="002F4FE1"/>
    <w:p w14:paraId="2775466F" w14:textId="77777777" w:rsidR="002F4FE1" w:rsidRDefault="002F4FE1"/>
    <w:p w14:paraId="1D55318E" w14:textId="77777777" w:rsidR="002F4FE1" w:rsidRDefault="002F4FE1"/>
    <w:p w14:paraId="005A813A" w14:textId="77777777" w:rsidR="002F4FE1" w:rsidRDefault="002F4FE1"/>
    <w:p w14:paraId="7530F35C" w14:textId="77777777" w:rsidR="002F4FE1" w:rsidRDefault="002F4FE1"/>
    <w:p w14:paraId="5ED3FB2B" w14:textId="77777777" w:rsidR="002F4FE1" w:rsidRDefault="002F4FE1"/>
    <w:p w14:paraId="08F9076C" w14:textId="77777777" w:rsidR="002F4FE1" w:rsidRDefault="002F4FE1"/>
    <w:p w14:paraId="5B73C157" w14:textId="77777777" w:rsidR="002F4FE1" w:rsidRDefault="002F4FE1"/>
    <w:p w14:paraId="11D57634" w14:textId="77777777" w:rsidR="002F4FE1" w:rsidRDefault="002F4FE1"/>
    <w:p w14:paraId="112EB64F" w14:textId="77777777" w:rsidR="002F4FE1" w:rsidRPr="0036088E" w:rsidRDefault="002F4FE1" w:rsidP="002F4FE1">
      <w:pPr>
        <w:jc w:val="center"/>
        <w:rPr>
          <w:rFonts w:ascii="Times New Roman" w:hAnsi="Times New Roman" w:cs="Times New Roman"/>
          <w:b/>
          <w:bCs/>
          <w:color w:val="4472C4" w:themeColor="accent1"/>
          <w:sz w:val="28"/>
          <w:szCs w:val="28"/>
          <w:u w:val="single"/>
        </w:rPr>
      </w:pPr>
      <w:r w:rsidRPr="0036088E">
        <w:rPr>
          <w:rFonts w:ascii="Times New Roman" w:hAnsi="Times New Roman" w:cs="Times New Roman"/>
          <w:b/>
          <w:bCs/>
          <w:color w:val="4472C4" w:themeColor="accent1"/>
          <w:sz w:val="28"/>
          <w:szCs w:val="28"/>
          <w:u w:val="single"/>
        </w:rPr>
        <w:lastRenderedPageBreak/>
        <w:t>Letter of Transmittal</w:t>
      </w:r>
    </w:p>
    <w:p w14:paraId="4814B537" w14:textId="77777777" w:rsidR="002F4FE1" w:rsidRDefault="002F4FE1" w:rsidP="002F4FE1">
      <w:pPr>
        <w:rPr>
          <w:rFonts w:ascii="Times New Roman" w:hAnsi="Times New Roman" w:cs="Times New Roman"/>
        </w:rPr>
      </w:pPr>
    </w:p>
    <w:p w14:paraId="0DAB58F9" w14:textId="77777777" w:rsidR="0036570C" w:rsidRPr="0018182C" w:rsidRDefault="0036570C" w:rsidP="0036570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May 28</w:t>
      </w:r>
      <w:r w:rsidRPr="0018182C">
        <w:rPr>
          <w:rFonts w:ascii="Times New Roman" w:hAnsi="Times New Roman" w:cs="Times New Roman"/>
          <w:color w:val="000000" w:themeColor="text1"/>
          <w:sz w:val="24"/>
          <w:szCs w:val="24"/>
        </w:rPr>
        <w:t>, 202</w:t>
      </w:r>
      <w:r>
        <w:rPr>
          <w:rFonts w:ascii="Times New Roman" w:hAnsi="Times New Roman" w:cs="Times New Roman"/>
          <w:color w:val="000000" w:themeColor="text1"/>
          <w:sz w:val="24"/>
          <w:szCs w:val="24"/>
        </w:rPr>
        <w:t>3</w:t>
      </w:r>
    </w:p>
    <w:p w14:paraId="175E2C32" w14:textId="77777777" w:rsidR="002F4FE1" w:rsidRPr="00DE13DE" w:rsidRDefault="002F4FE1" w:rsidP="002F4FE1">
      <w:pPr>
        <w:rPr>
          <w:rFonts w:ascii="Times New Roman" w:hAnsi="Times New Roman" w:cs="Times New Roman"/>
          <w:sz w:val="24"/>
          <w:szCs w:val="24"/>
        </w:rPr>
      </w:pPr>
    </w:p>
    <w:p w14:paraId="12D246E5" w14:textId="77777777" w:rsidR="002F4FE1" w:rsidRPr="00DE13DE" w:rsidRDefault="002F4FE1" w:rsidP="002F4FE1">
      <w:pPr>
        <w:rPr>
          <w:rFonts w:ascii="Times New Roman" w:hAnsi="Times New Roman" w:cs="Times New Roman"/>
          <w:sz w:val="24"/>
          <w:szCs w:val="24"/>
        </w:rPr>
      </w:pPr>
      <w:r w:rsidRPr="00DE13DE">
        <w:rPr>
          <w:rFonts w:ascii="Times New Roman" w:hAnsi="Times New Roman" w:cs="Times New Roman"/>
          <w:sz w:val="24"/>
          <w:szCs w:val="24"/>
        </w:rPr>
        <w:t xml:space="preserve">Mr. </w:t>
      </w:r>
      <w:proofErr w:type="spellStart"/>
      <w:r w:rsidRPr="00DE13DE">
        <w:rPr>
          <w:rFonts w:ascii="Times New Roman" w:hAnsi="Times New Roman" w:cs="Times New Roman"/>
          <w:sz w:val="24"/>
          <w:szCs w:val="24"/>
        </w:rPr>
        <w:t>Mosabbir</w:t>
      </w:r>
      <w:proofErr w:type="spellEnd"/>
      <w:r w:rsidRPr="00DE13DE">
        <w:rPr>
          <w:rFonts w:ascii="Times New Roman" w:hAnsi="Times New Roman" w:cs="Times New Roman"/>
          <w:sz w:val="24"/>
          <w:szCs w:val="24"/>
        </w:rPr>
        <w:t xml:space="preserve"> </w:t>
      </w:r>
      <w:proofErr w:type="spellStart"/>
      <w:r w:rsidRPr="00DE13DE">
        <w:rPr>
          <w:rFonts w:ascii="Times New Roman" w:hAnsi="Times New Roman" w:cs="Times New Roman"/>
          <w:sz w:val="24"/>
          <w:szCs w:val="24"/>
        </w:rPr>
        <w:t>Uddin</w:t>
      </w:r>
      <w:proofErr w:type="spellEnd"/>
      <w:r w:rsidRPr="00DE13DE">
        <w:rPr>
          <w:rFonts w:ascii="Times New Roman" w:hAnsi="Times New Roman" w:cs="Times New Roman"/>
          <w:sz w:val="24"/>
          <w:szCs w:val="24"/>
        </w:rPr>
        <w:t xml:space="preserve"> Ahmad</w:t>
      </w:r>
    </w:p>
    <w:p w14:paraId="27F68053" w14:textId="77777777" w:rsidR="002F4FE1" w:rsidRPr="00DE13DE" w:rsidRDefault="002F4FE1" w:rsidP="002F4FE1">
      <w:pPr>
        <w:rPr>
          <w:rFonts w:ascii="Times New Roman" w:hAnsi="Times New Roman" w:cs="Times New Roman"/>
          <w:sz w:val="24"/>
          <w:szCs w:val="24"/>
        </w:rPr>
      </w:pPr>
      <w:r w:rsidRPr="00DE13DE">
        <w:rPr>
          <w:rFonts w:ascii="Times New Roman" w:hAnsi="Times New Roman" w:cs="Times New Roman"/>
          <w:sz w:val="24"/>
          <w:szCs w:val="24"/>
        </w:rPr>
        <w:t xml:space="preserve">Assistant Professor, SOBE </w:t>
      </w:r>
    </w:p>
    <w:p w14:paraId="36A5BC39" w14:textId="77777777" w:rsidR="002F4FE1" w:rsidRPr="00DE13DE" w:rsidRDefault="002F4FE1" w:rsidP="002F4FE1">
      <w:pPr>
        <w:rPr>
          <w:rFonts w:ascii="Times New Roman" w:hAnsi="Times New Roman" w:cs="Times New Roman"/>
          <w:sz w:val="24"/>
          <w:szCs w:val="24"/>
        </w:rPr>
      </w:pPr>
      <w:r w:rsidRPr="00DE13DE">
        <w:rPr>
          <w:rFonts w:ascii="Times New Roman" w:hAnsi="Times New Roman" w:cs="Times New Roman"/>
          <w:sz w:val="24"/>
          <w:szCs w:val="24"/>
        </w:rPr>
        <w:t xml:space="preserve">United International University </w:t>
      </w:r>
    </w:p>
    <w:p w14:paraId="0F32B6B2" w14:textId="77777777" w:rsidR="002F4FE1" w:rsidRPr="00DE13DE" w:rsidRDefault="002F4FE1" w:rsidP="002F4FE1">
      <w:pPr>
        <w:rPr>
          <w:rFonts w:ascii="Times New Roman" w:hAnsi="Times New Roman" w:cs="Times New Roman"/>
          <w:sz w:val="24"/>
          <w:szCs w:val="24"/>
        </w:rPr>
      </w:pPr>
      <w:r w:rsidRPr="00DE13DE">
        <w:rPr>
          <w:rFonts w:ascii="Times New Roman" w:hAnsi="Times New Roman" w:cs="Times New Roman"/>
          <w:sz w:val="24"/>
          <w:szCs w:val="24"/>
        </w:rPr>
        <w:t>Madani Avenue, Dhaka.</w:t>
      </w:r>
    </w:p>
    <w:p w14:paraId="279771EE" w14:textId="77777777" w:rsidR="002F4FE1" w:rsidRPr="00DE13DE" w:rsidRDefault="002F4FE1" w:rsidP="002F4FE1">
      <w:pPr>
        <w:rPr>
          <w:rFonts w:ascii="Times New Roman" w:hAnsi="Times New Roman" w:cs="Times New Roman"/>
          <w:sz w:val="24"/>
          <w:szCs w:val="24"/>
        </w:rPr>
      </w:pPr>
    </w:p>
    <w:p w14:paraId="77FA71D4" w14:textId="77777777" w:rsidR="002F4FE1" w:rsidRPr="00DE13DE" w:rsidRDefault="002F4FE1" w:rsidP="002F4FE1">
      <w:pPr>
        <w:rPr>
          <w:rFonts w:ascii="Times New Roman" w:hAnsi="Times New Roman" w:cs="Times New Roman"/>
          <w:b/>
          <w:bCs/>
          <w:sz w:val="24"/>
          <w:szCs w:val="24"/>
        </w:rPr>
      </w:pPr>
      <w:r w:rsidRPr="00DE13DE">
        <w:rPr>
          <w:rFonts w:ascii="Times New Roman" w:hAnsi="Times New Roman" w:cs="Times New Roman"/>
          <w:b/>
          <w:bCs/>
          <w:sz w:val="24"/>
          <w:szCs w:val="24"/>
        </w:rPr>
        <w:t>Subject: Transmittal Letter</w:t>
      </w:r>
    </w:p>
    <w:p w14:paraId="5DEDBEF6" w14:textId="77777777" w:rsidR="002F4FE1" w:rsidRPr="00DE13DE" w:rsidRDefault="002F4FE1" w:rsidP="002F4FE1">
      <w:pPr>
        <w:rPr>
          <w:rFonts w:ascii="Times New Roman" w:hAnsi="Times New Roman" w:cs="Times New Roman"/>
          <w:b/>
          <w:bCs/>
          <w:sz w:val="24"/>
          <w:szCs w:val="24"/>
        </w:rPr>
      </w:pPr>
    </w:p>
    <w:p w14:paraId="04C3C168" w14:textId="77777777" w:rsidR="002F4FE1" w:rsidRPr="00DE13DE" w:rsidRDefault="002F4FE1" w:rsidP="002F4FE1">
      <w:pPr>
        <w:rPr>
          <w:rFonts w:ascii="Times New Roman" w:hAnsi="Times New Roman" w:cs="Times New Roman"/>
          <w:sz w:val="24"/>
          <w:szCs w:val="24"/>
        </w:rPr>
      </w:pPr>
      <w:r w:rsidRPr="00DE13DE">
        <w:rPr>
          <w:rFonts w:ascii="Times New Roman" w:hAnsi="Times New Roman" w:cs="Times New Roman"/>
          <w:sz w:val="24"/>
          <w:szCs w:val="24"/>
        </w:rPr>
        <w:t>Dear Sir,</w:t>
      </w:r>
    </w:p>
    <w:p w14:paraId="64DF64AE" w14:textId="77777777" w:rsidR="002F4FE1" w:rsidRDefault="002F4FE1" w:rsidP="002F4FE1">
      <w:pPr>
        <w:jc w:val="both"/>
        <w:rPr>
          <w:rFonts w:ascii="Times New Roman" w:hAnsi="Times New Roman" w:cs="Times New Roman"/>
          <w:sz w:val="24"/>
          <w:szCs w:val="24"/>
        </w:rPr>
      </w:pPr>
      <w:r w:rsidRPr="008E60D8">
        <w:rPr>
          <w:rFonts w:ascii="Times New Roman" w:hAnsi="Times New Roman" w:cs="Times New Roman"/>
          <w:sz w:val="24"/>
          <w:szCs w:val="24"/>
        </w:rPr>
        <w:t>With all due respect, I am a BBA student interning at City Bank Limited's business finance division and have written a report on the "Financial Performance Analysis of The City Bank Limited." It gives me great pleasure to deliver this report, which is the outcome of my struggles. This report is the result of the knowledge that was gained throughout the internship period</w:t>
      </w:r>
      <w:r>
        <w:rPr>
          <w:rFonts w:ascii="Times New Roman" w:hAnsi="Times New Roman" w:cs="Times New Roman"/>
          <w:sz w:val="24"/>
          <w:szCs w:val="24"/>
        </w:rPr>
        <w:t>.</w:t>
      </w:r>
    </w:p>
    <w:p w14:paraId="6926665D" w14:textId="77777777" w:rsidR="002F4FE1" w:rsidRDefault="002F4FE1" w:rsidP="002F4FE1">
      <w:pPr>
        <w:jc w:val="both"/>
        <w:rPr>
          <w:rFonts w:ascii="Times New Roman" w:hAnsi="Times New Roman" w:cs="Times New Roman"/>
          <w:sz w:val="24"/>
          <w:szCs w:val="24"/>
        </w:rPr>
      </w:pPr>
      <w:r w:rsidRPr="008E60D8">
        <w:rPr>
          <w:rFonts w:ascii="Times New Roman" w:hAnsi="Times New Roman" w:cs="Times New Roman"/>
          <w:sz w:val="24"/>
          <w:szCs w:val="24"/>
        </w:rPr>
        <w:t>I have done my best to complete this report as meaningfully and correctly as possible. The information in this report is based on information gathered from the bank's annual reports, internal data, and other internet sources. I believe that my tiresome effort will assist you in moving forward with this type of venture. In this case, it will be meaningful to me</w:t>
      </w:r>
      <w:r>
        <w:rPr>
          <w:rFonts w:ascii="Times New Roman" w:hAnsi="Times New Roman" w:cs="Times New Roman"/>
          <w:sz w:val="24"/>
          <w:szCs w:val="24"/>
        </w:rPr>
        <w:t>.</w:t>
      </w:r>
    </w:p>
    <w:p w14:paraId="0131E0FF" w14:textId="77777777" w:rsidR="002F4FE1" w:rsidRPr="00DE13DE" w:rsidRDefault="002F4FE1" w:rsidP="002F4FE1">
      <w:pPr>
        <w:jc w:val="both"/>
        <w:rPr>
          <w:rFonts w:ascii="Times New Roman" w:hAnsi="Times New Roman" w:cs="Times New Roman"/>
          <w:sz w:val="24"/>
          <w:szCs w:val="24"/>
        </w:rPr>
      </w:pPr>
      <w:r w:rsidRPr="008E60D8">
        <w:rPr>
          <w:rFonts w:ascii="Times New Roman" w:hAnsi="Times New Roman" w:cs="Times New Roman"/>
          <w:sz w:val="24"/>
          <w:szCs w:val="24"/>
        </w:rPr>
        <w:t xml:space="preserve">I sincerely hope you will find this report interesting to read. Feel free to contact me with any questions or requests for clarification. Call me at +8801628102774 or send me an email at islamtowhidul29@gmail.com to get in touch. I hope you will recognize the effort and overlook the small mistakes. </w:t>
      </w:r>
      <w:r w:rsidRPr="00DE13DE">
        <w:rPr>
          <w:rFonts w:ascii="Times New Roman" w:hAnsi="Times New Roman" w:cs="Times New Roman"/>
          <w:sz w:val="24"/>
          <w:szCs w:val="24"/>
        </w:rPr>
        <w:t xml:space="preserve">Thank you for your cooperation. </w:t>
      </w:r>
    </w:p>
    <w:p w14:paraId="719136A1" w14:textId="77777777" w:rsidR="002F4FE1" w:rsidRPr="00DE13DE" w:rsidRDefault="002F4FE1" w:rsidP="002F4FE1">
      <w:pPr>
        <w:jc w:val="both"/>
        <w:rPr>
          <w:rFonts w:ascii="Times New Roman" w:hAnsi="Times New Roman" w:cs="Times New Roman"/>
          <w:sz w:val="24"/>
          <w:szCs w:val="24"/>
        </w:rPr>
      </w:pPr>
    </w:p>
    <w:p w14:paraId="6AE9ADD5" w14:textId="77777777" w:rsidR="002F4FE1" w:rsidRPr="00DE13DE" w:rsidRDefault="002F4FE1" w:rsidP="002F4FE1">
      <w:pPr>
        <w:jc w:val="both"/>
        <w:rPr>
          <w:rFonts w:ascii="Times New Roman" w:hAnsi="Times New Roman" w:cs="Times New Roman"/>
          <w:sz w:val="24"/>
          <w:szCs w:val="24"/>
        </w:rPr>
      </w:pPr>
      <w:r w:rsidRPr="00DE13DE">
        <w:rPr>
          <w:rFonts w:ascii="Times New Roman" w:hAnsi="Times New Roman" w:cs="Times New Roman"/>
          <w:sz w:val="24"/>
          <w:szCs w:val="24"/>
        </w:rPr>
        <w:t>Regards,</w:t>
      </w:r>
    </w:p>
    <w:p w14:paraId="21BEA69D" w14:textId="77777777" w:rsidR="002F4FE1" w:rsidRPr="00DE13DE" w:rsidRDefault="002F4FE1" w:rsidP="002F4FE1">
      <w:pPr>
        <w:jc w:val="both"/>
        <w:rPr>
          <w:rFonts w:ascii="Times New Roman" w:hAnsi="Times New Roman" w:cs="Times New Roman"/>
          <w:sz w:val="24"/>
          <w:szCs w:val="24"/>
        </w:rPr>
      </w:pPr>
      <w:proofErr w:type="spellStart"/>
      <w:r w:rsidRPr="00DE13DE">
        <w:rPr>
          <w:rFonts w:ascii="Times New Roman" w:hAnsi="Times New Roman" w:cs="Times New Roman"/>
          <w:sz w:val="24"/>
          <w:szCs w:val="24"/>
        </w:rPr>
        <w:t>Towhidul</w:t>
      </w:r>
      <w:proofErr w:type="spellEnd"/>
      <w:r w:rsidRPr="00DE13DE">
        <w:rPr>
          <w:rFonts w:ascii="Times New Roman" w:hAnsi="Times New Roman" w:cs="Times New Roman"/>
          <w:sz w:val="24"/>
          <w:szCs w:val="24"/>
        </w:rPr>
        <w:t xml:space="preserve"> Islam </w:t>
      </w:r>
      <w:proofErr w:type="spellStart"/>
      <w:r w:rsidRPr="00DE13DE">
        <w:rPr>
          <w:rFonts w:ascii="Times New Roman" w:hAnsi="Times New Roman" w:cs="Times New Roman"/>
          <w:sz w:val="24"/>
          <w:szCs w:val="24"/>
        </w:rPr>
        <w:t>Chowdhury</w:t>
      </w:r>
      <w:proofErr w:type="spellEnd"/>
    </w:p>
    <w:p w14:paraId="2A0A8D9C" w14:textId="77777777" w:rsidR="002F4FE1" w:rsidRPr="00DE13DE" w:rsidRDefault="002F4FE1" w:rsidP="002F4FE1">
      <w:pPr>
        <w:jc w:val="both"/>
        <w:rPr>
          <w:rFonts w:ascii="Times New Roman" w:hAnsi="Times New Roman" w:cs="Times New Roman"/>
          <w:sz w:val="24"/>
          <w:szCs w:val="24"/>
        </w:rPr>
      </w:pPr>
      <w:r w:rsidRPr="00DE13DE">
        <w:rPr>
          <w:rFonts w:ascii="Times New Roman" w:hAnsi="Times New Roman" w:cs="Times New Roman"/>
          <w:sz w:val="24"/>
          <w:szCs w:val="24"/>
        </w:rPr>
        <w:t>BBA, United International University (UIU)</w:t>
      </w:r>
    </w:p>
    <w:p w14:paraId="71E75277" w14:textId="77777777" w:rsidR="002F4FE1" w:rsidRPr="00DE13DE" w:rsidRDefault="002F4FE1" w:rsidP="002F4FE1">
      <w:pPr>
        <w:jc w:val="both"/>
        <w:rPr>
          <w:rFonts w:ascii="Times New Roman" w:hAnsi="Times New Roman" w:cs="Times New Roman"/>
          <w:sz w:val="24"/>
          <w:szCs w:val="24"/>
        </w:rPr>
      </w:pPr>
      <w:r w:rsidRPr="00DE13DE">
        <w:rPr>
          <w:rFonts w:ascii="Times New Roman" w:hAnsi="Times New Roman" w:cs="Times New Roman"/>
          <w:sz w:val="24"/>
          <w:szCs w:val="24"/>
        </w:rPr>
        <w:t>ID-111182103</w:t>
      </w:r>
    </w:p>
    <w:p w14:paraId="5253934B" w14:textId="77777777" w:rsidR="002F4FE1" w:rsidRPr="005F2905" w:rsidRDefault="002F4FE1" w:rsidP="002F4FE1">
      <w:pPr>
        <w:jc w:val="both"/>
        <w:rPr>
          <w:rFonts w:ascii="Times New Roman" w:hAnsi="Times New Roman" w:cs="Times New Roman"/>
        </w:rPr>
      </w:pPr>
    </w:p>
    <w:p w14:paraId="76C0EB16" w14:textId="77777777" w:rsidR="002F4FE1" w:rsidRPr="00B33256" w:rsidRDefault="002F4FE1" w:rsidP="002F4FE1">
      <w:pPr>
        <w:pStyle w:val="NormalWeb"/>
        <w:spacing w:before="0" w:beforeAutospacing="0" w:after="360" w:afterAutospacing="0" w:line="360" w:lineRule="auto"/>
        <w:jc w:val="center"/>
        <w:textAlignment w:val="baseline"/>
        <w:rPr>
          <w:color w:val="4472C4" w:themeColor="accent1"/>
          <w:u w:val="single"/>
        </w:rPr>
      </w:pPr>
      <w:r w:rsidRPr="00B33256">
        <w:rPr>
          <w:b/>
          <w:color w:val="4472C4" w:themeColor="accent1"/>
          <w:sz w:val="28"/>
          <w:szCs w:val="28"/>
          <w:u w:val="single"/>
        </w:rPr>
        <w:lastRenderedPageBreak/>
        <w:t>Acknowledgement</w:t>
      </w:r>
      <w:r w:rsidRPr="00B33256">
        <w:rPr>
          <w:color w:val="4472C4" w:themeColor="accent1"/>
          <w:u w:val="single"/>
        </w:rPr>
        <w:br/>
      </w:r>
    </w:p>
    <w:p w14:paraId="6207AE57" w14:textId="77777777" w:rsidR="002F4FE1" w:rsidRDefault="002F4FE1" w:rsidP="002F4FE1">
      <w:pPr>
        <w:spacing w:after="0" w:line="360" w:lineRule="auto"/>
        <w:jc w:val="both"/>
        <w:textAlignment w:val="baseline"/>
        <w:rPr>
          <w:rFonts w:ascii="Times New Roman" w:eastAsia="Times New Roman" w:hAnsi="Times New Roman" w:cs="Times New Roman"/>
          <w:color w:val="000000" w:themeColor="text1"/>
          <w:sz w:val="24"/>
          <w:szCs w:val="24"/>
        </w:rPr>
      </w:pPr>
      <w:r w:rsidRPr="003602C3">
        <w:rPr>
          <w:rFonts w:ascii="Times New Roman" w:eastAsia="Times New Roman" w:hAnsi="Times New Roman" w:cs="Times New Roman"/>
          <w:color w:val="000000" w:themeColor="text1"/>
          <w:sz w:val="24"/>
          <w:szCs w:val="24"/>
        </w:rPr>
        <w:t>I did my absolute best to work diligently and honestly to complete this internship report. However, without the generous support and assistance of many people, it would not have been possible. I want to express my sincere gratitude to each and every one of them</w:t>
      </w:r>
      <w:r>
        <w:rPr>
          <w:rFonts w:ascii="Times New Roman" w:eastAsia="Times New Roman" w:hAnsi="Times New Roman" w:cs="Times New Roman"/>
          <w:color w:val="000000" w:themeColor="text1"/>
          <w:sz w:val="24"/>
          <w:szCs w:val="24"/>
        </w:rPr>
        <w:t>.</w:t>
      </w:r>
    </w:p>
    <w:p w14:paraId="5BB8297A" w14:textId="77777777" w:rsidR="002F4FE1" w:rsidRDefault="002F4FE1" w:rsidP="002F4FE1">
      <w:pPr>
        <w:spacing w:after="0" w:line="360" w:lineRule="auto"/>
        <w:jc w:val="both"/>
        <w:textAlignment w:val="baseline"/>
        <w:rPr>
          <w:rFonts w:ascii="Times New Roman" w:eastAsia="Times New Roman" w:hAnsi="Times New Roman" w:cs="Times New Roman"/>
          <w:color w:val="000000" w:themeColor="text1"/>
          <w:sz w:val="24"/>
          <w:szCs w:val="24"/>
        </w:rPr>
      </w:pPr>
      <w:r w:rsidRPr="003602C3">
        <w:rPr>
          <w:rFonts w:ascii="Times New Roman" w:eastAsia="Times New Roman" w:hAnsi="Times New Roman" w:cs="Times New Roman"/>
          <w:color w:val="000000" w:themeColor="text1"/>
          <w:sz w:val="24"/>
          <w:szCs w:val="24"/>
        </w:rPr>
        <w:t xml:space="preserve">I owe a huge debt of gratitude to my boss, Mr. </w:t>
      </w:r>
      <w:proofErr w:type="spellStart"/>
      <w:r w:rsidRPr="003602C3">
        <w:rPr>
          <w:rFonts w:ascii="Times New Roman" w:eastAsia="Times New Roman" w:hAnsi="Times New Roman" w:cs="Times New Roman"/>
          <w:color w:val="000000" w:themeColor="text1"/>
          <w:sz w:val="24"/>
          <w:szCs w:val="24"/>
        </w:rPr>
        <w:t>Nahid</w:t>
      </w:r>
      <w:proofErr w:type="spellEnd"/>
      <w:r w:rsidRPr="003602C3">
        <w:rPr>
          <w:rFonts w:ascii="Times New Roman" w:eastAsia="Times New Roman" w:hAnsi="Times New Roman" w:cs="Times New Roman"/>
          <w:color w:val="000000" w:themeColor="text1"/>
          <w:sz w:val="24"/>
          <w:szCs w:val="24"/>
        </w:rPr>
        <w:t xml:space="preserve"> </w:t>
      </w:r>
      <w:proofErr w:type="spellStart"/>
      <w:r w:rsidRPr="003602C3">
        <w:rPr>
          <w:rFonts w:ascii="Times New Roman" w:eastAsia="Times New Roman" w:hAnsi="Times New Roman" w:cs="Times New Roman"/>
          <w:color w:val="000000" w:themeColor="text1"/>
          <w:sz w:val="24"/>
          <w:szCs w:val="24"/>
        </w:rPr>
        <w:t>Kawser</w:t>
      </w:r>
      <w:proofErr w:type="spellEnd"/>
      <w:r w:rsidRPr="003602C3">
        <w:rPr>
          <w:rFonts w:ascii="Times New Roman" w:eastAsia="Times New Roman" w:hAnsi="Times New Roman" w:cs="Times New Roman"/>
          <w:color w:val="000000" w:themeColor="text1"/>
          <w:sz w:val="24"/>
          <w:szCs w:val="24"/>
        </w:rPr>
        <w:t xml:space="preserve"> </w:t>
      </w:r>
      <w:proofErr w:type="spellStart"/>
      <w:r w:rsidRPr="003602C3">
        <w:rPr>
          <w:rFonts w:ascii="Times New Roman" w:eastAsia="Times New Roman" w:hAnsi="Times New Roman" w:cs="Times New Roman"/>
          <w:color w:val="000000" w:themeColor="text1"/>
          <w:sz w:val="24"/>
          <w:szCs w:val="24"/>
        </w:rPr>
        <w:t>Rahman</w:t>
      </w:r>
      <w:proofErr w:type="spellEnd"/>
      <w:r w:rsidRPr="003602C3">
        <w:rPr>
          <w:rFonts w:ascii="Times New Roman" w:eastAsia="Times New Roman" w:hAnsi="Times New Roman" w:cs="Times New Roman"/>
          <w:color w:val="000000" w:themeColor="text1"/>
          <w:sz w:val="24"/>
          <w:szCs w:val="24"/>
        </w:rPr>
        <w:t xml:space="preserve"> </w:t>
      </w:r>
      <w:proofErr w:type="spellStart"/>
      <w:r w:rsidRPr="003602C3">
        <w:rPr>
          <w:rFonts w:ascii="Times New Roman" w:eastAsia="Times New Roman" w:hAnsi="Times New Roman" w:cs="Times New Roman"/>
          <w:color w:val="000000" w:themeColor="text1"/>
          <w:sz w:val="24"/>
          <w:szCs w:val="24"/>
        </w:rPr>
        <w:t>Shovo</w:t>
      </w:r>
      <w:proofErr w:type="spellEnd"/>
      <w:r w:rsidRPr="003602C3">
        <w:rPr>
          <w:rFonts w:ascii="Times New Roman" w:eastAsia="Times New Roman" w:hAnsi="Times New Roman" w:cs="Times New Roman"/>
          <w:color w:val="000000" w:themeColor="text1"/>
          <w:sz w:val="24"/>
          <w:szCs w:val="24"/>
        </w:rPr>
        <w:t>, Head of Business Finance, The City Bank Limited, for his constant supervision, guidance, and provision of the information I needed to complete the project. I've gained a lot of knowledge working for him</w:t>
      </w:r>
      <w:r>
        <w:rPr>
          <w:rFonts w:ascii="Times New Roman" w:eastAsia="Times New Roman" w:hAnsi="Times New Roman" w:cs="Times New Roman"/>
          <w:color w:val="000000" w:themeColor="text1"/>
          <w:sz w:val="24"/>
          <w:szCs w:val="24"/>
        </w:rPr>
        <w:t>.</w:t>
      </w:r>
    </w:p>
    <w:p w14:paraId="431C2069" w14:textId="77777777" w:rsidR="002F4FE1" w:rsidRDefault="002F4FE1" w:rsidP="002F4FE1">
      <w:pPr>
        <w:spacing w:after="0" w:line="360" w:lineRule="auto"/>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 would also like to thank Mr. Habibur Rahman Khan, Associate Manager, Business Finance, The City Bank Limited, for his constant support during these 3 months of internship. I have gained hands on experience by working with him in some tasks and got a clear picture of how the finance department of a bank works.</w:t>
      </w:r>
    </w:p>
    <w:p w14:paraId="291435FC" w14:textId="77777777" w:rsidR="002F4FE1" w:rsidRPr="003602C3" w:rsidRDefault="002F4FE1" w:rsidP="002F4FE1">
      <w:pPr>
        <w:spacing w:line="360" w:lineRule="auto"/>
        <w:jc w:val="both"/>
        <w:rPr>
          <w:rFonts w:ascii="Times New Roman" w:hAnsi="Times New Roman" w:cs="Times New Roman"/>
          <w:bCs/>
          <w:color w:val="000000" w:themeColor="text1"/>
          <w:sz w:val="24"/>
          <w:szCs w:val="24"/>
        </w:rPr>
      </w:pPr>
      <w:r w:rsidRPr="003602C3">
        <w:rPr>
          <w:rFonts w:ascii="Times New Roman" w:hAnsi="Times New Roman" w:cs="Times New Roman"/>
          <w:bCs/>
          <w:color w:val="000000" w:themeColor="text1"/>
          <w:sz w:val="24"/>
          <w:szCs w:val="24"/>
        </w:rPr>
        <w:t xml:space="preserve">I want to thank the honorable </w:t>
      </w:r>
      <w:r>
        <w:rPr>
          <w:rFonts w:ascii="Times New Roman" w:hAnsi="Times New Roman" w:cs="Times New Roman"/>
          <w:bCs/>
          <w:color w:val="000000" w:themeColor="text1"/>
          <w:sz w:val="24"/>
          <w:szCs w:val="24"/>
        </w:rPr>
        <w:t>faculty,</w:t>
      </w:r>
      <w:r w:rsidRPr="003602C3">
        <w:rPr>
          <w:rFonts w:ascii="Times New Roman" w:hAnsi="Times New Roman" w:cs="Times New Roman"/>
          <w:bCs/>
          <w:color w:val="000000" w:themeColor="text1"/>
          <w:sz w:val="24"/>
          <w:szCs w:val="24"/>
        </w:rPr>
        <w:t xml:space="preserve"> Mr. </w:t>
      </w:r>
      <w:proofErr w:type="spellStart"/>
      <w:r w:rsidRPr="003602C3">
        <w:rPr>
          <w:rFonts w:ascii="Times New Roman" w:hAnsi="Times New Roman" w:cs="Times New Roman"/>
          <w:bCs/>
          <w:color w:val="000000" w:themeColor="text1"/>
          <w:sz w:val="24"/>
          <w:szCs w:val="24"/>
        </w:rPr>
        <w:t>Mosabbir</w:t>
      </w:r>
      <w:proofErr w:type="spellEnd"/>
      <w:r w:rsidRPr="003602C3">
        <w:rPr>
          <w:rFonts w:ascii="Times New Roman" w:hAnsi="Times New Roman" w:cs="Times New Roman"/>
          <w:bCs/>
          <w:color w:val="000000" w:themeColor="text1"/>
          <w:sz w:val="24"/>
          <w:szCs w:val="24"/>
        </w:rPr>
        <w:t xml:space="preserve"> </w:t>
      </w:r>
      <w:proofErr w:type="spellStart"/>
      <w:r w:rsidRPr="003602C3">
        <w:rPr>
          <w:rFonts w:ascii="Times New Roman" w:hAnsi="Times New Roman" w:cs="Times New Roman"/>
          <w:bCs/>
          <w:color w:val="000000" w:themeColor="text1"/>
          <w:sz w:val="24"/>
          <w:szCs w:val="24"/>
        </w:rPr>
        <w:t>Uddin</w:t>
      </w:r>
      <w:proofErr w:type="spellEnd"/>
      <w:r w:rsidRPr="003602C3">
        <w:rPr>
          <w:rFonts w:ascii="Times New Roman" w:hAnsi="Times New Roman" w:cs="Times New Roman"/>
          <w:bCs/>
          <w:color w:val="000000" w:themeColor="text1"/>
          <w:sz w:val="24"/>
          <w:szCs w:val="24"/>
        </w:rPr>
        <w:t xml:space="preserve"> Ahmad, for his kind assistance, advice, and encouragement in helping me finish this project.</w:t>
      </w:r>
    </w:p>
    <w:p w14:paraId="0767D639" w14:textId="77777777" w:rsidR="002F4FE1" w:rsidRPr="003602C3" w:rsidRDefault="002F4FE1" w:rsidP="002F4FE1">
      <w:pPr>
        <w:spacing w:line="360" w:lineRule="auto"/>
        <w:jc w:val="both"/>
        <w:rPr>
          <w:rFonts w:ascii="Times New Roman" w:hAnsi="Times New Roman" w:cs="Times New Roman"/>
          <w:bCs/>
          <w:color w:val="000000" w:themeColor="text1"/>
          <w:sz w:val="24"/>
          <w:szCs w:val="24"/>
        </w:rPr>
      </w:pPr>
      <w:r w:rsidRPr="003602C3">
        <w:rPr>
          <w:rFonts w:ascii="Times New Roman" w:hAnsi="Times New Roman" w:cs="Times New Roman"/>
          <w:bCs/>
          <w:color w:val="000000" w:themeColor="text1"/>
          <w:sz w:val="24"/>
          <w:szCs w:val="24"/>
        </w:rPr>
        <w:t>I want to express my sincere appreciation to The City Bank Limited for giving me such time and attention during my three-month internship.</w:t>
      </w:r>
    </w:p>
    <w:p w14:paraId="3591FBBC" w14:textId="77777777" w:rsidR="002F4FE1" w:rsidRPr="003602C3" w:rsidRDefault="002F4FE1" w:rsidP="002F4FE1">
      <w:pPr>
        <w:jc w:val="both"/>
        <w:rPr>
          <w:rFonts w:ascii="Times New Roman" w:hAnsi="Times New Roman" w:cs="Times New Roman"/>
          <w:b/>
          <w:color w:val="000000" w:themeColor="text1"/>
          <w:sz w:val="24"/>
          <w:szCs w:val="24"/>
        </w:rPr>
      </w:pPr>
    </w:p>
    <w:p w14:paraId="3C732986" w14:textId="77777777" w:rsidR="002F4FE1" w:rsidRDefault="002F4FE1" w:rsidP="002F4FE1">
      <w:pPr>
        <w:jc w:val="both"/>
        <w:rPr>
          <w:rFonts w:ascii="Times New Roman" w:hAnsi="Times New Roman" w:cs="Times New Roman"/>
          <w:b/>
          <w:color w:val="000000" w:themeColor="text1"/>
          <w:sz w:val="24"/>
          <w:szCs w:val="24"/>
        </w:rPr>
      </w:pPr>
    </w:p>
    <w:p w14:paraId="290CC56F" w14:textId="77777777" w:rsidR="002F4FE1" w:rsidRDefault="002F4FE1" w:rsidP="002F4FE1"/>
    <w:p w14:paraId="212BD17A" w14:textId="77777777" w:rsidR="002F4FE1" w:rsidRDefault="002F4FE1"/>
    <w:p w14:paraId="19E957E9" w14:textId="77777777" w:rsidR="002F4FE1" w:rsidRDefault="002F4FE1"/>
    <w:p w14:paraId="16CBA333" w14:textId="77777777" w:rsidR="002F4FE1" w:rsidRDefault="002F4FE1"/>
    <w:p w14:paraId="51984114" w14:textId="77777777" w:rsidR="002F4FE1" w:rsidRDefault="002F4FE1"/>
    <w:p w14:paraId="3FEFEE3C" w14:textId="77777777" w:rsidR="002F4FE1" w:rsidRDefault="002F4FE1"/>
    <w:p w14:paraId="159534BB" w14:textId="77777777" w:rsidR="002F4FE1" w:rsidRDefault="002F4FE1"/>
    <w:p w14:paraId="69971A6F" w14:textId="77777777" w:rsidR="002F4FE1" w:rsidRDefault="002F4FE1"/>
    <w:p w14:paraId="36C090F9" w14:textId="77777777" w:rsidR="002F4FE1" w:rsidRDefault="002F4FE1"/>
    <w:p w14:paraId="073979D6" w14:textId="77777777" w:rsidR="002F4FE1" w:rsidRDefault="002F4FE1"/>
    <w:sdt>
      <w:sdtPr>
        <w:rPr>
          <w:rFonts w:asciiTheme="minorHAnsi" w:eastAsiaTheme="minorEastAsia" w:hAnsiTheme="minorHAnsi" w:cs="Times New Roman"/>
          <w:color w:val="auto"/>
          <w:kern w:val="2"/>
          <w:sz w:val="22"/>
          <w:szCs w:val="22"/>
          <w14:ligatures w14:val="standardContextual"/>
        </w:rPr>
        <w:id w:val="-816412430"/>
        <w:docPartObj>
          <w:docPartGallery w:val="Table of Contents"/>
          <w:docPartUnique/>
        </w:docPartObj>
      </w:sdtPr>
      <w:sdtEndPr>
        <w:rPr>
          <w:rFonts w:eastAsiaTheme="minorHAnsi" w:cstheme="minorBidi"/>
          <w:kern w:val="0"/>
          <w14:ligatures w14:val="none"/>
        </w:rPr>
      </w:sdtEndPr>
      <w:sdtContent>
        <w:p w14:paraId="1D0399EC" w14:textId="77777777" w:rsidR="002F4FE1" w:rsidRPr="00A903A2" w:rsidRDefault="002F4FE1" w:rsidP="002F4FE1">
          <w:pPr>
            <w:pStyle w:val="TOCHeading"/>
            <w:spacing w:line="480" w:lineRule="auto"/>
            <w:jc w:val="center"/>
            <w:rPr>
              <w:rFonts w:ascii="Times New Roman" w:hAnsi="Times New Roman" w:cs="Times New Roman"/>
            </w:rPr>
          </w:pPr>
          <w:r w:rsidRPr="00A903A2">
            <w:rPr>
              <w:rFonts w:ascii="Times New Roman" w:hAnsi="Times New Roman" w:cs="Times New Roman"/>
            </w:rPr>
            <w:t>Table of Content</w:t>
          </w:r>
          <w:r>
            <w:rPr>
              <w:rFonts w:ascii="Times New Roman" w:hAnsi="Times New Roman" w:cs="Times New Roman"/>
            </w:rPr>
            <w:t>s</w:t>
          </w:r>
        </w:p>
        <w:p w14:paraId="2E34BF03" w14:textId="77777777" w:rsidR="002F4FE1" w:rsidRDefault="002F4FE1" w:rsidP="002F4FE1">
          <w:pPr>
            <w:pStyle w:val="TOC1"/>
            <w:spacing w:line="480" w:lineRule="auto"/>
            <w:jc w:val="both"/>
            <w:rPr>
              <w:rFonts w:ascii="Times New Roman" w:hAnsi="Times New Roman"/>
              <w:b/>
              <w:bCs/>
            </w:rPr>
          </w:pPr>
          <w:r w:rsidRPr="00FF71CF">
            <w:rPr>
              <w:rFonts w:ascii="Times New Roman" w:hAnsi="Times New Roman"/>
              <w:b/>
              <w:bCs/>
              <w:i/>
              <w:iCs/>
            </w:rPr>
            <w:t>Executive Summary</w:t>
          </w:r>
          <w:r>
            <w:rPr>
              <w:rFonts w:ascii="Times New Roman" w:hAnsi="Times New Roman"/>
              <w:b/>
              <w:bCs/>
            </w:rPr>
            <w:t xml:space="preserve"> ………………………………………………………………………………… </w:t>
          </w:r>
          <w:r w:rsidRPr="00A15A0B">
            <w:rPr>
              <w:rFonts w:ascii="Times New Roman" w:hAnsi="Times New Roman"/>
              <w:b/>
              <w:bCs/>
              <w:i/>
              <w:iCs/>
            </w:rPr>
            <w:t>viii, ix</w:t>
          </w:r>
        </w:p>
        <w:p w14:paraId="3890AC7C" w14:textId="77777777" w:rsidR="002F4FE1" w:rsidRPr="00A903A2" w:rsidRDefault="002F4FE1" w:rsidP="002F4FE1">
          <w:pPr>
            <w:pStyle w:val="TOC1"/>
            <w:spacing w:line="480" w:lineRule="auto"/>
            <w:jc w:val="both"/>
            <w:rPr>
              <w:rFonts w:ascii="Times New Roman" w:hAnsi="Times New Roman"/>
              <w:b/>
              <w:bCs/>
            </w:rPr>
          </w:pPr>
          <w:r w:rsidRPr="00A903A2">
            <w:rPr>
              <w:rFonts w:ascii="Times New Roman" w:hAnsi="Times New Roman"/>
              <w:b/>
              <w:bCs/>
            </w:rPr>
            <w:t>1.0</w:t>
          </w:r>
          <w:r>
            <w:rPr>
              <w:rFonts w:ascii="Times New Roman" w:hAnsi="Times New Roman"/>
              <w:b/>
              <w:bCs/>
            </w:rPr>
            <w:t xml:space="preserve"> </w:t>
          </w:r>
          <w:r w:rsidRPr="00A903A2">
            <w:rPr>
              <w:rFonts w:ascii="Times New Roman" w:hAnsi="Times New Roman"/>
              <w:b/>
              <w:bCs/>
            </w:rPr>
            <w:t>Introduction</w:t>
          </w:r>
          <w:r>
            <w:rPr>
              <w:rFonts w:ascii="Times New Roman" w:hAnsi="Times New Roman"/>
              <w:b/>
              <w:bCs/>
            </w:rPr>
            <w:t>………………………………………………………………………………………… 1-5</w:t>
          </w:r>
        </w:p>
        <w:p w14:paraId="2135D515" w14:textId="77777777" w:rsidR="002F4FE1" w:rsidRDefault="002F4FE1" w:rsidP="002F4FE1">
          <w:pPr>
            <w:pStyle w:val="TOC2"/>
            <w:spacing w:line="480" w:lineRule="auto"/>
            <w:ind w:left="216"/>
            <w:jc w:val="both"/>
            <w:rPr>
              <w:rFonts w:ascii="Times New Roman" w:hAnsi="Times New Roman"/>
            </w:rPr>
          </w:pPr>
          <w:r>
            <w:rPr>
              <w:rFonts w:ascii="Times New Roman" w:hAnsi="Times New Roman"/>
            </w:rPr>
            <w:t>1.1 Origin of the Report</w:t>
          </w:r>
          <w:r w:rsidRPr="00A903A2">
            <w:rPr>
              <w:rFonts w:ascii="Times New Roman" w:hAnsi="Times New Roman"/>
            </w:rPr>
            <w:ptab w:relativeTo="margin" w:alignment="right" w:leader="dot"/>
          </w:r>
          <w:r>
            <w:rPr>
              <w:rFonts w:ascii="Times New Roman" w:hAnsi="Times New Roman"/>
            </w:rPr>
            <w:t>2</w:t>
          </w:r>
        </w:p>
        <w:p w14:paraId="293C5DC6" w14:textId="77777777" w:rsidR="002F4FE1" w:rsidRDefault="002F4FE1" w:rsidP="002F4FE1">
          <w:pPr>
            <w:pStyle w:val="TOC2"/>
            <w:spacing w:line="480" w:lineRule="auto"/>
            <w:ind w:left="216"/>
            <w:jc w:val="both"/>
            <w:rPr>
              <w:rFonts w:ascii="Times New Roman" w:hAnsi="Times New Roman"/>
            </w:rPr>
          </w:pPr>
          <w:r>
            <w:rPr>
              <w:rFonts w:ascii="Times New Roman" w:hAnsi="Times New Roman"/>
            </w:rPr>
            <w:t>1.2 Background of the Report</w:t>
          </w:r>
          <w:r w:rsidRPr="00A903A2">
            <w:rPr>
              <w:rFonts w:ascii="Times New Roman" w:hAnsi="Times New Roman"/>
            </w:rPr>
            <w:ptab w:relativeTo="margin" w:alignment="right" w:leader="dot"/>
          </w:r>
          <w:r>
            <w:rPr>
              <w:rFonts w:ascii="Times New Roman" w:hAnsi="Times New Roman"/>
            </w:rPr>
            <w:t>2</w:t>
          </w:r>
        </w:p>
        <w:p w14:paraId="0BE631ED" w14:textId="77777777" w:rsidR="002F4FE1" w:rsidRDefault="002F4FE1" w:rsidP="002F4FE1">
          <w:pPr>
            <w:spacing w:line="480" w:lineRule="auto"/>
            <w:jc w:val="both"/>
            <w:rPr>
              <w:rFonts w:ascii="Times New Roman" w:hAnsi="Times New Roman" w:cs="Times New Roman"/>
            </w:rPr>
          </w:pPr>
          <w:r>
            <w:t xml:space="preserve">     </w:t>
          </w:r>
          <w:r w:rsidRPr="00A903A2">
            <w:rPr>
              <w:rFonts w:ascii="Times New Roman" w:hAnsi="Times New Roman" w:cs="Times New Roman"/>
            </w:rPr>
            <w:t>1.3 Objective of the Report</w:t>
          </w:r>
          <w:r>
            <w:rPr>
              <w:rFonts w:ascii="Times New Roman" w:hAnsi="Times New Roman" w:cs="Times New Roman"/>
            </w:rPr>
            <w:t xml:space="preserve"> …………………………………………………………………………….. 2</w:t>
          </w:r>
        </w:p>
        <w:p w14:paraId="1915FF08"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1.4 Scope &amp; Limitation of the Report ………………………………………………………………….. 3</w:t>
          </w:r>
        </w:p>
        <w:p w14:paraId="7BE596A4"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1.5 Methodology of the Report ………………………………………………………………………… 4</w:t>
          </w:r>
        </w:p>
        <w:p w14:paraId="31D10F62" w14:textId="0181066D"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1.6 List of Abbreviations &amp; Technical Terms ……………………………………………………….. 5</w:t>
          </w:r>
        </w:p>
        <w:p w14:paraId="3C47FB8B" w14:textId="77777777" w:rsidR="002F4FE1" w:rsidRDefault="002F4FE1" w:rsidP="002F4FE1">
          <w:pPr>
            <w:spacing w:line="480" w:lineRule="auto"/>
            <w:jc w:val="both"/>
            <w:rPr>
              <w:rFonts w:ascii="Times New Roman" w:hAnsi="Times New Roman" w:cs="Times New Roman"/>
              <w:b/>
              <w:bCs/>
            </w:rPr>
          </w:pPr>
          <w:r w:rsidRPr="00FF4967">
            <w:rPr>
              <w:rFonts w:ascii="Times New Roman" w:hAnsi="Times New Roman" w:cs="Times New Roman"/>
              <w:b/>
              <w:bCs/>
            </w:rPr>
            <w:t>2.0 Company Overview ………………………………………………………………………………</w:t>
          </w:r>
          <w:r>
            <w:rPr>
              <w:rFonts w:ascii="Times New Roman" w:hAnsi="Times New Roman" w:cs="Times New Roman"/>
              <w:b/>
              <w:bCs/>
            </w:rPr>
            <w:t xml:space="preserve"> 6-12</w:t>
          </w:r>
        </w:p>
        <w:p w14:paraId="3089CE47"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2.1 History of The City Bank Limited …………………………………………………………………. 7</w:t>
          </w:r>
        </w:p>
        <w:p w14:paraId="31BB37E9"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2.2 Overview of The City Bank Limited ………………………………………………………………. 7</w:t>
          </w:r>
        </w:p>
        <w:p w14:paraId="765CAF5F" w14:textId="72C37A09"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2.3 Mission, Vision &amp; Core Values ………………………………………………………………….. 8</w:t>
          </w:r>
        </w:p>
        <w:p w14:paraId="5CC0C586" w14:textId="5C2C35DE"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2.4 SWOT Analysis ………………………………………………………………………………….. 9</w:t>
          </w:r>
        </w:p>
        <w:p w14:paraId="6A6682D0"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2.5 Porter’s Five Forces Model ……………………………………………………………………….. 10</w:t>
          </w:r>
        </w:p>
        <w:p w14:paraId="79B55D4B"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2.6 Subsidiaries of </w:t>
          </w:r>
          <w:proofErr w:type="gramStart"/>
          <w:r>
            <w:rPr>
              <w:rFonts w:ascii="Times New Roman" w:hAnsi="Times New Roman" w:cs="Times New Roman"/>
            </w:rPr>
            <w:t>The</w:t>
          </w:r>
          <w:proofErr w:type="gramEnd"/>
          <w:r>
            <w:rPr>
              <w:rFonts w:ascii="Times New Roman" w:hAnsi="Times New Roman" w:cs="Times New Roman"/>
            </w:rPr>
            <w:t xml:space="preserve"> City Bank Limited ……………………………………………………….. 11-12</w:t>
          </w:r>
        </w:p>
        <w:p w14:paraId="3DC9107D" w14:textId="77777777" w:rsidR="002F4FE1" w:rsidRDefault="002F4FE1" w:rsidP="002F4FE1">
          <w:pPr>
            <w:spacing w:line="480" w:lineRule="auto"/>
            <w:jc w:val="both"/>
            <w:rPr>
              <w:rFonts w:ascii="Times New Roman" w:hAnsi="Times New Roman" w:cs="Times New Roman"/>
              <w:b/>
              <w:bCs/>
            </w:rPr>
          </w:pPr>
        </w:p>
        <w:p w14:paraId="658A6A31" w14:textId="77777777" w:rsidR="002F4FE1" w:rsidRDefault="002F4FE1" w:rsidP="002F4FE1">
          <w:pPr>
            <w:spacing w:line="480" w:lineRule="auto"/>
            <w:jc w:val="both"/>
            <w:rPr>
              <w:rFonts w:ascii="Times New Roman" w:hAnsi="Times New Roman" w:cs="Times New Roman"/>
              <w:b/>
              <w:bCs/>
            </w:rPr>
          </w:pPr>
          <w:r w:rsidRPr="003C18A2">
            <w:rPr>
              <w:rFonts w:ascii="Times New Roman" w:hAnsi="Times New Roman" w:cs="Times New Roman"/>
              <w:b/>
              <w:bCs/>
            </w:rPr>
            <w:t>3.0 Internship Experience ……………………………………………………………………</w:t>
          </w:r>
          <w:r>
            <w:rPr>
              <w:rFonts w:ascii="Times New Roman" w:hAnsi="Times New Roman" w:cs="Times New Roman"/>
              <w:b/>
              <w:bCs/>
            </w:rPr>
            <w:t>…….. 13-16</w:t>
          </w:r>
        </w:p>
        <w:p w14:paraId="0A18D164"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 xml:space="preserve"> 3.1 Work Description …………………………………………………………………………………. 14</w:t>
          </w:r>
        </w:p>
        <w:p w14:paraId="752598E8" w14:textId="0E85D5C9"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3.2 Tasks Performed During Internship Period …………………………………………………….. 15</w:t>
          </w:r>
        </w:p>
        <w:p w14:paraId="3E67E33C" w14:textId="08129403" w:rsidR="002F4FE1" w:rsidRDefault="002F4FE1" w:rsidP="002F4FE1">
          <w:pPr>
            <w:spacing w:line="480" w:lineRule="auto"/>
            <w:jc w:val="both"/>
            <w:rPr>
              <w:rFonts w:ascii="Times New Roman" w:hAnsi="Times New Roman" w:cs="Times New Roman"/>
            </w:rPr>
          </w:pPr>
          <w:r>
            <w:rPr>
              <w:rFonts w:ascii="Times New Roman" w:hAnsi="Times New Roman" w:cs="Times New Roman"/>
            </w:rPr>
            <w:lastRenderedPageBreak/>
            <w:t xml:space="preserve">    3.3 Personal Experience at </w:t>
          </w:r>
          <w:proofErr w:type="gramStart"/>
          <w:r>
            <w:rPr>
              <w:rFonts w:ascii="Times New Roman" w:hAnsi="Times New Roman" w:cs="Times New Roman"/>
            </w:rPr>
            <w:t>The</w:t>
          </w:r>
          <w:proofErr w:type="gramEnd"/>
          <w:r>
            <w:rPr>
              <w:rFonts w:ascii="Times New Roman" w:hAnsi="Times New Roman" w:cs="Times New Roman"/>
            </w:rPr>
            <w:t xml:space="preserve"> City Bank Limited ………………………………………………… 16</w:t>
          </w:r>
        </w:p>
        <w:p w14:paraId="32853E74" w14:textId="1BFCCF17" w:rsidR="002F4FE1" w:rsidRDefault="002F4FE1" w:rsidP="002F4FE1">
          <w:pPr>
            <w:spacing w:line="480" w:lineRule="auto"/>
            <w:jc w:val="both"/>
            <w:rPr>
              <w:rFonts w:ascii="Times New Roman" w:hAnsi="Times New Roman" w:cs="Times New Roman"/>
              <w:b/>
              <w:bCs/>
            </w:rPr>
          </w:pPr>
          <w:r w:rsidRPr="003C18A2">
            <w:rPr>
              <w:rFonts w:ascii="Times New Roman" w:hAnsi="Times New Roman" w:cs="Times New Roman"/>
              <w:b/>
              <w:bCs/>
            </w:rPr>
            <w:t xml:space="preserve">4.0 Five Years Financial Performance of </w:t>
          </w:r>
          <w:proofErr w:type="gramStart"/>
          <w:r w:rsidRPr="003C18A2">
            <w:rPr>
              <w:rFonts w:ascii="Times New Roman" w:hAnsi="Times New Roman" w:cs="Times New Roman"/>
              <w:b/>
              <w:bCs/>
            </w:rPr>
            <w:t>The</w:t>
          </w:r>
          <w:proofErr w:type="gramEnd"/>
          <w:r w:rsidRPr="003C18A2">
            <w:rPr>
              <w:rFonts w:ascii="Times New Roman" w:hAnsi="Times New Roman" w:cs="Times New Roman"/>
              <w:b/>
              <w:bCs/>
            </w:rPr>
            <w:t xml:space="preserve"> City Bank Limited …………………………….</w:t>
          </w:r>
          <w:r>
            <w:rPr>
              <w:rFonts w:ascii="Times New Roman" w:hAnsi="Times New Roman" w:cs="Times New Roman"/>
              <w:b/>
              <w:bCs/>
            </w:rPr>
            <w:t>.. 17-35</w:t>
          </w:r>
        </w:p>
        <w:p w14:paraId="3CB9B0D2" w14:textId="77777777" w:rsidR="002F4FE1" w:rsidRDefault="002F4FE1" w:rsidP="002F4FE1">
          <w:pPr>
            <w:spacing w:line="480" w:lineRule="auto"/>
            <w:jc w:val="both"/>
            <w:rPr>
              <w:rFonts w:ascii="Times New Roman" w:hAnsi="Times New Roman" w:cs="Times New Roman"/>
            </w:rPr>
          </w:pPr>
          <w:r w:rsidRPr="006F5A6E">
            <w:rPr>
              <w:rFonts w:ascii="Times New Roman" w:hAnsi="Times New Roman" w:cs="Times New Roman"/>
            </w:rPr>
            <w:t xml:space="preserve">    4.1 Balance Sheet Components …………………………</w:t>
          </w:r>
          <w:r>
            <w:rPr>
              <w:rFonts w:ascii="Times New Roman" w:hAnsi="Times New Roman" w:cs="Times New Roman"/>
            </w:rPr>
            <w:t>………………………………………… 18-23</w:t>
          </w:r>
        </w:p>
        <w:p w14:paraId="3AC14979"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4.2 Income Statement Components ……………………………………………………………….. 23-25</w:t>
          </w:r>
        </w:p>
        <w:p w14:paraId="242C70FD"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4.3 BIS Capital Measures …………………………………………………………………………. 26-27</w:t>
          </w:r>
        </w:p>
        <w:p w14:paraId="57F75F11"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4.4 Credit Quality …………………………………………………………………………………. 27-28</w:t>
          </w:r>
        </w:p>
        <w:p w14:paraId="4807021E"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4.5 Efficiency/Productivity Ratios ………………………………………………………………… 29-33</w:t>
          </w:r>
        </w:p>
        <w:p w14:paraId="4FE904CD"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4.6 Share Information ……………………………………………………………………………... 33-35</w:t>
          </w:r>
        </w:p>
        <w:p w14:paraId="396A0663" w14:textId="77777777" w:rsidR="002F4FE1" w:rsidRDefault="002F4FE1" w:rsidP="002F4FE1">
          <w:pPr>
            <w:spacing w:line="480" w:lineRule="auto"/>
            <w:jc w:val="both"/>
            <w:rPr>
              <w:rFonts w:ascii="Times New Roman" w:hAnsi="Times New Roman" w:cs="Times New Roman"/>
              <w:b/>
              <w:bCs/>
            </w:rPr>
          </w:pPr>
          <w:r w:rsidRPr="00305DC6">
            <w:rPr>
              <w:rFonts w:ascii="Times New Roman" w:hAnsi="Times New Roman" w:cs="Times New Roman"/>
              <w:b/>
              <w:bCs/>
            </w:rPr>
            <w:t>5.0 Comparison with Industry</w:t>
          </w:r>
          <w:r>
            <w:rPr>
              <w:rFonts w:ascii="Times New Roman" w:hAnsi="Times New Roman" w:cs="Times New Roman"/>
              <w:b/>
              <w:bCs/>
            </w:rPr>
            <w:t xml:space="preserve"> ……………………………………………………………………... 36-42</w:t>
          </w:r>
        </w:p>
        <w:p w14:paraId="3383DC9B"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5.1 Comparison with Industry Average 2021 ……………………………………………………... 37-38</w:t>
          </w:r>
        </w:p>
        <w:p w14:paraId="64B2FB93"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5.2 Comparison with Industry Average 2020 …………………………………………………….. 39-40</w:t>
          </w:r>
        </w:p>
        <w:p w14:paraId="416A2B5E" w14:textId="41CCF6F3"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5.3 Comparison with Industry Average 2019 …………………………………………………... 41-42</w:t>
          </w:r>
        </w:p>
        <w:p w14:paraId="210E7D62" w14:textId="77777777" w:rsidR="002F4FE1" w:rsidRDefault="002F4FE1" w:rsidP="002F4FE1">
          <w:pPr>
            <w:spacing w:line="480" w:lineRule="auto"/>
            <w:jc w:val="both"/>
            <w:rPr>
              <w:rFonts w:ascii="Times New Roman" w:hAnsi="Times New Roman" w:cs="Times New Roman"/>
              <w:b/>
              <w:bCs/>
            </w:rPr>
          </w:pPr>
          <w:r w:rsidRPr="00084B2C">
            <w:rPr>
              <w:rFonts w:ascii="Times New Roman" w:hAnsi="Times New Roman" w:cs="Times New Roman"/>
              <w:b/>
              <w:bCs/>
            </w:rPr>
            <w:t>6.0 Suggestion &amp; Recommendat</w:t>
          </w:r>
          <w:r>
            <w:rPr>
              <w:rFonts w:ascii="Times New Roman" w:hAnsi="Times New Roman" w:cs="Times New Roman"/>
              <w:b/>
              <w:bCs/>
            </w:rPr>
            <w:t>ion ……………………………………………………………….  43-45</w:t>
          </w:r>
        </w:p>
        <w:p w14:paraId="43ECCFF9"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6.1 Suggestion &amp; Recommendation ………………………………………………………………… 44</w:t>
          </w:r>
        </w:p>
        <w:p w14:paraId="6EF36636" w14:textId="77777777" w:rsidR="002F4FE1" w:rsidRDefault="002F4FE1" w:rsidP="002F4FE1">
          <w:pPr>
            <w:spacing w:line="480" w:lineRule="auto"/>
            <w:jc w:val="both"/>
            <w:rPr>
              <w:rFonts w:ascii="Times New Roman" w:hAnsi="Times New Roman" w:cs="Times New Roman"/>
            </w:rPr>
          </w:pPr>
          <w:r>
            <w:rPr>
              <w:rFonts w:ascii="Times New Roman" w:hAnsi="Times New Roman" w:cs="Times New Roman"/>
            </w:rPr>
            <w:t xml:space="preserve">     6.2 Conclusion ………………………………………………………………………………………. 45</w:t>
          </w:r>
        </w:p>
        <w:p w14:paraId="0AA50EE5" w14:textId="77777777" w:rsidR="002F4FE1" w:rsidRDefault="002F4FE1" w:rsidP="002F4FE1">
          <w:pPr>
            <w:spacing w:line="480" w:lineRule="auto"/>
            <w:jc w:val="both"/>
            <w:rPr>
              <w:rFonts w:ascii="Times New Roman" w:hAnsi="Times New Roman" w:cs="Times New Roman"/>
            </w:rPr>
          </w:pPr>
          <w:r w:rsidRPr="00EC3C6B">
            <w:rPr>
              <w:rFonts w:ascii="Times New Roman" w:hAnsi="Times New Roman" w:cs="Times New Roman"/>
              <w:b/>
              <w:bCs/>
            </w:rPr>
            <w:t>References</w:t>
          </w:r>
          <w:r>
            <w:rPr>
              <w:rFonts w:ascii="Times New Roman" w:hAnsi="Times New Roman" w:cs="Times New Roman"/>
            </w:rPr>
            <w:t xml:space="preserve"> ……………………………………………………………………………………………… A1</w:t>
          </w:r>
        </w:p>
        <w:p w14:paraId="7939229B" w14:textId="77777777" w:rsidR="002F4FE1" w:rsidRPr="00EC3C6B" w:rsidRDefault="002F4FE1" w:rsidP="002F4FE1">
          <w:pPr>
            <w:spacing w:line="480" w:lineRule="auto"/>
            <w:jc w:val="both"/>
            <w:rPr>
              <w:rFonts w:ascii="Times New Roman" w:hAnsi="Times New Roman" w:cs="Times New Roman"/>
            </w:rPr>
          </w:pPr>
          <w:r w:rsidRPr="00EC3C6B">
            <w:rPr>
              <w:rFonts w:ascii="Times New Roman" w:hAnsi="Times New Roman" w:cs="Times New Roman"/>
              <w:b/>
              <w:bCs/>
            </w:rPr>
            <w:t>Glossary</w:t>
          </w:r>
          <w:r>
            <w:rPr>
              <w:rFonts w:ascii="Times New Roman" w:hAnsi="Times New Roman" w:cs="Times New Roman"/>
            </w:rPr>
            <w:t xml:space="preserve"> ………………………………………………………………………………………………… B1</w:t>
          </w:r>
        </w:p>
      </w:sdtContent>
    </w:sdt>
    <w:p w14:paraId="7FFD942B" w14:textId="77777777" w:rsidR="002F4FE1" w:rsidRDefault="002F4FE1"/>
    <w:p w14:paraId="03270E6C" w14:textId="77777777" w:rsidR="002F4FE1" w:rsidRDefault="002F4FE1"/>
    <w:p w14:paraId="6F2A9C92" w14:textId="77777777" w:rsidR="0036570C" w:rsidRDefault="0036570C"/>
    <w:p w14:paraId="654B6915" w14:textId="77777777" w:rsidR="002F4FE1" w:rsidRDefault="002F4FE1" w:rsidP="002F4FE1">
      <w:pPr>
        <w:spacing w:after="0" w:line="360" w:lineRule="auto"/>
        <w:jc w:val="center"/>
        <w:rPr>
          <w:rFonts w:ascii="Times New Roman" w:hAnsi="Times New Roman" w:cs="Times New Roman"/>
          <w:b/>
          <w:bCs/>
          <w:color w:val="4472C4" w:themeColor="accent1"/>
          <w:sz w:val="28"/>
          <w:szCs w:val="28"/>
          <w:u w:val="single"/>
        </w:rPr>
      </w:pPr>
      <w:r w:rsidRPr="007006E0">
        <w:rPr>
          <w:rFonts w:ascii="Times New Roman" w:hAnsi="Times New Roman" w:cs="Times New Roman"/>
          <w:b/>
          <w:bCs/>
          <w:color w:val="4472C4" w:themeColor="accent1"/>
          <w:sz w:val="28"/>
          <w:szCs w:val="28"/>
          <w:u w:val="single"/>
        </w:rPr>
        <w:lastRenderedPageBreak/>
        <w:t>Executive Summary</w:t>
      </w:r>
    </w:p>
    <w:p w14:paraId="190B46F0" w14:textId="77777777" w:rsidR="002F4FE1" w:rsidRDefault="002F4FE1" w:rsidP="002F4FE1">
      <w:p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This report has been divided into six chapters. The summary of each chapter is discussed below. </w:t>
      </w:r>
      <w:r w:rsidRPr="00967AE4">
        <w:rPr>
          <w:rFonts w:ascii="Times New Roman" w:hAnsi="Times New Roman" w:cs="Times New Roman"/>
          <w:b/>
          <w:bCs/>
          <w:color w:val="000000" w:themeColor="text1"/>
          <w:sz w:val="24"/>
          <w:szCs w:val="24"/>
        </w:rPr>
        <w:t>Introduction:</w:t>
      </w:r>
      <w:r>
        <w:rPr>
          <w:rFonts w:ascii="Times New Roman" w:hAnsi="Times New Roman" w:cs="Times New Roman"/>
          <w:color w:val="000000" w:themeColor="text1"/>
          <w:sz w:val="24"/>
          <w:szCs w:val="24"/>
        </w:rPr>
        <w:t xml:space="preserve"> I have done my internship at the Head Office of City Bank Limited in the Business Finance Department. The internship duration was 3 months starting from 15</w:t>
      </w:r>
      <w:r w:rsidRPr="00223D45">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January 2023 to 15</w:t>
      </w:r>
      <w:r w:rsidRPr="00223D45">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April 2023. The main objective of this report is t</w:t>
      </w:r>
      <w:r w:rsidRPr="007430FB">
        <w:rPr>
          <w:rFonts w:ascii="Times New Roman" w:hAnsi="Times New Roman" w:cs="Times New Roman"/>
          <w:color w:val="000000" w:themeColor="text1"/>
          <w:sz w:val="24"/>
          <w:szCs w:val="24"/>
        </w:rPr>
        <w:t xml:space="preserve">o evaluate </w:t>
      </w:r>
      <w:r>
        <w:rPr>
          <w:rFonts w:ascii="Times New Roman" w:hAnsi="Times New Roman" w:cs="Times New Roman"/>
          <w:color w:val="000000" w:themeColor="text1"/>
          <w:sz w:val="24"/>
          <w:szCs w:val="24"/>
        </w:rPr>
        <w:t xml:space="preserve">City Bank’s </w:t>
      </w:r>
      <w:r w:rsidRPr="007430FB">
        <w:rPr>
          <w:rFonts w:ascii="Times New Roman" w:hAnsi="Times New Roman" w:cs="Times New Roman"/>
          <w:color w:val="000000" w:themeColor="text1"/>
          <w:sz w:val="24"/>
          <w:szCs w:val="24"/>
        </w:rPr>
        <w:t>financial health</w:t>
      </w:r>
      <w:r>
        <w:rPr>
          <w:rFonts w:ascii="Times New Roman" w:hAnsi="Times New Roman" w:cs="Times New Roman"/>
          <w:color w:val="000000" w:themeColor="text1"/>
          <w:sz w:val="24"/>
          <w:szCs w:val="24"/>
        </w:rPr>
        <w:t xml:space="preserve"> and to be aware of all the activities of CBL</w:t>
      </w:r>
      <w:r w:rsidRPr="007430FB">
        <w:rPr>
          <w:rFonts w:ascii="Times New Roman" w:hAnsi="Times New Roman" w:cs="Times New Roman"/>
          <w:color w:val="000000" w:themeColor="text1"/>
          <w:sz w:val="24"/>
          <w:szCs w:val="24"/>
        </w:rPr>
        <w:t>.</w:t>
      </w:r>
      <w:r w:rsidRPr="00DA51C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One of the biggest scopes of the study was that I got to collect the data directly from the members of the Business Finance team.</w:t>
      </w:r>
      <w:r w:rsidRPr="00DA51C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main limitation of the report was c</w:t>
      </w:r>
      <w:r w:rsidRPr="00EE7134">
        <w:rPr>
          <w:rFonts w:ascii="Times New Roman" w:hAnsi="Times New Roman" w:cs="Times New Roman"/>
          <w:color w:val="000000" w:themeColor="text1"/>
          <w:sz w:val="24"/>
          <w:szCs w:val="24"/>
        </w:rPr>
        <w:t xml:space="preserve">ollecting all types of data and information </w:t>
      </w:r>
      <w:r>
        <w:rPr>
          <w:rFonts w:ascii="Times New Roman" w:hAnsi="Times New Roman" w:cs="Times New Roman"/>
          <w:color w:val="000000" w:themeColor="text1"/>
          <w:sz w:val="24"/>
          <w:szCs w:val="24"/>
        </w:rPr>
        <w:t>because it was</w:t>
      </w:r>
      <w:r w:rsidRPr="00EE7134">
        <w:rPr>
          <w:rFonts w:ascii="Times New Roman" w:hAnsi="Times New Roman" w:cs="Times New Roman"/>
          <w:color w:val="000000" w:themeColor="text1"/>
          <w:sz w:val="24"/>
          <w:szCs w:val="24"/>
        </w:rPr>
        <w:t xml:space="preserve"> not supported by </w:t>
      </w:r>
      <w:r>
        <w:rPr>
          <w:rFonts w:ascii="Times New Roman" w:hAnsi="Times New Roman" w:cs="Times New Roman"/>
          <w:color w:val="000000" w:themeColor="text1"/>
          <w:sz w:val="24"/>
          <w:szCs w:val="24"/>
        </w:rPr>
        <w:t xml:space="preserve">the </w:t>
      </w:r>
      <w:r w:rsidRPr="00EE7134">
        <w:rPr>
          <w:rFonts w:ascii="Times New Roman" w:hAnsi="Times New Roman" w:cs="Times New Roman"/>
          <w:color w:val="000000" w:themeColor="text1"/>
          <w:sz w:val="24"/>
          <w:szCs w:val="24"/>
        </w:rPr>
        <w:t>banking policy.</w:t>
      </w:r>
      <w:r>
        <w:rPr>
          <w:rFonts w:ascii="Times New Roman" w:hAnsi="Times New Roman" w:cs="Times New Roman"/>
          <w:color w:val="000000" w:themeColor="text1"/>
          <w:sz w:val="24"/>
          <w:szCs w:val="24"/>
        </w:rPr>
        <w:t xml:space="preserve"> This report has been prepared using both primary and secondary data. The primary data includes interviewing some of the members of the Business Finance team and the secondary data was collected from the annual reports of CBL and from the excel file of my line manager.</w:t>
      </w:r>
      <w:r w:rsidRPr="0053504F">
        <w:rPr>
          <w:rFonts w:ascii="Times New Roman" w:hAnsi="Times New Roman" w:cs="Times New Roman"/>
          <w:sz w:val="24"/>
          <w:szCs w:val="24"/>
        </w:rPr>
        <w:t xml:space="preserve"> </w:t>
      </w:r>
      <w:r w:rsidRPr="00D7611C">
        <w:rPr>
          <w:rFonts w:ascii="Times New Roman" w:hAnsi="Times New Roman" w:cs="Times New Roman"/>
          <w:sz w:val="24"/>
          <w:szCs w:val="24"/>
        </w:rPr>
        <w:t xml:space="preserve">The data has been analyzed using </w:t>
      </w:r>
      <w:r>
        <w:rPr>
          <w:rFonts w:ascii="Times New Roman" w:hAnsi="Times New Roman" w:cs="Times New Roman"/>
          <w:sz w:val="24"/>
          <w:szCs w:val="24"/>
        </w:rPr>
        <w:t xml:space="preserve">both </w:t>
      </w:r>
      <w:r w:rsidRPr="00D7611C">
        <w:rPr>
          <w:rFonts w:ascii="Times New Roman" w:hAnsi="Times New Roman" w:cs="Times New Roman"/>
          <w:sz w:val="24"/>
          <w:szCs w:val="24"/>
        </w:rPr>
        <w:t>quantitative</w:t>
      </w:r>
      <w:r>
        <w:rPr>
          <w:rFonts w:ascii="Times New Roman" w:hAnsi="Times New Roman" w:cs="Times New Roman"/>
          <w:sz w:val="24"/>
          <w:szCs w:val="24"/>
        </w:rPr>
        <w:t xml:space="preserve"> and qualitative</w:t>
      </w:r>
      <w:r w:rsidRPr="00D7611C">
        <w:rPr>
          <w:rFonts w:ascii="Times New Roman" w:hAnsi="Times New Roman" w:cs="Times New Roman"/>
          <w:sz w:val="24"/>
          <w:szCs w:val="24"/>
        </w:rPr>
        <w:t xml:space="preserve"> method</w:t>
      </w:r>
      <w:r>
        <w:rPr>
          <w:rFonts w:ascii="Times New Roman" w:hAnsi="Times New Roman" w:cs="Times New Roman"/>
          <w:sz w:val="24"/>
          <w:szCs w:val="24"/>
        </w:rPr>
        <w:t xml:space="preserve"> and is presented </w:t>
      </w:r>
      <w:r w:rsidRPr="00D14E04">
        <w:rPr>
          <w:rFonts w:ascii="Times New Roman" w:hAnsi="Times New Roman" w:cs="Times New Roman"/>
          <w:sz w:val="24"/>
          <w:szCs w:val="24"/>
        </w:rPr>
        <w:t xml:space="preserve">in written format as well as with the assistance of </w:t>
      </w:r>
      <w:r>
        <w:rPr>
          <w:rFonts w:ascii="Times New Roman" w:hAnsi="Times New Roman" w:cs="Times New Roman"/>
          <w:sz w:val="24"/>
          <w:szCs w:val="24"/>
        </w:rPr>
        <w:t>tables, column graphs etc.</w:t>
      </w:r>
    </w:p>
    <w:p w14:paraId="60AD25C6" w14:textId="77777777" w:rsidR="002F4FE1" w:rsidRDefault="002F4FE1" w:rsidP="002F4FE1">
      <w:pPr>
        <w:spacing w:after="0" w:line="360" w:lineRule="auto"/>
        <w:jc w:val="both"/>
        <w:rPr>
          <w:rFonts w:ascii="Times New Roman" w:hAnsi="Times New Roman" w:cs="Times New Roman"/>
          <w:color w:val="000000" w:themeColor="text1"/>
          <w:sz w:val="24"/>
          <w:szCs w:val="24"/>
        </w:rPr>
      </w:pPr>
      <w:r w:rsidRPr="00A247A9">
        <w:rPr>
          <w:rFonts w:ascii="Times New Roman" w:hAnsi="Times New Roman" w:cs="Times New Roman"/>
          <w:b/>
          <w:bCs/>
          <w:sz w:val="24"/>
          <w:szCs w:val="24"/>
        </w:rPr>
        <w:t>Company Overview:</w:t>
      </w:r>
      <w:r w:rsidRPr="00A247A9">
        <w:rPr>
          <w:rFonts w:ascii="Times New Roman" w:hAnsi="Times New Roman" w:cs="Times New Roman"/>
          <w:sz w:val="24"/>
          <w:szCs w:val="24"/>
        </w:rPr>
        <w:t xml:space="preserve"> The second chapter is completely about the overview of The City Bank Limited. Firstly, I have included the history of The City Bank Limited, where I have discussed about how the bank </w:t>
      </w:r>
      <w:r>
        <w:rPr>
          <w:rFonts w:ascii="Times New Roman" w:hAnsi="Times New Roman" w:cs="Times New Roman"/>
          <w:sz w:val="24"/>
          <w:szCs w:val="24"/>
        </w:rPr>
        <w:t>was</w:t>
      </w:r>
      <w:r w:rsidRPr="00A247A9">
        <w:rPr>
          <w:rFonts w:ascii="Times New Roman" w:hAnsi="Times New Roman" w:cs="Times New Roman"/>
          <w:sz w:val="24"/>
          <w:szCs w:val="24"/>
        </w:rPr>
        <w:t xml:space="preserve"> established in 1983 by 12 young businessmen to how it ended up being one of the top private commercial banks in Bangladesh. Then, I have also discussed about their mission, vision and core values and also the awards and accolades they have received in 2021. After that, I have done the SWOT Analysis where the main strength of C</w:t>
      </w:r>
      <w:r>
        <w:rPr>
          <w:rFonts w:ascii="Times New Roman" w:hAnsi="Times New Roman" w:cs="Times New Roman"/>
          <w:sz w:val="24"/>
          <w:szCs w:val="24"/>
        </w:rPr>
        <w:t>BL</w:t>
      </w:r>
      <w:r w:rsidRPr="00A247A9">
        <w:rPr>
          <w:rFonts w:ascii="Times New Roman" w:hAnsi="Times New Roman" w:cs="Times New Roman"/>
          <w:sz w:val="24"/>
          <w:szCs w:val="24"/>
        </w:rPr>
        <w:t xml:space="preserve"> is the trust of the customers that they have built from the first day of operation. Another strength is their credit card business where CBL holds the market leader position. One of the major weaknesses of CBL is the </w:t>
      </w:r>
      <w:r w:rsidRPr="00A247A9">
        <w:rPr>
          <w:rFonts w:ascii="Times New Roman" w:hAnsi="Times New Roman" w:cs="Times New Roman"/>
          <w:color w:val="000000" w:themeColor="text1"/>
          <w:sz w:val="24"/>
          <w:szCs w:val="24"/>
        </w:rPr>
        <w:t xml:space="preserve">retention of talented people within the organization. </w:t>
      </w:r>
      <w:r>
        <w:rPr>
          <w:rFonts w:ascii="Times New Roman" w:hAnsi="Times New Roman" w:cs="Times New Roman"/>
          <w:color w:val="000000" w:themeColor="text1"/>
          <w:sz w:val="24"/>
          <w:szCs w:val="24"/>
        </w:rPr>
        <w:t>Then, Porter’s Five Forces Model of CBL has been analyzed. Lastly, I have discussed about the subsidiaries of CBL</w:t>
      </w:r>
      <w:r w:rsidRPr="00A247A9">
        <w:rPr>
          <w:rFonts w:ascii="Times New Roman" w:hAnsi="Times New Roman" w:cs="Times New Roman"/>
          <w:color w:val="000000" w:themeColor="text1"/>
          <w:sz w:val="24"/>
          <w:szCs w:val="24"/>
        </w:rPr>
        <w:t>: City Brokerage Limited, City Bank Capital Resources, CBL Money Transfer SDN. BHD, City Hong Kong Limited</w:t>
      </w:r>
      <w:r>
        <w:rPr>
          <w:rFonts w:ascii="Times New Roman" w:hAnsi="Times New Roman" w:cs="Times New Roman"/>
          <w:color w:val="000000" w:themeColor="text1"/>
          <w:sz w:val="24"/>
          <w:szCs w:val="24"/>
        </w:rPr>
        <w:t>.</w:t>
      </w:r>
    </w:p>
    <w:p w14:paraId="6D8F0CCC" w14:textId="77777777" w:rsidR="002F4FE1" w:rsidRDefault="002F4FE1" w:rsidP="002F4FE1">
      <w:pPr>
        <w:spacing w:after="0" w:line="360" w:lineRule="auto"/>
        <w:jc w:val="both"/>
        <w:rPr>
          <w:rFonts w:ascii="Times New Roman" w:hAnsi="Times New Roman" w:cs="Times New Roman"/>
          <w:color w:val="000000" w:themeColor="text1"/>
          <w:sz w:val="24"/>
          <w:szCs w:val="24"/>
        </w:rPr>
      </w:pPr>
      <w:r w:rsidRPr="008D44BB">
        <w:rPr>
          <w:rFonts w:ascii="Times New Roman" w:hAnsi="Times New Roman" w:cs="Times New Roman"/>
          <w:b/>
          <w:bCs/>
          <w:color w:val="000000" w:themeColor="text1"/>
          <w:sz w:val="24"/>
          <w:szCs w:val="24"/>
        </w:rPr>
        <w:t>Internship Experience:</w:t>
      </w:r>
      <w:r>
        <w:rPr>
          <w:rFonts w:ascii="Times New Roman" w:hAnsi="Times New Roman" w:cs="Times New Roman"/>
          <w:color w:val="000000" w:themeColor="text1"/>
          <w:sz w:val="24"/>
          <w:szCs w:val="24"/>
        </w:rPr>
        <w:t xml:space="preserve"> </w:t>
      </w:r>
      <w:r w:rsidRPr="00B526DA">
        <w:rPr>
          <w:rFonts w:ascii="Times New Roman" w:hAnsi="Times New Roman" w:cs="Times New Roman"/>
          <w:color w:val="000000" w:themeColor="text1"/>
          <w:sz w:val="24"/>
          <w:szCs w:val="24"/>
        </w:rPr>
        <w:t xml:space="preserve">For me, the internship experience has been truly amazing. This internship experience will always be special to me because I learned so much new information that I can hopefully apply to my future employment. I never felt like an intern because of the welcoming and lovely work environment and culture. My three months have been made memorable by the entire Business Finance team, who I respect, adore, and simply adore. </w:t>
      </w:r>
      <w:r w:rsidRPr="00B526DA">
        <w:rPr>
          <w:rFonts w:ascii="Times New Roman" w:hAnsi="Times New Roman" w:cs="Times New Roman"/>
          <w:color w:val="000000" w:themeColor="text1"/>
          <w:sz w:val="24"/>
          <w:szCs w:val="24"/>
        </w:rPr>
        <w:lastRenderedPageBreak/>
        <w:t xml:space="preserve">Working at CBL allowed me to experience the corporate culture firsthand and pushed me to go beyond my comfort zone. </w:t>
      </w:r>
      <w:r>
        <w:rPr>
          <w:rFonts w:ascii="Times New Roman" w:hAnsi="Times New Roman" w:cs="Times New Roman"/>
          <w:color w:val="000000" w:themeColor="text1"/>
          <w:sz w:val="24"/>
          <w:szCs w:val="24"/>
        </w:rPr>
        <w:t>My main roles and responsibility as an intern were to give inputs of all the 30 banks of the industry of year 2020, 2019 and 2018. Then these data have been used to compare City Bank’s performance with the industry. Other than that, I was also involved in the day-to-day activities and work as per the instructions of my line manager and supervisor.</w:t>
      </w:r>
    </w:p>
    <w:p w14:paraId="23EACF38" w14:textId="77777777" w:rsidR="002F4FE1" w:rsidRDefault="002F4FE1" w:rsidP="002F4FE1">
      <w:pPr>
        <w:spacing w:after="0" w:line="360" w:lineRule="auto"/>
        <w:jc w:val="both"/>
        <w:rPr>
          <w:rFonts w:ascii="Times New Roman" w:hAnsi="Times New Roman" w:cs="Times New Roman"/>
          <w:color w:val="000000" w:themeColor="text1"/>
          <w:sz w:val="24"/>
          <w:szCs w:val="24"/>
        </w:rPr>
      </w:pPr>
      <w:r w:rsidRPr="00DE4A94">
        <w:rPr>
          <w:rFonts w:ascii="Times New Roman" w:hAnsi="Times New Roman" w:cs="Times New Roman"/>
          <w:b/>
          <w:bCs/>
          <w:color w:val="000000" w:themeColor="text1"/>
          <w:sz w:val="24"/>
          <w:szCs w:val="24"/>
        </w:rPr>
        <w:t>Five Years Financial Performance:</w:t>
      </w:r>
      <w:r>
        <w:rPr>
          <w:rFonts w:ascii="Times New Roman" w:hAnsi="Times New Roman" w:cs="Times New Roman"/>
          <w:color w:val="000000" w:themeColor="text1"/>
          <w:sz w:val="24"/>
          <w:szCs w:val="24"/>
        </w:rPr>
        <w:t xml:space="preserve"> In this chapter, I have analyzed the last five years financial performance of City Bank, that is from 2017-2021. The components of the Balance sheet, Income Statement, BIS Capital Measures, Credit Quality and Efficiency/Productivity ratios have been analyzed with graphs and interpretation of each component has been placed below</w:t>
      </w:r>
      <w:r w:rsidRPr="00DE4A9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balance sheet components include: </w:t>
      </w:r>
      <w:r w:rsidRPr="00DE4A94">
        <w:rPr>
          <w:rFonts w:ascii="Times New Roman" w:hAnsi="Times New Roman" w:cs="Times New Roman"/>
          <w:color w:val="000000" w:themeColor="text1"/>
          <w:sz w:val="24"/>
          <w:szCs w:val="24"/>
        </w:rPr>
        <w:t>Deposits, Loans and Advances, Credit-to-Deposit Ratio</w:t>
      </w:r>
      <w:r>
        <w:rPr>
          <w:rFonts w:ascii="Times New Roman" w:hAnsi="Times New Roman" w:cs="Times New Roman"/>
          <w:color w:val="000000" w:themeColor="text1"/>
          <w:sz w:val="24"/>
          <w:szCs w:val="24"/>
        </w:rPr>
        <w:t xml:space="preserve"> (CDR)</w:t>
      </w:r>
      <w:r w:rsidRPr="00DE4A94">
        <w:rPr>
          <w:rFonts w:ascii="Times New Roman" w:hAnsi="Times New Roman" w:cs="Times New Roman"/>
          <w:color w:val="000000" w:themeColor="text1"/>
          <w:sz w:val="24"/>
          <w:szCs w:val="24"/>
        </w:rPr>
        <w:t>, Investment-to-Deposit Ratio (IDR),</w:t>
      </w:r>
      <w:r w:rsidRPr="00DE4A94">
        <w:rPr>
          <w:rFonts w:ascii="Times New Roman" w:eastAsia="Times New Roman" w:hAnsi="Times New Roman" w:cs="Times New Roman"/>
          <w:color w:val="000000" w:themeColor="text1"/>
          <w:kern w:val="36"/>
          <w:sz w:val="24"/>
          <w:szCs w:val="24"/>
        </w:rPr>
        <w:t xml:space="preserve"> Debt-to-Equity Ratio,</w:t>
      </w:r>
      <w:r w:rsidRPr="00DE4A94">
        <w:rPr>
          <w:rFonts w:ascii="Times New Roman" w:hAnsi="Times New Roman" w:cs="Times New Roman"/>
          <w:color w:val="000000" w:themeColor="text1"/>
          <w:sz w:val="24"/>
          <w:szCs w:val="24"/>
        </w:rPr>
        <w:t xml:space="preserve"> Investments, Total Assets</w:t>
      </w:r>
      <w:r>
        <w:rPr>
          <w:rFonts w:ascii="Times New Roman" w:hAnsi="Times New Roman" w:cs="Times New Roman"/>
          <w:color w:val="000000" w:themeColor="text1"/>
          <w:sz w:val="24"/>
          <w:szCs w:val="24"/>
        </w:rPr>
        <w:t>. Among all these components, every section performed well except the CDR and IDR because it fluctuated too much. The income statement components include</w:t>
      </w:r>
      <w:r w:rsidRPr="00F85D39">
        <w:rPr>
          <w:rFonts w:ascii="Times New Roman" w:hAnsi="Times New Roman" w:cs="Times New Roman"/>
          <w:color w:val="000000" w:themeColor="text1"/>
          <w:sz w:val="24"/>
          <w:szCs w:val="24"/>
        </w:rPr>
        <w:t>: Net Interest Income</w:t>
      </w:r>
      <w:r>
        <w:rPr>
          <w:rFonts w:ascii="Times New Roman" w:hAnsi="Times New Roman" w:cs="Times New Roman"/>
          <w:color w:val="000000" w:themeColor="text1"/>
          <w:sz w:val="24"/>
          <w:szCs w:val="24"/>
        </w:rPr>
        <w:t xml:space="preserve"> (NII)</w:t>
      </w:r>
      <w:r w:rsidRPr="00F85D39">
        <w:rPr>
          <w:rFonts w:ascii="Times New Roman" w:hAnsi="Times New Roman" w:cs="Times New Roman"/>
          <w:color w:val="000000" w:themeColor="text1"/>
          <w:sz w:val="24"/>
          <w:szCs w:val="24"/>
        </w:rPr>
        <w:t>, Operating Expenses, Profit After Tax</w:t>
      </w:r>
      <w:r>
        <w:rPr>
          <w:rFonts w:ascii="Times New Roman" w:hAnsi="Times New Roman" w:cs="Times New Roman"/>
          <w:color w:val="000000" w:themeColor="text1"/>
          <w:sz w:val="24"/>
          <w:szCs w:val="24"/>
        </w:rPr>
        <w:t xml:space="preserve"> (PAT). Here, NII and PAT performed exceedingly well throughout the years, but the problem was with the OPEX which continued to increase throughout the five years. BIS Capital measure includes: </w:t>
      </w:r>
      <w:r w:rsidRPr="001E0E6D">
        <w:rPr>
          <w:rFonts w:ascii="Times New Roman" w:hAnsi="Times New Roman" w:cs="Times New Roman"/>
          <w:color w:val="000000" w:themeColor="text1"/>
          <w:sz w:val="24"/>
          <w:szCs w:val="24"/>
        </w:rPr>
        <w:t>Total Capital Adequacy Ratio and Risk Weighted Assets</w:t>
      </w:r>
      <w:r>
        <w:rPr>
          <w:rFonts w:ascii="Times New Roman" w:hAnsi="Times New Roman" w:cs="Times New Roman"/>
          <w:color w:val="000000" w:themeColor="text1"/>
          <w:sz w:val="24"/>
          <w:szCs w:val="24"/>
        </w:rPr>
        <w:t xml:space="preserve"> which were quite good for CBL. The Credit Quality measure includes the NPL volume and NPL %. The NPL volume was rising throughout the years which is a matter of concern for CBL, and NPL % was also bad for the last 4 years but it improved a bit in 2021. The Efficiency/Productivity ratios include ROE, ROA, </w:t>
      </w:r>
      <w:r w:rsidRPr="001E0E6D">
        <w:rPr>
          <w:rFonts w:ascii="Times New Roman" w:hAnsi="Times New Roman" w:cs="Times New Roman"/>
          <w:color w:val="000000" w:themeColor="text1"/>
          <w:sz w:val="24"/>
          <w:szCs w:val="24"/>
        </w:rPr>
        <w:t>Cost to Income Ratio, Net Interest Margin Ratio, SLR,</w:t>
      </w:r>
      <w:r>
        <w:rPr>
          <w:rFonts w:ascii="Times New Roman" w:hAnsi="Times New Roman" w:cs="Times New Roman"/>
          <w:color w:val="000000" w:themeColor="text1"/>
          <w:sz w:val="24"/>
          <w:szCs w:val="24"/>
        </w:rPr>
        <w:t xml:space="preserve"> </w:t>
      </w:r>
      <w:r w:rsidRPr="001E0E6D">
        <w:rPr>
          <w:rFonts w:ascii="Times New Roman" w:hAnsi="Times New Roman" w:cs="Times New Roman"/>
          <w:color w:val="000000" w:themeColor="text1"/>
          <w:sz w:val="24"/>
          <w:szCs w:val="24"/>
        </w:rPr>
        <w:t>CRR</w:t>
      </w:r>
      <w:r>
        <w:rPr>
          <w:rFonts w:ascii="Times New Roman" w:hAnsi="Times New Roman" w:cs="Times New Roman"/>
          <w:color w:val="000000" w:themeColor="text1"/>
          <w:sz w:val="24"/>
          <w:szCs w:val="24"/>
        </w:rPr>
        <w:t xml:space="preserve"> which has been thoroughly analyzed in this report. The Share Information includes Earnings per share, Net Operating Cash Flow per share, Net Asset Value per share and the Total Dividend. All of these elements have been quite satisfactory for CBL.</w:t>
      </w:r>
    </w:p>
    <w:p w14:paraId="021C5A69" w14:textId="77777777" w:rsidR="002F4FE1" w:rsidRDefault="002F4FE1" w:rsidP="002F4FE1">
      <w:pPr>
        <w:spacing w:after="0" w:line="360" w:lineRule="auto"/>
        <w:jc w:val="both"/>
        <w:rPr>
          <w:rFonts w:ascii="Times New Roman" w:hAnsi="Times New Roman" w:cs="Times New Roman"/>
          <w:color w:val="000000" w:themeColor="text1"/>
          <w:sz w:val="24"/>
          <w:szCs w:val="24"/>
        </w:rPr>
      </w:pPr>
      <w:r w:rsidRPr="00FE3205">
        <w:rPr>
          <w:rFonts w:ascii="Times New Roman" w:hAnsi="Times New Roman" w:cs="Times New Roman"/>
          <w:b/>
          <w:bCs/>
          <w:color w:val="000000" w:themeColor="text1"/>
          <w:sz w:val="24"/>
          <w:szCs w:val="24"/>
        </w:rPr>
        <w:t>Comparison with Industry:</w:t>
      </w:r>
      <w:r>
        <w:rPr>
          <w:rFonts w:ascii="Times New Roman" w:hAnsi="Times New Roman" w:cs="Times New Roman"/>
          <w:color w:val="000000" w:themeColor="text1"/>
          <w:sz w:val="24"/>
          <w:szCs w:val="24"/>
        </w:rPr>
        <w:t xml:space="preserve"> In this chapter, I have done an industry analysis for the year 2019, 2020 and 2021 separately in the form of a table. I have taken the data of 28 banks for each component and made average of each item and compared it with the components of the City Bank to see whether CBL performed above or below the industry average. This analysis clearly gave an indication of how City Bank actually performed compared to the industry. I have found out that CBL’s balance sheet performance was not that satisfactory compared to the industry average, while CBL’s income statement performance was superb in all the three years except the OPEX.</w:t>
      </w:r>
    </w:p>
    <w:p w14:paraId="6E39CE5B" w14:textId="77777777" w:rsidR="00BD4067" w:rsidRDefault="002F4FE1" w:rsidP="00BD4067">
      <w:pPr>
        <w:spacing w:after="0" w:line="360" w:lineRule="auto"/>
        <w:jc w:val="both"/>
        <w:rPr>
          <w:rFonts w:ascii="Times New Roman" w:hAnsi="Times New Roman" w:cs="Times New Roman"/>
          <w:color w:val="000000" w:themeColor="text1"/>
          <w:sz w:val="24"/>
          <w:szCs w:val="24"/>
        </w:rPr>
        <w:sectPr w:rsidR="00BD4067" w:rsidSect="00BD4067">
          <w:footerReference w:type="default" r:id="rId11"/>
          <w:pgSz w:w="12240" w:h="15840"/>
          <w:pgMar w:top="1440" w:right="1440" w:bottom="1440" w:left="1440" w:header="720" w:footer="720" w:gutter="0"/>
          <w:pgNumType w:fmt="lowerRoman"/>
          <w:cols w:space="720"/>
          <w:docGrid w:linePitch="360"/>
        </w:sectPr>
      </w:pPr>
      <w:r w:rsidRPr="001917B9">
        <w:rPr>
          <w:rFonts w:ascii="Times New Roman" w:hAnsi="Times New Roman" w:cs="Times New Roman"/>
          <w:b/>
          <w:bCs/>
          <w:color w:val="000000" w:themeColor="text1"/>
          <w:sz w:val="24"/>
          <w:szCs w:val="24"/>
        </w:rPr>
        <w:lastRenderedPageBreak/>
        <w:t>Suggestion and Recommendation:</w:t>
      </w:r>
      <w:r>
        <w:rPr>
          <w:rFonts w:ascii="Times New Roman" w:hAnsi="Times New Roman" w:cs="Times New Roman"/>
          <w:color w:val="000000" w:themeColor="text1"/>
          <w:sz w:val="24"/>
          <w:szCs w:val="24"/>
        </w:rPr>
        <w:t xml:space="preserve"> My suggestion for CBL would be to keep an eye on the OPEX and NPL and introduce new ideas and campaigns to control it. I would also suggest them to monitor their balance sheet items as they were below the industry average.</w:t>
      </w:r>
    </w:p>
    <w:p w14:paraId="6898700E" w14:textId="55556F59" w:rsidR="002F4FE1" w:rsidRPr="0038572D" w:rsidRDefault="002F4FE1" w:rsidP="00BD4067">
      <w:pPr>
        <w:spacing w:after="0" w:line="360" w:lineRule="auto"/>
        <w:jc w:val="both"/>
        <w:rPr>
          <w:rFonts w:ascii="Times New Roman" w:hAnsi="Times New Roman" w:cs="Times New Roman"/>
          <w:color w:val="000000" w:themeColor="text1"/>
          <w:sz w:val="24"/>
          <w:szCs w:val="24"/>
        </w:rPr>
      </w:pPr>
    </w:p>
    <w:p w14:paraId="16BFBA16" w14:textId="77777777" w:rsidR="00E956C2" w:rsidRDefault="00E956C2" w:rsidP="00E956C2">
      <w:pPr>
        <w:jc w:val="center"/>
      </w:pPr>
    </w:p>
    <w:p w14:paraId="5452919E" w14:textId="77777777" w:rsidR="00E956C2" w:rsidRDefault="00E956C2" w:rsidP="00E956C2">
      <w:pPr>
        <w:jc w:val="center"/>
      </w:pPr>
    </w:p>
    <w:p w14:paraId="7EA93A01" w14:textId="77777777" w:rsidR="00E956C2" w:rsidRDefault="00E956C2" w:rsidP="00E956C2">
      <w:pPr>
        <w:jc w:val="center"/>
      </w:pPr>
    </w:p>
    <w:p w14:paraId="3D232FE0" w14:textId="77777777" w:rsidR="00E956C2" w:rsidRDefault="00E956C2" w:rsidP="00E956C2">
      <w:pPr>
        <w:jc w:val="center"/>
      </w:pPr>
    </w:p>
    <w:p w14:paraId="09F0736E" w14:textId="77777777" w:rsidR="00E956C2" w:rsidRDefault="00E956C2" w:rsidP="00E956C2">
      <w:pPr>
        <w:jc w:val="center"/>
      </w:pPr>
    </w:p>
    <w:p w14:paraId="6888E846" w14:textId="77777777" w:rsidR="00E956C2" w:rsidRDefault="00E956C2" w:rsidP="00E956C2">
      <w:pPr>
        <w:jc w:val="center"/>
      </w:pPr>
    </w:p>
    <w:p w14:paraId="6743B0CD" w14:textId="77777777" w:rsidR="00E956C2" w:rsidRDefault="00E956C2" w:rsidP="00E956C2">
      <w:pPr>
        <w:jc w:val="center"/>
      </w:pPr>
    </w:p>
    <w:p w14:paraId="2AE28D7A" w14:textId="77777777" w:rsidR="00E956C2" w:rsidRDefault="00E956C2" w:rsidP="00E956C2">
      <w:pPr>
        <w:jc w:val="center"/>
      </w:pPr>
    </w:p>
    <w:p w14:paraId="348D8F65" w14:textId="77777777" w:rsidR="00E956C2" w:rsidRPr="00CA0EE2" w:rsidRDefault="00E956C2" w:rsidP="00E956C2">
      <w:pPr>
        <w:spacing w:line="240" w:lineRule="auto"/>
        <w:jc w:val="center"/>
        <w:rPr>
          <w:rFonts w:ascii="Times New Roman" w:hAnsi="Times New Roman" w:cs="Times New Roman"/>
          <w:b/>
          <w:bCs/>
          <w:color w:val="4472C4" w:themeColor="accent1"/>
          <w:sz w:val="120"/>
          <w:szCs w:val="120"/>
        </w:rPr>
      </w:pPr>
      <w:r w:rsidRPr="00CA0EE2">
        <w:rPr>
          <w:rFonts w:ascii="Times New Roman" w:hAnsi="Times New Roman" w:cs="Times New Roman"/>
          <w:b/>
          <w:bCs/>
          <w:color w:val="4472C4" w:themeColor="accent1"/>
          <w:sz w:val="120"/>
          <w:szCs w:val="120"/>
        </w:rPr>
        <w:t>1.0</w:t>
      </w:r>
    </w:p>
    <w:p w14:paraId="35C2F560" w14:textId="77777777" w:rsidR="00E956C2" w:rsidRPr="00CA0EE2" w:rsidRDefault="00E956C2" w:rsidP="00E956C2">
      <w:pPr>
        <w:spacing w:line="240" w:lineRule="auto"/>
        <w:jc w:val="center"/>
        <w:rPr>
          <w:rFonts w:ascii="Times New Roman" w:hAnsi="Times New Roman" w:cs="Times New Roman"/>
          <w:b/>
          <w:bCs/>
          <w:color w:val="4472C4" w:themeColor="accent1"/>
          <w:sz w:val="120"/>
          <w:szCs w:val="120"/>
        </w:rPr>
      </w:pPr>
      <w:r w:rsidRPr="00CA0EE2">
        <w:rPr>
          <w:rFonts w:ascii="Times New Roman" w:hAnsi="Times New Roman" w:cs="Times New Roman"/>
          <w:b/>
          <w:bCs/>
          <w:color w:val="4472C4" w:themeColor="accent1"/>
          <w:sz w:val="120"/>
          <w:szCs w:val="120"/>
        </w:rPr>
        <w:t>Introduction</w:t>
      </w:r>
    </w:p>
    <w:p w14:paraId="134C3BFE" w14:textId="77777777" w:rsidR="00E956C2" w:rsidRPr="00CA0EE2" w:rsidRDefault="00E956C2" w:rsidP="00E956C2">
      <w:pPr>
        <w:jc w:val="center"/>
        <w:rPr>
          <w:rFonts w:ascii="Times New Roman" w:hAnsi="Times New Roman" w:cs="Times New Roman"/>
          <w:b/>
          <w:bCs/>
          <w:color w:val="4472C4" w:themeColor="accent1"/>
          <w:sz w:val="120"/>
          <w:szCs w:val="120"/>
        </w:rPr>
      </w:pPr>
    </w:p>
    <w:p w14:paraId="6EA64A20" w14:textId="77777777" w:rsidR="00E956C2" w:rsidRDefault="00E956C2" w:rsidP="00E956C2">
      <w:pPr>
        <w:jc w:val="center"/>
        <w:rPr>
          <w:rFonts w:ascii="Times New Roman" w:hAnsi="Times New Roman" w:cs="Times New Roman"/>
          <w:b/>
          <w:bCs/>
          <w:color w:val="4472C4" w:themeColor="accent1"/>
          <w:sz w:val="96"/>
          <w:szCs w:val="96"/>
        </w:rPr>
      </w:pPr>
    </w:p>
    <w:p w14:paraId="7C769912" w14:textId="77777777" w:rsidR="00E956C2" w:rsidRDefault="00E956C2" w:rsidP="00E956C2">
      <w:pPr>
        <w:jc w:val="center"/>
        <w:rPr>
          <w:rFonts w:ascii="Times New Roman" w:hAnsi="Times New Roman" w:cs="Times New Roman"/>
          <w:b/>
          <w:bCs/>
          <w:color w:val="4472C4" w:themeColor="accent1"/>
          <w:sz w:val="96"/>
          <w:szCs w:val="96"/>
        </w:rPr>
      </w:pPr>
    </w:p>
    <w:p w14:paraId="6CDB33A8" w14:textId="77777777" w:rsidR="00E956C2" w:rsidRDefault="00E956C2" w:rsidP="00E956C2">
      <w:pPr>
        <w:jc w:val="center"/>
        <w:rPr>
          <w:rFonts w:ascii="Times New Roman" w:hAnsi="Times New Roman" w:cs="Times New Roman"/>
          <w:b/>
          <w:bCs/>
          <w:color w:val="4472C4" w:themeColor="accent1"/>
          <w:sz w:val="28"/>
          <w:szCs w:val="28"/>
        </w:rPr>
      </w:pPr>
    </w:p>
    <w:p w14:paraId="3059B86E" w14:textId="77777777" w:rsidR="00E956C2" w:rsidRDefault="00E956C2" w:rsidP="00E956C2">
      <w:pPr>
        <w:spacing w:line="276" w:lineRule="auto"/>
        <w:rPr>
          <w:rFonts w:ascii="Times New Roman" w:hAnsi="Times New Roman" w:cs="Times New Roman"/>
          <w:b/>
          <w:bCs/>
          <w:color w:val="4472C4" w:themeColor="accent1"/>
          <w:sz w:val="28"/>
          <w:szCs w:val="28"/>
          <w:u w:val="single"/>
        </w:rPr>
      </w:pPr>
    </w:p>
    <w:p w14:paraId="7D052C4C"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4A8165BB"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r w:rsidRPr="005D009F">
        <w:rPr>
          <w:rFonts w:ascii="Times New Roman" w:hAnsi="Times New Roman" w:cs="Times New Roman"/>
          <w:b/>
          <w:bCs/>
          <w:color w:val="4472C4" w:themeColor="accent1"/>
          <w:sz w:val="28"/>
          <w:szCs w:val="28"/>
          <w:u w:val="single"/>
        </w:rPr>
        <w:lastRenderedPageBreak/>
        <w:t>1.1 Origin of the Report</w:t>
      </w:r>
    </w:p>
    <w:p w14:paraId="6128962A" w14:textId="77777777" w:rsidR="00E956C2" w:rsidRDefault="00E956C2" w:rsidP="00E956C2">
      <w:pPr>
        <w:spacing w:line="360" w:lineRule="auto"/>
        <w:jc w:val="both"/>
        <w:rPr>
          <w:rFonts w:ascii="Times New Roman" w:hAnsi="Times New Roman" w:cs="Times New Roman"/>
          <w:color w:val="000000" w:themeColor="text1"/>
          <w:sz w:val="24"/>
          <w:szCs w:val="24"/>
        </w:rPr>
      </w:pPr>
      <w:r w:rsidRPr="006E3D49">
        <w:rPr>
          <w:rFonts w:ascii="Times New Roman" w:hAnsi="Times New Roman" w:cs="Times New Roman"/>
          <w:color w:val="000000" w:themeColor="text1"/>
          <w:sz w:val="24"/>
          <w:szCs w:val="24"/>
        </w:rPr>
        <w:t xml:space="preserve">This internship report was </w:t>
      </w:r>
      <w:r>
        <w:rPr>
          <w:rFonts w:ascii="Times New Roman" w:hAnsi="Times New Roman" w:cs="Times New Roman"/>
          <w:color w:val="000000" w:themeColor="text1"/>
          <w:sz w:val="24"/>
          <w:szCs w:val="24"/>
        </w:rPr>
        <w:t>prepared</w:t>
      </w:r>
      <w:r w:rsidRPr="006E3D49">
        <w:rPr>
          <w:rFonts w:ascii="Times New Roman" w:hAnsi="Times New Roman" w:cs="Times New Roman"/>
          <w:color w:val="000000" w:themeColor="text1"/>
          <w:sz w:val="24"/>
          <w:szCs w:val="24"/>
        </w:rPr>
        <w:t xml:space="preserve"> as a </w:t>
      </w:r>
      <w:r>
        <w:rPr>
          <w:rFonts w:ascii="Times New Roman" w:hAnsi="Times New Roman" w:cs="Times New Roman"/>
          <w:color w:val="000000" w:themeColor="text1"/>
          <w:sz w:val="24"/>
          <w:szCs w:val="24"/>
        </w:rPr>
        <w:t>part</w:t>
      </w:r>
      <w:r w:rsidRPr="006E3D49">
        <w:rPr>
          <w:rFonts w:ascii="Times New Roman" w:hAnsi="Times New Roman" w:cs="Times New Roman"/>
          <w:color w:val="000000" w:themeColor="text1"/>
          <w:sz w:val="24"/>
          <w:szCs w:val="24"/>
        </w:rPr>
        <w:t xml:space="preserve"> of United International University's BBA program. Each participant must complete a three-month internship program in an organization to gain real-world experience in business operations in order to successfully complete the BBA program. I've been given a three-month internship</w:t>
      </w:r>
      <w:r>
        <w:rPr>
          <w:rFonts w:ascii="Times New Roman" w:hAnsi="Times New Roman" w:cs="Times New Roman"/>
          <w:color w:val="000000" w:themeColor="text1"/>
          <w:sz w:val="24"/>
          <w:szCs w:val="24"/>
        </w:rPr>
        <w:t xml:space="preserve"> program</w:t>
      </w:r>
      <w:r w:rsidRPr="006E3D49">
        <w:rPr>
          <w:rFonts w:ascii="Times New Roman" w:hAnsi="Times New Roman" w:cs="Times New Roman"/>
          <w:color w:val="000000" w:themeColor="text1"/>
          <w:sz w:val="24"/>
          <w:szCs w:val="24"/>
        </w:rPr>
        <w:t xml:space="preserve"> in the </w:t>
      </w:r>
      <w:r>
        <w:rPr>
          <w:rFonts w:ascii="Times New Roman" w:hAnsi="Times New Roman" w:cs="Times New Roman"/>
          <w:color w:val="000000" w:themeColor="text1"/>
          <w:sz w:val="24"/>
          <w:szCs w:val="24"/>
        </w:rPr>
        <w:t>B</w:t>
      </w:r>
      <w:r w:rsidRPr="006E3D49">
        <w:rPr>
          <w:rFonts w:ascii="Times New Roman" w:hAnsi="Times New Roman" w:cs="Times New Roman"/>
          <w:color w:val="000000" w:themeColor="text1"/>
          <w:sz w:val="24"/>
          <w:szCs w:val="24"/>
        </w:rPr>
        <w:t xml:space="preserve">usiness </w:t>
      </w:r>
      <w:r>
        <w:rPr>
          <w:rFonts w:ascii="Times New Roman" w:hAnsi="Times New Roman" w:cs="Times New Roman"/>
          <w:color w:val="000000" w:themeColor="text1"/>
          <w:sz w:val="24"/>
          <w:szCs w:val="24"/>
        </w:rPr>
        <w:t>F</w:t>
      </w:r>
      <w:r w:rsidRPr="006E3D49">
        <w:rPr>
          <w:rFonts w:ascii="Times New Roman" w:hAnsi="Times New Roman" w:cs="Times New Roman"/>
          <w:color w:val="000000" w:themeColor="text1"/>
          <w:sz w:val="24"/>
          <w:szCs w:val="24"/>
        </w:rPr>
        <w:t xml:space="preserve">inance department at City Bank Ltd, Head Office to help me meet the aforementioned requirement. The internship </w:t>
      </w:r>
      <w:r>
        <w:rPr>
          <w:rFonts w:ascii="Times New Roman" w:hAnsi="Times New Roman" w:cs="Times New Roman"/>
          <w:color w:val="000000" w:themeColor="text1"/>
          <w:sz w:val="24"/>
          <w:szCs w:val="24"/>
        </w:rPr>
        <w:t>duration was</w:t>
      </w:r>
      <w:r w:rsidRPr="006E3D49">
        <w:rPr>
          <w:rFonts w:ascii="Times New Roman" w:hAnsi="Times New Roman" w:cs="Times New Roman"/>
          <w:color w:val="000000" w:themeColor="text1"/>
          <w:sz w:val="24"/>
          <w:szCs w:val="24"/>
        </w:rPr>
        <w:t xml:space="preserve"> from January</w:t>
      </w:r>
      <w:r>
        <w:rPr>
          <w:rFonts w:ascii="Times New Roman" w:hAnsi="Times New Roman" w:cs="Times New Roman"/>
          <w:color w:val="000000" w:themeColor="text1"/>
          <w:sz w:val="24"/>
          <w:szCs w:val="24"/>
        </w:rPr>
        <w:t xml:space="preserve"> </w:t>
      </w:r>
      <w:r w:rsidRPr="006E3D49">
        <w:rPr>
          <w:rFonts w:ascii="Times New Roman" w:hAnsi="Times New Roman" w:cs="Times New Roman"/>
          <w:color w:val="000000" w:themeColor="text1"/>
          <w:sz w:val="24"/>
          <w:szCs w:val="24"/>
        </w:rPr>
        <w:t xml:space="preserve">2023 to April 2023. </w:t>
      </w:r>
      <w:r>
        <w:rPr>
          <w:rFonts w:ascii="Times New Roman" w:hAnsi="Times New Roman" w:cs="Times New Roman"/>
          <w:color w:val="000000" w:themeColor="text1"/>
          <w:sz w:val="24"/>
          <w:szCs w:val="24"/>
        </w:rPr>
        <w:t xml:space="preserve">The topic of my internship report is “Financial Performance Analysis of The City Bank Limited”. </w:t>
      </w:r>
      <w:r w:rsidRPr="006E3D49">
        <w:rPr>
          <w:rFonts w:ascii="Times New Roman" w:hAnsi="Times New Roman" w:cs="Times New Roman"/>
          <w:color w:val="000000" w:themeColor="text1"/>
          <w:sz w:val="24"/>
          <w:szCs w:val="24"/>
        </w:rPr>
        <w:t xml:space="preserve">I have been given permission to prepare the report on this </w:t>
      </w:r>
      <w:r>
        <w:rPr>
          <w:rFonts w:ascii="Times New Roman" w:hAnsi="Times New Roman" w:cs="Times New Roman"/>
          <w:color w:val="000000" w:themeColor="text1"/>
          <w:sz w:val="24"/>
          <w:szCs w:val="24"/>
        </w:rPr>
        <w:t>topic</w:t>
      </w:r>
      <w:r w:rsidRPr="006E3D49">
        <w:rPr>
          <w:rFonts w:ascii="Times New Roman" w:hAnsi="Times New Roman" w:cs="Times New Roman"/>
          <w:color w:val="000000" w:themeColor="text1"/>
          <w:sz w:val="24"/>
          <w:szCs w:val="24"/>
        </w:rPr>
        <w:t xml:space="preserve"> by Mr. </w:t>
      </w:r>
      <w:proofErr w:type="spellStart"/>
      <w:r w:rsidRPr="006E3D49">
        <w:rPr>
          <w:rFonts w:ascii="Times New Roman" w:hAnsi="Times New Roman" w:cs="Times New Roman"/>
          <w:color w:val="000000" w:themeColor="text1"/>
          <w:sz w:val="24"/>
          <w:szCs w:val="24"/>
        </w:rPr>
        <w:t>Mosabbir</w:t>
      </w:r>
      <w:proofErr w:type="spellEnd"/>
      <w:r w:rsidRPr="006E3D49">
        <w:rPr>
          <w:rFonts w:ascii="Times New Roman" w:hAnsi="Times New Roman" w:cs="Times New Roman"/>
          <w:color w:val="000000" w:themeColor="text1"/>
          <w:sz w:val="24"/>
          <w:szCs w:val="24"/>
        </w:rPr>
        <w:t xml:space="preserve"> </w:t>
      </w:r>
      <w:proofErr w:type="spellStart"/>
      <w:r w:rsidRPr="006E3D49">
        <w:rPr>
          <w:rFonts w:ascii="Times New Roman" w:hAnsi="Times New Roman" w:cs="Times New Roman"/>
          <w:color w:val="000000" w:themeColor="text1"/>
          <w:sz w:val="24"/>
          <w:szCs w:val="24"/>
        </w:rPr>
        <w:t>Uddin</w:t>
      </w:r>
      <w:proofErr w:type="spellEnd"/>
      <w:r w:rsidRPr="006E3D49">
        <w:rPr>
          <w:rFonts w:ascii="Times New Roman" w:hAnsi="Times New Roman" w:cs="Times New Roman"/>
          <w:color w:val="000000" w:themeColor="text1"/>
          <w:sz w:val="24"/>
          <w:szCs w:val="24"/>
        </w:rPr>
        <w:t xml:space="preserve"> Ahmad, Assistant Professor, School of Business and Economics, United International University.</w:t>
      </w:r>
    </w:p>
    <w:p w14:paraId="6D15C44A"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r w:rsidRPr="001E1183">
        <w:rPr>
          <w:rFonts w:ascii="Times New Roman" w:hAnsi="Times New Roman" w:cs="Times New Roman"/>
          <w:b/>
          <w:bCs/>
          <w:color w:val="4472C4" w:themeColor="accent1"/>
          <w:sz w:val="28"/>
          <w:szCs w:val="28"/>
          <w:u w:val="single"/>
        </w:rPr>
        <w:t>1.2 Background of the Report</w:t>
      </w:r>
    </w:p>
    <w:p w14:paraId="77182E76" w14:textId="77777777" w:rsidR="00E956C2" w:rsidRDefault="00E956C2" w:rsidP="00E956C2">
      <w:pPr>
        <w:spacing w:line="360" w:lineRule="auto"/>
        <w:jc w:val="both"/>
        <w:rPr>
          <w:rFonts w:ascii="Times New Roman" w:hAnsi="Times New Roman" w:cs="Times New Roman"/>
          <w:color w:val="000000" w:themeColor="text1"/>
          <w:sz w:val="24"/>
          <w:szCs w:val="24"/>
        </w:rPr>
      </w:pPr>
      <w:r w:rsidRPr="00A0106A">
        <w:rPr>
          <w:rFonts w:ascii="Times New Roman" w:hAnsi="Times New Roman" w:cs="Times New Roman"/>
          <w:color w:val="000000" w:themeColor="text1"/>
          <w:sz w:val="24"/>
          <w:szCs w:val="24"/>
        </w:rPr>
        <w:t>A report on practical experience is required for the BBA program after 12</w:t>
      </w:r>
      <w:r>
        <w:rPr>
          <w:rFonts w:ascii="Times New Roman" w:hAnsi="Times New Roman" w:cs="Times New Roman"/>
          <w:color w:val="000000" w:themeColor="text1"/>
          <w:sz w:val="24"/>
          <w:szCs w:val="24"/>
        </w:rPr>
        <w:t>0</w:t>
      </w:r>
      <w:r w:rsidRPr="00A0106A">
        <w:rPr>
          <w:rFonts w:ascii="Times New Roman" w:hAnsi="Times New Roman" w:cs="Times New Roman"/>
          <w:color w:val="000000" w:themeColor="text1"/>
          <w:sz w:val="24"/>
          <w:szCs w:val="24"/>
        </w:rPr>
        <w:t xml:space="preserve"> credits have been </w:t>
      </w:r>
      <w:r>
        <w:rPr>
          <w:rFonts w:ascii="Times New Roman" w:hAnsi="Times New Roman" w:cs="Times New Roman"/>
          <w:color w:val="000000" w:themeColor="text1"/>
          <w:sz w:val="24"/>
          <w:szCs w:val="24"/>
        </w:rPr>
        <w:t>completed</w:t>
      </w:r>
      <w:r w:rsidRPr="00A0106A">
        <w:rPr>
          <w:rFonts w:ascii="Times New Roman" w:hAnsi="Times New Roman" w:cs="Times New Roman"/>
          <w:color w:val="000000" w:themeColor="text1"/>
          <w:sz w:val="24"/>
          <w:szCs w:val="24"/>
        </w:rPr>
        <w:t xml:space="preserve">. Students pursuing a degree in </w:t>
      </w:r>
      <w:r>
        <w:rPr>
          <w:rFonts w:ascii="Times New Roman" w:hAnsi="Times New Roman" w:cs="Times New Roman"/>
          <w:color w:val="000000" w:themeColor="text1"/>
          <w:sz w:val="24"/>
          <w:szCs w:val="24"/>
        </w:rPr>
        <w:t>Bachelor of B</w:t>
      </w:r>
      <w:r w:rsidRPr="00A0106A">
        <w:rPr>
          <w:rFonts w:ascii="Times New Roman" w:hAnsi="Times New Roman" w:cs="Times New Roman"/>
          <w:color w:val="000000" w:themeColor="text1"/>
          <w:sz w:val="24"/>
          <w:szCs w:val="24"/>
        </w:rPr>
        <w:t xml:space="preserve">usiness </w:t>
      </w:r>
      <w:r>
        <w:rPr>
          <w:rFonts w:ascii="Times New Roman" w:hAnsi="Times New Roman" w:cs="Times New Roman"/>
          <w:color w:val="000000" w:themeColor="text1"/>
          <w:sz w:val="24"/>
          <w:szCs w:val="24"/>
        </w:rPr>
        <w:t>A</w:t>
      </w:r>
      <w:r w:rsidRPr="00A0106A">
        <w:rPr>
          <w:rFonts w:ascii="Times New Roman" w:hAnsi="Times New Roman" w:cs="Times New Roman"/>
          <w:color w:val="000000" w:themeColor="text1"/>
          <w:sz w:val="24"/>
          <w:szCs w:val="24"/>
        </w:rPr>
        <w:t>dministration (BBA) are required to participate in an internship program that places them in a challenging area of a crucial field. Under</w:t>
      </w:r>
      <w:r>
        <w:rPr>
          <w:rFonts w:ascii="Times New Roman" w:hAnsi="Times New Roman" w:cs="Times New Roman"/>
          <w:color w:val="000000" w:themeColor="text1"/>
          <w:sz w:val="24"/>
          <w:szCs w:val="24"/>
        </w:rPr>
        <w:t>graduates</w:t>
      </w:r>
      <w:r w:rsidRPr="00A0106A">
        <w:rPr>
          <w:rFonts w:ascii="Times New Roman" w:hAnsi="Times New Roman" w:cs="Times New Roman"/>
          <w:color w:val="000000" w:themeColor="text1"/>
          <w:sz w:val="24"/>
          <w:szCs w:val="24"/>
        </w:rPr>
        <w:t xml:space="preserve"> have the chance to immerse themselves in the particular conditions of the organization during the training for entry-level positions. It offers a rare opportunity to observe business reality while still an undergraduate, helping them to establish their career and gain confidence. Each business school organizes an internship program to meet this requirement. Here, we have the chance to put the theoretical knowledge we've learned in class and from our textbooks to use and compare</w:t>
      </w:r>
      <w:r>
        <w:rPr>
          <w:rFonts w:ascii="Times New Roman" w:hAnsi="Times New Roman" w:cs="Times New Roman"/>
          <w:color w:val="000000" w:themeColor="text1"/>
          <w:sz w:val="24"/>
          <w:szCs w:val="24"/>
        </w:rPr>
        <w:t xml:space="preserve"> it</w:t>
      </w:r>
      <w:r w:rsidRPr="00A0106A">
        <w:rPr>
          <w:rFonts w:ascii="Times New Roman" w:hAnsi="Times New Roman" w:cs="Times New Roman"/>
          <w:color w:val="000000" w:themeColor="text1"/>
          <w:sz w:val="24"/>
          <w:szCs w:val="24"/>
        </w:rPr>
        <w:t xml:space="preserve"> in practical contexts.</w:t>
      </w:r>
    </w:p>
    <w:p w14:paraId="75BB4E23"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r w:rsidRPr="00E0735A">
        <w:rPr>
          <w:rFonts w:ascii="Times New Roman" w:hAnsi="Times New Roman" w:cs="Times New Roman"/>
          <w:b/>
          <w:bCs/>
          <w:color w:val="4472C4" w:themeColor="accent1"/>
          <w:sz w:val="28"/>
          <w:szCs w:val="28"/>
          <w:u w:val="single"/>
        </w:rPr>
        <w:t>1.3 Objective of the Report</w:t>
      </w:r>
    </w:p>
    <w:p w14:paraId="2DB19CDC" w14:textId="77777777" w:rsidR="00E956C2" w:rsidRPr="007430FB" w:rsidRDefault="00E956C2" w:rsidP="00E956C2">
      <w:pPr>
        <w:spacing w:line="360" w:lineRule="auto"/>
        <w:jc w:val="both"/>
        <w:rPr>
          <w:rFonts w:ascii="Times New Roman" w:hAnsi="Times New Roman" w:cs="Times New Roman"/>
          <w:color w:val="000000" w:themeColor="text1"/>
          <w:sz w:val="24"/>
          <w:szCs w:val="24"/>
        </w:rPr>
      </w:pPr>
      <w:r w:rsidRPr="007430FB">
        <w:rPr>
          <w:rFonts w:ascii="Times New Roman" w:hAnsi="Times New Roman" w:cs="Times New Roman"/>
          <w:color w:val="000000" w:themeColor="text1"/>
          <w:sz w:val="24"/>
          <w:szCs w:val="24"/>
        </w:rPr>
        <w:t xml:space="preserve">The analysis of City Bank Limited's financial performance is the main goal </w:t>
      </w:r>
      <w:r>
        <w:rPr>
          <w:rFonts w:ascii="Times New Roman" w:hAnsi="Times New Roman" w:cs="Times New Roman"/>
          <w:color w:val="000000" w:themeColor="text1"/>
          <w:sz w:val="24"/>
          <w:szCs w:val="24"/>
        </w:rPr>
        <w:t xml:space="preserve">or objective </w:t>
      </w:r>
      <w:r w:rsidRPr="007430FB">
        <w:rPr>
          <w:rFonts w:ascii="Times New Roman" w:hAnsi="Times New Roman" w:cs="Times New Roman"/>
          <w:color w:val="000000" w:themeColor="text1"/>
          <w:sz w:val="24"/>
          <w:szCs w:val="24"/>
        </w:rPr>
        <w:t xml:space="preserve">of this report. </w:t>
      </w:r>
      <w:r>
        <w:rPr>
          <w:rFonts w:ascii="Times New Roman" w:hAnsi="Times New Roman" w:cs="Times New Roman"/>
          <w:color w:val="000000" w:themeColor="text1"/>
          <w:sz w:val="24"/>
          <w:szCs w:val="24"/>
        </w:rPr>
        <w:t>The f</w:t>
      </w:r>
      <w:r w:rsidRPr="007430FB">
        <w:rPr>
          <w:rFonts w:ascii="Times New Roman" w:hAnsi="Times New Roman" w:cs="Times New Roman"/>
          <w:color w:val="000000" w:themeColor="text1"/>
          <w:sz w:val="24"/>
          <w:szCs w:val="24"/>
        </w:rPr>
        <w:t xml:space="preserve">inancial information has been gathered from articles, annual reports, </w:t>
      </w:r>
      <w:r>
        <w:rPr>
          <w:rFonts w:ascii="Times New Roman" w:hAnsi="Times New Roman" w:cs="Times New Roman"/>
          <w:color w:val="000000" w:themeColor="text1"/>
          <w:sz w:val="24"/>
          <w:szCs w:val="24"/>
        </w:rPr>
        <w:t xml:space="preserve">interviews of the team members of Business Finance Department </w:t>
      </w:r>
      <w:r w:rsidRPr="007430FB">
        <w:rPr>
          <w:rFonts w:ascii="Times New Roman" w:hAnsi="Times New Roman" w:cs="Times New Roman"/>
          <w:color w:val="000000" w:themeColor="text1"/>
          <w:sz w:val="24"/>
          <w:szCs w:val="24"/>
        </w:rPr>
        <w:t>and the website of the City bank.</w:t>
      </w:r>
    </w:p>
    <w:p w14:paraId="11DB7F6A" w14:textId="77777777" w:rsidR="00E956C2" w:rsidRPr="007430FB" w:rsidRDefault="00E956C2" w:rsidP="00E956C2">
      <w:pPr>
        <w:spacing w:line="360" w:lineRule="auto"/>
        <w:jc w:val="both"/>
        <w:rPr>
          <w:rFonts w:ascii="Times New Roman" w:hAnsi="Times New Roman" w:cs="Times New Roman"/>
          <w:color w:val="000000" w:themeColor="text1"/>
          <w:sz w:val="24"/>
          <w:szCs w:val="24"/>
        </w:rPr>
      </w:pPr>
      <w:r w:rsidRPr="007430FB">
        <w:rPr>
          <w:rFonts w:ascii="Times New Roman" w:hAnsi="Times New Roman" w:cs="Times New Roman"/>
          <w:color w:val="000000" w:themeColor="text1"/>
          <w:sz w:val="24"/>
          <w:szCs w:val="24"/>
        </w:rPr>
        <w:t>This includes adhering to specific goals</w:t>
      </w:r>
      <w:r>
        <w:rPr>
          <w:rFonts w:ascii="Times New Roman" w:hAnsi="Times New Roman" w:cs="Times New Roman"/>
          <w:color w:val="000000" w:themeColor="text1"/>
          <w:sz w:val="24"/>
          <w:szCs w:val="24"/>
        </w:rPr>
        <w:t>:</w:t>
      </w:r>
    </w:p>
    <w:p w14:paraId="2CB3B0AB" w14:textId="77777777" w:rsidR="00E956C2" w:rsidRPr="007430FB" w:rsidRDefault="00E956C2" w:rsidP="00E956C2">
      <w:pPr>
        <w:spacing w:line="360" w:lineRule="auto"/>
        <w:jc w:val="both"/>
        <w:rPr>
          <w:rFonts w:ascii="Times New Roman" w:hAnsi="Times New Roman" w:cs="Times New Roman"/>
          <w:color w:val="000000" w:themeColor="text1"/>
          <w:sz w:val="24"/>
          <w:szCs w:val="24"/>
        </w:rPr>
      </w:pPr>
      <w:r w:rsidRPr="007430FB">
        <w:rPr>
          <w:rFonts w:ascii="Times New Roman" w:hAnsi="Times New Roman" w:cs="Times New Roman"/>
          <w:color w:val="000000" w:themeColor="text1"/>
          <w:sz w:val="24"/>
          <w:szCs w:val="24"/>
        </w:rPr>
        <w:t xml:space="preserve">1. To be aware of all of </w:t>
      </w:r>
      <w:r>
        <w:rPr>
          <w:rFonts w:ascii="Times New Roman" w:hAnsi="Times New Roman" w:cs="Times New Roman"/>
          <w:color w:val="000000" w:themeColor="text1"/>
          <w:sz w:val="24"/>
          <w:szCs w:val="24"/>
        </w:rPr>
        <w:t xml:space="preserve">the </w:t>
      </w:r>
      <w:r w:rsidRPr="007430FB">
        <w:rPr>
          <w:rFonts w:ascii="Times New Roman" w:hAnsi="Times New Roman" w:cs="Times New Roman"/>
          <w:color w:val="000000" w:themeColor="text1"/>
          <w:sz w:val="24"/>
          <w:szCs w:val="24"/>
        </w:rPr>
        <w:t>City Bank Limited's activities</w:t>
      </w:r>
      <w:r>
        <w:rPr>
          <w:rFonts w:ascii="Times New Roman" w:hAnsi="Times New Roman" w:cs="Times New Roman"/>
          <w:color w:val="000000" w:themeColor="text1"/>
          <w:sz w:val="24"/>
          <w:szCs w:val="24"/>
        </w:rPr>
        <w:t xml:space="preserve"> and segments.</w:t>
      </w:r>
    </w:p>
    <w:p w14:paraId="048D5B94" w14:textId="77777777" w:rsidR="00E956C2" w:rsidRPr="007430FB" w:rsidRDefault="00E956C2" w:rsidP="00E956C2">
      <w:pPr>
        <w:spacing w:line="360" w:lineRule="auto"/>
        <w:jc w:val="both"/>
        <w:rPr>
          <w:rFonts w:ascii="Times New Roman" w:hAnsi="Times New Roman" w:cs="Times New Roman"/>
          <w:color w:val="000000" w:themeColor="text1"/>
          <w:sz w:val="24"/>
          <w:szCs w:val="24"/>
        </w:rPr>
      </w:pPr>
      <w:r w:rsidRPr="007430FB">
        <w:rPr>
          <w:rFonts w:ascii="Times New Roman" w:hAnsi="Times New Roman" w:cs="Times New Roman"/>
          <w:color w:val="000000" w:themeColor="text1"/>
          <w:sz w:val="24"/>
          <w:szCs w:val="24"/>
        </w:rPr>
        <w:t>2. To connect theoretical understanding with actual experience in a variety of City Bank Limited functions.</w:t>
      </w:r>
    </w:p>
    <w:p w14:paraId="3DFEECDF" w14:textId="77777777" w:rsidR="00E956C2" w:rsidRPr="007430FB" w:rsidRDefault="00E956C2" w:rsidP="00E956C2">
      <w:pPr>
        <w:spacing w:line="360" w:lineRule="auto"/>
        <w:jc w:val="both"/>
        <w:rPr>
          <w:rFonts w:ascii="Times New Roman" w:hAnsi="Times New Roman" w:cs="Times New Roman"/>
          <w:color w:val="000000" w:themeColor="text1"/>
          <w:sz w:val="24"/>
          <w:szCs w:val="24"/>
        </w:rPr>
      </w:pPr>
      <w:r w:rsidRPr="007430FB">
        <w:rPr>
          <w:rFonts w:ascii="Times New Roman" w:hAnsi="Times New Roman" w:cs="Times New Roman"/>
          <w:color w:val="000000" w:themeColor="text1"/>
          <w:sz w:val="24"/>
          <w:szCs w:val="24"/>
        </w:rPr>
        <w:lastRenderedPageBreak/>
        <w:t>3. To evaluate the bank's financial health</w:t>
      </w:r>
      <w:r>
        <w:rPr>
          <w:rFonts w:ascii="Times New Roman" w:hAnsi="Times New Roman" w:cs="Times New Roman"/>
          <w:color w:val="000000" w:themeColor="text1"/>
          <w:sz w:val="24"/>
          <w:szCs w:val="24"/>
        </w:rPr>
        <w:t xml:space="preserve"> or position</w:t>
      </w:r>
      <w:r w:rsidRPr="007430FB">
        <w:rPr>
          <w:rFonts w:ascii="Times New Roman" w:hAnsi="Times New Roman" w:cs="Times New Roman"/>
          <w:color w:val="000000" w:themeColor="text1"/>
          <w:sz w:val="24"/>
          <w:szCs w:val="24"/>
        </w:rPr>
        <w:t>.</w:t>
      </w:r>
    </w:p>
    <w:p w14:paraId="77D1F203" w14:textId="77777777" w:rsidR="00E956C2" w:rsidRDefault="00E956C2" w:rsidP="00E956C2">
      <w:pPr>
        <w:spacing w:line="360" w:lineRule="auto"/>
        <w:jc w:val="both"/>
        <w:rPr>
          <w:rFonts w:ascii="Times New Roman" w:hAnsi="Times New Roman" w:cs="Times New Roman"/>
          <w:color w:val="000000" w:themeColor="text1"/>
          <w:sz w:val="24"/>
          <w:szCs w:val="24"/>
        </w:rPr>
      </w:pPr>
      <w:r w:rsidRPr="007430FB">
        <w:rPr>
          <w:rFonts w:ascii="Times New Roman" w:hAnsi="Times New Roman" w:cs="Times New Roman"/>
          <w:color w:val="000000" w:themeColor="text1"/>
          <w:sz w:val="24"/>
          <w:szCs w:val="24"/>
        </w:rPr>
        <w:t>4. To identify problems and provide advice for improvement.</w:t>
      </w:r>
    </w:p>
    <w:p w14:paraId="4C3E5679"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0E8843B1"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r w:rsidRPr="00CA0EE2">
        <w:rPr>
          <w:rFonts w:ascii="Times New Roman" w:hAnsi="Times New Roman" w:cs="Times New Roman"/>
          <w:b/>
          <w:bCs/>
          <w:color w:val="4472C4" w:themeColor="accent1"/>
          <w:sz w:val="28"/>
          <w:szCs w:val="28"/>
          <w:u w:val="single"/>
        </w:rPr>
        <w:t>1.4 Scope &amp; Limitation</w:t>
      </w:r>
      <w:r>
        <w:rPr>
          <w:rFonts w:ascii="Times New Roman" w:hAnsi="Times New Roman" w:cs="Times New Roman"/>
          <w:b/>
          <w:bCs/>
          <w:color w:val="4472C4" w:themeColor="accent1"/>
          <w:sz w:val="28"/>
          <w:szCs w:val="28"/>
          <w:u w:val="single"/>
        </w:rPr>
        <w:t xml:space="preserve"> </w:t>
      </w:r>
      <w:r w:rsidRPr="00CA0EE2">
        <w:rPr>
          <w:rFonts w:ascii="Times New Roman" w:hAnsi="Times New Roman" w:cs="Times New Roman"/>
          <w:b/>
          <w:bCs/>
          <w:color w:val="4472C4" w:themeColor="accent1"/>
          <w:sz w:val="28"/>
          <w:szCs w:val="28"/>
          <w:u w:val="single"/>
        </w:rPr>
        <w:t>of the Report</w:t>
      </w:r>
    </w:p>
    <w:p w14:paraId="1C9987B6" w14:textId="77777777" w:rsidR="00E956C2" w:rsidRDefault="00E956C2" w:rsidP="00E956C2">
      <w:pPr>
        <w:spacing w:line="360" w:lineRule="auto"/>
        <w:jc w:val="both"/>
        <w:rPr>
          <w:rFonts w:ascii="Times New Roman" w:hAnsi="Times New Roman" w:cs="Times New Roman"/>
          <w:color w:val="000000" w:themeColor="text1"/>
          <w:sz w:val="24"/>
          <w:szCs w:val="24"/>
        </w:rPr>
      </w:pPr>
      <w:r w:rsidRPr="00C71688">
        <w:rPr>
          <w:rFonts w:ascii="Times New Roman" w:hAnsi="Times New Roman" w:cs="Times New Roman"/>
          <w:color w:val="7030A0"/>
          <w:sz w:val="26"/>
          <w:szCs w:val="26"/>
          <w:u w:val="single"/>
        </w:rPr>
        <w:t>1.4.1 Scope of the Report:</w:t>
      </w:r>
      <w:r>
        <w:rPr>
          <w:rFonts w:ascii="Times New Roman" w:hAnsi="Times New Roman" w:cs="Times New Roman"/>
          <w:color w:val="7030A0"/>
          <w:sz w:val="24"/>
          <w:szCs w:val="24"/>
        </w:rPr>
        <w:t xml:space="preserve"> </w:t>
      </w:r>
      <w:r>
        <w:rPr>
          <w:rFonts w:ascii="Times New Roman" w:hAnsi="Times New Roman" w:cs="Times New Roman"/>
          <w:color w:val="000000" w:themeColor="text1"/>
          <w:sz w:val="24"/>
          <w:szCs w:val="24"/>
        </w:rPr>
        <w:t>The field of my study was at the Head Office of City Bank Limited in the Business Finance Department. One of the biggest scopes of the study was that I got to collect the data directly from the members of the Business Finance team. The members of the team helped me in preparing the report. They gave me advices on how to organize the report and how to interpret the data. I got the opportunity to talk with the Head of the Finance Division and took necessary information for the report. Moreover, my supervisor who is the Head of the Business Finance, always guided me and gave important information about the report during these 3 months. Another scope was I got to learn from the members of the other departments as well. My seat was near the Human Resource, Procurement, Legal, PR &amp; Branding Department. I also got the chance to learn from them. Two of my Intern friends were in the Corporate and Procurement Division, so I got to learn about their activities and policies by talking with them. All of these things helped me in preparing the report. The biggest scope of all was the placement in the Head Office. Because of this placement, I got to learn so many new things which would not have been possible if I were posted in any branch.</w:t>
      </w:r>
    </w:p>
    <w:p w14:paraId="48F8239D" w14:textId="77777777" w:rsidR="00E956C2" w:rsidRDefault="00E956C2" w:rsidP="00E956C2">
      <w:pPr>
        <w:spacing w:line="360" w:lineRule="auto"/>
        <w:jc w:val="both"/>
        <w:rPr>
          <w:rFonts w:ascii="Times New Roman" w:hAnsi="Times New Roman" w:cs="Times New Roman"/>
          <w:color w:val="000000" w:themeColor="text1"/>
          <w:sz w:val="24"/>
          <w:szCs w:val="24"/>
        </w:rPr>
      </w:pPr>
      <w:r w:rsidRPr="00C71688">
        <w:rPr>
          <w:rFonts w:ascii="Times New Roman" w:hAnsi="Times New Roman" w:cs="Times New Roman"/>
          <w:color w:val="7030A0"/>
          <w:sz w:val="26"/>
          <w:szCs w:val="26"/>
          <w:u w:val="single"/>
        </w:rPr>
        <w:t xml:space="preserve">1.4.2 Limitations of the Report: </w:t>
      </w:r>
    </w:p>
    <w:p w14:paraId="727B1759" w14:textId="77777777" w:rsidR="00E956C2" w:rsidRPr="00EE7134" w:rsidRDefault="00E956C2" w:rsidP="00E956C2">
      <w:pPr>
        <w:spacing w:line="360" w:lineRule="auto"/>
        <w:jc w:val="both"/>
        <w:rPr>
          <w:rFonts w:ascii="Times New Roman" w:hAnsi="Times New Roman" w:cs="Times New Roman"/>
          <w:color w:val="000000" w:themeColor="text1"/>
          <w:sz w:val="24"/>
          <w:szCs w:val="24"/>
        </w:rPr>
      </w:pPr>
      <w:r w:rsidRPr="00EE7134">
        <w:rPr>
          <w:rFonts w:ascii="Times New Roman" w:hAnsi="Times New Roman" w:cs="Times New Roman"/>
          <w:color w:val="000000" w:themeColor="text1"/>
          <w:sz w:val="24"/>
          <w:szCs w:val="24"/>
        </w:rPr>
        <w:t xml:space="preserve">1. Collecting all types of data and information was not supported by </w:t>
      </w:r>
      <w:r>
        <w:rPr>
          <w:rFonts w:ascii="Times New Roman" w:hAnsi="Times New Roman" w:cs="Times New Roman"/>
          <w:color w:val="000000" w:themeColor="text1"/>
          <w:sz w:val="24"/>
          <w:szCs w:val="24"/>
        </w:rPr>
        <w:t xml:space="preserve">the </w:t>
      </w:r>
      <w:r w:rsidRPr="00EE7134">
        <w:rPr>
          <w:rFonts w:ascii="Times New Roman" w:hAnsi="Times New Roman" w:cs="Times New Roman"/>
          <w:color w:val="000000" w:themeColor="text1"/>
          <w:sz w:val="24"/>
          <w:szCs w:val="24"/>
        </w:rPr>
        <w:t>banking policy.</w:t>
      </w:r>
    </w:p>
    <w:p w14:paraId="773B9EF3" w14:textId="77777777" w:rsidR="00E956C2" w:rsidRPr="00EE7134" w:rsidRDefault="00E956C2" w:rsidP="00E956C2">
      <w:pPr>
        <w:spacing w:line="360" w:lineRule="auto"/>
        <w:jc w:val="both"/>
        <w:rPr>
          <w:rFonts w:ascii="Times New Roman" w:hAnsi="Times New Roman" w:cs="Times New Roman"/>
          <w:color w:val="000000" w:themeColor="text1"/>
          <w:sz w:val="24"/>
          <w:szCs w:val="24"/>
        </w:rPr>
      </w:pPr>
      <w:r w:rsidRPr="00EE7134">
        <w:rPr>
          <w:rFonts w:ascii="Times New Roman" w:hAnsi="Times New Roman" w:cs="Times New Roman"/>
          <w:color w:val="000000" w:themeColor="text1"/>
          <w:sz w:val="24"/>
          <w:szCs w:val="24"/>
        </w:rPr>
        <w:t xml:space="preserve">2. The report's lack of secondary sources of data was insufficient </w:t>
      </w:r>
      <w:r>
        <w:rPr>
          <w:rFonts w:ascii="Times New Roman" w:hAnsi="Times New Roman" w:cs="Times New Roman"/>
          <w:color w:val="000000" w:themeColor="text1"/>
          <w:sz w:val="24"/>
          <w:szCs w:val="24"/>
        </w:rPr>
        <w:t>for the preparation of the report.</w:t>
      </w:r>
    </w:p>
    <w:p w14:paraId="454DC697" w14:textId="77777777" w:rsidR="00E956C2" w:rsidRPr="00EE7134" w:rsidRDefault="00E956C2" w:rsidP="00E956C2">
      <w:pPr>
        <w:spacing w:line="360" w:lineRule="auto"/>
        <w:jc w:val="both"/>
        <w:rPr>
          <w:rFonts w:ascii="Times New Roman" w:hAnsi="Times New Roman" w:cs="Times New Roman"/>
          <w:color w:val="000000" w:themeColor="text1"/>
          <w:sz w:val="24"/>
          <w:szCs w:val="24"/>
        </w:rPr>
      </w:pPr>
      <w:r w:rsidRPr="00EE7134">
        <w:rPr>
          <w:rFonts w:ascii="Times New Roman" w:hAnsi="Times New Roman" w:cs="Times New Roman"/>
          <w:color w:val="000000" w:themeColor="text1"/>
          <w:sz w:val="24"/>
          <w:szCs w:val="24"/>
        </w:rPr>
        <w:t>3. The bank frequently isn't helpful in providing internal information.</w:t>
      </w:r>
    </w:p>
    <w:p w14:paraId="53C86180" w14:textId="77777777" w:rsidR="00E956C2" w:rsidRDefault="00E956C2" w:rsidP="00E956C2">
      <w:pPr>
        <w:spacing w:line="360" w:lineRule="auto"/>
        <w:jc w:val="both"/>
        <w:rPr>
          <w:rFonts w:ascii="Times New Roman" w:hAnsi="Times New Roman" w:cs="Times New Roman"/>
          <w:color w:val="000000" w:themeColor="text1"/>
          <w:sz w:val="24"/>
          <w:szCs w:val="24"/>
        </w:rPr>
      </w:pPr>
      <w:r w:rsidRPr="00EE7134">
        <w:rPr>
          <w:rFonts w:ascii="Times New Roman" w:hAnsi="Times New Roman" w:cs="Times New Roman"/>
          <w:color w:val="000000" w:themeColor="text1"/>
          <w:sz w:val="24"/>
          <w:szCs w:val="24"/>
        </w:rPr>
        <w:t>4. I didn't have enough time during my three-month internship program to fully comprehend the operations of each department.</w:t>
      </w:r>
    </w:p>
    <w:p w14:paraId="495152C0"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4FE07521"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70FA439C"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r w:rsidRPr="00D24E36">
        <w:rPr>
          <w:rFonts w:ascii="Times New Roman" w:hAnsi="Times New Roman" w:cs="Times New Roman"/>
          <w:b/>
          <w:bCs/>
          <w:color w:val="4472C4" w:themeColor="accent1"/>
          <w:sz w:val="28"/>
          <w:szCs w:val="28"/>
          <w:u w:val="single"/>
        </w:rPr>
        <w:t>1.5 Methodology of the Report</w:t>
      </w:r>
    </w:p>
    <w:p w14:paraId="4C00A298" w14:textId="77777777" w:rsidR="00E956C2" w:rsidRDefault="00E956C2" w:rsidP="00E956C2">
      <w:pPr>
        <w:spacing w:line="360" w:lineRule="auto"/>
        <w:jc w:val="both"/>
        <w:rPr>
          <w:rFonts w:ascii="Times New Roman" w:hAnsi="Times New Roman" w:cs="Times New Roman"/>
          <w:color w:val="7030A0"/>
          <w:sz w:val="26"/>
          <w:szCs w:val="26"/>
          <w:u w:val="single"/>
        </w:rPr>
      </w:pPr>
      <w:r w:rsidRPr="00D24E36">
        <w:rPr>
          <w:rFonts w:ascii="Times New Roman" w:hAnsi="Times New Roman" w:cs="Times New Roman"/>
          <w:color w:val="7030A0"/>
          <w:sz w:val="26"/>
          <w:szCs w:val="26"/>
          <w:u w:val="single"/>
        </w:rPr>
        <w:t>1.5.1 Research Type</w:t>
      </w:r>
      <w:r>
        <w:rPr>
          <w:rFonts w:ascii="Times New Roman" w:hAnsi="Times New Roman" w:cs="Times New Roman"/>
          <w:color w:val="7030A0"/>
          <w:sz w:val="26"/>
          <w:szCs w:val="26"/>
          <w:u w:val="single"/>
        </w:rPr>
        <w:t xml:space="preserve">: </w:t>
      </w:r>
    </w:p>
    <w:p w14:paraId="4F6A82DA" w14:textId="77777777" w:rsidR="00E956C2" w:rsidRDefault="00E956C2" w:rsidP="00E956C2">
      <w:pPr>
        <w:spacing w:line="360" w:lineRule="auto"/>
        <w:jc w:val="both"/>
        <w:rPr>
          <w:rFonts w:ascii="Times New Roman" w:hAnsi="Times New Roman" w:cs="Times New Roman"/>
          <w:sz w:val="24"/>
          <w:szCs w:val="24"/>
        </w:rPr>
      </w:pPr>
      <w:r w:rsidRPr="00D24E36">
        <w:rPr>
          <w:rFonts w:ascii="Times New Roman" w:hAnsi="Times New Roman" w:cs="Times New Roman"/>
          <w:sz w:val="24"/>
          <w:szCs w:val="24"/>
        </w:rPr>
        <w:t>The report has been prepared by using a mixed type of research. It contains components of both primary and secondary research. The study involves collection of both brand new as well as previously established information.</w:t>
      </w:r>
      <w:r>
        <w:rPr>
          <w:rFonts w:ascii="Times New Roman" w:hAnsi="Times New Roman" w:cs="Times New Roman"/>
          <w:sz w:val="24"/>
          <w:szCs w:val="24"/>
        </w:rPr>
        <w:t xml:space="preserve"> But the majority of the research has been conducted based on the secondary data.</w:t>
      </w:r>
    </w:p>
    <w:p w14:paraId="442AB2AC" w14:textId="77777777" w:rsidR="00E956C2" w:rsidRPr="004E1C5E" w:rsidRDefault="00E956C2" w:rsidP="00E956C2">
      <w:pPr>
        <w:spacing w:line="360" w:lineRule="auto"/>
        <w:jc w:val="both"/>
        <w:rPr>
          <w:rFonts w:ascii="Times New Roman" w:hAnsi="Times New Roman" w:cs="Times New Roman"/>
          <w:color w:val="7030A0"/>
          <w:sz w:val="26"/>
          <w:szCs w:val="26"/>
          <w:u w:val="single"/>
        </w:rPr>
      </w:pPr>
      <w:r w:rsidRPr="004E1C5E">
        <w:rPr>
          <w:rFonts w:ascii="Times New Roman" w:hAnsi="Times New Roman" w:cs="Times New Roman"/>
          <w:color w:val="7030A0"/>
          <w:sz w:val="26"/>
          <w:szCs w:val="26"/>
          <w:u w:val="single"/>
        </w:rPr>
        <w:t>1.5.2 Types of Data:</w:t>
      </w:r>
    </w:p>
    <w:p w14:paraId="35154348" w14:textId="77777777" w:rsidR="00E956C2" w:rsidRPr="004E1C5E" w:rsidRDefault="00E956C2" w:rsidP="00E956C2">
      <w:pPr>
        <w:spacing w:line="360" w:lineRule="auto"/>
        <w:jc w:val="both"/>
        <w:rPr>
          <w:rFonts w:ascii="Times New Roman" w:hAnsi="Times New Roman" w:cs="Times New Roman"/>
          <w:sz w:val="24"/>
          <w:szCs w:val="24"/>
        </w:rPr>
      </w:pPr>
      <w:r w:rsidRPr="004E1C5E">
        <w:rPr>
          <w:rFonts w:ascii="Times New Roman" w:hAnsi="Times New Roman" w:cs="Times New Roman"/>
          <w:sz w:val="24"/>
          <w:szCs w:val="24"/>
        </w:rPr>
        <w:t>The study includes both primary and secondary data. The combined outcome of both new and revised bunch of information formulates crucial and fruitful findings and analyses.</w:t>
      </w:r>
    </w:p>
    <w:p w14:paraId="0BC2EFFC" w14:textId="77777777" w:rsidR="00E956C2" w:rsidRDefault="00E956C2" w:rsidP="00E956C2">
      <w:pPr>
        <w:spacing w:line="360" w:lineRule="auto"/>
        <w:jc w:val="both"/>
        <w:rPr>
          <w:rFonts w:ascii="Times New Roman" w:hAnsi="Times New Roman" w:cs="Times New Roman"/>
          <w:color w:val="7030A0"/>
          <w:sz w:val="26"/>
          <w:szCs w:val="26"/>
          <w:u w:val="single"/>
        </w:rPr>
      </w:pPr>
      <w:r w:rsidRPr="004E1C5E">
        <w:rPr>
          <w:rFonts w:ascii="Times New Roman" w:hAnsi="Times New Roman" w:cs="Times New Roman"/>
          <w:color w:val="7030A0"/>
          <w:sz w:val="26"/>
          <w:szCs w:val="26"/>
          <w:u w:val="single"/>
        </w:rPr>
        <w:t>1.5.3 Data Collection Method</w:t>
      </w:r>
      <w:r>
        <w:rPr>
          <w:rFonts w:ascii="Times New Roman" w:hAnsi="Times New Roman" w:cs="Times New Roman"/>
          <w:color w:val="7030A0"/>
          <w:sz w:val="26"/>
          <w:szCs w:val="26"/>
          <w:u w:val="single"/>
        </w:rPr>
        <w:t>:</w:t>
      </w:r>
    </w:p>
    <w:p w14:paraId="507D4D52" w14:textId="77777777" w:rsidR="00E956C2" w:rsidRDefault="00E956C2" w:rsidP="00E956C2">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The data has been collected from both primary and secondary sources. The primary data collection method was basically interviewing some of the members of the Business Finance Department including my supervisor. The majority of the data was the secondary data. The secondary data has been collected from the annual report of City Bank Limited, annual report of other banks, articles and some of the internal data provided by my line manager. </w:t>
      </w:r>
      <w:r w:rsidRPr="00B152F9">
        <w:rPr>
          <w:rFonts w:ascii="Times New Roman" w:hAnsi="Times New Roman" w:cs="Times New Roman"/>
          <w:color w:val="000000" w:themeColor="text1"/>
          <w:sz w:val="24"/>
          <w:szCs w:val="24"/>
        </w:rPr>
        <w:t>Later, all of these data</w:t>
      </w:r>
      <w:r w:rsidRPr="00B152F9">
        <w:rPr>
          <w:rFonts w:ascii="Times New Roman" w:hAnsi="Times New Roman" w:cs="Times New Roman"/>
          <w:sz w:val="24"/>
          <w:szCs w:val="24"/>
        </w:rPr>
        <w:t xml:space="preserve"> ha</w:t>
      </w:r>
      <w:r>
        <w:rPr>
          <w:rFonts w:ascii="Times New Roman" w:hAnsi="Times New Roman" w:cs="Times New Roman"/>
          <w:sz w:val="24"/>
          <w:szCs w:val="24"/>
        </w:rPr>
        <w:t>ve</w:t>
      </w:r>
      <w:r w:rsidRPr="00B152F9">
        <w:rPr>
          <w:rFonts w:ascii="Times New Roman" w:hAnsi="Times New Roman" w:cs="Times New Roman"/>
          <w:sz w:val="24"/>
          <w:szCs w:val="24"/>
        </w:rPr>
        <w:t xml:space="preserve"> been used to formulate meaningful information and draw logical conclusions.</w:t>
      </w:r>
    </w:p>
    <w:p w14:paraId="720C1429" w14:textId="77777777" w:rsidR="00E956C2" w:rsidRDefault="00E956C2" w:rsidP="00E956C2">
      <w:pPr>
        <w:spacing w:line="360" w:lineRule="auto"/>
        <w:jc w:val="both"/>
        <w:rPr>
          <w:rFonts w:ascii="Times New Roman" w:hAnsi="Times New Roman" w:cs="Times New Roman"/>
          <w:color w:val="7030A0"/>
          <w:sz w:val="26"/>
          <w:szCs w:val="26"/>
          <w:u w:val="single"/>
        </w:rPr>
      </w:pPr>
      <w:r w:rsidRPr="00D7611C">
        <w:rPr>
          <w:rFonts w:ascii="Times New Roman" w:hAnsi="Times New Roman" w:cs="Times New Roman"/>
          <w:color w:val="7030A0"/>
          <w:sz w:val="26"/>
          <w:szCs w:val="26"/>
          <w:u w:val="single"/>
        </w:rPr>
        <w:t>1.5.4</w:t>
      </w:r>
      <w:r w:rsidRPr="00D7611C">
        <w:rPr>
          <w:rFonts w:ascii="Times New Roman" w:hAnsi="Times New Roman" w:cs="Times New Roman"/>
          <w:color w:val="7030A0"/>
          <w:sz w:val="24"/>
          <w:szCs w:val="24"/>
          <w:u w:val="single"/>
        </w:rPr>
        <w:t xml:space="preserve"> </w:t>
      </w:r>
      <w:r w:rsidRPr="00D7611C">
        <w:rPr>
          <w:rFonts w:ascii="Times New Roman" w:hAnsi="Times New Roman" w:cs="Times New Roman"/>
          <w:color w:val="7030A0"/>
          <w:sz w:val="26"/>
          <w:szCs w:val="26"/>
          <w:u w:val="single"/>
        </w:rPr>
        <w:t xml:space="preserve">Data </w:t>
      </w:r>
      <w:r>
        <w:rPr>
          <w:rFonts w:ascii="Times New Roman" w:hAnsi="Times New Roman" w:cs="Times New Roman"/>
          <w:color w:val="7030A0"/>
          <w:sz w:val="26"/>
          <w:szCs w:val="26"/>
          <w:u w:val="single"/>
        </w:rPr>
        <w:t>A</w:t>
      </w:r>
      <w:r w:rsidRPr="00D7611C">
        <w:rPr>
          <w:rFonts w:ascii="Times New Roman" w:hAnsi="Times New Roman" w:cs="Times New Roman"/>
          <w:color w:val="7030A0"/>
          <w:sz w:val="26"/>
          <w:szCs w:val="26"/>
          <w:u w:val="single"/>
        </w:rPr>
        <w:t xml:space="preserve">nalysis </w:t>
      </w:r>
      <w:r>
        <w:rPr>
          <w:rFonts w:ascii="Times New Roman" w:hAnsi="Times New Roman" w:cs="Times New Roman"/>
          <w:color w:val="7030A0"/>
          <w:sz w:val="26"/>
          <w:szCs w:val="26"/>
          <w:u w:val="single"/>
        </w:rPr>
        <w:t>M</w:t>
      </w:r>
      <w:r w:rsidRPr="00D7611C">
        <w:rPr>
          <w:rFonts w:ascii="Times New Roman" w:hAnsi="Times New Roman" w:cs="Times New Roman"/>
          <w:color w:val="7030A0"/>
          <w:sz w:val="26"/>
          <w:szCs w:val="26"/>
          <w:u w:val="single"/>
        </w:rPr>
        <w:t>ethod</w:t>
      </w:r>
      <w:r>
        <w:rPr>
          <w:rFonts w:ascii="Times New Roman" w:hAnsi="Times New Roman" w:cs="Times New Roman"/>
          <w:color w:val="7030A0"/>
          <w:sz w:val="26"/>
          <w:szCs w:val="26"/>
          <w:u w:val="single"/>
        </w:rPr>
        <w:t>:</w:t>
      </w:r>
    </w:p>
    <w:p w14:paraId="546E4CC6" w14:textId="77777777" w:rsidR="00E956C2" w:rsidRDefault="00E956C2" w:rsidP="00E956C2">
      <w:pPr>
        <w:spacing w:line="360" w:lineRule="auto"/>
        <w:jc w:val="both"/>
        <w:rPr>
          <w:rFonts w:ascii="Times New Roman" w:hAnsi="Times New Roman" w:cs="Times New Roman"/>
          <w:sz w:val="24"/>
          <w:szCs w:val="24"/>
        </w:rPr>
      </w:pPr>
      <w:r w:rsidRPr="00D7611C">
        <w:rPr>
          <w:rFonts w:ascii="Times New Roman" w:hAnsi="Times New Roman" w:cs="Times New Roman"/>
          <w:sz w:val="24"/>
          <w:szCs w:val="24"/>
        </w:rPr>
        <w:t xml:space="preserve">The data has been analyzed using </w:t>
      </w:r>
      <w:r>
        <w:rPr>
          <w:rFonts w:ascii="Times New Roman" w:hAnsi="Times New Roman" w:cs="Times New Roman"/>
          <w:sz w:val="24"/>
          <w:szCs w:val="24"/>
        </w:rPr>
        <w:t xml:space="preserve">both </w:t>
      </w:r>
      <w:r w:rsidRPr="00D7611C">
        <w:rPr>
          <w:rFonts w:ascii="Times New Roman" w:hAnsi="Times New Roman" w:cs="Times New Roman"/>
          <w:sz w:val="24"/>
          <w:szCs w:val="24"/>
        </w:rPr>
        <w:t>quantitative</w:t>
      </w:r>
      <w:r>
        <w:rPr>
          <w:rFonts w:ascii="Times New Roman" w:hAnsi="Times New Roman" w:cs="Times New Roman"/>
          <w:sz w:val="24"/>
          <w:szCs w:val="24"/>
        </w:rPr>
        <w:t xml:space="preserve"> and qualitative</w:t>
      </w:r>
      <w:r w:rsidRPr="00D7611C">
        <w:rPr>
          <w:rFonts w:ascii="Times New Roman" w:hAnsi="Times New Roman" w:cs="Times New Roman"/>
          <w:sz w:val="24"/>
          <w:szCs w:val="24"/>
        </w:rPr>
        <w:t xml:space="preserve"> method. The answers of the </w:t>
      </w:r>
      <w:r>
        <w:rPr>
          <w:rFonts w:ascii="Times New Roman" w:hAnsi="Times New Roman" w:cs="Times New Roman"/>
          <w:sz w:val="24"/>
          <w:szCs w:val="24"/>
        </w:rPr>
        <w:t>interviewed</w:t>
      </w:r>
      <w:r w:rsidRPr="00D7611C">
        <w:rPr>
          <w:rFonts w:ascii="Times New Roman" w:hAnsi="Times New Roman" w:cs="Times New Roman"/>
          <w:sz w:val="24"/>
          <w:szCs w:val="24"/>
        </w:rPr>
        <w:t xml:space="preserve"> participants were collected, analyzed and then concluded.</w:t>
      </w:r>
      <w:r>
        <w:rPr>
          <w:rFonts w:ascii="Times New Roman" w:hAnsi="Times New Roman" w:cs="Times New Roman"/>
          <w:sz w:val="24"/>
          <w:szCs w:val="24"/>
        </w:rPr>
        <w:t xml:space="preserve"> Moreover, the data which has been collected from the bank’s internal sources and as well as from other secondary sources, have been analyzed in excel using different formulas and methods and then interpreted using logical reasoning.</w:t>
      </w:r>
    </w:p>
    <w:p w14:paraId="268426B7" w14:textId="77777777" w:rsidR="00E956C2" w:rsidRPr="00D14E04" w:rsidRDefault="00E956C2" w:rsidP="00E956C2">
      <w:pPr>
        <w:spacing w:line="360" w:lineRule="auto"/>
        <w:jc w:val="both"/>
        <w:rPr>
          <w:rFonts w:ascii="Times New Roman" w:hAnsi="Times New Roman" w:cs="Times New Roman"/>
          <w:color w:val="7030A0"/>
          <w:sz w:val="26"/>
          <w:szCs w:val="26"/>
          <w:u w:val="single"/>
        </w:rPr>
      </w:pPr>
      <w:r w:rsidRPr="00D14E04">
        <w:rPr>
          <w:rFonts w:ascii="Times New Roman" w:hAnsi="Times New Roman" w:cs="Times New Roman"/>
          <w:color w:val="7030A0"/>
          <w:sz w:val="26"/>
          <w:szCs w:val="26"/>
          <w:u w:val="single"/>
        </w:rPr>
        <w:t>1.5.5 Data Presentation Method</w:t>
      </w:r>
      <w:r>
        <w:rPr>
          <w:rFonts w:ascii="Times New Roman" w:hAnsi="Times New Roman" w:cs="Times New Roman"/>
          <w:color w:val="7030A0"/>
          <w:sz w:val="26"/>
          <w:szCs w:val="26"/>
          <w:u w:val="single"/>
        </w:rPr>
        <w:t>:</w:t>
      </w:r>
    </w:p>
    <w:p w14:paraId="36CE0BB4" w14:textId="77777777" w:rsidR="00E956C2" w:rsidRDefault="00E956C2" w:rsidP="00E956C2">
      <w:pPr>
        <w:spacing w:line="360" w:lineRule="auto"/>
        <w:jc w:val="both"/>
        <w:rPr>
          <w:rFonts w:ascii="Times New Roman" w:hAnsi="Times New Roman" w:cs="Times New Roman"/>
          <w:sz w:val="24"/>
          <w:szCs w:val="24"/>
        </w:rPr>
      </w:pPr>
      <w:r w:rsidRPr="00D14E04">
        <w:rPr>
          <w:rFonts w:ascii="Times New Roman" w:hAnsi="Times New Roman" w:cs="Times New Roman"/>
          <w:sz w:val="24"/>
          <w:szCs w:val="24"/>
        </w:rPr>
        <w:t xml:space="preserve">The data have been organized and presented in written format as well as with the assistance of </w:t>
      </w:r>
      <w:r>
        <w:rPr>
          <w:rFonts w:ascii="Times New Roman" w:hAnsi="Times New Roman" w:cs="Times New Roman"/>
          <w:sz w:val="24"/>
          <w:szCs w:val="24"/>
        </w:rPr>
        <w:t>tables, column graphs, pie charts etc.</w:t>
      </w:r>
    </w:p>
    <w:p w14:paraId="3C2F79D5"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r w:rsidRPr="00E24F7B">
        <w:rPr>
          <w:rFonts w:ascii="Times New Roman" w:hAnsi="Times New Roman" w:cs="Times New Roman"/>
          <w:b/>
          <w:bCs/>
          <w:color w:val="4472C4" w:themeColor="accent1"/>
          <w:sz w:val="28"/>
          <w:szCs w:val="28"/>
          <w:u w:val="single"/>
        </w:rPr>
        <w:lastRenderedPageBreak/>
        <w:t>1.6 List of Abbreviations &amp; Technical Terms</w:t>
      </w:r>
    </w:p>
    <w:p w14:paraId="0461A9E3" w14:textId="77777777" w:rsidR="00E956C2" w:rsidRPr="002F27C3" w:rsidRDefault="00E956C2" w:rsidP="00E956C2">
      <w:pPr>
        <w:pStyle w:val="ListParagraph"/>
        <w:numPr>
          <w:ilvl w:val="0"/>
          <w:numId w:val="1"/>
        </w:numPr>
        <w:spacing w:line="360" w:lineRule="auto"/>
        <w:jc w:val="both"/>
        <w:rPr>
          <w:rFonts w:ascii="Times New Roman" w:hAnsi="Times New Roman" w:cs="Times New Roman"/>
          <w:sz w:val="24"/>
          <w:szCs w:val="24"/>
        </w:rPr>
      </w:pPr>
      <w:r w:rsidRPr="002F27C3">
        <w:rPr>
          <w:rFonts w:ascii="Times New Roman" w:hAnsi="Times New Roman" w:cs="Times New Roman"/>
          <w:sz w:val="24"/>
          <w:szCs w:val="24"/>
        </w:rPr>
        <w:t>BBA: Bachelor of Business Administration</w:t>
      </w:r>
    </w:p>
    <w:p w14:paraId="31BF2436" w14:textId="77777777" w:rsidR="00E956C2" w:rsidRPr="002F27C3" w:rsidRDefault="00E956C2" w:rsidP="00E956C2">
      <w:pPr>
        <w:pStyle w:val="ListParagraph"/>
        <w:numPr>
          <w:ilvl w:val="0"/>
          <w:numId w:val="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w:t>
      </w:r>
      <w:r w:rsidRPr="002F27C3">
        <w:rPr>
          <w:rFonts w:ascii="Times New Roman" w:hAnsi="Times New Roman" w:cs="Times New Roman"/>
          <w:sz w:val="24"/>
          <w:szCs w:val="24"/>
        </w:rPr>
        <w:t>tc</w:t>
      </w:r>
      <w:proofErr w:type="spellEnd"/>
      <w:r w:rsidRPr="002F27C3">
        <w:rPr>
          <w:rFonts w:ascii="Times New Roman" w:hAnsi="Times New Roman" w:cs="Times New Roman"/>
          <w:sz w:val="24"/>
          <w:szCs w:val="24"/>
        </w:rPr>
        <w:t>: Et cetera</w:t>
      </w:r>
    </w:p>
    <w:p w14:paraId="0CDCEEAE" w14:textId="77777777" w:rsidR="00E956C2" w:rsidRPr="002F27C3" w:rsidRDefault="00E956C2" w:rsidP="00E956C2">
      <w:pPr>
        <w:pStyle w:val="ListParagraph"/>
        <w:numPr>
          <w:ilvl w:val="0"/>
          <w:numId w:val="1"/>
        </w:numPr>
        <w:spacing w:line="360" w:lineRule="auto"/>
        <w:jc w:val="both"/>
        <w:rPr>
          <w:rFonts w:ascii="Times New Roman" w:hAnsi="Times New Roman" w:cs="Times New Roman"/>
          <w:sz w:val="24"/>
          <w:szCs w:val="24"/>
        </w:rPr>
      </w:pPr>
      <w:r w:rsidRPr="002F27C3">
        <w:rPr>
          <w:rFonts w:ascii="Times New Roman" w:hAnsi="Times New Roman" w:cs="Times New Roman"/>
          <w:sz w:val="24"/>
          <w:szCs w:val="24"/>
        </w:rPr>
        <w:t>ID: Identification</w:t>
      </w:r>
    </w:p>
    <w:p w14:paraId="12BD527E" w14:textId="77777777" w:rsidR="00E956C2" w:rsidRPr="002F27C3" w:rsidRDefault="00E956C2" w:rsidP="00E956C2">
      <w:pPr>
        <w:pStyle w:val="ListParagraph"/>
        <w:numPr>
          <w:ilvl w:val="0"/>
          <w:numId w:val="1"/>
        </w:numPr>
        <w:spacing w:line="360" w:lineRule="auto"/>
        <w:jc w:val="both"/>
        <w:rPr>
          <w:rFonts w:ascii="Times New Roman" w:hAnsi="Times New Roman" w:cs="Times New Roman"/>
          <w:sz w:val="24"/>
          <w:szCs w:val="24"/>
        </w:rPr>
      </w:pPr>
      <w:r w:rsidRPr="002F27C3">
        <w:rPr>
          <w:rFonts w:ascii="Times New Roman" w:hAnsi="Times New Roman" w:cs="Times New Roman"/>
          <w:sz w:val="24"/>
          <w:szCs w:val="24"/>
        </w:rPr>
        <w:t>CBL: City Bank Limited</w:t>
      </w:r>
    </w:p>
    <w:p w14:paraId="041277FB" w14:textId="77777777" w:rsidR="00E956C2" w:rsidRPr="002F27C3" w:rsidRDefault="00E956C2" w:rsidP="00E956C2">
      <w:pPr>
        <w:pStyle w:val="ListParagraph"/>
        <w:numPr>
          <w:ilvl w:val="0"/>
          <w:numId w:val="1"/>
        </w:numPr>
        <w:spacing w:line="360" w:lineRule="auto"/>
        <w:jc w:val="both"/>
        <w:rPr>
          <w:rFonts w:ascii="Times New Roman" w:hAnsi="Times New Roman" w:cs="Times New Roman"/>
          <w:sz w:val="24"/>
          <w:szCs w:val="24"/>
        </w:rPr>
      </w:pPr>
      <w:r w:rsidRPr="002F27C3">
        <w:rPr>
          <w:rFonts w:ascii="Times New Roman" w:hAnsi="Times New Roman" w:cs="Times New Roman"/>
          <w:sz w:val="24"/>
          <w:szCs w:val="24"/>
        </w:rPr>
        <w:t>BB: Bangladesh Bank</w:t>
      </w:r>
    </w:p>
    <w:p w14:paraId="5391813E"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sidRPr="002F27C3">
        <w:rPr>
          <w:rFonts w:ascii="Times New Roman" w:hAnsi="Times New Roman" w:cs="Times New Roman"/>
          <w:sz w:val="24"/>
          <w:szCs w:val="24"/>
        </w:rPr>
        <w:t xml:space="preserve">CRAR: </w:t>
      </w:r>
      <w:r>
        <w:rPr>
          <w:rFonts w:ascii="Times New Roman" w:hAnsi="Times New Roman" w:cs="Times New Roman"/>
          <w:sz w:val="24"/>
          <w:szCs w:val="24"/>
        </w:rPr>
        <w:t>Capital to Risk-Weighted Assets Ratio</w:t>
      </w:r>
    </w:p>
    <w:p w14:paraId="1018160C"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NPL: Non-Performing Loans</w:t>
      </w:r>
    </w:p>
    <w:p w14:paraId="07127AC4"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CRR- Cash Reserve Requirement</w:t>
      </w:r>
    </w:p>
    <w:p w14:paraId="6AFC71B7"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SLR: Statutory Liquidity Ratio</w:t>
      </w:r>
    </w:p>
    <w:p w14:paraId="71A36261"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HFT: Held for Trading</w:t>
      </w:r>
    </w:p>
    <w:p w14:paraId="24020878"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SME: Small &amp; Medium Entrepreneur</w:t>
      </w:r>
    </w:p>
    <w:p w14:paraId="7D0BA65A"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NII: Net Interest Income</w:t>
      </w:r>
    </w:p>
    <w:p w14:paraId="42F9C4D4"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ROA: Return on Asset</w:t>
      </w:r>
    </w:p>
    <w:p w14:paraId="0300D5DB"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ROE: Return on Equity</w:t>
      </w:r>
    </w:p>
    <w:p w14:paraId="5218E80E"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RWA: Risk Weighted Assets</w:t>
      </w:r>
    </w:p>
    <w:p w14:paraId="208B5574"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EPS: Earnings Per Share</w:t>
      </w:r>
    </w:p>
    <w:p w14:paraId="1C5A10FE"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NAVPS: Net Asset Value Per Share</w:t>
      </w:r>
    </w:p>
    <w:p w14:paraId="464AAF8C"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NOCFPS: Net Operating Cash Flow Per Share</w:t>
      </w:r>
    </w:p>
    <w:p w14:paraId="3A3D6E71"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HR: Human Resource</w:t>
      </w:r>
    </w:p>
    <w:p w14:paraId="61C2C40F"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PR: Public Relation</w:t>
      </w:r>
    </w:p>
    <w:p w14:paraId="07E85995"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CASA: Current Accounts &amp; Savings Accounts</w:t>
      </w:r>
    </w:p>
    <w:p w14:paraId="77C14C58"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TD: Term Deposits</w:t>
      </w:r>
    </w:p>
    <w:p w14:paraId="4D9AB40B"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AGM: Annual General Meeting</w:t>
      </w:r>
    </w:p>
    <w:p w14:paraId="42F9EF60"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DSE: Dhaka Stock Exchange</w:t>
      </w:r>
    </w:p>
    <w:p w14:paraId="09610680"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BDT: Bangladesh Taka</w:t>
      </w:r>
    </w:p>
    <w:p w14:paraId="6A43210F"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Mn: Million</w:t>
      </w:r>
    </w:p>
    <w:p w14:paraId="2C581E02"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Dollar</w:t>
      </w:r>
    </w:p>
    <w:p w14:paraId="4B83F93C" w14:textId="77777777" w:rsidR="00E956C2" w:rsidRDefault="00E956C2" w:rsidP="00E956C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SWOT: Strengths, Weaknesses, Opportunities &amp; Threats</w:t>
      </w:r>
    </w:p>
    <w:p w14:paraId="20FD49B7" w14:textId="77777777" w:rsidR="00E956C2" w:rsidRDefault="00E956C2" w:rsidP="00E956C2">
      <w:pPr>
        <w:pStyle w:val="ListParagraph"/>
        <w:spacing w:line="360" w:lineRule="auto"/>
        <w:jc w:val="center"/>
        <w:rPr>
          <w:rFonts w:ascii="Times New Roman" w:hAnsi="Times New Roman" w:cs="Times New Roman"/>
          <w:sz w:val="24"/>
          <w:szCs w:val="24"/>
        </w:rPr>
      </w:pPr>
    </w:p>
    <w:p w14:paraId="3001BFEF" w14:textId="77777777" w:rsidR="00E956C2" w:rsidRDefault="00E956C2" w:rsidP="00E956C2">
      <w:pPr>
        <w:pStyle w:val="ListParagraph"/>
        <w:spacing w:line="360" w:lineRule="auto"/>
        <w:jc w:val="center"/>
        <w:rPr>
          <w:rFonts w:ascii="Times New Roman" w:hAnsi="Times New Roman" w:cs="Times New Roman"/>
          <w:sz w:val="24"/>
          <w:szCs w:val="24"/>
        </w:rPr>
      </w:pPr>
    </w:p>
    <w:p w14:paraId="4E2CEE1E" w14:textId="77777777" w:rsidR="00E956C2" w:rsidRDefault="00E956C2" w:rsidP="00E956C2">
      <w:pPr>
        <w:pStyle w:val="ListParagraph"/>
        <w:spacing w:line="360" w:lineRule="auto"/>
        <w:jc w:val="center"/>
        <w:rPr>
          <w:rFonts w:ascii="Times New Roman" w:hAnsi="Times New Roman" w:cs="Times New Roman"/>
          <w:sz w:val="24"/>
          <w:szCs w:val="24"/>
        </w:rPr>
      </w:pPr>
    </w:p>
    <w:p w14:paraId="2CB7DAE1" w14:textId="77777777" w:rsidR="00E956C2" w:rsidRDefault="00E956C2" w:rsidP="00E956C2">
      <w:pPr>
        <w:pStyle w:val="ListParagraph"/>
        <w:spacing w:line="360" w:lineRule="auto"/>
        <w:jc w:val="center"/>
        <w:rPr>
          <w:rFonts w:ascii="Times New Roman" w:hAnsi="Times New Roman" w:cs="Times New Roman"/>
          <w:sz w:val="24"/>
          <w:szCs w:val="24"/>
        </w:rPr>
      </w:pPr>
    </w:p>
    <w:p w14:paraId="2454A562" w14:textId="77777777" w:rsidR="00E956C2" w:rsidRDefault="00E956C2" w:rsidP="00E956C2">
      <w:pPr>
        <w:pStyle w:val="ListParagraph"/>
        <w:spacing w:line="360" w:lineRule="auto"/>
        <w:jc w:val="center"/>
        <w:rPr>
          <w:rFonts w:ascii="Times New Roman" w:hAnsi="Times New Roman" w:cs="Times New Roman"/>
          <w:sz w:val="24"/>
          <w:szCs w:val="24"/>
        </w:rPr>
      </w:pPr>
    </w:p>
    <w:p w14:paraId="5E596A8E" w14:textId="77777777" w:rsidR="00E956C2" w:rsidRDefault="00E956C2" w:rsidP="00E956C2">
      <w:pPr>
        <w:pStyle w:val="ListParagraph"/>
        <w:spacing w:line="360" w:lineRule="auto"/>
        <w:jc w:val="center"/>
        <w:rPr>
          <w:rFonts w:ascii="Times New Roman" w:hAnsi="Times New Roman" w:cs="Times New Roman"/>
          <w:sz w:val="24"/>
          <w:szCs w:val="24"/>
        </w:rPr>
      </w:pPr>
    </w:p>
    <w:p w14:paraId="2759AE24" w14:textId="77777777" w:rsidR="00E956C2" w:rsidRPr="00050605" w:rsidRDefault="00E956C2" w:rsidP="00E956C2">
      <w:pPr>
        <w:spacing w:line="240" w:lineRule="auto"/>
        <w:jc w:val="center"/>
        <w:rPr>
          <w:rFonts w:ascii="Times New Roman" w:hAnsi="Times New Roman" w:cs="Times New Roman"/>
          <w:b/>
          <w:bCs/>
          <w:color w:val="4472C4" w:themeColor="accent1"/>
          <w:sz w:val="120"/>
          <w:szCs w:val="120"/>
        </w:rPr>
      </w:pPr>
      <w:r>
        <w:rPr>
          <w:rFonts w:ascii="Times New Roman" w:hAnsi="Times New Roman" w:cs="Times New Roman"/>
          <w:b/>
          <w:bCs/>
          <w:color w:val="4472C4" w:themeColor="accent1"/>
          <w:sz w:val="120"/>
          <w:szCs w:val="120"/>
        </w:rPr>
        <w:t xml:space="preserve">   </w:t>
      </w:r>
      <w:r w:rsidRPr="00050605">
        <w:rPr>
          <w:rFonts w:ascii="Times New Roman" w:hAnsi="Times New Roman" w:cs="Times New Roman"/>
          <w:b/>
          <w:bCs/>
          <w:color w:val="4472C4" w:themeColor="accent1"/>
          <w:sz w:val="120"/>
          <w:szCs w:val="120"/>
        </w:rPr>
        <w:t>2.0</w:t>
      </w:r>
    </w:p>
    <w:p w14:paraId="367A6BC7" w14:textId="77777777" w:rsidR="00E956C2" w:rsidRPr="00050605" w:rsidRDefault="00E956C2" w:rsidP="00E956C2">
      <w:pPr>
        <w:pStyle w:val="ListParagraph"/>
        <w:spacing w:line="240" w:lineRule="auto"/>
        <w:jc w:val="center"/>
        <w:rPr>
          <w:rFonts w:ascii="Times New Roman" w:hAnsi="Times New Roman" w:cs="Times New Roman"/>
          <w:b/>
          <w:bCs/>
          <w:color w:val="4472C4" w:themeColor="accent1"/>
          <w:sz w:val="120"/>
          <w:szCs w:val="120"/>
        </w:rPr>
      </w:pPr>
      <w:r w:rsidRPr="00050605">
        <w:rPr>
          <w:rFonts w:ascii="Times New Roman" w:hAnsi="Times New Roman" w:cs="Times New Roman"/>
          <w:b/>
          <w:bCs/>
          <w:color w:val="4472C4" w:themeColor="accent1"/>
          <w:sz w:val="120"/>
          <w:szCs w:val="120"/>
        </w:rPr>
        <w:t>Company      Overview</w:t>
      </w:r>
    </w:p>
    <w:p w14:paraId="11857CD3" w14:textId="77777777" w:rsidR="00E956C2" w:rsidRPr="00E24F7B" w:rsidRDefault="00E956C2" w:rsidP="00E956C2">
      <w:pPr>
        <w:spacing w:line="360" w:lineRule="auto"/>
        <w:jc w:val="both"/>
        <w:rPr>
          <w:rFonts w:ascii="Times New Roman" w:hAnsi="Times New Roman" w:cs="Times New Roman"/>
          <w:b/>
          <w:bCs/>
          <w:color w:val="4472C4" w:themeColor="accent1"/>
          <w:sz w:val="28"/>
          <w:szCs w:val="28"/>
          <w:u w:val="single"/>
        </w:rPr>
      </w:pPr>
    </w:p>
    <w:p w14:paraId="491261B9" w14:textId="77777777" w:rsidR="00E956C2" w:rsidRPr="004E1C5E" w:rsidRDefault="00E956C2" w:rsidP="00E956C2">
      <w:pPr>
        <w:spacing w:line="360" w:lineRule="auto"/>
        <w:jc w:val="both"/>
        <w:rPr>
          <w:rFonts w:ascii="Times New Roman" w:hAnsi="Times New Roman" w:cs="Times New Roman"/>
          <w:color w:val="7030A0"/>
          <w:sz w:val="26"/>
          <w:szCs w:val="26"/>
          <w:u w:val="single"/>
        </w:rPr>
      </w:pPr>
    </w:p>
    <w:p w14:paraId="613BE373" w14:textId="77777777" w:rsidR="00E956C2" w:rsidRPr="004E1C5E" w:rsidRDefault="00E956C2" w:rsidP="00E956C2">
      <w:pPr>
        <w:spacing w:line="360" w:lineRule="auto"/>
        <w:jc w:val="both"/>
        <w:rPr>
          <w:rFonts w:ascii="Times New Roman" w:hAnsi="Times New Roman" w:cs="Times New Roman"/>
        </w:rPr>
      </w:pPr>
    </w:p>
    <w:p w14:paraId="5191AC89" w14:textId="77777777" w:rsidR="00E956C2" w:rsidRPr="00D24E36" w:rsidRDefault="00E956C2" w:rsidP="00E956C2">
      <w:pPr>
        <w:spacing w:line="360" w:lineRule="auto"/>
        <w:jc w:val="both"/>
        <w:rPr>
          <w:rFonts w:ascii="Times New Roman" w:hAnsi="Times New Roman" w:cs="Times New Roman"/>
          <w:color w:val="000000" w:themeColor="text1"/>
          <w:sz w:val="24"/>
          <w:szCs w:val="24"/>
        </w:rPr>
      </w:pPr>
    </w:p>
    <w:p w14:paraId="5C94E3FA"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56FAD05A"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6F17E110" w14:textId="77777777" w:rsidR="00E956C2" w:rsidRDefault="00E956C2" w:rsidP="00E956C2">
      <w:pPr>
        <w:spacing w:line="360" w:lineRule="auto"/>
        <w:rPr>
          <w:rFonts w:ascii="Times New Roman" w:hAnsi="Times New Roman" w:cs="Times New Roman"/>
          <w:color w:val="000000" w:themeColor="text1"/>
          <w:sz w:val="24"/>
          <w:szCs w:val="24"/>
        </w:rPr>
      </w:pPr>
    </w:p>
    <w:p w14:paraId="022210E3"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6FEE817F"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2BEAC559"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68A1BA93"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r w:rsidRPr="00C164F8">
        <w:rPr>
          <w:rFonts w:ascii="Times New Roman" w:hAnsi="Times New Roman" w:cs="Times New Roman"/>
          <w:b/>
          <w:bCs/>
          <w:color w:val="4472C4" w:themeColor="accent1"/>
          <w:sz w:val="28"/>
          <w:szCs w:val="28"/>
          <w:u w:val="single"/>
        </w:rPr>
        <w:lastRenderedPageBreak/>
        <w:t xml:space="preserve">2.1 </w:t>
      </w:r>
      <w:r>
        <w:rPr>
          <w:rFonts w:ascii="Times New Roman" w:hAnsi="Times New Roman" w:cs="Times New Roman"/>
          <w:b/>
          <w:bCs/>
          <w:color w:val="4472C4" w:themeColor="accent1"/>
          <w:sz w:val="28"/>
          <w:szCs w:val="28"/>
          <w:u w:val="single"/>
        </w:rPr>
        <w:t>History</w:t>
      </w:r>
      <w:r w:rsidRPr="00C164F8">
        <w:rPr>
          <w:rFonts w:ascii="Times New Roman" w:hAnsi="Times New Roman" w:cs="Times New Roman"/>
          <w:b/>
          <w:bCs/>
          <w:color w:val="4472C4" w:themeColor="accent1"/>
          <w:sz w:val="28"/>
          <w:szCs w:val="28"/>
          <w:u w:val="single"/>
        </w:rPr>
        <w:t xml:space="preserve"> of The City Bank Limited</w:t>
      </w:r>
    </w:p>
    <w:p w14:paraId="1F7F920A" w14:textId="77777777" w:rsidR="00E956C2" w:rsidRPr="00C35A1C" w:rsidRDefault="00E956C2" w:rsidP="00E956C2">
      <w:pPr>
        <w:spacing w:line="360" w:lineRule="auto"/>
        <w:jc w:val="both"/>
        <w:rPr>
          <w:rFonts w:ascii="Times New Roman" w:hAnsi="Times New Roman" w:cs="Times New Roman"/>
          <w:color w:val="000000" w:themeColor="text1"/>
          <w:sz w:val="24"/>
          <w:szCs w:val="24"/>
        </w:rPr>
      </w:pPr>
      <w:r w:rsidRPr="00401984">
        <w:rPr>
          <w:rFonts w:ascii="Times New Roman" w:hAnsi="Times New Roman" w:cs="Times New Roman"/>
          <w:color w:val="000000" w:themeColor="text1"/>
          <w:sz w:val="24"/>
          <w:szCs w:val="24"/>
        </w:rPr>
        <w:t>In the midst of great uncertainty, 12 fresh businessmen opened the nation's first private commercial bank in 1983 and created The City Bank</w:t>
      </w:r>
      <w:r>
        <w:rPr>
          <w:rFonts w:ascii="Times New Roman" w:hAnsi="Times New Roman" w:cs="Times New Roman"/>
          <w:color w:val="000000" w:themeColor="text1"/>
          <w:sz w:val="24"/>
          <w:szCs w:val="24"/>
        </w:rPr>
        <w:t xml:space="preserve"> Limited</w:t>
      </w:r>
      <w:r w:rsidRPr="00401984">
        <w:rPr>
          <w:rFonts w:ascii="Times New Roman" w:hAnsi="Times New Roman" w:cs="Times New Roman"/>
          <w:color w:val="000000" w:themeColor="text1"/>
          <w:sz w:val="24"/>
          <w:szCs w:val="24"/>
        </w:rPr>
        <w:t>. The initial capital of this board of directors was just BDT 34 million, but it has since increased to a respectable BDT 3.4 billion</w:t>
      </w:r>
      <w:r>
        <w:rPr>
          <w:rFonts w:ascii="Times New Roman" w:hAnsi="Times New Roman" w:cs="Times New Roman"/>
          <w:color w:val="000000" w:themeColor="text1"/>
          <w:sz w:val="24"/>
          <w:szCs w:val="24"/>
        </w:rPr>
        <w:t xml:space="preserve"> as of now</w:t>
      </w:r>
      <w:r w:rsidRPr="00401984">
        <w:rPr>
          <w:rFonts w:ascii="Times New Roman" w:hAnsi="Times New Roman" w:cs="Times New Roman"/>
          <w:color w:val="000000" w:themeColor="text1"/>
          <w:sz w:val="24"/>
          <w:szCs w:val="24"/>
        </w:rPr>
        <w:t>. The City Bank Limited opened its first location in Dhaka on B</w:t>
      </w:r>
      <w:r>
        <w:rPr>
          <w:rFonts w:ascii="Times New Roman" w:hAnsi="Times New Roman" w:cs="Times New Roman"/>
          <w:color w:val="000000" w:themeColor="text1"/>
          <w:sz w:val="24"/>
          <w:szCs w:val="24"/>
        </w:rPr>
        <w:t xml:space="preserve">angabandhu </w:t>
      </w:r>
      <w:r w:rsidRPr="00401984">
        <w:rPr>
          <w:rFonts w:ascii="Times New Roman" w:hAnsi="Times New Roman" w:cs="Times New Roman"/>
          <w:color w:val="000000" w:themeColor="text1"/>
          <w:sz w:val="24"/>
          <w:szCs w:val="24"/>
        </w:rPr>
        <w:t>Avenue. The City Bank Limited debuted on the Dhaka Stock Exchange in 1986 and the Chittagong Stock Exchange in 1995. In Malaysia, City Bank opened ten branches and one representative office in 2013, and in Hong Kong, it opened a subsidiary office in 2019.</w:t>
      </w:r>
    </w:p>
    <w:p w14:paraId="7C124E0A" w14:textId="77777777" w:rsidR="00E956C2" w:rsidRPr="001657A4" w:rsidRDefault="00E956C2" w:rsidP="00E956C2">
      <w:pPr>
        <w:spacing w:line="360" w:lineRule="auto"/>
        <w:jc w:val="center"/>
        <w:rPr>
          <w:rFonts w:ascii="Times New Roman" w:hAnsi="Times New Roman" w:cs="Times New Roman"/>
          <w:b/>
          <w:bCs/>
          <w:color w:val="4472C4" w:themeColor="accent1"/>
          <w:sz w:val="28"/>
          <w:szCs w:val="28"/>
          <w:u w:val="single"/>
        </w:rPr>
      </w:pPr>
      <w:r w:rsidRPr="001657A4">
        <w:rPr>
          <w:rFonts w:ascii="Times New Roman" w:hAnsi="Times New Roman" w:cs="Times New Roman"/>
          <w:b/>
          <w:bCs/>
          <w:color w:val="4472C4" w:themeColor="accent1"/>
          <w:sz w:val="28"/>
          <w:szCs w:val="28"/>
          <w:u w:val="single"/>
        </w:rPr>
        <w:t>2.2 Overview of The City Bank Limited</w:t>
      </w:r>
    </w:p>
    <w:p w14:paraId="6548CF9D" w14:textId="77777777" w:rsidR="00E956C2" w:rsidRPr="001657A4" w:rsidRDefault="00E956C2" w:rsidP="00E956C2">
      <w:pPr>
        <w:spacing w:line="360" w:lineRule="auto"/>
        <w:jc w:val="both"/>
        <w:rPr>
          <w:rFonts w:ascii="Times New Roman" w:hAnsi="Times New Roman" w:cs="Times New Roman"/>
          <w:sz w:val="24"/>
          <w:szCs w:val="24"/>
        </w:rPr>
      </w:pPr>
      <w:r w:rsidRPr="00CB0555">
        <w:rPr>
          <w:rFonts w:ascii="Times New Roman" w:hAnsi="Times New Roman" w:cs="Times New Roman"/>
          <w:sz w:val="24"/>
          <w:szCs w:val="24"/>
        </w:rPr>
        <w:t xml:space="preserve">City Bank offers a wide range of banking </w:t>
      </w:r>
      <w:r>
        <w:rPr>
          <w:rFonts w:ascii="Times New Roman" w:hAnsi="Times New Roman" w:cs="Times New Roman"/>
          <w:sz w:val="24"/>
          <w:szCs w:val="24"/>
        </w:rPr>
        <w:t xml:space="preserve">services </w:t>
      </w:r>
      <w:r w:rsidRPr="00CB0555">
        <w:rPr>
          <w:rFonts w:ascii="Times New Roman" w:hAnsi="Times New Roman" w:cs="Times New Roman"/>
          <w:sz w:val="24"/>
          <w:szCs w:val="24"/>
        </w:rPr>
        <w:t xml:space="preserve">to individuals and businesses through its branches, web interactions, and mobile applications. City Bank is one of </w:t>
      </w:r>
      <w:r>
        <w:rPr>
          <w:rFonts w:ascii="Times New Roman" w:hAnsi="Times New Roman" w:cs="Times New Roman"/>
          <w:sz w:val="24"/>
          <w:szCs w:val="24"/>
        </w:rPr>
        <w:t xml:space="preserve">the </w:t>
      </w:r>
      <w:r w:rsidRPr="00CB0555">
        <w:rPr>
          <w:rFonts w:ascii="Times New Roman" w:hAnsi="Times New Roman" w:cs="Times New Roman"/>
          <w:sz w:val="24"/>
          <w:szCs w:val="24"/>
        </w:rPr>
        <w:t xml:space="preserve">Bangladesh's largest private sector commercial banks, with total assets of BDT 416,902 million at the end of 2021. The bank </w:t>
      </w:r>
      <w:r>
        <w:rPr>
          <w:rFonts w:ascii="Times New Roman" w:hAnsi="Times New Roman" w:cs="Times New Roman"/>
          <w:sz w:val="24"/>
          <w:szCs w:val="24"/>
        </w:rPr>
        <w:t xml:space="preserve">contributes to </w:t>
      </w:r>
      <w:r w:rsidRPr="00CB0555">
        <w:rPr>
          <w:rFonts w:ascii="Times New Roman" w:hAnsi="Times New Roman" w:cs="Times New Roman"/>
          <w:sz w:val="24"/>
          <w:szCs w:val="24"/>
        </w:rPr>
        <w:t>2.1% and 2.3% of the national economy's loans, advances, and deposits, respectively. They have contributed to the country's progress over time through their banking activities and job creation. The bank ha</w:t>
      </w:r>
      <w:r>
        <w:rPr>
          <w:rFonts w:ascii="Times New Roman" w:hAnsi="Times New Roman" w:cs="Times New Roman"/>
          <w:sz w:val="24"/>
          <w:szCs w:val="24"/>
        </w:rPr>
        <w:t>s</w:t>
      </w:r>
      <w:r w:rsidRPr="00CB0555">
        <w:rPr>
          <w:rFonts w:ascii="Times New Roman" w:hAnsi="Times New Roman" w:cs="Times New Roman"/>
          <w:sz w:val="24"/>
          <w:szCs w:val="24"/>
        </w:rPr>
        <w:t xml:space="preserve"> </w:t>
      </w:r>
      <w:r>
        <w:rPr>
          <w:rFonts w:ascii="Times New Roman" w:hAnsi="Times New Roman" w:cs="Times New Roman"/>
          <w:sz w:val="24"/>
          <w:szCs w:val="24"/>
        </w:rPr>
        <w:t xml:space="preserve">more than </w:t>
      </w:r>
      <w:r w:rsidRPr="00CB0555">
        <w:rPr>
          <w:rFonts w:ascii="Times New Roman" w:hAnsi="Times New Roman" w:cs="Times New Roman"/>
          <w:sz w:val="24"/>
          <w:szCs w:val="24"/>
        </w:rPr>
        <w:t>4,539 employees</w:t>
      </w:r>
      <w:r>
        <w:rPr>
          <w:rFonts w:ascii="Times New Roman" w:hAnsi="Times New Roman" w:cs="Times New Roman"/>
          <w:sz w:val="24"/>
          <w:szCs w:val="24"/>
        </w:rPr>
        <w:t>,</w:t>
      </w:r>
      <w:r w:rsidRPr="00CB0555">
        <w:rPr>
          <w:rFonts w:ascii="Times New Roman" w:hAnsi="Times New Roman" w:cs="Times New Roman"/>
          <w:sz w:val="24"/>
          <w:szCs w:val="24"/>
        </w:rPr>
        <w:t xml:space="preserve"> served over 17,00,000 customers</w:t>
      </w:r>
      <w:r>
        <w:rPr>
          <w:rFonts w:ascii="Times New Roman" w:hAnsi="Times New Roman" w:cs="Times New Roman"/>
          <w:sz w:val="24"/>
          <w:szCs w:val="24"/>
        </w:rPr>
        <w:t>, 7 Priority centers, 2 Airport Lounges, 419 ATMs and CDMs, over 29,000 POS machines all over the country, over 13,90,000 cards issued so far, and over 17,500 merchants onboard.</w:t>
      </w:r>
      <w:r w:rsidRPr="00CB0555">
        <w:rPr>
          <w:rFonts w:ascii="Times New Roman" w:hAnsi="Times New Roman" w:cs="Times New Roman"/>
          <w:sz w:val="24"/>
          <w:szCs w:val="24"/>
        </w:rPr>
        <w:t xml:space="preserve"> </w:t>
      </w:r>
      <w:r w:rsidRPr="005F3638">
        <w:rPr>
          <w:rFonts w:ascii="Times New Roman" w:hAnsi="Times New Roman" w:cs="Times New Roman"/>
          <w:sz w:val="24"/>
          <w:szCs w:val="24"/>
        </w:rPr>
        <w:t xml:space="preserve">The services offered by City Bank include retail banking (cards, digital, priority, employee), wholesale banking, corporate banking, SME banking, City Alo - Women Banking, and Treasury, </w:t>
      </w:r>
      <w:r>
        <w:rPr>
          <w:rFonts w:ascii="Times New Roman" w:hAnsi="Times New Roman" w:cs="Times New Roman"/>
          <w:sz w:val="24"/>
          <w:szCs w:val="24"/>
        </w:rPr>
        <w:t>Employee Banking, Agent Banking etc. City Bank also has an Islamic wing which is called the City Islamic which is doing great in recent times. The total deposits of the City Islamic has grown over more than 1010% from year 2021 to 2022.</w:t>
      </w:r>
    </w:p>
    <w:p w14:paraId="3551AF26" w14:textId="77777777" w:rsidR="00E956C2" w:rsidRDefault="00E956C2" w:rsidP="00E956C2">
      <w:pPr>
        <w:spacing w:line="360" w:lineRule="auto"/>
        <w:jc w:val="both"/>
        <w:rPr>
          <w:rFonts w:ascii="Times New Roman" w:hAnsi="Times New Roman" w:cs="Times New Roman"/>
          <w:sz w:val="24"/>
          <w:szCs w:val="24"/>
        </w:rPr>
      </w:pPr>
      <w:r w:rsidRPr="005F3638">
        <w:rPr>
          <w:rFonts w:ascii="Times New Roman" w:hAnsi="Times New Roman" w:cs="Times New Roman"/>
          <w:sz w:val="24"/>
          <w:szCs w:val="24"/>
        </w:rPr>
        <w:t xml:space="preserve">Having a solid financial base, City Bank was able to increase its </w:t>
      </w:r>
      <w:r>
        <w:rPr>
          <w:rFonts w:ascii="Times New Roman" w:hAnsi="Times New Roman" w:cs="Times New Roman"/>
          <w:sz w:val="24"/>
          <w:szCs w:val="24"/>
        </w:rPr>
        <w:t xml:space="preserve">year-on-year growth profit </w:t>
      </w:r>
      <w:r w:rsidRPr="005F3638">
        <w:rPr>
          <w:rFonts w:ascii="Times New Roman" w:hAnsi="Times New Roman" w:cs="Times New Roman"/>
          <w:sz w:val="24"/>
          <w:szCs w:val="24"/>
        </w:rPr>
        <w:t>to 4.</w:t>
      </w:r>
      <w:r>
        <w:rPr>
          <w:rFonts w:ascii="Times New Roman" w:hAnsi="Times New Roman" w:cs="Times New Roman"/>
          <w:sz w:val="24"/>
          <w:szCs w:val="24"/>
        </w:rPr>
        <w:t>7</w:t>
      </w:r>
      <w:r w:rsidRPr="005F3638">
        <w:rPr>
          <w:rFonts w:ascii="Times New Roman" w:hAnsi="Times New Roman" w:cs="Times New Roman"/>
          <w:sz w:val="24"/>
          <w:szCs w:val="24"/>
        </w:rPr>
        <w:t>% despite the significant dual effects of the 9% regulation ceiling on industrial lending and the coronavirus pandemic. At the end of 2021, the bank's total assets were BDT 416,902 million, an increase of 9</w:t>
      </w:r>
      <w:r>
        <w:rPr>
          <w:rFonts w:ascii="Times New Roman" w:hAnsi="Times New Roman" w:cs="Times New Roman"/>
          <w:sz w:val="24"/>
          <w:szCs w:val="24"/>
        </w:rPr>
        <w:t>.1</w:t>
      </w:r>
      <w:r w:rsidRPr="005F3638">
        <w:rPr>
          <w:rFonts w:ascii="Times New Roman" w:hAnsi="Times New Roman" w:cs="Times New Roman"/>
          <w:sz w:val="24"/>
          <w:szCs w:val="24"/>
        </w:rPr>
        <w:t>% from the year before. The bank's significant role as a financial intermediary is reflected by the fact that customer deposits made up 67% of all assets. The bank's average loans-to-deposits ratio over the previous five years was over 8</w:t>
      </w:r>
      <w:r>
        <w:rPr>
          <w:rFonts w:ascii="Times New Roman" w:hAnsi="Times New Roman" w:cs="Times New Roman"/>
          <w:sz w:val="24"/>
          <w:szCs w:val="24"/>
        </w:rPr>
        <w:t>1</w:t>
      </w:r>
      <w:r w:rsidRPr="005F3638">
        <w:rPr>
          <w:rFonts w:ascii="Times New Roman" w:hAnsi="Times New Roman" w:cs="Times New Roman"/>
          <w:sz w:val="24"/>
          <w:szCs w:val="24"/>
        </w:rPr>
        <w:t xml:space="preserve">%, which indicated that loan growth was keeping pace with deposit growth. </w:t>
      </w:r>
    </w:p>
    <w:p w14:paraId="19B91AFA"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r w:rsidRPr="003D50CF">
        <w:rPr>
          <w:rFonts w:ascii="Times New Roman" w:hAnsi="Times New Roman" w:cs="Times New Roman"/>
          <w:b/>
          <w:bCs/>
          <w:color w:val="4472C4" w:themeColor="accent1"/>
          <w:sz w:val="28"/>
          <w:szCs w:val="28"/>
          <w:u w:val="single"/>
        </w:rPr>
        <w:lastRenderedPageBreak/>
        <w:t>2.</w:t>
      </w:r>
      <w:r>
        <w:rPr>
          <w:rFonts w:ascii="Times New Roman" w:hAnsi="Times New Roman" w:cs="Times New Roman"/>
          <w:b/>
          <w:bCs/>
          <w:color w:val="4472C4" w:themeColor="accent1"/>
          <w:sz w:val="28"/>
          <w:szCs w:val="28"/>
          <w:u w:val="single"/>
        </w:rPr>
        <w:t>3</w:t>
      </w:r>
      <w:r w:rsidRPr="003D50CF">
        <w:rPr>
          <w:rFonts w:ascii="Times New Roman" w:hAnsi="Times New Roman" w:cs="Times New Roman"/>
          <w:b/>
          <w:bCs/>
          <w:color w:val="4472C4" w:themeColor="accent1"/>
          <w:sz w:val="28"/>
          <w:szCs w:val="28"/>
          <w:u w:val="single"/>
        </w:rPr>
        <w:t xml:space="preserve"> Mission, Vision &amp; Core Values</w:t>
      </w:r>
    </w:p>
    <w:p w14:paraId="6D4C97F3" w14:textId="77777777" w:rsidR="00E956C2" w:rsidRPr="004E49A5" w:rsidRDefault="00E956C2" w:rsidP="00E956C2">
      <w:pPr>
        <w:spacing w:line="360" w:lineRule="auto"/>
        <w:jc w:val="both"/>
        <w:rPr>
          <w:rFonts w:ascii="Times New Roman" w:hAnsi="Times New Roman" w:cs="Times New Roman"/>
          <w:color w:val="000000" w:themeColor="text1"/>
          <w:sz w:val="24"/>
          <w:szCs w:val="24"/>
        </w:rPr>
      </w:pPr>
      <w:r w:rsidRPr="007B53E9">
        <w:rPr>
          <w:rFonts w:ascii="Times New Roman" w:hAnsi="Times New Roman" w:cs="Times New Roman"/>
          <w:color w:val="7030A0"/>
          <w:sz w:val="24"/>
          <w:szCs w:val="24"/>
          <w:u w:val="single"/>
        </w:rPr>
        <w:t>2.</w:t>
      </w:r>
      <w:r>
        <w:rPr>
          <w:rFonts w:ascii="Times New Roman" w:hAnsi="Times New Roman" w:cs="Times New Roman"/>
          <w:color w:val="7030A0"/>
          <w:sz w:val="24"/>
          <w:szCs w:val="24"/>
          <w:u w:val="single"/>
        </w:rPr>
        <w:t>3</w:t>
      </w:r>
      <w:r w:rsidRPr="007B53E9">
        <w:rPr>
          <w:rFonts w:ascii="Times New Roman" w:hAnsi="Times New Roman" w:cs="Times New Roman"/>
          <w:color w:val="7030A0"/>
          <w:sz w:val="24"/>
          <w:szCs w:val="24"/>
          <w:u w:val="single"/>
        </w:rPr>
        <w:t>.1 Vision:</w:t>
      </w:r>
      <w:r w:rsidRPr="007B53E9">
        <w:rPr>
          <w:rFonts w:ascii="Times New Roman" w:hAnsi="Times New Roman" w:cs="Times New Roman"/>
          <w:color w:val="7030A0"/>
          <w:sz w:val="24"/>
          <w:szCs w:val="24"/>
        </w:rPr>
        <w:t xml:space="preserve"> </w:t>
      </w:r>
      <w:r w:rsidRPr="004E49A5">
        <w:rPr>
          <w:rFonts w:ascii="Times New Roman" w:hAnsi="Times New Roman" w:cs="Times New Roman"/>
          <w:color w:val="000000" w:themeColor="text1"/>
          <w:sz w:val="24"/>
          <w:szCs w:val="24"/>
        </w:rPr>
        <w:t>City Bank is motivated by their vision of becoming a financial supermarket with a winning culture and by their desire to provide their stakeholders with satisfying experiences.</w:t>
      </w:r>
    </w:p>
    <w:p w14:paraId="2E6E28C9" w14:textId="77777777" w:rsidR="00E956C2" w:rsidRDefault="00E956C2" w:rsidP="00E956C2">
      <w:pPr>
        <w:spacing w:line="360" w:lineRule="auto"/>
        <w:jc w:val="both"/>
        <w:rPr>
          <w:rFonts w:ascii="Times New Roman" w:hAnsi="Times New Roman" w:cs="Times New Roman"/>
          <w:color w:val="000000" w:themeColor="text1"/>
          <w:sz w:val="24"/>
          <w:szCs w:val="24"/>
        </w:rPr>
      </w:pPr>
      <w:r w:rsidRPr="007B53E9">
        <w:rPr>
          <w:rFonts w:ascii="Times New Roman" w:hAnsi="Times New Roman" w:cs="Times New Roman"/>
          <w:color w:val="7030A0"/>
          <w:sz w:val="24"/>
          <w:szCs w:val="24"/>
          <w:u w:val="single"/>
        </w:rPr>
        <w:t>2.</w:t>
      </w:r>
      <w:r>
        <w:rPr>
          <w:rFonts w:ascii="Times New Roman" w:hAnsi="Times New Roman" w:cs="Times New Roman"/>
          <w:color w:val="7030A0"/>
          <w:sz w:val="24"/>
          <w:szCs w:val="24"/>
          <w:u w:val="single"/>
        </w:rPr>
        <w:t>3</w:t>
      </w:r>
      <w:r w:rsidRPr="007B53E9">
        <w:rPr>
          <w:rFonts w:ascii="Times New Roman" w:hAnsi="Times New Roman" w:cs="Times New Roman"/>
          <w:color w:val="7030A0"/>
          <w:sz w:val="24"/>
          <w:szCs w:val="24"/>
          <w:u w:val="single"/>
        </w:rPr>
        <w:t>.2 Mission</w:t>
      </w:r>
      <w:r w:rsidRPr="007B53E9">
        <w:rPr>
          <w:rFonts w:ascii="Times New Roman" w:hAnsi="Times New Roman" w:cs="Times New Roman"/>
          <w:color w:val="7030A0"/>
          <w:sz w:val="24"/>
          <w:szCs w:val="24"/>
        </w:rPr>
        <w:t xml:space="preserve">: </w:t>
      </w:r>
      <w:r w:rsidRPr="004E49A5">
        <w:rPr>
          <w:rFonts w:ascii="Times New Roman" w:hAnsi="Times New Roman" w:cs="Times New Roman"/>
          <w:color w:val="000000" w:themeColor="text1"/>
          <w:sz w:val="24"/>
          <w:szCs w:val="24"/>
        </w:rPr>
        <w:t>The mission of City Bank is to become the preferred provider of financial services in Bangladesh. In light of this, they want to:</w:t>
      </w:r>
    </w:p>
    <w:p w14:paraId="531F62E3" w14:textId="77777777" w:rsidR="00E956C2" w:rsidRDefault="00E956C2" w:rsidP="00E956C2">
      <w:pPr>
        <w:pStyle w:val="ListParagraph"/>
        <w:numPr>
          <w:ilvl w:val="0"/>
          <w:numId w:val="8"/>
        </w:numPr>
        <w:spacing w:line="360" w:lineRule="auto"/>
        <w:jc w:val="both"/>
        <w:rPr>
          <w:rFonts w:ascii="Times New Roman" w:hAnsi="Times New Roman" w:cs="Times New Roman"/>
          <w:color w:val="000000" w:themeColor="text1"/>
          <w:sz w:val="24"/>
          <w:szCs w:val="24"/>
        </w:rPr>
      </w:pPr>
      <w:r w:rsidRPr="004E49A5">
        <w:rPr>
          <w:rFonts w:ascii="Times New Roman" w:hAnsi="Times New Roman" w:cs="Times New Roman"/>
          <w:color w:val="000000" w:themeColor="text1"/>
          <w:sz w:val="24"/>
          <w:szCs w:val="24"/>
        </w:rPr>
        <w:t>Offer a wide range of products and services that stand out and fascinate every type of client</w:t>
      </w:r>
      <w:r>
        <w:rPr>
          <w:rFonts w:ascii="Times New Roman" w:hAnsi="Times New Roman" w:cs="Times New Roman"/>
          <w:color w:val="000000" w:themeColor="text1"/>
          <w:sz w:val="24"/>
          <w:szCs w:val="24"/>
        </w:rPr>
        <w:t>.</w:t>
      </w:r>
    </w:p>
    <w:p w14:paraId="76217D52" w14:textId="77777777" w:rsidR="00E956C2" w:rsidRPr="0023707B" w:rsidRDefault="00E956C2" w:rsidP="00E956C2">
      <w:pPr>
        <w:pStyle w:val="ListParagraph"/>
        <w:numPr>
          <w:ilvl w:val="0"/>
          <w:numId w:val="8"/>
        </w:numPr>
        <w:spacing w:line="360" w:lineRule="auto"/>
        <w:jc w:val="both"/>
        <w:rPr>
          <w:rFonts w:ascii="Times New Roman" w:hAnsi="Times New Roman" w:cs="Times New Roman"/>
          <w:color w:val="000000" w:themeColor="text1"/>
          <w:sz w:val="24"/>
          <w:szCs w:val="24"/>
        </w:rPr>
      </w:pPr>
      <w:r w:rsidRPr="004E49A5">
        <w:rPr>
          <w:rFonts w:ascii="Times New Roman" w:hAnsi="Times New Roman" w:cs="Times New Roman"/>
          <w:color w:val="000000" w:themeColor="text1"/>
          <w:sz w:val="24"/>
          <w:szCs w:val="24"/>
        </w:rPr>
        <w:t xml:space="preserve">Become the "Employer of Choice" by providing a setting where </w:t>
      </w:r>
      <w:r>
        <w:rPr>
          <w:rFonts w:ascii="Times New Roman" w:hAnsi="Times New Roman" w:cs="Times New Roman"/>
          <w:color w:val="000000" w:themeColor="text1"/>
          <w:sz w:val="24"/>
          <w:szCs w:val="24"/>
        </w:rPr>
        <w:t>employees</w:t>
      </w:r>
      <w:r w:rsidRPr="004E49A5">
        <w:rPr>
          <w:rFonts w:ascii="Times New Roman" w:hAnsi="Times New Roman" w:cs="Times New Roman"/>
          <w:color w:val="000000" w:themeColor="text1"/>
          <w:sz w:val="24"/>
          <w:szCs w:val="24"/>
        </w:rPr>
        <w:t xml:space="preserve"> perform well, and leadership is developed</w:t>
      </w:r>
      <w:r>
        <w:rPr>
          <w:rFonts w:ascii="Times New Roman" w:hAnsi="Times New Roman" w:cs="Times New Roman"/>
          <w:color w:val="000000" w:themeColor="text1"/>
          <w:sz w:val="24"/>
          <w:szCs w:val="24"/>
        </w:rPr>
        <w:t>.</w:t>
      </w:r>
    </w:p>
    <w:p w14:paraId="7DD1B157" w14:textId="77777777" w:rsidR="00E956C2" w:rsidRDefault="00E956C2" w:rsidP="00E956C2">
      <w:pPr>
        <w:pStyle w:val="ListParagraph"/>
        <w:numPr>
          <w:ilvl w:val="0"/>
          <w:numId w:val="8"/>
        </w:numPr>
        <w:spacing w:line="360" w:lineRule="auto"/>
        <w:jc w:val="both"/>
        <w:rPr>
          <w:rFonts w:ascii="Times New Roman" w:hAnsi="Times New Roman" w:cs="Times New Roman"/>
          <w:color w:val="000000" w:themeColor="text1"/>
          <w:sz w:val="24"/>
          <w:szCs w:val="24"/>
        </w:rPr>
      </w:pPr>
      <w:r w:rsidRPr="0023707B">
        <w:rPr>
          <w:rFonts w:ascii="Times New Roman" w:hAnsi="Times New Roman" w:cs="Times New Roman"/>
          <w:color w:val="000000" w:themeColor="text1"/>
          <w:sz w:val="24"/>
          <w:szCs w:val="24"/>
        </w:rPr>
        <w:t>Encourage creativity and computerization in order to guarantee and enhance service excellence</w:t>
      </w:r>
      <w:r>
        <w:rPr>
          <w:rFonts w:ascii="Times New Roman" w:hAnsi="Times New Roman" w:cs="Times New Roman"/>
          <w:color w:val="000000" w:themeColor="text1"/>
          <w:sz w:val="24"/>
          <w:szCs w:val="24"/>
        </w:rPr>
        <w:t>.</w:t>
      </w:r>
    </w:p>
    <w:p w14:paraId="708D4EDD" w14:textId="77777777" w:rsidR="00E956C2" w:rsidRDefault="00E956C2" w:rsidP="00E956C2">
      <w:pPr>
        <w:pStyle w:val="ListParagraph"/>
        <w:numPr>
          <w:ilvl w:val="0"/>
          <w:numId w:val="8"/>
        </w:numPr>
        <w:spacing w:line="360" w:lineRule="auto"/>
        <w:jc w:val="both"/>
        <w:rPr>
          <w:rFonts w:ascii="Times New Roman" w:hAnsi="Times New Roman" w:cs="Times New Roman"/>
          <w:color w:val="000000" w:themeColor="text1"/>
          <w:sz w:val="24"/>
          <w:szCs w:val="24"/>
        </w:rPr>
      </w:pPr>
      <w:r w:rsidRPr="004E49A5">
        <w:rPr>
          <w:rFonts w:ascii="Times New Roman" w:hAnsi="Times New Roman" w:cs="Times New Roman"/>
          <w:color w:val="000000" w:themeColor="text1"/>
          <w:sz w:val="24"/>
          <w:szCs w:val="24"/>
        </w:rPr>
        <w:t>Ensure that everything they do is done with compliance, good governance, and respect for the community.</w:t>
      </w:r>
    </w:p>
    <w:p w14:paraId="781762A7" w14:textId="77777777" w:rsidR="00E956C2" w:rsidRPr="004E49A5" w:rsidRDefault="00E956C2" w:rsidP="00E956C2">
      <w:pPr>
        <w:spacing w:line="360" w:lineRule="auto"/>
        <w:jc w:val="both"/>
        <w:rPr>
          <w:rFonts w:ascii="Times New Roman" w:hAnsi="Times New Roman" w:cs="Times New Roman"/>
          <w:color w:val="000000" w:themeColor="text1"/>
          <w:sz w:val="24"/>
          <w:szCs w:val="24"/>
        </w:rPr>
      </w:pPr>
      <w:r w:rsidRPr="007B53E9">
        <w:rPr>
          <w:rFonts w:ascii="Times New Roman" w:hAnsi="Times New Roman" w:cs="Times New Roman"/>
          <w:color w:val="7030A0"/>
          <w:sz w:val="24"/>
          <w:szCs w:val="24"/>
          <w:u w:val="single"/>
        </w:rPr>
        <w:t>2.</w:t>
      </w:r>
      <w:r>
        <w:rPr>
          <w:rFonts w:ascii="Times New Roman" w:hAnsi="Times New Roman" w:cs="Times New Roman"/>
          <w:color w:val="7030A0"/>
          <w:sz w:val="24"/>
          <w:szCs w:val="24"/>
          <w:u w:val="single"/>
        </w:rPr>
        <w:t>3</w:t>
      </w:r>
      <w:r w:rsidRPr="007B53E9">
        <w:rPr>
          <w:rFonts w:ascii="Times New Roman" w:hAnsi="Times New Roman" w:cs="Times New Roman"/>
          <w:color w:val="7030A0"/>
          <w:sz w:val="24"/>
          <w:szCs w:val="24"/>
          <w:u w:val="single"/>
        </w:rPr>
        <w:t>.3 Core Values:</w:t>
      </w:r>
      <w:r w:rsidRPr="007B53E9">
        <w:rPr>
          <w:rFonts w:ascii="Times New Roman" w:hAnsi="Times New Roman" w:cs="Times New Roman"/>
          <w:color w:val="7030A0"/>
          <w:sz w:val="24"/>
          <w:szCs w:val="24"/>
        </w:rPr>
        <w:t xml:space="preserve"> </w:t>
      </w:r>
      <w:r>
        <w:rPr>
          <w:rFonts w:ascii="Times New Roman" w:hAnsi="Times New Roman" w:cs="Times New Roman"/>
          <w:color w:val="000000" w:themeColor="text1"/>
          <w:sz w:val="24"/>
          <w:szCs w:val="24"/>
        </w:rPr>
        <w:t>City Bank’s</w:t>
      </w:r>
      <w:r w:rsidRPr="004E49A5">
        <w:rPr>
          <w:rFonts w:ascii="Times New Roman" w:hAnsi="Times New Roman" w:cs="Times New Roman"/>
          <w:color w:val="000000" w:themeColor="text1"/>
          <w:sz w:val="24"/>
          <w:szCs w:val="24"/>
        </w:rPr>
        <w:t xml:space="preserve"> values guide how </w:t>
      </w:r>
      <w:r>
        <w:rPr>
          <w:rFonts w:ascii="Times New Roman" w:hAnsi="Times New Roman" w:cs="Times New Roman"/>
          <w:color w:val="000000" w:themeColor="text1"/>
          <w:sz w:val="24"/>
          <w:szCs w:val="24"/>
        </w:rPr>
        <w:t>they</w:t>
      </w:r>
      <w:r w:rsidRPr="004E49A5">
        <w:rPr>
          <w:rFonts w:ascii="Times New Roman" w:hAnsi="Times New Roman" w:cs="Times New Roman"/>
          <w:color w:val="000000" w:themeColor="text1"/>
          <w:sz w:val="24"/>
          <w:szCs w:val="24"/>
        </w:rPr>
        <w:t xml:space="preserve"> behave, think, and work. </w:t>
      </w:r>
      <w:r>
        <w:rPr>
          <w:rFonts w:ascii="Times New Roman" w:hAnsi="Times New Roman" w:cs="Times New Roman"/>
          <w:color w:val="000000" w:themeColor="text1"/>
          <w:sz w:val="24"/>
          <w:szCs w:val="24"/>
        </w:rPr>
        <w:t>They</w:t>
      </w:r>
      <w:r w:rsidRPr="004E49A5">
        <w:rPr>
          <w:rFonts w:ascii="Times New Roman" w:hAnsi="Times New Roman" w:cs="Times New Roman"/>
          <w:color w:val="000000" w:themeColor="text1"/>
          <w:sz w:val="24"/>
          <w:szCs w:val="24"/>
        </w:rPr>
        <w:t xml:space="preserve"> think that by clearly defining what actions</w:t>
      </w:r>
      <w:r>
        <w:rPr>
          <w:rFonts w:ascii="Times New Roman" w:hAnsi="Times New Roman" w:cs="Times New Roman"/>
          <w:color w:val="000000" w:themeColor="text1"/>
          <w:sz w:val="24"/>
          <w:szCs w:val="24"/>
        </w:rPr>
        <w:t xml:space="preserve"> they</w:t>
      </w:r>
      <w:r w:rsidRPr="004E49A5">
        <w:rPr>
          <w:rFonts w:ascii="Times New Roman" w:hAnsi="Times New Roman" w:cs="Times New Roman"/>
          <w:color w:val="000000" w:themeColor="text1"/>
          <w:sz w:val="24"/>
          <w:szCs w:val="24"/>
        </w:rPr>
        <w:t xml:space="preserve"> expect from </w:t>
      </w:r>
      <w:r>
        <w:rPr>
          <w:rFonts w:ascii="Times New Roman" w:hAnsi="Times New Roman" w:cs="Times New Roman"/>
          <w:color w:val="000000" w:themeColor="text1"/>
          <w:sz w:val="24"/>
          <w:szCs w:val="24"/>
        </w:rPr>
        <w:t>their</w:t>
      </w:r>
      <w:r w:rsidRPr="004E49A5">
        <w:rPr>
          <w:rFonts w:ascii="Times New Roman" w:hAnsi="Times New Roman" w:cs="Times New Roman"/>
          <w:color w:val="000000" w:themeColor="text1"/>
          <w:sz w:val="24"/>
          <w:szCs w:val="24"/>
        </w:rPr>
        <w:t xml:space="preserve"> employees, </w:t>
      </w:r>
      <w:r>
        <w:rPr>
          <w:rFonts w:ascii="Times New Roman" w:hAnsi="Times New Roman" w:cs="Times New Roman"/>
          <w:color w:val="000000" w:themeColor="text1"/>
          <w:sz w:val="24"/>
          <w:szCs w:val="24"/>
        </w:rPr>
        <w:t>City Bank</w:t>
      </w:r>
      <w:r w:rsidRPr="004E49A5">
        <w:rPr>
          <w:rFonts w:ascii="Times New Roman" w:hAnsi="Times New Roman" w:cs="Times New Roman"/>
          <w:color w:val="000000" w:themeColor="text1"/>
          <w:sz w:val="24"/>
          <w:szCs w:val="24"/>
        </w:rPr>
        <w:t xml:space="preserve"> can achieve </w:t>
      </w:r>
      <w:r>
        <w:rPr>
          <w:rFonts w:ascii="Times New Roman" w:hAnsi="Times New Roman" w:cs="Times New Roman"/>
          <w:color w:val="000000" w:themeColor="text1"/>
          <w:sz w:val="24"/>
          <w:szCs w:val="24"/>
        </w:rPr>
        <w:t>their</w:t>
      </w:r>
      <w:r w:rsidRPr="004E49A5">
        <w:rPr>
          <w:rFonts w:ascii="Times New Roman" w:hAnsi="Times New Roman" w:cs="Times New Roman"/>
          <w:color w:val="000000" w:themeColor="text1"/>
          <w:sz w:val="24"/>
          <w:szCs w:val="24"/>
        </w:rPr>
        <w:t xml:space="preserve"> vision and mission. </w:t>
      </w:r>
    </w:p>
    <w:p w14:paraId="34308FF0" w14:textId="77777777" w:rsidR="00E956C2" w:rsidRDefault="00E956C2" w:rsidP="00E956C2">
      <w:pPr>
        <w:spacing w:line="360" w:lineRule="auto"/>
        <w:jc w:val="both"/>
        <w:rPr>
          <w:rFonts w:ascii="Times New Roman" w:hAnsi="Times New Roman" w:cs="Times New Roman"/>
          <w:color w:val="000000" w:themeColor="text1"/>
          <w:sz w:val="24"/>
          <w:szCs w:val="24"/>
        </w:rPr>
      </w:pPr>
      <w:r w:rsidRPr="004E49A5">
        <w:rPr>
          <w:rFonts w:ascii="Times New Roman" w:hAnsi="Times New Roman" w:cs="Times New Roman"/>
          <w:color w:val="000000" w:themeColor="text1"/>
          <w:sz w:val="24"/>
          <w:szCs w:val="24"/>
        </w:rPr>
        <w:t xml:space="preserve">The following is reflected in </w:t>
      </w:r>
      <w:r>
        <w:rPr>
          <w:rFonts w:ascii="Times New Roman" w:hAnsi="Times New Roman" w:cs="Times New Roman"/>
          <w:color w:val="000000" w:themeColor="text1"/>
          <w:sz w:val="24"/>
          <w:szCs w:val="24"/>
        </w:rPr>
        <w:t>their</w:t>
      </w:r>
      <w:r w:rsidRPr="004E49A5">
        <w:rPr>
          <w:rFonts w:ascii="Times New Roman" w:hAnsi="Times New Roman" w:cs="Times New Roman"/>
          <w:color w:val="000000" w:themeColor="text1"/>
          <w:sz w:val="24"/>
          <w:szCs w:val="24"/>
        </w:rPr>
        <w:t xml:space="preserve"> core values:</w:t>
      </w:r>
    </w:p>
    <w:p w14:paraId="460EB9FC" w14:textId="77777777" w:rsidR="00E956C2" w:rsidRPr="00EE249D" w:rsidRDefault="00E956C2" w:rsidP="00E956C2">
      <w:pPr>
        <w:pStyle w:val="ListParagraph"/>
        <w:numPr>
          <w:ilvl w:val="0"/>
          <w:numId w:val="9"/>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Being </w:t>
      </w:r>
      <w:r w:rsidRPr="00EE249D">
        <w:rPr>
          <w:rFonts w:ascii="Times New Roman" w:hAnsi="Times New Roman" w:cs="Times New Roman"/>
          <w:sz w:val="24"/>
          <w:szCs w:val="24"/>
        </w:rPr>
        <w:t>‘</w:t>
      </w:r>
      <w:r>
        <w:rPr>
          <w:rFonts w:ascii="Times New Roman" w:hAnsi="Times New Roman" w:cs="Times New Roman"/>
          <w:sz w:val="24"/>
          <w:szCs w:val="24"/>
        </w:rPr>
        <w:t>R</w:t>
      </w:r>
      <w:r w:rsidRPr="00EE249D">
        <w:rPr>
          <w:rFonts w:ascii="Times New Roman" w:hAnsi="Times New Roman" w:cs="Times New Roman"/>
          <w:sz w:val="24"/>
          <w:szCs w:val="24"/>
        </w:rPr>
        <w:t>esult-</w:t>
      </w:r>
      <w:r>
        <w:rPr>
          <w:rFonts w:ascii="Times New Roman" w:hAnsi="Times New Roman" w:cs="Times New Roman"/>
          <w:sz w:val="24"/>
          <w:szCs w:val="24"/>
        </w:rPr>
        <w:t>oriented</w:t>
      </w:r>
      <w:r w:rsidRPr="00EE249D">
        <w:rPr>
          <w:rFonts w:ascii="Times New Roman" w:hAnsi="Times New Roman" w:cs="Times New Roman"/>
          <w:sz w:val="24"/>
          <w:szCs w:val="24"/>
        </w:rPr>
        <w:t>’</w:t>
      </w:r>
    </w:p>
    <w:p w14:paraId="3E01E38B" w14:textId="77777777" w:rsidR="00E956C2" w:rsidRPr="00EE249D" w:rsidRDefault="00E956C2" w:rsidP="00E956C2">
      <w:pPr>
        <w:pStyle w:val="ListParagraph"/>
        <w:numPr>
          <w:ilvl w:val="0"/>
          <w:numId w:val="9"/>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Being </w:t>
      </w:r>
      <w:r w:rsidRPr="00EE249D">
        <w:rPr>
          <w:rFonts w:ascii="Times New Roman" w:hAnsi="Times New Roman" w:cs="Times New Roman"/>
          <w:sz w:val="24"/>
          <w:szCs w:val="24"/>
        </w:rPr>
        <w:t>‘</w:t>
      </w:r>
      <w:r>
        <w:rPr>
          <w:rFonts w:ascii="Times New Roman" w:hAnsi="Times New Roman" w:cs="Times New Roman"/>
          <w:sz w:val="24"/>
          <w:szCs w:val="24"/>
        </w:rPr>
        <w:t>E</w:t>
      </w:r>
      <w:r w:rsidRPr="00EE249D">
        <w:rPr>
          <w:rFonts w:ascii="Times New Roman" w:hAnsi="Times New Roman" w:cs="Times New Roman"/>
          <w:sz w:val="24"/>
          <w:szCs w:val="24"/>
        </w:rPr>
        <w:t>ngag</w:t>
      </w:r>
      <w:r>
        <w:rPr>
          <w:rFonts w:ascii="Times New Roman" w:hAnsi="Times New Roman" w:cs="Times New Roman"/>
          <w:sz w:val="24"/>
          <w:szCs w:val="24"/>
        </w:rPr>
        <w:t>ing</w:t>
      </w:r>
      <w:r w:rsidRPr="00EE249D">
        <w:rPr>
          <w:rFonts w:ascii="Times New Roman" w:hAnsi="Times New Roman" w:cs="Times New Roman"/>
          <w:sz w:val="24"/>
          <w:szCs w:val="24"/>
        </w:rPr>
        <w:t>’ and ‘</w:t>
      </w:r>
      <w:r>
        <w:rPr>
          <w:rFonts w:ascii="Times New Roman" w:hAnsi="Times New Roman" w:cs="Times New Roman"/>
          <w:sz w:val="24"/>
          <w:szCs w:val="24"/>
        </w:rPr>
        <w:t>I</w:t>
      </w:r>
      <w:r w:rsidRPr="00EE249D">
        <w:rPr>
          <w:rFonts w:ascii="Times New Roman" w:hAnsi="Times New Roman" w:cs="Times New Roman"/>
          <w:sz w:val="24"/>
          <w:szCs w:val="24"/>
        </w:rPr>
        <w:t>nspir</w:t>
      </w:r>
      <w:r>
        <w:rPr>
          <w:rFonts w:ascii="Times New Roman" w:hAnsi="Times New Roman" w:cs="Times New Roman"/>
          <w:sz w:val="24"/>
          <w:szCs w:val="24"/>
        </w:rPr>
        <w:t>ing</w:t>
      </w:r>
      <w:r w:rsidRPr="00EE249D">
        <w:rPr>
          <w:rFonts w:ascii="Times New Roman" w:hAnsi="Times New Roman" w:cs="Times New Roman"/>
          <w:sz w:val="24"/>
          <w:szCs w:val="24"/>
        </w:rPr>
        <w:t>’</w:t>
      </w:r>
    </w:p>
    <w:p w14:paraId="69833405" w14:textId="77777777" w:rsidR="00E956C2" w:rsidRPr="00EE249D" w:rsidRDefault="00E956C2" w:rsidP="00E956C2">
      <w:pPr>
        <w:pStyle w:val="ListParagraph"/>
        <w:numPr>
          <w:ilvl w:val="0"/>
          <w:numId w:val="9"/>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Focusing on </w:t>
      </w:r>
      <w:r w:rsidRPr="00EE249D">
        <w:rPr>
          <w:rFonts w:ascii="Times New Roman" w:hAnsi="Times New Roman" w:cs="Times New Roman"/>
          <w:sz w:val="24"/>
          <w:szCs w:val="24"/>
        </w:rPr>
        <w:t>‘</w:t>
      </w:r>
      <w:r>
        <w:rPr>
          <w:rFonts w:ascii="Times New Roman" w:hAnsi="Times New Roman" w:cs="Times New Roman"/>
          <w:sz w:val="24"/>
          <w:szCs w:val="24"/>
        </w:rPr>
        <w:t>A</w:t>
      </w:r>
      <w:r w:rsidRPr="00EE249D">
        <w:rPr>
          <w:rFonts w:ascii="Times New Roman" w:hAnsi="Times New Roman" w:cs="Times New Roman"/>
          <w:sz w:val="24"/>
          <w:szCs w:val="24"/>
        </w:rPr>
        <w:t>ccounta</w:t>
      </w:r>
      <w:r>
        <w:rPr>
          <w:rFonts w:ascii="Times New Roman" w:hAnsi="Times New Roman" w:cs="Times New Roman"/>
          <w:sz w:val="24"/>
          <w:szCs w:val="24"/>
        </w:rPr>
        <w:t>bility</w:t>
      </w:r>
      <w:r w:rsidRPr="00EE249D">
        <w:rPr>
          <w:rFonts w:ascii="Times New Roman" w:hAnsi="Times New Roman" w:cs="Times New Roman"/>
          <w:sz w:val="24"/>
          <w:szCs w:val="24"/>
        </w:rPr>
        <w:t>’ and ‘</w:t>
      </w:r>
      <w:r>
        <w:rPr>
          <w:rFonts w:ascii="Times New Roman" w:hAnsi="Times New Roman" w:cs="Times New Roman"/>
          <w:sz w:val="24"/>
          <w:szCs w:val="24"/>
        </w:rPr>
        <w:t>T</w:t>
      </w:r>
      <w:r w:rsidRPr="00EE249D">
        <w:rPr>
          <w:rFonts w:ascii="Times New Roman" w:hAnsi="Times New Roman" w:cs="Times New Roman"/>
          <w:sz w:val="24"/>
          <w:szCs w:val="24"/>
        </w:rPr>
        <w:t>ransparen</w:t>
      </w:r>
      <w:r>
        <w:rPr>
          <w:rFonts w:ascii="Times New Roman" w:hAnsi="Times New Roman" w:cs="Times New Roman"/>
          <w:sz w:val="24"/>
          <w:szCs w:val="24"/>
        </w:rPr>
        <w:t>cy</w:t>
      </w:r>
      <w:r w:rsidRPr="00EE249D">
        <w:rPr>
          <w:rFonts w:ascii="Times New Roman" w:hAnsi="Times New Roman" w:cs="Times New Roman"/>
          <w:sz w:val="24"/>
          <w:szCs w:val="24"/>
        </w:rPr>
        <w:t>’</w:t>
      </w:r>
    </w:p>
    <w:p w14:paraId="696F8C90" w14:textId="77777777" w:rsidR="00E956C2" w:rsidRPr="00EE249D" w:rsidRDefault="00E956C2" w:rsidP="00E956C2">
      <w:pPr>
        <w:pStyle w:val="ListParagraph"/>
        <w:numPr>
          <w:ilvl w:val="0"/>
          <w:numId w:val="9"/>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Being </w:t>
      </w:r>
      <w:r w:rsidRPr="00EE249D">
        <w:rPr>
          <w:rFonts w:ascii="Times New Roman" w:hAnsi="Times New Roman" w:cs="Times New Roman"/>
          <w:sz w:val="24"/>
          <w:szCs w:val="24"/>
        </w:rPr>
        <w:t>‘</w:t>
      </w:r>
      <w:r>
        <w:rPr>
          <w:rFonts w:ascii="Times New Roman" w:hAnsi="Times New Roman" w:cs="Times New Roman"/>
          <w:sz w:val="24"/>
          <w:szCs w:val="24"/>
        </w:rPr>
        <w:t>R</w:t>
      </w:r>
      <w:r w:rsidRPr="00EE249D">
        <w:rPr>
          <w:rFonts w:ascii="Times New Roman" w:hAnsi="Times New Roman" w:cs="Times New Roman"/>
          <w:sz w:val="24"/>
          <w:szCs w:val="24"/>
        </w:rPr>
        <w:t>espectful’</w:t>
      </w:r>
      <w:r>
        <w:rPr>
          <w:rFonts w:ascii="Times New Roman" w:hAnsi="Times New Roman" w:cs="Times New Roman"/>
          <w:sz w:val="24"/>
          <w:szCs w:val="24"/>
        </w:rPr>
        <w:t xml:space="preserve"> and ‘Courageous’</w:t>
      </w:r>
    </w:p>
    <w:p w14:paraId="77706DF7" w14:textId="77777777" w:rsidR="00E956C2" w:rsidRPr="00301543" w:rsidRDefault="00E956C2" w:rsidP="00E956C2">
      <w:pPr>
        <w:pStyle w:val="ListParagraph"/>
        <w:numPr>
          <w:ilvl w:val="0"/>
          <w:numId w:val="9"/>
        </w:numPr>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Focused on </w:t>
      </w:r>
      <w:r w:rsidRPr="00EE249D">
        <w:rPr>
          <w:rFonts w:ascii="Times New Roman" w:hAnsi="Times New Roman" w:cs="Times New Roman"/>
          <w:sz w:val="24"/>
          <w:szCs w:val="24"/>
        </w:rPr>
        <w:t>‘</w:t>
      </w:r>
      <w:r>
        <w:rPr>
          <w:rFonts w:ascii="Times New Roman" w:hAnsi="Times New Roman" w:cs="Times New Roman"/>
          <w:sz w:val="24"/>
          <w:szCs w:val="24"/>
        </w:rPr>
        <w:t>C</w:t>
      </w:r>
      <w:r w:rsidRPr="00EE249D">
        <w:rPr>
          <w:rFonts w:ascii="Times New Roman" w:hAnsi="Times New Roman" w:cs="Times New Roman"/>
          <w:sz w:val="24"/>
          <w:szCs w:val="24"/>
        </w:rPr>
        <w:t xml:space="preserve">ustomer </w:t>
      </w:r>
      <w:r>
        <w:rPr>
          <w:rFonts w:ascii="Times New Roman" w:hAnsi="Times New Roman" w:cs="Times New Roman"/>
          <w:sz w:val="24"/>
          <w:szCs w:val="24"/>
        </w:rPr>
        <w:t>Satisfaction</w:t>
      </w:r>
      <w:r w:rsidRPr="00EE249D">
        <w:rPr>
          <w:rFonts w:ascii="Times New Roman" w:hAnsi="Times New Roman" w:cs="Times New Roman"/>
          <w:sz w:val="24"/>
          <w:szCs w:val="24"/>
        </w:rPr>
        <w:t>’</w:t>
      </w:r>
    </w:p>
    <w:p w14:paraId="2F378E06" w14:textId="77777777" w:rsidR="00E956C2" w:rsidRDefault="00E956C2" w:rsidP="00E956C2">
      <w:pPr>
        <w:pStyle w:val="ListParagraph"/>
        <w:spacing w:line="360" w:lineRule="auto"/>
        <w:jc w:val="both"/>
        <w:rPr>
          <w:rFonts w:ascii="Times New Roman" w:hAnsi="Times New Roman" w:cs="Times New Roman"/>
          <w:sz w:val="24"/>
          <w:szCs w:val="24"/>
        </w:rPr>
      </w:pPr>
    </w:p>
    <w:p w14:paraId="0150483C" w14:textId="77777777" w:rsidR="00E956C2" w:rsidRDefault="00E956C2" w:rsidP="00E956C2">
      <w:pPr>
        <w:pStyle w:val="ListParagraph"/>
        <w:spacing w:line="360" w:lineRule="auto"/>
        <w:jc w:val="center"/>
        <w:rPr>
          <w:rFonts w:ascii="Times New Roman" w:hAnsi="Times New Roman" w:cs="Times New Roman"/>
          <w:b/>
          <w:bCs/>
          <w:color w:val="4472C4" w:themeColor="accent1"/>
          <w:sz w:val="28"/>
          <w:szCs w:val="28"/>
          <w:u w:val="single"/>
        </w:rPr>
      </w:pPr>
    </w:p>
    <w:p w14:paraId="7FEFE748" w14:textId="77777777" w:rsidR="00E956C2" w:rsidRDefault="00E956C2" w:rsidP="00E956C2">
      <w:pPr>
        <w:pStyle w:val="ListParagraph"/>
        <w:spacing w:line="360" w:lineRule="auto"/>
        <w:jc w:val="center"/>
        <w:rPr>
          <w:rFonts w:ascii="Times New Roman" w:hAnsi="Times New Roman" w:cs="Times New Roman"/>
          <w:b/>
          <w:bCs/>
          <w:color w:val="4472C4" w:themeColor="accent1"/>
          <w:sz w:val="28"/>
          <w:szCs w:val="28"/>
          <w:u w:val="single"/>
        </w:rPr>
      </w:pPr>
    </w:p>
    <w:p w14:paraId="3188ABEC" w14:textId="77777777" w:rsidR="00E956C2" w:rsidRDefault="00E956C2" w:rsidP="00E956C2">
      <w:pPr>
        <w:pStyle w:val="ListParagraph"/>
        <w:spacing w:line="360" w:lineRule="auto"/>
        <w:jc w:val="center"/>
        <w:rPr>
          <w:rFonts w:ascii="Times New Roman" w:hAnsi="Times New Roman" w:cs="Times New Roman"/>
          <w:b/>
          <w:bCs/>
          <w:color w:val="4472C4" w:themeColor="accent1"/>
          <w:sz w:val="28"/>
          <w:szCs w:val="28"/>
          <w:u w:val="single"/>
        </w:rPr>
      </w:pPr>
    </w:p>
    <w:p w14:paraId="63383800" w14:textId="77777777" w:rsidR="00E956C2" w:rsidRDefault="00E956C2" w:rsidP="00E956C2">
      <w:pPr>
        <w:pStyle w:val="ListParagraph"/>
        <w:spacing w:line="360" w:lineRule="auto"/>
        <w:jc w:val="center"/>
        <w:rPr>
          <w:rFonts w:ascii="Times New Roman" w:hAnsi="Times New Roman" w:cs="Times New Roman"/>
          <w:b/>
          <w:bCs/>
          <w:color w:val="4472C4" w:themeColor="accent1"/>
          <w:sz w:val="28"/>
          <w:szCs w:val="28"/>
          <w:u w:val="single"/>
        </w:rPr>
      </w:pPr>
    </w:p>
    <w:p w14:paraId="7EC94BD6" w14:textId="77777777" w:rsidR="00E956C2" w:rsidRDefault="00E956C2" w:rsidP="00E956C2">
      <w:pPr>
        <w:pStyle w:val="ListParagraph"/>
        <w:spacing w:line="360" w:lineRule="auto"/>
        <w:jc w:val="center"/>
        <w:rPr>
          <w:rFonts w:ascii="Times New Roman" w:hAnsi="Times New Roman" w:cs="Times New Roman"/>
          <w:b/>
          <w:bCs/>
          <w:color w:val="4472C4" w:themeColor="accent1"/>
          <w:sz w:val="28"/>
          <w:szCs w:val="28"/>
          <w:u w:val="single"/>
        </w:rPr>
      </w:pPr>
    </w:p>
    <w:p w14:paraId="0B6F49E8" w14:textId="77777777" w:rsidR="00E956C2" w:rsidRPr="00301543" w:rsidRDefault="00E956C2" w:rsidP="00E956C2">
      <w:pPr>
        <w:pStyle w:val="ListParagraph"/>
        <w:spacing w:line="360" w:lineRule="auto"/>
        <w:jc w:val="center"/>
        <w:rPr>
          <w:rFonts w:ascii="Times New Roman" w:hAnsi="Times New Roman" w:cs="Times New Roman"/>
          <w:color w:val="000000" w:themeColor="text1"/>
          <w:sz w:val="24"/>
          <w:szCs w:val="24"/>
        </w:rPr>
      </w:pPr>
      <w:r w:rsidRPr="00301543">
        <w:rPr>
          <w:rFonts w:ascii="Times New Roman" w:hAnsi="Times New Roman" w:cs="Times New Roman"/>
          <w:b/>
          <w:bCs/>
          <w:color w:val="4472C4" w:themeColor="accent1"/>
          <w:sz w:val="28"/>
          <w:szCs w:val="28"/>
          <w:u w:val="single"/>
        </w:rPr>
        <w:lastRenderedPageBreak/>
        <w:t>2.</w:t>
      </w:r>
      <w:r>
        <w:rPr>
          <w:rFonts w:ascii="Times New Roman" w:hAnsi="Times New Roman" w:cs="Times New Roman"/>
          <w:b/>
          <w:bCs/>
          <w:color w:val="4472C4" w:themeColor="accent1"/>
          <w:sz w:val="28"/>
          <w:szCs w:val="28"/>
          <w:u w:val="single"/>
        </w:rPr>
        <w:t>4</w:t>
      </w:r>
      <w:r w:rsidRPr="00301543">
        <w:rPr>
          <w:rFonts w:ascii="Times New Roman" w:hAnsi="Times New Roman" w:cs="Times New Roman"/>
          <w:b/>
          <w:bCs/>
          <w:color w:val="4472C4" w:themeColor="accent1"/>
          <w:sz w:val="28"/>
          <w:szCs w:val="28"/>
          <w:u w:val="single"/>
        </w:rPr>
        <w:t xml:space="preserve"> SWOT Analysis</w:t>
      </w:r>
    </w:p>
    <w:p w14:paraId="4772F1D1" w14:textId="77777777" w:rsidR="00E956C2" w:rsidRPr="00031C89" w:rsidRDefault="00E956C2" w:rsidP="00E956C2">
      <w:pPr>
        <w:spacing w:line="360" w:lineRule="auto"/>
        <w:rPr>
          <w:rFonts w:ascii="Times New Roman" w:hAnsi="Times New Roman" w:cs="Times New Roman"/>
          <w:b/>
          <w:bCs/>
          <w:color w:val="000000" w:themeColor="text1"/>
          <w:sz w:val="24"/>
          <w:szCs w:val="24"/>
        </w:rPr>
      </w:pPr>
      <w:r w:rsidRPr="00031C89">
        <w:rPr>
          <w:rFonts w:ascii="Times New Roman" w:hAnsi="Times New Roman" w:cs="Times New Roman"/>
          <w:b/>
          <w:bCs/>
          <w:color w:val="000000" w:themeColor="text1"/>
          <w:sz w:val="24"/>
          <w:szCs w:val="24"/>
        </w:rPr>
        <w:t xml:space="preserve">Strengths: </w:t>
      </w:r>
    </w:p>
    <w:p w14:paraId="1FB3C308" w14:textId="77777777" w:rsidR="00E956C2" w:rsidRDefault="00E956C2" w:rsidP="00E956C2">
      <w:pPr>
        <w:pStyle w:val="ListParagraph"/>
        <w:numPr>
          <w:ilvl w:val="0"/>
          <w:numId w:val="10"/>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Market leader in the credit card segment.</w:t>
      </w:r>
    </w:p>
    <w:p w14:paraId="4E4DD728" w14:textId="77777777" w:rsidR="00E956C2" w:rsidRPr="001C056D" w:rsidRDefault="00E956C2" w:rsidP="00E956C2">
      <w:pPr>
        <w:pStyle w:val="ListParagraph"/>
        <w:numPr>
          <w:ilvl w:val="0"/>
          <w:numId w:val="10"/>
        </w:numPr>
        <w:spacing w:after="0" w:line="360" w:lineRule="auto"/>
        <w:rPr>
          <w:rFonts w:ascii="Times New Roman" w:hAnsi="Times New Roman" w:cs="Times New Roman"/>
          <w:color w:val="000000" w:themeColor="text1"/>
          <w:sz w:val="24"/>
          <w:szCs w:val="24"/>
        </w:rPr>
      </w:pPr>
      <w:r w:rsidRPr="001C056D">
        <w:rPr>
          <w:rFonts w:ascii="Times New Roman" w:hAnsi="Times New Roman" w:cs="Times New Roman"/>
          <w:color w:val="000000" w:themeColor="text1"/>
          <w:sz w:val="24"/>
          <w:szCs w:val="24"/>
        </w:rPr>
        <w:t>The specific expertise and abilities that the employees have developed within themselves.</w:t>
      </w:r>
    </w:p>
    <w:p w14:paraId="1B43FDCA" w14:textId="77777777" w:rsidR="00E956C2" w:rsidRPr="001C056D" w:rsidRDefault="00E956C2" w:rsidP="00E956C2">
      <w:pPr>
        <w:pStyle w:val="ListParagraph"/>
        <w:numPr>
          <w:ilvl w:val="0"/>
          <w:numId w:val="10"/>
        </w:numPr>
        <w:spacing w:after="0" w:line="360" w:lineRule="auto"/>
        <w:rPr>
          <w:rFonts w:ascii="Times New Roman" w:hAnsi="Times New Roman" w:cs="Times New Roman"/>
          <w:color w:val="000000" w:themeColor="text1"/>
          <w:sz w:val="24"/>
          <w:szCs w:val="24"/>
        </w:rPr>
      </w:pPr>
      <w:r w:rsidRPr="001C056D">
        <w:rPr>
          <w:rFonts w:ascii="Times New Roman" w:hAnsi="Times New Roman" w:cs="Times New Roman"/>
          <w:color w:val="000000" w:themeColor="text1"/>
          <w:sz w:val="24"/>
          <w:szCs w:val="24"/>
        </w:rPr>
        <w:t>The trust which has been established with the customers from the very beginning of business to the present.</w:t>
      </w:r>
    </w:p>
    <w:p w14:paraId="1A6BE336" w14:textId="77777777" w:rsidR="00E956C2" w:rsidRPr="001C056D" w:rsidRDefault="00E956C2" w:rsidP="00E956C2">
      <w:pPr>
        <w:pStyle w:val="ListParagraph"/>
        <w:numPr>
          <w:ilvl w:val="0"/>
          <w:numId w:val="10"/>
        </w:numPr>
        <w:spacing w:after="0" w:line="360" w:lineRule="auto"/>
        <w:rPr>
          <w:rFonts w:ascii="Times New Roman" w:hAnsi="Times New Roman" w:cs="Times New Roman"/>
          <w:color w:val="000000" w:themeColor="text1"/>
          <w:sz w:val="24"/>
          <w:szCs w:val="24"/>
        </w:rPr>
      </w:pPr>
      <w:r w:rsidRPr="001C056D">
        <w:rPr>
          <w:rFonts w:ascii="Times New Roman" w:hAnsi="Times New Roman" w:cs="Times New Roman"/>
          <w:color w:val="000000" w:themeColor="text1"/>
          <w:sz w:val="24"/>
          <w:szCs w:val="24"/>
        </w:rPr>
        <w:t>Governance and compliance are present.</w:t>
      </w:r>
    </w:p>
    <w:p w14:paraId="37F84444" w14:textId="77777777" w:rsidR="00E956C2" w:rsidRPr="001C056D" w:rsidRDefault="00E956C2" w:rsidP="00E956C2">
      <w:pPr>
        <w:pStyle w:val="ListParagraph"/>
        <w:numPr>
          <w:ilvl w:val="0"/>
          <w:numId w:val="10"/>
        </w:numPr>
        <w:spacing w:after="0" w:line="360" w:lineRule="auto"/>
        <w:rPr>
          <w:rFonts w:ascii="Times New Roman" w:hAnsi="Times New Roman" w:cs="Times New Roman"/>
          <w:color w:val="000000" w:themeColor="text1"/>
          <w:sz w:val="24"/>
          <w:szCs w:val="24"/>
        </w:rPr>
      </w:pPr>
      <w:r w:rsidRPr="001C056D">
        <w:rPr>
          <w:rFonts w:ascii="Times New Roman" w:hAnsi="Times New Roman" w:cs="Times New Roman"/>
          <w:color w:val="000000" w:themeColor="text1"/>
          <w:sz w:val="24"/>
          <w:szCs w:val="24"/>
        </w:rPr>
        <w:t>Powerful institutional investors are present.</w:t>
      </w:r>
    </w:p>
    <w:p w14:paraId="4A5FC0A4" w14:textId="77777777" w:rsidR="00E956C2" w:rsidRPr="001C056D" w:rsidRDefault="00E956C2" w:rsidP="00E956C2">
      <w:pPr>
        <w:pStyle w:val="ListParagraph"/>
        <w:numPr>
          <w:ilvl w:val="0"/>
          <w:numId w:val="10"/>
        </w:numPr>
        <w:spacing w:after="0" w:line="360" w:lineRule="auto"/>
        <w:rPr>
          <w:rFonts w:ascii="Times New Roman" w:hAnsi="Times New Roman" w:cs="Times New Roman"/>
          <w:color w:val="000000" w:themeColor="text1"/>
          <w:sz w:val="24"/>
          <w:szCs w:val="24"/>
        </w:rPr>
      </w:pPr>
      <w:r w:rsidRPr="001C056D">
        <w:rPr>
          <w:rFonts w:ascii="Times New Roman" w:hAnsi="Times New Roman" w:cs="Times New Roman"/>
          <w:color w:val="000000" w:themeColor="text1"/>
          <w:sz w:val="24"/>
          <w:szCs w:val="24"/>
        </w:rPr>
        <w:t>The bank has an excellent record of financial performance.</w:t>
      </w:r>
    </w:p>
    <w:p w14:paraId="566E288C" w14:textId="77777777" w:rsidR="00E956C2" w:rsidRPr="00031C89" w:rsidRDefault="00E956C2" w:rsidP="00E956C2">
      <w:pPr>
        <w:pStyle w:val="ListParagraph"/>
        <w:spacing w:after="0" w:line="360" w:lineRule="auto"/>
        <w:rPr>
          <w:rFonts w:ascii="Times New Roman" w:hAnsi="Times New Roman" w:cs="Times New Roman"/>
          <w:color w:val="000000" w:themeColor="text1"/>
          <w:sz w:val="24"/>
          <w:szCs w:val="24"/>
        </w:rPr>
      </w:pPr>
    </w:p>
    <w:p w14:paraId="5B165BF3" w14:textId="77777777" w:rsidR="00E956C2" w:rsidRPr="00031C89" w:rsidRDefault="00E956C2" w:rsidP="00E956C2">
      <w:pPr>
        <w:spacing w:line="360" w:lineRule="auto"/>
        <w:rPr>
          <w:rFonts w:ascii="Times New Roman" w:hAnsi="Times New Roman" w:cs="Times New Roman"/>
          <w:color w:val="000000" w:themeColor="text1"/>
          <w:sz w:val="24"/>
          <w:szCs w:val="24"/>
        </w:rPr>
      </w:pPr>
    </w:p>
    <w:p w14:paraId="03D251FF" w14:textId="77777777" w:rsidR="00E956C2" w:rsidRPr="00031C89" w:rsidRDefault="00E956C2" w:rsidP="00E956C2">
      <w:pPr>
        <w:spacing w:line="360" w:lineRule="auto"/>
        <w:rPr>
          <w:rFonts w:ascii="Times New Roman" w:hAnsi="Times New Roman" w:cs="Times New Roman"/>
          <w:b/>
          <w:bCs/>
          <w:color w:val="000000" w:themeColor="text1"/>
          <w:sz w:val="24"/>
          <w:szCs w:val="24"/>
        </w:rPr>
      </w:pPr>
      <w:r w:rsidRPr="00031C89">
        <w:rPr>
          <w:rFonts w:ascii="Times New Roman" w:hAnsi="Times New Roman" w:cs="Times New Roman"/>
          <w:b/>
          <w:bCs/>
          <w:color w:val="000000" w:themeColor="text1"/>
          <w:sz w:val="24"/>
          <w:szCs w:val="24"/>
        </w:rPr>
        <w:t>Opportunities:</w:t>
      </w:r>
    </w:p>
    <w:p w14:paraId="36A05983" w14:textId="77777777" w:rsidR="00E956C2" w:rsidRPr="00554732" w:rsidRDefault="00E956C2" w:rsidP="00E956C2">
      <w:pPr>
        <w:pStyle w:val="ListParagraph"/>
        <w:numPr>
          <w:ilvl w:val="0"/>
          <w:numId w:val="11"/>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Pr="00554732">
        <w:rPr>
          <w:rFonts w:ascii="Times New Roman" w:hAnsi="Times New Roman" w:cs="Times New Roman"/>
          <w:color w:val="000000" w:themeColor="text1"/>
          <w:sz w:val="24"/>
          <w:szCs w:val="24"/>
        </w:rPr>
        <w:t>mproving accessibility in remote regions</w:t>
      </w:r>
      <w:r>
        <w:rPr>
          <w:rFonts w:ascii="Times New Roman" w:hAnsi="Times New Roman" w:cs="Times New Roman"/>
          <w:color w:val="000000" w:themeColor="text1"/>
          <w:sz w:val="24"/>
          <w:szCs w:val="24"/>
        </w:rPr>
        <w:t>.</w:t>
      </w:r>
    </w:p>
    <w:p w14:paraId="4096C112" w14:textId="77777777" w:rsidR="00E956C2" w:rsidRPr="00554732" w:rsidRDefault="00E956C2" w:rsidP="00E956C2">
      <w:pPr>
        <w:pStyle w:val="ListParagraph"/>
        <w:numPr>
          <w:ilvl w:val="0"/>
          <w:numId w:val="11"/>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Pr="00554732">
        <w:rPr>
          <w:rFonts w:ascii="Times New Roman" w:hAnsi="Times New Roman" w:cs="Times New Roman"/>
          <w:color w:val="000000" w:themeColor="text1"/>
          <w:sz w:val="24"/>
          <w:szCs w:val="24"/>
        </w:rPr>
        <w:t>roadening bank businesses under the traditional strategy to promoting financial inclusion</w:t>
      </w:r>
      <w:r>
        <w:rPr>
          <w:rFonts w:ascii="Times New Roman" w:hAnsi="Times New Roman" w:cs="Times New Roman"/>
          <w:color w:val="000000" w:themeColor="text1"/>
          <w:sz w:val="24"/>
          <w:szCs w:val="24"/>
        </w:rPr>
        <w:t>.</w:t>
      </w:r>
    </w:p>
    <w:p w14:paraId="72799824" w14:textId="77777777" w:rsidR="00E956C2" w:rsidRPr="00554732" w:rsidRDefault="00E956C2" w:rsidP="00E956C2">
      <w:pPr>
        <w:pStyle w:val="ListParagraph"/>
        <w:numPr>
          <w:ilvl w:val="0"/>
          <w:numId w:val="11"/>
        </w:num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w:t>
      </w:r>
      <w:r w:rsidRPr="00554732">
        <w:rPr>
          <w:rFonts w:ascii="Times New Roman" w:hAnsi="Times New Roman" w:cs="Times New Roman"/>
          <w:color w:val="000000" w:themeColor="text1"/>
          <w:sz w:val="24"/>
          <w:szCs w:val="24"/>
        </w:rPr>
        <w:t xml:space="preserve">aring for customer </w:t>
      </w:r>
      <w:r>
        <w:rPr>
          <w:rFonts w:ascii="Times New Roman" w:hAnsi="Times New Roman" w:cs="Times New Roman"/>
          <w:color w:val="000000" w:themeColor="text1"/>
          <w:sz w:val="24"/>
          <w:szCs w:val="24"/>
        </w:rPr>
        <w:t>happiness</w:t>
      </w:r>
      <w:r w:rsidRPr="00554732">
        <w:rPr>
          <w:rFonts w:ascii="Times New Roman" w:hAnsi="Times New Roman" w:cs="Times New Roman"/>
          <w:color w:val="000000" w:themeColor="text1"/>
          <w:sz w:val="24"/>
          <w:szCs w:val="24"/>
        </w:rPr>
        <w:t xml:space="preserve"> levels</w:t>
      </w:r>
      <w:r>
        <w:rPr>
          <w:rFonts w:ascii="Times New Roman" w:hAnsi="Times New Roman" w:cs="Times New Roman"/>
          <w:color w:val="000000" w:themeColor="text1"/>
          <w:sz w:val="24"/>
          <w:szCs w:val="24"/>
        </w:rPr>
        <w:t>.</w:t>
      </w:r>
    </w:p>
    <w:p w14:paraId="3DCE9DA8" w14:textId="77777777" w:rsidR="00E956C2" w:rsidRPr="00031C89" w:rsidRDefault="00E956C2" w:rsidP="00E956C2">
      <w:pPr>
        <w:pStyle w:val="ListParagraph"/>
        <w:spacing w:after="0" w:line="360" w:lineRule="auto"/>
        <w:rPr>
          <w:rFonts w:ascii="Times New Roman" w:hAnsi="Times New Roman" w:cs="Times New Roman"/>
          <w:color w:val="000000" w:themeColor="text1"/>
          <w:sz w:val="24"/>
          <w:szCs w:val="24"/>
        </w:rPr>
      </w:pPr>
    </w:p>
    <w:p w14:paraId="3A83042F" w14:textId="77777777" w:rsidR="00E956C2" w:rsidRPr="00031C89" w:rsidRDefault="00E956C2" w:rsidP="00E956C2">
      <w:pPr>
        <w:pStyle w:val="ListParagraph"/>
        <w:spacing w:line="360" w:lineRule="auto"/>
        <w:rPr>
          <w:rFonts w:ascii="Times New Roman" w:hAnsi="Times New Roman" w:cs="Times New Roman"/>
          <w:color w:val="000000" w:themeColor="text1"/>
          <w:sz w:val="24"/>
          <w:szCs w:val="24"/>
        </w:rPr>
      </w:pPr>
    </w:p>
    <w:p w14:paraId="4F4443DC" w14:textId="77777777" w:rsidR="00E956C2" w:rsidRPr="00031C89" w:rsidRDefault="00E956C2" w:rsidP="00E956C2">
      <w:pPr>
        <w:spacing w:line="360" w:lineRule="auto"/>
        <w:rPr>
          <w:rFonts w:ascii="Times New Roman" w:hAnsi="Times New Roman" w:cs="Times New Roman"/>
          <w:b/>
          <w:bCs/>
          <w:color w:val="000000" w:themeColor="text1"/>
          <w:sz w:val="24"/>
          <w:szCs w:val="24"/>
        </w:rPr>
      </w:pPr>
      <w:r w:rsidRPr="00031C89">
        <w:rPr>
          <w:rFonts w:ascii="Times New Roman" w:hAnsi="Times New Roman" w:cs="Times New Roman"/>
          <w:b/>
          <w:bCs/>
          <w:color w:val="000000" w:themeColor="text1"/>
          <w:sz w:val="24"/>
          <w:szCs w:val="24"/>
        </w:rPr>
        <w:t>Weaknesses</w:t>
      </w:r>
      <w:r>
        <w:rPr>
          <w:rFonts w:ascii="Times New Roman" w:hAnsi="Times New Roman" w:cs="Times New Roman"/>
          <w:b/>
          <w:bCs/>
          <w:color w:val="000000" w:themeColor="text1"/>
          <w:sz w:val="24"/>
          <w:szCs w:val="24"/>
        </w:rPr>
        <w:t>:</w:t>
      </w:r>
    </w:p>
    <w:p w14:paraId="08EC1F06" w14:textId="77777777" w:rsidR="00E956C2" w:rsidRDefault="00E956C2" w:rsidP="00E956C2">
      <w:pPr>
        <w:pStyle w:val="ListParagraph"/>
        <w:numPr>
          <w:ilvl w:val="0"/>
          <w:numId w:val="19"/>
        </w:num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Pr="00EA4F03">
        <w:rPr>
          <w:rFonts w:ascii="Times New Roman" w:hAnsi="Times New Roman" w:cs="Times New Roman"/>
          <w:color w:val="000000" w:themeColor="text1"/>
          <w:sz w:val="24"/>
          <w:szCs w:val="24"/>
        </w:rPr>
        <w:t xml:space="preserve">eeping highly skilled </w:t>
      </w:r>
      <w:r>
        <w:rPr>
          <w:rFonts w:ascii="Times New Roman" w:hAnsi="Times New Roman" w:cs="Times New Roman"/>
          <w:color w:val="000000" w:themeColor="text1"/>
          <w:sz w:val="24"/>
          <w:szCs w:val="24"/>
        </w:rPr>
        <w:t>employees</w:t>
      </w:r>
      <w:r w:rsidRPr="00EA4F03">
        <w:rPr>
          <w:rFonts w:ascii="Times New Roman" w:hAnsi="Times New Roman" w:cs="Times New Roman"/>
          <w:color w:val="000000" w:themeColor="text1"/>
          <w:sz w:val="24"/>
          <w:szCs w:val="24"/>
        </w:rPr>
        <w:t xml:space="preserve"> within the company.</w:t>
      </w:r>
    </w:p>
    <w:p w14:paraId="656EE352" w14:textId="77777777" w:rsidR="00E956C2" w:rsidRPr="00EA4F03" w:rsidRDefault="00E956C2" w:rsidP="00E956C2">
      <w:pPr>
        <w:pStyle w:val="ListParagraph"/>
        <w:numPr>
          <w:ilvl w:val="0"/>
          <w:numId w:val="19"/>
        </w:numPr>
        <w:spacing w:line="360" w:lineRule="auto"/>
        <w:rPr>
          <w:rFonts w:ascii="Times New Roman" w:hAnsi="Times New Roman" w:cs="Times New Roman"/>
          <w:color w:val="000000" w:themeColor="text1"/>
          <w:sz w:val="24"/>
          <w:szCs w:val="24"/>
        </w:rPr>
      </w:pPr>
      <w:r w:rsidRPr="00EA4F03">
        <w:rPr>
          <w:rFonts w:ascii="Times New Roman" w:hAnsi="Times New Roman" w:cs="Times New Roman"/>
          <w:color w:val="000000" w:themeColor="text1"/>
          <w:sz w:val="24"/>
          <w:szCs w:val="24"/>
        </w:rPr>
        <w:t xml:space="preserve">Industry that is fiercely competitive is putting pressure on </w:t>
      </w:r>
      <w:r>
        <w:rPr>
          <w:rFonts w:ascii="Times New Roman" w:hAnsi="Times New Roman" w:cs="Times New Roman"/>
          <w:color w:val="000000" w:themeColor="text1"/>
          <w:sz w:val="24"/>
          <w:szCs w:val="24"/>
        </w:rPr>
        <w:t>the returns</w:t>
      </w:r>
      <w:r w:rsidRPr="00EA4F03">
        <w:rPr>
          <w:rFonts w:ascii="Times New Roman" w:hAnsi="Times New Roman" w:cs="Times New Roman"/>
          <w:color w:val="000000" w:themeColor="text1"/>
          <w:sz w:val="24"/>
          <w:szCs w:val="24"/>
        </w:rPr>
        <w:t>.</w:t>
      </w:r>
    </w:p>
    <w:p w14:paraId="6A13BF31" w14:textId="77777777" w:rsidR="00E956C2" w:rsidRPr="00EA4F03" w:rsidRDefault="00E956C2" w:rsidP="00E956C2">
      <w:pPr>
        <w:spacing w:line="360" w:lineRule="auto"/>
        <w:rPr>
          <w:rFonts w:ascii="Times New Roman" w:hAnsi="Times New Roman" w:cs="Times New Roman"/>
          <w:b/>
          <w:bCs/>
          <w:color w:val="000000" w:themeColor="text1"/>
          <w:sz w:val="24"/>
          <w:szCs w:val="24"/>
        </w:rPr>
      </w:pPr>
    </w:p>
    <w:p w14:paraId="129AA50D" w14:textId="77777777" w:rsidR="00E956C2" w:rsidRPr="00031C89" w:rsidRDefault="00E956C2" w:rsidP="00E956C2">
      <w:pPr>
        <w:spacing w:line="360" w:lineRule="auto"/>
        <w:rPr>
          <w:rFonts w:ascii="Times New Roman" w:hAnsi="Times New Roman" w:cs="Times New Roman"/>
          <w:b/>
          <w:bCs/>
          <w:color w:val="000000" w:themeColor="text1"/>
          <w:sz w:val="24"/>
          <w:szCs w:val="24"/>
        </w:rPr>
      </w:pPr>
      <w:r w:rsidRPr="00031C89">
        <w:rPr>
          <w:rFonts w:ascii="Times New Roman" w:hAnsi="Times New Roman" w:cs="Times New Roman"/>
          <w:b/>
          <w:bCs/>
          <w:color w:val="000000" w:themeColor="text1"/>
          <w:sz w:val="24"/>
          <w:szCs w:val="24"/>
        </w:rPr>
        <w:t>Threats</w:t>
      </w:r>
    </w:p>
    <w:p w14:paraId="51BAACED" w14:textId="77777777" w:rsidR="00E956C2" w:rsidRDefault="00E956C2" w:rsidP="00E956C2">
      <w:pPr>
        <w:pStyle w:val="ListParagraph"/>
        <w:numPr>
          <w:ilvl w:val="0"/>
          <w:numId w:val="20"/>
        </w:numPr>
        <w:spacing w:after="0" w:line="360" w:lineRule="auto"/>
        <w:rPr>
          <w:rFonts w:ascii="Times New Roman" w:hAnsi="Times New Roman" w:cs="Times New Roman"/>
          <w:color w:val="000000" w:themeColor="text1"/>
          <w:sz w:val="24"/>
          <w:szCs w:val="24"/>
        </w:rPr>
      </w:pPr>
      <w:r w:rsidRPr="00F1364B">
        <w:rPr>
          <w:rFonts w:ascii="Times New Roman" w:hAnsi="Times New Roman" w:cs="Times New Roman"/>
          <w:color w:val="000000" w:themeColor="text1"/>
          <w:sz w:val="24"/>
          <w:szCs w:val="24"/>
        </w:rPr>
        <w:t>Fintech and digital-first banks are becoming more competitive, and there are frequently unexpected modifications to regulations taking place.</w:t>
      </w:r>
    </w:p>
    <w:p w14:paraId="0188EBB3" w14:textId="77777777" w:rsidR="00E956C2" w:rsidRPr="00F1364B" w:rsidRDefault="00E956C2" w:rsidP="00E956C2">
      <w:pPr>
        <w:pStyle w:val="ListParagraph"/>
        <w:numPr>
          <w:ilvl w:val="0"/>
          <w:numId w:val="20"/>
        </w:numPr>
        <w:spacing w:after="0" w:line="360" w:lineRule="auto"/>
        <w:rPr>
          <w:rFonts w:ascii="Times New Roman" w:hAnsi="Times New Roman" w:cs="Times New Roman"/>
          <w:color w:val="000000" w:themeColor="text1"/>
          <w:sz w:val="24"/>
          <w:szCs w:val="24"/>
        </w:rPr>
      </w:pPr>
      <w:r w:rsidRPr="00F1364B">
        <w:rPr>
          <w:rFonts w:ascii="Times New Roman" w:hAnsi="Times New Roman" w:cs="Times New Roman"/>
          <w:color w:val="000000" w:themeColor="text1"/>
          <w:sz w:val="24"/>
          <w:szCs w:val="24"/>
        </w:rPr>
        <w:t>It becomes more difficult to use resources efficiently.</w:t>
      </w:r>
    </w:p>
    <w:p w14:paraId="7CC6DF35" w14:textId="77777777" w:rsidR="00E956C2" w:rsidRDefault="00E956C2" w:rsidP="00E956C2">
      <w:pPr>
        <w:spacing w:after="0" w:line="360" w:lineRule="auto"/>
        <w:jc w:val="center"/>
        <w:rPr>
          <w:rFonts w:ascii="Times New Roman" w:hAnsi="Times New Roman" w:cs="Times New Roman"/>
          <w:b/>
          <w:bCs/>
          <w:color w:val="4472C4" w:themeColor="accent1"/>
          <w:sz w:val="28"/>
          <w:szCs w:val="28"/>
          <w:u w:val="single"/>
        </w:rPr>
      </w:pPr>
    </w:p>
    <w:p w14:paraId="746DE266" w14:textId="77777777" w:rsidR="00E956C2" w:rsidRDefault="00E956C2" w:rsidP="00E956C2">
      <w:pPr>
        <w:spacing w:after="0" w:line="360" w:lineRule="auto"/>
        <w:jc w:val="center"/>
        <w:rPr>
          <w:rFonts w:ascii="Times New Roman" w:hAnsi="Times New Roman" w:cs="Times New Roman"/>
          <w:b/>
          <w:bCs/>
          <w:color w:val="4472C4" w:themeColor="accent1"/>
          <w:sz w:val="28"/>
          <w:szCs w:val="28"/>
          <w:u w:val="single"/>
        </w:rPr>
      </w:pPr>
      <w:r w:rsidRPr="00031C89">
        <w:rPr>
          <w:rFonts w:ascii="Times New Roman" w:hAnsi="Times New Roman" w:cs="Times New Roman"/>
          <w:b/>
          <w:bCs/>
          <w:color w:val="4472C4" w:themeColor="accent1"/>
          <w:sz w:val="28"/>
          <w:szCs w:val="28"/>
          <w:u w:val="single"/>
        </w:rPr>
        <w:lastRenderedPageBreak/>
        <w:t>2.</w:t>
      </w:r>
      <w:r>
        <w:rPr>
          <w:rFonts w:ascii="Times New Roman" w:hAnsi="Times New Roman" w:cs="Times New Roman"/>
          <w:b/>
          <w:bCs/>
          <w:color w:val="4472C4" w:themeColor="accent1"/>
          <w:sz w:val="28"/>
          <w:szCs w:val="28"/>
          <w:u w:val="single"/>
        </w:rPr>
        <w:t>5</w:t>
      </w:r>
      <w:r w:rsidRPr="00031C89">
        <w:rPr>
          <w:rFonts w:ascii="Times New Roman" w:hAnsi="Times New Roman" w:cs="Times New Roman"/>
          <w:b/>
          <w:bCs/>
          <w:color w:val="4472C4" w:themeColor="accent1"/>
          <w:sz w:val="28"/>
          <w:szCs w:val="28"/>
          <w:u w:val="single"/>
        </w:rPr>
        <w:t xml:space="preserve"> P</w:t>
      </w:r>
      <w:r>
        <w:rPr>
          <w:rFonts w:ascii="Times New Roman" w:hAnsi="Times New Roman" w:cs="Times New Roman"/>
          <w:b/>
          <w:bCs/>
          <w:color w:val="4472C4" w:themeColor="accent1"/>
          <w:sz w:val="28"/>
          <w:szCs w:val="28"/>
          <w:u w:val="single"/>
        </w:rPr>
        <w:t>orter’s Five Forces Model</w:t>
      </w:r>
    </w:p>
    <w:p w14:paraId="369348E2" w14:textId="77777777" w:rsidR="00E956C2" w:rsidRDefault="00E956C2" w:rsidP="00E956C2">
      <w:pPr>
        <w:spacing w:after="0" w:line="360" w:lineRule="auto"/>
        <w:jc w:val="both"/>
        <w:rPr>
          <w:rFonts w:ascii="Times New Roman" w:hAnsi="Times New Roman" w:cs="Times New Roman"/>
          <w:color w:val="000000" w:themeColor="text1"/>
          <w:sz w:val="24"/>
          <w:szCs w:val="24"/>
        </w:rPr>
      </w:pPr>
    </w:p>
    <w:p w14:paraId="4B5FDA3F" w14:textId="77777777" w:rsidR="00E956C2" w:rsidRDefault="00E956C2" w:rsidP="00E956C2">
      <w:pPr>
        <w:spacing w:after="0" w:line="360" w:lineRule="auto"/>
        <w:jc w:val="both"/>
        <w:rPr>
          <w:rFonts w:ascii="Times New Roman" w:hAnsi="Times New Roman" w:cs="Times New Roman"/>
          <w:color w:val="000000" w:themeColor="text1"/>
          <w:sz w:val="24"/>
          <w:szCs w:val="24"/>
        </w:rPr>
      </w:pPr>
      <w:r w:rsidRPr="001A263A">
        <w:rPr>
          <w:rFonts w:ascii="Times New Roman" w:hAnsi="Times New Roman" w:cs="Times New Roman"/>
          <w:color w:val="000000" w:themeColor="text1"/>
          <w:sz w:val="24"/>
          <w:szCs w:val="24"/>
        </w:rPr>
        <w:t>City Bank can develop their strategy using Porter's five-forces model, and when it is put into action, it ensures that it aligns with their expectations for profitability.</w:t>
      </w:r>
    </w:p>
    <w:p w14:paraId="37447C0D" w14:textId="77777777" w:rsidR="00E956C2" w:rsidRDefault="00E956C2" w:rsidP="00E956C2">
      <w:pPr>
        <w:pStyle w:val="ListParagraph"/>
        <w:numPr>
          <w:ilvl w:val="0"/>
          <w:numId w:val="14"/>
        </w:numPr>
        <w:spacing w:after="0" w:line="360" w:lineRule="auto"/>
        <w:jc w:val="both"/>
        <w:rPr>
          <w:rFonts w:ascii="Times New Roman" w:hAnsi="Times New Roman" w:cs="Times New Roman"/>
          <w:color w:val="000000" w:themeColor="text1"/>
          <w:sz w:val="24"/>
          <w:szCs w:val="24"/>
        </w:rPr>
      </w:pPr>
      <w:r w:rsidRPr="001A263A">
        <w:rPr>
          <w:rFonts w:ascii="Times New Roman" w:hAnsi="Times New Roman" w:cs="Times New Roman"/>
          <w:b/>
          <w:bCs/>
          <w:color w:val="000000" w:themeColor="text1"/>
          <w:sz w:val="24"/>
          <w:szCs w:val="24"/>
        </w:rPr>
        <w:t>Buyer Power:</w:t>
      </w:r>
      <w:r>
        <w:rPr>
          <w:rFonts w:ascii="Times New Roman" w:hAnsi="Times New Roman" w:cs="Times New Roman"/>
          <w:color w:val="000000" w:themeColor="text1"/>
          <w:sz w:val="24"/>
          <w:szCs w:val="24"/>
        </w:rPr>
        <w:t xml:space="preserve"> The buyer power is very high in the banking industry.</w:t>
      </w:r>
      <w:r w:rsidRPr="001A263A">
        <w:t xml:space="preserve"> </w:t>
      </w:r>
      <w:r w:rsidRPr="001A263A">
        <w:rPr>
          <w:rFonts w:ascii="Times New Roman" w:hAnsi="Times New Roman" w:cs="Times New Roman"/>
          <w:color w:val="000000" w:themeColor="text1"/>
          <w:sz w:val="24"/>
          <w:szCs w:val="24"/>
        </w:rPr>
        <w:t>Due to the low switching costs, high price sensitivity, and simple information accessibility, the buyer power is high.</w:t>
      </w:r>
    </w:p>
    <w:p w14:paraId="5957DE68" w14:textId="77777777" w:rsidR="00E956C2" w:rsidRPr="001A263A" w:rsidRDefault="00E956C2" w:rsidP="00E956C2">
      <w:pPr>
        <w:pStyle w:val="ListParagraph"/>
        <w:numPr>
          <w:ilvl w:val="0"/>
          <w:numId w:val="14"/>
        </w:numPr>
        <w:spacing w:after="0" w:line="360" w:lineRule="auto"/>
        <w:jc w:val="both"/>
        <w:rPr>
          <w:rFonts w:ascii="Times New Roman" w:hAnsi="Times New Roman" w:cs="Times New Roman"/>
          <w:color w:val="000000" w:themeColor="text1"/>
          <w:sz w:val="24"/>
          <w:szCs w:val="24"/>
        </w:rPr>
      </w:pPr>
      <w:r w:rsidRPr="001A263A">
        <w:rPr>
          <w:rFonts w:ascii="Times New Roman" w:hAnsi="Times New Roman" w:cs="Times New Roman"/>
          <w:b/>
          <w:bCs/>
          <w:sz w:val="24"/>
          <w:szCs w:val="24"/>
        </w:rPr>
        <w:t>Competitive Rivalry:</w:t>
      </w:r>
      <w:r w:rsidRPr="001A263A">
        <w:rPr>
          <w:rFonts w:ascii="Times New Roman" w:hAnsi="Times New Roman" w:cs="Times New Roman"/>
          <w:sz w:val="24"/>
          <w:szCs w:val="24"/>
        </w:rPr>
        <w:t xml:space="preserve"> The competitive rivalry is high in the banking industry. It is due to the existence of numerous banks, N</w:t>
      </w:r>
      <w:r>
        <w:rPr>
          <w:rFonts w:ascii="Times New Roman" w:hAnsi="Times New Roman" w:cs="Times New Roman"/>
          <w:sz w:val="24"/>
          <w:szCs w:val="24"/>
        </w:rPr>
        <w:t>on-Banking FI</w:t>
      </w:r>
      <w:r w:rsidRPr="001A263A">
        <w:rPr>
          <w:rFonts w:ascii="Times New Roman" w:hAnsi="Times New Roman" w:cs="Times New Roman"/>
          <w:sz w:val="24"/>
          <w:szCs w:val="24"/>
        </w:rPr>
        <w:t>s, and other financial institutions, along with the emergence of Fintech firms.</w:t>
      </w:r>
    </w:p>
    <w:p w14:paraId="1AFC13E6" w14:textId="77777777" w:rsidR="00E956C2" w:rsidRDefault="00E956C2" w:rsidP="00E956C2">
      <w:pPr>
        <w:pStyle w:val="ListParagraph"/>
        <w:numPr>
          <w:ilvl w:val="0"/>
          <w:numId w:val="14"/>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bCs/>
          <w:sz w:val="24"/>
          <w:szCs w:val="24"/>
        </w:rPr>
        <w:t>Supplier Power:</w:t>
      </w:r>
      <w:r>
        <w:rPr>
          <w:rFonts w:ascii="Times New Roman" w:hAnsi="Times New Roman" w:cs="Times New Roman"/>
          <w:color w:val="000000" w:themeColor="text1"/>
          <w:sz w:val="24"/>
          <w:szCs w:val="24"/>
        </w:rPr>
        <w:t xml:space="preserve"> The supplier power is very high in the banking industry. </w:t>
      </w:r>
      <w:r w:rsidRPr="00D7327F">
        <w:rPr>
          <w:rFonts w:ascii="Times New Roman" w:hAnsi="Times New Roman" w:cs="Times New Roman"/>
          <w:color w:val="000000" w:themeColor="text1"/>
          <w:sz w:val="24"/>
          <w:szCs w:val="24"/>
        </w:rPr>
        <w:t>Because of the numerous customer options and intense competition, it is challenging to mobilize inexpensive deposits.</w:t>
      </w:r>
    </w:p>
    <w:p w14:paraId="53942968" w14:textId="77777777" w:rsidR="00E956C2" w:rsidRDefault="00E956C2" w:rsidP="00E956C2">
      <w:pPr>
        <w:pStyle w:val="ListParagraph"/>
        <w:numPr>
          <w:ilvl w:val="0"/>
          <w:numId w:val="14"/>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b/>
          <w:bCs/>
          <w:sz w:val="24"/>
          <w:szCs w:val="24"/>
        </w:rPr>
        <w:t>Substitution Threat:</w:t>
      </w:r>
      <w:r>
        <w:rPr>
          <w:rFonts w:ascii="Times New Roman" w:hAnsi="Times New Roman" w:cs="Times New Roman"/>
          <w:color w:val="000000" w:themeColor="text1"/>
          <w:sz w:val="24"/>
          <w:szCs w:val="24"/>
        </w:rPr>
        <w:t xml:space="preserve"> The substitution threat is very low in the banking industry.</w:t>
      </w:r>
      <w:r w:rsidRPr="00D7327F">
        <w:t xml:space="preserve"> </w:t>
      </w:r>
      <w:r w:rsidRPr="00D7327F">
        <w:rPr>
          <w:rFonts w:ascii="Times New Roman" w:hAnsi="Times New Roman" w:cs="Times New Roman"/>
          <w:color w:val="000000" w:themeColor="text1"/>
          <w:sz w:val="24"/>
          <w:szCs w:val="24"/>
        </w:rPr>
        <w:t>The banking industry provides a necessary service and is a major focus for the government.</w:t>
      </w:r>
    </w:p>
    <w:p w14:paraId="7605663A" w14:textId="77777777" w:rsidR="00E956C2" w:rsidRDefault="00E956C2" w:rsidP="00E956C2">
      <w:pPr>
        <w:pStyle w:val="ListParagraph"/>
        <w:numPr>
          <w:ilvl w:val="0"/>
          <w:numId w:val="14"/>
        </w:numPr>
        <w:spacing w:line="360" w:lineRule="auto"/>
        <w:jc w:val="both"/>
        <w:rPr>
          <w:rFonts w:ascii="Times New Roman" w:hAnsi="Times New Roman" w:cs="Times New Roman"/>
          <w:color w:val="000000" w:themeColor="text1"/>
          <w:sz w:val="24"/>
          <w:szCs w:val="24"/>
        </w:rPr>
      </w:pPr>
      <w:r w:rsidRPr="00D7327F">
        <w:rPr>
          <w:rFonts w:ascii="Times New Roman" w:hAnsi="Times New Roman" w:cs="Times New Roman"/>
          <w:b/>
          <w:bCs/>
          <w:sz w:val="24"/>
          <w:szCs w:val="24"/>
        </w:rPr>
        <w:t>Threat of New Entrants:</w:t>
      </w:r>
      <w:r w:rsidRPr="00D7327F">
        <w:rPr>
          <w:rFonts w:ascii="Times New Roman" w:hAnsi="Times New Roman" w:cs="Times New Roman"/>
          <w:color w:val="000000" w:themeColor="text1"/>
          <w:sz w:val="24"/>
          <w:szCs w:val="24"/>
        </w:rPr>
        <w:t xml:space="preserve"> The threat of new entrants is low in the banking sector. It is because </w:t>
      </w:r>
      <w:r>
        <w:rPr>
          <w:rFonts w:ascii="Times New Roman" w:hAnsi="Times New Roman" w:cs="Times New Roman"/>
          <w:color w:val="000000" w:themeColor="text1"/>
          <w:sz w:val="24"/>
          <w:szCs w:val="24"/>
        </w:rPr>
        <w:t>t</w:t>
      </w:r>
      <w:r w:rsidRPr="00D7327F">
        <w:rPr>
          <w:rFonts w:ascii="Times New Roman" w:hAnsi="Times New Roman" w:cs="Times New Roman"/>
          <w:color w:val="000000" w:themeColor="text1"/>
          <w:sz w:val="24"/>
          <w:szCs w:val="24"/>
        </w:rPr>
        <w:t>he banking sector is capital-intensive and demands expertise and size.</w:t>
      </w:r>
    </w:p>
    <w:p w14:paraId="482FAB0B" w14:textId="77777777" w:rsidR="00E956C2" w:rsidRDefault="00E956C2" w:rsidP="00E956C2">
      <w:pPr>
        <w:spacing w:line="360" w:lineRule="auto"/>
        <w:rPr>
          <w:rFonts w:ascii="Times New Roman" w:hAnsi="Times New Roman" w:cs="Times New Roman"/>
          <w:color w:val="000000" w:themeColor="text1"/>
          <w:sz w:val="24"/>
          <w:szCs w:val="24"/>
        </w:rPr>
      </w:pPr>
    </w:p>
    <w:p w14:paraId="67C19518"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08819A3B"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6F067B1C"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66ADCB6B"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3461B797"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23CCEF07"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07FAAADA"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36790F5D"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5D4F3607" w14:textId="77777777" w:rsidR="00E956C2" w:rsidRPr="00435F35" w:rsidRDefault="00E956C2" w:rsidP="00E956C2">
      <w:pPr>
        <w:spacing w:line="360" w:lineRule="auto"/>
        <w:jc w:val="center"/>
        <w:rPr>
          <w:rFonts w:ascii="Times New Roman" w:hAnsi="Times New Roman" w:cs="Times New Roman"/>
          <w:b/>
          <w:bCs/>
          <w:color w:val="4472C4" w:themeColor="accent1"/>
          <w:sz w:val="28"/>
          <w:szCs w:val="28"/>
          <w:u w:val="single"/>
        </w:rPr>
      </w:pPr>
      <w:r w:rsidRPr="00435F35">
        <w:rPr>
          <w:rFonts w:ascii="Times New Roman" w:hAnsi="Times New Roman" w:cs="Times New Roman"/>
          <w:b/>
          <w:bCs/>
          <w:color w:val="4472C4" w:themeColor="accent1"/>
          <w:sz w:val="28"/>
          <w:szCs w:val="28"/>
          <w:u w:val="single"/>
        </w:rPr>
        <w:lastRenderedPageBreak/>
        <w:t>2.</w:t>
      </w:r>
      <w:r>
        <w:rPr>
          <w:rFonts w:ascii="Times New Roman" w:hAnsi="Times New Roman" w:cs="Times New Roman"/>
          <w:b/>
          <w:bCs/>
          <w:color w:val="4472C4" w:themeColor="accent1"/>
          <w:sz w:val="28"/>
          <w:szCs w:val="28"/>
          <w:u w:val="single"/>
        </w:rPr>
        <w:t>6</w:t>
      </w:r>
      <w:r w:rsidRPr="00435F35">
        <w:rPr>
          <w:rFonts w:ascii="Times New Roman" w:hAnsi="Times New Roman" w:cs="Times New Roman"/>
          <w:b/>
          <w:bCs/>
          <w:color w:val="4472C4" w:themeColor="accent1"/>
          <w:sz w:val="28"/>
          <w:szCs w:val="28"/>
          <w:u w:val="single"/>
        </w:rPr>
        <w:t xml:space="preserve"> Subsidiaries of The City Bank Ltd</w:t>
      </w:r>
    </w:p>
    <w:p w14:paraId="42D8A32D" w14:textId="77777777" w:rsidR="00E956C2" w:rsidRDefault="00E956C2" w:rsidP="00E956C2">
      <w:pPr>
        <w:spacing w:line="360" w:lineRule="auto"/>
        <w:jc w:val="center"/>
        <w:rPr>
          <w:rFonts w:ascii="Times New Roman" w:hAnsi="Times New Roman" w:cs="Times New Roman"/>
          <w:b/>
          <w:bCs/>
          <w:color w:val="7030A0"/>
          <w:sz w:val="24"/>
          <w:szCs w:val="24"/>
        </w:rPr>
      </w:pPr>
      <w:r w:rsidRPr="00050605">
        <w:rPr>
          <w:rFonts w:ascii="Times New Roman" w:hAnsi="Times New Roman" w:cs="Times New Roman"/>
          <w:b/>
          <w:bCs/>
          <w:color w:val="7030A0"/>
          <w:sz w:val="24"/>
          <w:szCs w:val="24"/>
          <w:u w:val="single"/>
        </w:rPr>
        <w:t>2.</w:t>
      </w:r>
      <w:r>
        <w:rPr>
          <w:rFonts w:ascii="Times New Roman" w:hAnsi="Times New Roman" w:cs="Times New Roman"/>
          <w:b/>
          <w:bCs/>
          <w:color w:val="7030A0"/>
          <w:sz w:val="24"/>
          <w:szCs w:val="24"/>
          <w:u w:val="single"/>
        </w:rPr>
        <w:t>6</w:t>
      </w:r>
      <w:r w:rsidRPr="00050605">
        <w:rPr>
          <w:rFonts w:ascii="Times New Roman" w:hAnsi="Times New Roman" w:cs="Times New Roman"/>
          <w:b/>
          <w:bCs/>
          <w:color w:val="7030A0"/>
          <w:sz w:val="24"/>
          <w:szCs w:val="24"/>
          <w:u w:val="single"/>
        </w:rPr>
        <w:t>.1 City Brokerage Limited</w:t>
      </w:r>
    </w:p>
    <w:p w14:paraId="0BF8E020" w14:textId="77777777" w:rsidR="00E956C2" w:rsidRPr="00897C67" w:rsidRDefault="00E956C2" w:rsidP="00E956C2">
      <w:pPr>
        <w:spacing w:line="360" w:lineRule="auto"/>
        <w:jc w:val="both"/>
        <w:rPr>
          <w:rFonts w:ascii="Times New Roman" w:hAnsi="Times New Roman" w:cs="Times New Roman"/>
          <w:color w:val="000000" w:themeColor="text1"/>
          <w:sz w:val="24"/>
          <w:szCs w:val="24"/>
        </w:rPr>
      </w:pPr>
      <w:r w:rsidRPr="00BB20EB">
        <w:rPr>
          <w:rFonts w:ascii="Times New Roman" w:hAnsi="Times New Roman" w:cs="Times New Roman"/>
          <w:color w:val="000000" w:themeColor="text1"/>
          <w:sz w:val="24"/>
          <w:szCs w:val="24"/>
        </w:rPr>
        <w:t>The primary objective of City Brokerage Limited (CBL), a fully owned subsidiary of City Bank, is to support customer monetary independence. The company recognized the need for a trustworthy financial intermediary to open up capital markets to the general public. In order to fill this gap and find the complementary synergy of the larger banking platform, CBL was established. As a result, the company now offers customers a trustworthy, dependable, and tech-centric channel through which they can access Bangladesh's capital markets and potentially benefit from wealth creation and thus financial empowerment. By establishing a strong franchise based on service excellence and gaining the trust of its clients, CBL has become one of the top brokerages in the nation, providing both domestic and international clients with a full range of brokerage services of the highest caliber.</w:t>
      </w:r>
      <w:r>
        <w:rPr>
          <w:rFonts w:ascii="Times New Roman" w:hAnsi="Times New Roman" w:cs="Times New Roman"/>
          <w:color w:val="000000" w:themeColor="text1"/>
          <w:sz w:val="24"/>
          <w:szCs w:val="24"/>
        </w:rPr>
        <w:t xml:space="preserve"> </w:t>
      </w:r>
      <w:r w:rsidRPr="00BB20EB">
        <w:rPr>
          <w:rFonts w:ascii="Times New Roman" w:hAnsi="Times New Roman" w:cs="Times New Roman"/>
          <w:color w:val="000000" w:themeColor="text1"/>
          <w:sz w:val="24"/>
          <w:szCs w:val="24"/>
        </w:rPr>
        <w:t>It assists clients in reaching their financial objectives by offering top-notch trading services at a reasonable price as well as continuous study support.</w:t>
      </w:r>
    </w:p>
    <w:p w14:paraId="65BAD8E1" w14:textId="77777777" w:rsidR="00E956C2" w:rsidRPr="00050605" w:rsidRDefault="00E956C2" w:rsidP="00E956C2">
      <w:pPr>
        <w:spacing w:after="0" w:line="360" w:lineRule="auto"/>
        <w:jc w:val="center"/>
        <w:rPr>
          <w:rFonts w:ascii="Times New Roman" w:hAnsi="Times New Roman" w:cs="Times New Roman"/>
          <w:b/>
          <w:bCs/>
          <w:color w:val="7030A0"/>
          <w:sz w:val="24"/>
          <w:szCs w:val="24"/>
          <w:u w:val="single"/>
        </w:rPr>
      </w:pPr>
      <w:r w:rsidRPr="00050605">
        <w:rPr>
          <w:rFonts w:ascii="Times New Roman" w:hAnsi="Times New Roman" w:cs="Times New Roman"/>
          <w:b/>
          <w:bCs/>
          <w:color w:val="7030A0"/>
          <w:sz w:val="24"/>
          <w:szCs w:val="24"/>
          <w:u w:val="single"/>
        </w:rPr>
        <w:t>2.</w:t>
      </w:r>
      <w:r>
        <w:rPr>
          <w:rFonts w:ascii="Times New Roman" w:hAnsi="Times New Roman" w:cs="Times New Roman"/>
          <w:b/>
          <w:bCs/>
          <w:color w:val="7030A0"/>
          <w:sz w:val="24"/>
          <w:szCs w:val="24"/>
          <w:u w:val="single"/>
        </w:rPr>
        <w:t>6</w:t>
      </w:r>
      <w:r w:rsidRPr="00050605">
        <w:rPr>
          <w:rFonts w:ascii="Times New Roman" w:hAnsi="Times New Roman" w:cs="Times New Roman"/>
          <w:b/>
          <w:bCs/>
          <w:color w:val="7030A0"/>
          <w:sz w:val="24"/>
          <w:szCs w:val="24"/>
          <w:u w:val="single"/>
        </w:rPr>
        <w:t>.2 City Bank Capital Resources</w:t>
      </w:r>
      <w:bookmarkStart w:id="0" w:name="_Hlk133325321"/>
    </w:p>
    <w:p w14:paraId="4C1F24DA" w14:textId="77777777" w:rsidR="00E956C2" w:rsidRDefault="00E956C2" w:rsidP="00E956C2">
      <w:pPr>
        <w:spacing w:line="360" w:lineRule="auto"/>
        <w:jc w:val="both"/>
        <w:rPr>
          <w:rFonts w:ascii="Times New Roman" w:hAnsi="Times New Roman" w:cs="Times New Roman"/>
          <w:color w:val="000000" w:themeColor="text1"/>
          <w:sz w:val="24"/>
          <w:szCs w:val="24"/>
        </w:rPr>
      </w:pPr>
      <w:r w:rsidRPr="00C153FC">
        <w:rPr>
          <w:rFonts w:ascii="Times New Roman" w:hAnsi="Times New Roman" w:cs="Times New Roman"/>
          <w:color w:val="000000" w:themeColor="text1"/>
          <w:sz w:val="24"/>
          <w:szCs w:val="24"/>
        </w:rPr>
        <w:t>Under the Corporations Act of 1994, City Bank Capital Resources Limited (CBCRL), a subsidiary of City Bank and a public company limited by shares, was established on August 17, 2009. The company received its merchant banking license from the Bangladesh Securities and Exchange Commission on December 6, 2010. The company was established to add to City Bank's overall product offering by offering specialized merchant banking services to institutional clients looking to raise capital. CBCRL now offers a wide range of investment banking services, including corporate advisory, portfolio management, issue management, and underwriting</w:t>
      </w:r>
      <w:r>
        <w:rPr>
          <w:rFonts w:ascii="Times New Roman" w:hAnsi="Times New Roman" w:cs="Times New Roman"/>
          <w:color w:val="000000" w:themeColor="text1"/>
          <w:sz w:val="24"/>
          <w:szCs w:val="24"/>
        </w:rPr>
        <w:t>.</w:t>
      </w:r>
    </w:p>
    <w:p w14:paraId="61D5955C" w14:textId="77777777" w:rsidR="00E956C2" w:rsidRDefault="00E956C2" w:rsidP="00E956C2">
      <w:pPr>
        <w:spacing w:line="360" w:lineRule="auto"/>
        <w:jc w:val="both"/>
        <w:rPr>
          <w:rFonts w:ascii="Times New Roman" w:hAnsi="Times New Roman" w:cs="Times New Roman"/>
          <w:color w:val="000000" w:themeColor="text1"/>
          <w:sz w:val="24"/>
          <w:szCs w:val="24"/>
        </w:rPr>
      </w:pPr>
      <w:r w:rsidRPr="00C153FC">
        <w:rPr>
          <w:rFonts w:ascii="Times New Roman" w:hAnsi="Times New Roman" w:cs="Times New Roman"/>
          <w:color w:val="000000" w:themeColor="text1"/>
          <w:sz w:val="24"/>
          <w:szCs w:val="24"/>
        </w:rPr>
        <w:t xml:space="preserve">Their 345 million BDT net profit has increased by 46%. Furthermore, it has margin loans totaling BDT 1,377 million with 365 million net expansions. The company's percentage of DSE trading volumes has increased by 349 %. In portfolio management services, there is no negative equity of the assets of the clients. It offers a variety of bonds including Perpetual Tier-I Bonds, Zero-Coupon Bonds, </w:t>
      </w:r>
      <w:r>
        <w:rPr>
          <w:rFonts w:ascii="Times New Roman" w:hAnsi="Times New Roman" w:cs="Times New Roman"/>
          <w:color w:val="000000" w:themeColor="text1"/>
          <w:sz w:val="24"/>
          <w:szCs w:val="24"/>
        </w:rPr>
        <w:t xml:space="preserve">Green </w:t>
      </w:r>
      <w:proofErr w:type="spellStart"/>
      <w:r>
        <w:rPr>
          <w:rFonts w:ascii="Times New Roman" w:hAnsi="Times New Roman" w:cs="Times New Roman"/>
          <w:color w:val="000000" w:themeColor="text1"/>
          <w:sz w:val="24"/>
          <w:szCs w:val="24"/>
        </w:rPr>
        <w:t>Shukuk</w:t>
      </w:r>
      <w:proofErr w:type="spellEnd"/>
      <w:r>
        <w:rPr>
          <w:rFonts w:ascii="Times New Roman" w:hAnsi="Times New Roman" w:cs="Times New Roman"/>
          <w:color w:val="000000" w:themeColor="text1"/>
          <w:sz w:val="24"/>
          <w:szCs w:val="24"/>
        </w:rPr>
        <w:t xml:space="preserve"> Bonds etc.</w:t>
      </w:r>
    </w:p>
    <w:p w14:paraId="59CFE647" w14:textId="77777777" w:rsidR="00E956C2" w:rsidRDefault="00E956C2" w:rsidP="00E956C2">
      <w:pPr>
        <w:spacing w:after="0" w:line="360" w:lineRule="auto"/>
        <w:jc w:val="center"/>
        <w:rPr>
          <w:rFonts w:ascii="Times New Roman" w:hAnsi="Times New Roman" w:cs="Times New Roman"/>
          <w:b/>
          <w:bCs/>
          <w:color w:val="7030A0"/>
          <w:sz w:val="24"/>
          <w:szCs w:val="24"/>
          <w:u w:val="single"/>
        </w:rPr>
      </w:pPr>
    </w:p>
    <w:p w14:paraId="17C2154D" w14:textId="77777777" w:rsidR="00E956C2" w:rsidRDefault="00E956C2" w:rsidP="00E956C2">
      <w:pPr>
        <w:spacing w:after="0" w:line="360" w:lineRule="auto"/>
        <w:jc w:val="center"/>
        <w:rPr>
          <w:rFonts w:ascii="Times New Roman" w:hAnsi="Times New Roman" w:cs="Times New Roman"/>
          <w:b/>
          <w:bCs/>
          <w:color w:val="7030A0"/>
          <w:sz w:val="24"/>
          <w:szCs w:val="24"/>
          <w:u w:val="single"/>
        </w:rPr>
      </w:pPr>
    </w:p>
    <w:p w14:paraId="0BB7E6D8" w14:textId="77777777" w:rsidR="00E956C2" w:rsidRDefault="00E956C2" w:rsidP="00E956C2">
      <w:pPr>
        <w:spacing w:after="0" w:line="360" w:lineRule="auto"/>
        <w:jc w:val="center"/>
        <w:rPr>
          <w:rFonts w:ascii="Times New Roman" w:hAnsi="Times New Roman" w:cs="Times New Roman"/>
          <w:b/>
          <w:bCs/>
          <w:color w:val="7030A0"/>
          <w:sz w:val="24"/>
          <w:szCs w:val="24"/>
          <w:u w:val="single"/>
        </w:rPr>
      </w:pPr>
    </w:p>
    <w:p w14:paraId="291FA4F7" w14:textId="77777777" w:rsidR="00E956C2" w:rsidRPr="00050605" w:rsidRDefault="00E956C2" w:rsidP="00E956C2">
      <w:pPr>
        <w:spacing w:after="0" w:line="360" w:lineRule="auto"/>
        <w:jc w:val="center"/>
        <w:rPr>
          <w:rFonts w:ascii="Times New Roman" w:hAnsi="Times New Roman" w:cs="Times New Roman"/>
          <w:b/>
          <w:bCs/>
          <w:color w:val="7030A0"/>
          <w:sz w:val="24"/>
          <w:szCs w:val="24"/>
          <w:u w:val="single"/>
        </w:rPr>
      </w:pPr>
      <w:r w:rsidRPr="00050605">
        <w:rPr>
          <w:rFonts w:ascii="Times New Roman" w:hAnsi="Times New Roman" w:cs="Times New Roman"/>
          <w:b/>
          <w:bCs/>
          <w:color w:val="7030A0"/>
          <w:sz w:val="24"/>
          <w:szCs w:val="24"/>
          <w:u w:val="single"/>
        </w:rPr>
        <w:lastRenderedPageBreak/>
        <w:t>2.</w:t>
      </w:r>
      <w:r>
        <w:rPr>
          <w:rFonts w:ascii="Times New Roman" w:hAnsi="Times New Roman" w:cs="Times New Roman"/>
          <w:b/>
          <w:bCs/>
          <w:color w:val="7030A0"/>
          <w:sz w:val="24"/>
          <w:szCs w:val="24"/>
          <w:u w:val="single"/>
        </w:rPr>
        <w:t>6</w:t>
      </w:r>
      <w:r w:rsidRPr="00050605">
        <w:rPr>
          <w:rFonts w:ascii="Times New Roman" w:hAnsi="Times New Roman" w:cs="Times New Roman"/>
          <w:b/>
          <w:bCs/>
          <w:color w:val="7030A0"/>
          <w:sz w:val="24"/>
          <w:szCs w:val="24"/>
          <w:u w:val="single"/>
        </w:rPr>
        <w:t>.3 CBL Money Transfer SDN. BHD</w:t>
      </w:r>
    </w:p>
    <w:p w14:paraId="3E086FEC" w14:textId="77777777" w:rsidR="00E956C2" w:rsidRPr="00250F21" w:rsidRDefault="00E956C2" w:rsidP="00E956C2">
      <w:pPr>
        <w:spacing w:line="360" w:lineRule="auto"/>
        <w:jc w:val="both"/>
        <w:rPr>
          <w:rFonts w:ascii="Times New Roman" w:hAnsi="Times New Roman" w:cs="Times New Roman"/>
          <w:color w:val="000000" w:themeColor="text1"/>
          <w:sz w:val="24"/>
          <w:szCs w:val="24"/>
        </w:rPr>
      </w:pPr>
      <w:r w:rsidRPr="00250F21">
        <w:rPr>
          <w:rFonts w:ascii="Times New Roman" w:hAnsi="Times New Roman" w:cs="Times New Roman"/>
          <w:color w:val="000000" w:themeColor="text1"/>
          <w:sz w:val="24"/>
          <w:szCs w:val="24"/>
        </w:rPr>
        <w:t xml:space="preserve">A business that sends money is called CBL Money Transfer </w:t>
      </w:r>
      <w:proofErr w:type="spellStart"/>
      <w:r w:rsidRPr="00250F21">
        <w:rPr>
          <w:rFonts w:ascii="Times New Roman" w:hAnsi="Times New Roman" w:cs="Times New Roman"/>
          <w:color w:val="000000" w:themeColor="text1"/>
          <w:sz w:val="24"/>
          <w:szCs w:val="24"/>
        </w:rPr>
        <w:t>Sdn</w:t>
      </w:r>
      <w:proofErr w:type="spellEnd"/>
      <w:r w:rsidRPr="00250F21">
        <w:rPr>
          <w:rFonts w:ascii="Times New Roman" w:hAnsi="Times New Roman" w:cs="Times New Roman"/>
          <w:color w:val="000000" w:themeColor="text1"/>
          <w:sz w:val="24"/>
          <w:szCs w:val="24"/>
        </w:rPr>
        <w:t>. Bhd. (CBLMT). It is a privately held corporation limited by stock that was established in accordance with Malaysian law and registered with the Malaysian Companies Commission with the intention of offering money services in accordance with the 2011 Money Service Business Act that was released by Malaysia's central bank, Bank Negara.</w:t>
      </w:r>
    </w:p>
    <w:p w14:paraId="64BA828E" w14:textId="77777777" w:rsidR="00E956C2" w:rsidRPr="00250F21" w:rsidRDefault="00E956C2" w:rsidP="00E956C2">
      <w:pPr>
        <w:spacing w:line="360" w:lineRule="auto"/>
        <w:jc w:val="both"/>
        <w:rPr>
          <w:rFonts w:ascii="Times New Roman" w:hAnsi="Times New Roman" w:cs="Times New Roman"/>
          <w:color w:val="000000" w:themeColor="text1"/>
          <w:sz w:val="24"/>
          <w:szCs w:val="24"/>
        </w:rPr>
      </w:pPr>
      <w:r w:rsidRPr="00250F21">
        <w:rPr>
          <w:rFonts w:ascii="Times New Roman" w:hAnsi="Times New Roman" w:cs="Times New Roman"/>
          <w:color w:val="000000" w:themeColor="text1"/>
          <w:sz w:val="24"/>
          <w:szCs w:val="24"/>
        </w:rPr>
        <w:t>On the fourth of April 2013, City Bank made a deal to buy 75% of the common shares of CBLMT with the intention of ultimately purchasing 100% of the company. As a result, after starting out as a subsidiary of City Bank on September 10, 2013, City Bank acquired all of CBLMT's shares on June 8, 2016, turning it into a subsidiary with full ownership.</w:t>
      </w:r>
    </w:p>
    <w:p w14:paraId="622F68E9" w14:textId="77777777" w:rsidR="00E956C2" w:rsidRPr="00050605" w:rsidRDefault="00E956C2" w:rsidP="00E956C2">
      <w:pPr>
        <w:spacing w:after="0" w:line="360" w:lineRule="auto"/>
        <w:jc w:val="center"/>
        <w:rPr>
          <w:rFonts w:ascii="Times New Roman" w:hAnsi="Times New Roman" w:cs="Times New Roman"/>
          <w:b/>
          <w:bCs/>
          <w:color w:val="7030A0"/>
          <w:sz w:val="24"/>
          <w:szCs w:val="24"/>
          <w:u w:val="single"/>
        </w:rPr>
      </w:pPr>
      <w:r w:rsidRPr="00050605">
        <w:rPr>
          <w:rFonts w:ascii="Times New Roman" w:hAnsi="Times New Roman" w:cs="Times New Roman"/>
          <w:b/>
          <w:bCs/>
          <w:color w:val="7030A0"/>
          <w:sz w:val="24"/>
          <w:szCs w:val="24"/>
          <w:u w:val="single"/>
        </w:rPr>
        <w:t>2.</w:t>
      </w:r>
      <w:r>
        <w:rPr>
          <w:rFonts w:ascii="Times New Roman" w:hAnsi="Times New Roman" w:cs="Times New Roman"/>
          <w:b/>
          <w:bCs/>
          <w:color w:val="7030A0"/>
          <w:sz w:val="24"/>
          <w:szCs w:val="24"/>
          <w:u w:val="single"/>
        </w:rPr>
        <w:t>6</w:t>
      </w:r>
      <w:r w:rsidRPr="00050605">
        <w:rPr>
          <w:rFonts w:ascii="Times New Roman" w:hAnsi="Times New Roman" w:cs="Times New Roman"/>
          <w:b/>
          <w:bCs/>
          <w:color w:val="7030A0"/>
          <w:sz w:val="24"/>
          <w:szCs w:val="24"/>
          <w:u w:val="single"/>
        </w:rPr>
        <w:t>.4 City Hong Kong Limited</w:t>
      </w:r>
    </w:p>
    <w:p w14:paraId="4FD89EFD" w14:textId="77777777" w:rsidR="00E956C2" w:rsidRDefault="00E956C2" w:rsidP="00E956C2">
      <w:pPr>
        <w:spacing w:line="360" w:lineRule="auto"/>
        <w:jc w:val="both"/>
        <w:rPr>
          <w:rFonts w:ascii="Times New Roman" w:hAnsi="Times New Roman" w:cs="Times New Roman"/>
          <w:color w:val="000000" w:themeColor="text1"/>
          <w:sz w:val="24"/>
          <w:szCs w:val="24"/>
        </w:rPr>
      </w:pPr>
      <w:r w:rsidRPr="00C370AB">
        <w:rPr>
          <w:rFonts w:ascii="Times New Roman" w:hAnsi="Times New Roman" w:cs="Times New Roman"/>
          <w:color w:val="000000" w:themeColor="text1"/>
          <w:sz w:val="24"/>
          <w:szCs w:val="24"/>
        </w:rPr>
        <w:t xml:space="preserve">City Bank developed a presence in Hong Kong in 2019 with the launch of City Hong Kong Limited, its first offshore banking Trade Unit. With little investment when it first began operating, the company gradually increased its capital through buying out of new businesses and, in a significant achievement, recorded its first-ever net profit in the fiscal year 2021. </w:t>
      </w:r>
    </w:p>
    <w:p w14:paraId="445842C6" w14:textId="77777777" w:rsidR="00E956C2" w:rsidRPr="00C370AB" w:rsidRDefault="00E956C2" w:rsidP="00E956C2">
      <w:pPr>
        <w:spacing w:line="360" w:lineRule="auto"/>
        <w:jc w:val="both"/>
        <w:rPr>
          <w:rFonts w:ascii="Times New Roman" w:hAnsi="Times New Roman" w:cs="Times New Roman"/>
          <w:color w:val="000000" w:themeColor="text1"/>
          <w:sz w:val="24"/>
          <w:szCs w:val="24"/>
        </w:rPr>
      </w:pPr>
      <w:r w:rsidRPr="00C370AB">
        <w:rPr>
          <w:rFonts w:ascii="Times New Roman" w:hAnsi="Times New Roman" w:cs="Times New Roman"/>
          <w:color w:val="000000" w:themeColor="text1"/>
          <w:sz w:val="24"/>
          <w:szCs w:val="24"/>
        </w:rPr>
        <w:t xml:space="preserve">City Hongkong is now a profitable independent division of City Bank, illustrating the maturity of its product line and corporate strategy. In order to establish City Bank's global presence in one of the major financial centers of the world, Hong Kong, City HK was established. Given that it is a significant importer, Hong Kong is a significant economic partner for Bangladesh. In addition, a few international retail chains with regional headquarters in Hong Kong are important customers of RMG producers in Bangladesh. The volume of trade and commerce between China and Bangladesh is enormous, growing steadily, and has a promising future. City HK sees itself in this context as a bridge between Bangladesh and fresh economic opportunities in Hong Kong and Mainland China. </w:t>
      </w:r>
    </w:p>
    <w:p w14:paraId="0906913B" w14:textId="77777777" w:rsidR="00E956C2" w:rsidRPr="00897C67" w:rsidRDefault="00E956C2" w:rsidP="00E956C2">
      <w:pPr>
        <w:spacing w:line="360" w:lineRule="auto"/>
        <w:jc w:val="both"/>
        <w:rPr>
          <w:rFonts w:ascii="Times New Roman" w:hAnsi="Times New Roman" w:cs="Times New Roman"/>
          <w:color w:val="000000" w:themeColor="text1"/>
          <w:sz w:val="24"/>
          <w:szCs w:val="24"/>
        </w:rPr>
      </w:pPr>
    </w:p>
    <w:p w14:paraId="5BFE3C1B"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4354B013"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22F3A1B2" w14:textId="77777777" w:rsidR="00E956C2" w:rsidRPr="00897C67" w:rsidRDefault="00E956C2" w:rsidP="00E956C2">
      <w:pPr>
        <w:spacing w:line="360" w:lineRule="auto"/>
        <w:jc w:val="both"/>
        <w:rPr>
          <w:rFonts w:ascii="Times New Roman" w:hAnsi="Times New Roman" w:cs="Times New Roman"/>
          <w:color w:val="000000" w:themeColor="text1"/>
          <w:sz w:val="24"/>
          <w:szCs w:val="24"/>
        </w:rPr>
      </w:pPr>
    </w:p>
    <w:p w14:paraId="778EE681" w14:textId="77777777" w:rsidR="00E956C2" w:rsidRPr="00897C67" w:rsidRDefault="00E956C2" w:rsidP="00E956C2">
      <w:pPr>
        <w:spacing w:line="360" w:lineRule="auto"/>
        <w:jc w:val="both"/>
        <w:rPr>
          <w:rFonts w:ascii="Times New Roman" w:hAnsi="Times New Roman" w:cs="Times New Roman"/>
          <w:color w:val="000000" w:themeColor="text1"/>
          <w:sz w:val="24"/>
          <w:szCs w:val="24"/>
        </w:rPr>
      </w:pPr>
    </w:p>
    <w:bookmarkEnd w:id="0"/>
    <w:p w14:paraId="402DCF96" w14:textId="77777777" w:rsidR="00E956C2" w:rsidRPr="00897C67" w:rsidRDefault="00E956C2" w:rsidP="00E956C2">
      <w:pPr>
        <w:spacing w:line="360" w:lineRule="auto"/>
        <w:jc w:val="both"/>
        <w:rPr>
          <w:rFonts w:ascii="Times New Roman" w:hAnsi="Times New Roman" w:cs="Times New Roman"/>
          <w:color w:val="000000" w:themeColor="text1"/>
          <w:sz w:val="24"/>
          <w:szCs w:val="24"/>
        </w:rPr>
      </w:pPr>
    </w:p>
    <w:p w14:paraId="3881768C" w14:textId="77777777" w:rsidR="00E956C2" w:rsidRPr="00435F35" w:rsidRDefault="00E956C2" w:rsidP="00E956C2">
      <w:pPr>
        <w:spacing w:after="0" w:line="276" w:lineRule="auto"/>
        <w:jc w:val="both"/>
        <w:rPr>
          <w:rFonts w:ascii="Times New Roman" w:hAnsi="Times New Roman" w:cs="Times New Roman"/>
          <w:b/>
          <w:bCs/>
          <w:color w:val="000000" w:themeColor="text1"/>
          <w:sz w:val="24"/>
          <w:szCs w:val="24"/>
        </w:rPr>
      </w:pPr>
    </w:p>
    <w:p w14:paraId="59ADB685" w14:textId="77777777" w:rsidR="00E956C2" w:rsidRPr="001A263A" w:rsidRDefault="00E956C2" w:rsidP="00E956C2">
      <w:pPr>
        <w:spacing w:after="0" w:line="360" w:lineRule="auto"/>
        <w:jc w:val="both"/>
        <w:rPr>
          <w:rFonts w:ascii="Times New Roman" w:hAnsi="Times New Roman" w:cs="Times New Roman"/>
          <w:color w:val="000000" w:themeColor="text1"/>
          <w:sz w:val="24"/>
          <w:szCs w:val="24"/>
        </w:rPr>
      </w:pPr>
    </w:p>
    <w:p w14:paraId="783FE81A" w14:textId="77777777" w:rsidR="00E956C2" w:rsidRPr="00031C89" w:rsidRDefault="00E956C2" w:rsidP="00E956C2">
      <w:pPr>
        <w:spacing w:line="360" w:lineRule="auto"/>
        <w:jc w:val="both"/>
        <w:rPr>
          <w:rFonts w:ascii="Times New Roman" w:hAnsi="Times New Roman" w:cs="Times New Roman"/>
          <w:color w:val="000000" w:themeColor="text1"/>
          <w:sz w:val="24"/>
          <w:szCs w:val="24"/>
        </w:rPr>
      </w:pPr>
    </w:p>
    <w:p w14:paraId="46B81AD7" w14:textId="77777777" w:rsidR="00E956C2" w:rsidRPr="00B71958" w:rsidRDefault="00E956C2" w:rsidP="00E956C2">
      <w:pPr>
        <w:spacing w:line="240" w:lineRule="auto"/>
        <w:jc w:val="center"/>
        <w:rPr>
          <w:rFonts w:ascii="Times New Roman" w:hAnsi="Times New Roman" w:cs="Times New Roman"/>
          <w:b/>
          <w:bCs/>
          <w:color w:val="4472C4" w:themeColor="accent1"/>
          <w:sz w:val="120"/>
          <w:szCs w:val="120"/>
        </w:rPr>
      </w:pPr>
      <w:r w:rsidRPr="00B71958">
        <w:rPr>
          <w:rFonts w:ascii="Times New Roman" w:hAnsi="Times New Roman" w:cs="Times New Roman"/>
          <w:b/>
          <w:bCs/>
          <w:color w:val="4472C4" w:themeColor="accent1"/>
          <w:sz w:val="120"/>
          <w:szCs w:val="120"/>
        </w:rPr>
        <w:t>3.0</w:t>
      </w:r>
    </w:p>
    <w:p w14:paraId="1FEA8B71" w14:textId="77777777" w:rsidR="00E956C2" w:rsidRDefault="00E956C2" w:rsidP="00E956C2">
      <w:pPr>
        <w:spacing w:line="240" w:lineRule="auto"/>
        <w:jc w:val="center"/>
        <w:rPr>
          <w:rFonts w:ascii="Times New Roman" w:hAnsi="Times New Roman" w:cs="Times New Roman"/>
          <w:b/>
          <w:bCs/>
          <w:color w:val="4472C4" w:themeColor="accent1"/>
          <w:sz w:val="120"/>
          <w:szCs w:val="120"/>
        </w:rPr>
      </w:pPr>
      <w:r w:rsidRPr="00B71958">
        <w:rPr>
          <w:rFonts w:ascii="Times New Roman" w:hAnsi="Times New Roman" w:cs="Times New Roman"/>
          <w:b/>
          <w:bCs/>
          <w:color w:val="4472C4" w:themeColor="accent1"/>
          <w:sz w:val="120"/>
          <w:szCs w:val="120"/>
        </w:rPr>
        <w:t>Internship Experience</w:t>
      </w:r>
    </w:p>
    <w:p w14:paraId="03F41FA8" w14:textId="77777777" w:rsidR="00E956C2" w:rsidRDefault="00E956C2" w:rsidP="00E956C2">
      <w:pPr>
        <w:spacing w:line="240" w:lineRule="auto"/>
        <w:jc w:val="center"/>
        <w:rPr>
          <w:rFonts w:ascii="Times New Roman" w:hAnsi="Times New Roman" w:cs="Times New Roman"/>
          <w:b/>
          <w:bCs/>
          <w:color w:val="4472C4" w:themeColor="accent1"/>
          <w:sz w:val="120"/>
          <w:szCs w:val="120"/>
        </w:rPr>
      </w:pPr>
    </w:p>
    <w:p w14:paraId="476F2CF3" w14:textId="77777777" w:rsidR="00E956C2" w:rsidRDefault="00E956C2" w:rsidP="00E956C2">
      <w:pPr>
        <w:spacing w:line="240" w:lineRule="auto"/>
        <w:jc w:val="center"/>
        <w:rPr>
          <w:rFonts w:ascii="Times New Roman" w:hAnsi="Times New Roman" w:cs="Times New Roman"/>
          <w:b/>
          <w:bCs/>
          <w:color w:val="4472C4" w:themeColor="accent1"/>
          <w:sz w:val="120"/>
          <w:szCs w:val="120"/>
        </w:rPr>
      </w:pPr>
    </w:p>
    <w:p w14:paraId="0F1C339B" w14:textId="77777777" w:rsidR="00E956C2" w:rsidRDefault="00E956C2" w:rsidP="00E956C2">
      <w:pPr>
        <w:spacing w:line="240" w:lineRule="auto"/>
        <w:jc w:val="center"/>
        <w:rPr>
          <w:rFonts w:ascii="Times New Roman" w:hAnsi="Times New Roman" w:cs="Times New Roman"/>
          <w:b/>
          <w:bCs/>
          <w:color w:val="4472C4" w:themeColor="accent1"/>
          <w:sz w:val="120"/>
          <w:szCs w:val="120"/>
        </w:rPr>
      </w:pPr>
    </w:p>
    <w:p w14:paraId="47F4862B" w14:textId="77777777" w:rsidR="00E956C2" w:rsidRDefault="00E956C2" w:rsidP="00E956C2">
      <w:pPr>
        <w:spacing w:line="240" w:lineRule="auto"/>
        <w:jc w:val="center"/>
        <w:rPr>
          <w:rFonts w:ascii="Times New Roman" w:hAnsi="Times New Roman" w:cs="Times New Roman"/>
          <w:b/>
          <w:bCs/>
          <w:color w:val="4472C4" w:themeColor="accent1"/>
          <w:sz w:val="28"/>
          <w:szCs w:val="28"/>
          <w:u w:val="single"/>
        </w:rPr>
      </w:pPr>
    </w:p>
    <w:p w14:paraId="0ACBF6B1" w14:textId="77777777" w:rsidR="00E956C2" w:rsidRDefault="00E956C2" w:rsidP="00E956C2">
      <w:pPr>
        <w:spacing w:line="240" w:lineRule="auto"/>
        <w:jc w:val="center"/>
        <w:rPr>
          <w:rFonts w:ascii="Times New Roman" w:hAnsi="Times New Roman" w:cs="Times New Roman"/>
          <w:b/>
          <w:bCs/>
          <w:color w:val="4472C4" w:themeColor="accent1"/>
          <w:sz w:val="28"/>
          <w:szCs w:val="28"/>
          <w:u w:val="single"/>
        </w:rPr>
      </w:pPr>
    </w:p>
    <w:p w14:paraId="4DC39A53" w14:textId="77777777" w:rsidR="00E956C2" w:rsidRDefault="00E956C2" w:rsidP="00E956C2">
      <w:pPr>
        <w:spacing w:line="240" w:lineRule="auto"/>
        <w:jc w:val="center"/>
        <w:rPr>
          <w:rFonts w:ascii="Times New Roman" w:hAnsi="Times New Roman" w:cs="Times New Roman"/>
          <w:b/>
          <w:bCs/>
          <w:color w:val="4472C4" w:themeColor="accent1"/>
          <w:sz w:val="28"/>
          <w:szCs w:val="28"/>
          <w:u w:val="single"/>
        </w:rPr>
      </w:pPr>
    </w:p>
    <w:p w14:paraId="64043A91" w14:textId="77777777" w:rsidR="00E956C2" w:rsidRDefault="00E956C2" w:rsidP="00E956C2">
      <w:pPr>
        <w:spacing w:line="240" w:lineRule="auto"/>
        <w:jc w:val="center"/>
        <w:rPr>
          <w:rFonts w:ascii="Times New Roman" w:hAnsi="Times New Roman" w:cs="Times New Roman"/>
          <w:b/>
          <w:bCs/>
          <w:color w:val="4472C4" w:themeColor="accent1"/>
          <w:sz w:val="28"/>
          <w:szCs w:val="28"/>
          <w:u w:val="single"/>
        </w:rPr>
      </w:pPr>
      <w:r w:rsidRPr="00E373FD">
        <w:rPr>
          <w:rFonts w:ascii="Times New Roman" w:hAnsi="Times New Roman" w:cs="Times New Roman"/>
          <w:b/>
          <w:bCs/>
          <w:color w:val="4472C4" w:themeColor="accent1"/>
          <w:sz w:val="28"/>
          <w:szCs w:val="28"/>
          <w:u w:val="single"/>
        </w:rPr>
        <w:lastRenderedPageBreak/>
        <w:t>3.1 Work Description</w:t>
      </w:r>
    </w:p>
    <w:p w14:paraId="1147B368" w14:textId="77777777" w:rsidR="00E956C2" w:rsidRDefault="00E956C2" w:rsidP="00E956C2">
      <w:pPr>
        <w:spacing w:line="360" w:lineRule="auto"/>
        <w:jc w:val="both"/>
        <w:rPr>
          <w:rFonts w:ascii="Times New Roman" w:hAnsi="Times New Roman" w:cs="Times New Roman"/>
          <w:color w:val="000000" w:themeColor="text1"/>
          <w:sz w:val="24"/>
          <w:szCs w:val="24"/>
        </w:rPr>
      </w:pPr>
      <w:r w:rsidRPr="00845991">
        <w:rPr>
          <w:rFonts w:ascii="Times New Roman" w:hAnsi="Times New Roman" w:cs="Times New Roman"/>
          <w:color w:val="7030A0"/>
          <w:sz w:val="24"/>
          <w:szCs w:val="24"/>
          <w:u w:val="single"/>
        </w:rPr>
        <w:t>3.1.1 Position:</w:t>
      </w:r>
      <w:r w:rsidRPr="00845991">
        <w:rPr>
          <w:rFonts w:ascii="Times New Roman" w:hAnsi="Times New Roman" w:cs="Times New Roman"/>
          <w:color w:val="7030A0"/>
          <w:sz w:val="24"/>
          <w:szCs w:val="24"/>
        </w:rPr>
        <w:t xml:space="preserve"> </w:t>
      </w:r>
      <w:r w:rsidRPr="00845991">
        <w:rPr>
          <w:rFonts w:ascii="Times New Roman" w:hAnsi="Times New Roman" w:cs="Times New Roman"/>
          <w:color w:val="000000" w:themeColor="text1"/>
          <w:sz w:val="24"/>
          <w:szCs w:val="24"/>
        </w:rPr>
        <w:t>On January 16, 2023, I began working for City Bank as an intern in the Business Finance department, where Nahid Kawsar Rahman Shuvo serves as the department head. My orientation took place on January 4 2023 where the bank organized an orientation session for all the 48 interns. My office was located 136, Gulshan Avenue, which is the Head Office of The City Bank Ltd.</w:t>
      </w:r>
    </w:p>
    <w:p w14:paraId="06BA5162" w14:textId="77777777" w:rsidR="00E956C2" w:rsidRDefault="00E956C2" w:rsidP="00E956C2">
      <w:pPr>
        <w:spacing w:line="360" w:lineRule="auto"/>
        <w:jc w:val="both"/>
        <w:rPr>
          <w:rFonts w:ascii="Times New Roman" w:hAnsi="Times New Roman" w:cs="Times New Roman"/>
          <w:color w:val="000000" w:themeColor="text1"/>
          <w:sz w:val="24"/>
          <w:szCs w:val="24"/>
        </w:rPr>
      </w:pPr>
      <w:r w:rsidRPr="000A52EE">
        <w:rPr>
          <w:rFonts w:ascii="Times New Roman" w:hAnsi="Times New Roman" w:cs="Times New Roman"/>
          <w:color w:val="7030A0"/>
          <w:sz w:val="24"/>
          <w:szCs w:val="24"/>
          <w:u w:val="single"/>
        </w:rPr>
        <w:t>3.1.2 Duties and Responsibilities</w:t>
      </w:r>
      <w:r w:rsidRPr="000A52EE">
        <w:rPr>
          <w:rFonts w:ascii="Times New Roman" w:hAnsi="Times New Roman" w:cs="Times New Roman"/>
          <w:color w:val="000000" w:themeColor="text1"/>
          <w:sz w:val="24"/>
          <w:szCs w:val="24"/>
          <w:u w:val="single"/>
        </w:rPr>
        <w:t xml:space="preserve">: </w:t>
      </w:r>
      <w:r w:rsidRPr="000A52EE">
        <w:rPr>
          <w:rFonts w:ascii="Times New Roman" w:hAnsi="Times New Roman" w:cs="Times New Roman"/>
          <w:color w:val="000000" w:themeColor="text1"/>
          <w:sz w:val="24"/>
          <w:szCs w:val="24"/>
        </w:rPr>
        <w:t>I had been assigned with providing input for all thirty of Bangladesh's major banks' annual reports. The input of all banks' annual reports for 20</w:t>
      </w:r>
      <w:r>
        <w:rPr>
          <w:rFonts w:ascii="Times New Roman" w:hAnsi="Times New Roman" w:cs="Times New Roman"/>
          <w:color w:val="000000" w:themeColor="text1"/>
          <w:sz w:val="24"/>
          <w:szCs w:val="24"/>
        </w:rPr>
        <w:t>19 and 2018</w:t>
      </w:r>
      <w:r w:rsidRPr="000A52EE">
        <w:rPr>
          <w:rFonts w:ascii="Times New Roman" w:hAnsi="Times New Roman" w:cs="Times New Roman"/>
          <w:color w:val="000000" w:themeColor="text1"/>
          <w:sz w:val="24"/>
          <w:szCs w:val="24"/>
        </w:rPr>
        <w:t xml:space="preserve"> is primarily</w:t>
      </w:r>
      <w:r>
        <w:rPr>
          <w:rFonts w:ascii="Times New Roman" w:hAnsi="Times New Roman" w:cs="Times New Roman"/>
          <w:color w:val="000000" w:themeColor="text1"/>
          <w:sz w:val="24"/>
          <w:szCs w:val="24"/>
        </w:rPr>
        <w:t xml:space="preserve"> done by me and it will</w:t>
      </w:r>
      <w:r w:rsidRPr="000A52EE">
        <w:rPr>
          <w:rFonts w:ascii="Times New Roman" w:hAnsi="Times New Roman" w:cs="Times New Roman"/>
          <w:color w:val="000000" w:themeColor="text1"/>
          <w:sz w:val="24"/>
          <w:szCs w:val="24"/>
        </w:rPr>
        <w:t xml:space="preserve"> assist </w:t>
      </w:r>
      <w:r>
        <w:rPr>
          <w:rFonts w:ascii="Times New Roman" w:hAnsi="Times New Roman" w:cs="Times New Roman"/>
          <w:color w:val="000000" w:themeColor="text1"/>
          <w:sz w:val="24"/>
          <w:szCs w:val="24"/>
        </w:rPr>
        <w:t>City Bank</w:t>
      </w:r>
      <w:r w:rsidRPr="000A52EE">
        <w:rPr>
          <w:rFonts w:ascii="Times New Roman" w:hAnsi="Times New Roman" w:cs="Times New Roman"/>
          <w:color w:val="000000" w:themeColor="text1"/>
          <w:sz w:val="24"/>
          <w:szCs w:val="24"/>
        </w:rPr>
        <w:t xml:space="preserve"> in developing their overall strategies for subsequent years while remaining competitive. Basically, this is done to compare the performance of every other bank</w:t>
      </w:r>
      <w:r>
        <w:rPr>
          <w:rFonts w:ascii="Times New Roman" w:hAnsi="Times New Roman" w:cs="Times New Roman"/>
          <w:color w:val="000000" w:themeColor="text1"/>
          <w:sz w:val="24"/>
          <w:szCs w:val="24"/>
        </w:rPr>
        <w:t xml:space="preserve"> to that of the City Bank</w:t>
      </w:r>
      <w:r w:rsidRPr="000A52EE">
        <w:rPr>
          <w:rFonts w:ascii="Times New Roman" w:hAnsi="Times New Roman" w:cs="Times New Roman"/>
          <w:color w:val="000000" w:themeColor="text1"/>
          <w:sz w:val="24"/>
          <w:szCs w:val="24"/>
        </w:rPr>
        <w:t xml:space="preserve"> in specific components. </w:t>
      </w:r>
      <w:r>
        <w:rPr>
          <w:rFonts w:ascii="Times New Roman" w:hAnsi="Times New Roman" w:cs="Times New Roman"/>
          <w:color w:val="000000" w:themeColor="text1"/>
          <w:sz w:val="24"/>
          <w:szCs w:val="24"/>
        </w:rPr>
        <w:t>The study of</w:t>
      </w:r>
      <w:r w:rsidRPr="000A52EE">
        <w:rPr>
          <w:rFonts w:ascii="Times New Roman" w:hAnsi="Times New Roman" w:cs="Times New Roman"/>
          <w:color w:val="000000" w:themeColor="text1"/>
          <w:sz w:val="24"/>
          <w:szCs w:val="24"/>
        </w:rPr>
        <w:t xml:space="preserve"> industry looks into every </w:t>
      </w:r>
      <w:r>
        <w:rPr>
          <w:rFonts w:ascii="Times New Roman" w:hAnsi="Times New Roman" w:cs="Times New Roman"/>
          <w:color w:val="000000" w:themeColor="text1"/>
          <w:sz w:val="24"/>
          <w:szCs w:val="24"/>
        </w:rPr>
        <w:t>angle</w:t>
      </w:r>
      <w:r w:rsidRPr="000A52EE">
        <w:rPr>
          <w:rFonts w:ascii="Times New Roman" w:hAnsi="Times New Roman" w:cs="Times New Roman"/>
          <w:color w:val="000000" w:themeColor="text1"/>
          <w:sz w:val="24"/>
          <w:szCs w:val="24"/>
        </w:rPr>
        <w:t xml:space="preserve"> of the business and how it stacks up against competitors. It's essential to fully understand one's advantages and disadvantages in order to recognize potential opportunities or threats. Companies can outperform rivals when they are aware of their market conditions and any financial variables.</w:t>
      </w:r>
      <w:r w:rsidRPr="00311A6F">
        <w:t xml:space="preserve"> </w:t>
      </w:r>
      <w:r w:rsidRPr="00311A6F">
        <w:rPr>
          <w:rFonts w:ascii="Times New Roman" w:hAnsi="Times New Roman" w:cs="Times New Roman"/>
          <w:color w:val="000000" w:themeColor="text1"/>
          <w:sz w:val="24"/>
          <w:szCs w:val="24"/>
        </w:rPr>
        <w:t>City Bank could develop strategies that are more effective by assessing its position in the market and continually comparing. I had to combine all the data into one sheet because of this. However, I also benefited from having this job because I learned about and studied a lot of components that I had never even heard of. I didn't understand the meaning of many of the components at first, but I gradually picked them up, and many of them will be useful to me in the future as I</w:t>
      </w:r>
      <w:r>
        <w:rPr>
          <w:rFonts w:ascii="Times New Roman" w:hAnsi="Times New Roman" w:cs="Times New Roman"/>
          <w:color w:val="000000" w:themeColor="text1"/>
          <w:sz w:val="24"/>
          <w:szCs w:val="24"/>
        </w:rPr>
        <w:t xml:space="preserve"> have a plan to work in the banking sector</w:t>
      </w:r>
      <w:r w:rsidRPr="00311A6F">
        <w:rPr>
          <w:rFonts w:ascii="Times New Roman" w:hAnsi="Times New Roman" w:cs="Times New Roman"/>
          <w:color w:val="000000" w:themeColor="text1"/>
          <w:sz w:val="24"/>
          <w:szCs w:val="24"/>
        </w:rPr>
        <w:t>.</w:t>
      </w:r>
    </w:p>
    <w:p w14:paraId="34D0E3B6" w14:textId="77777777" w:rsidR="00E956C2" w:rsidRDefault="00E956C2" w:rsidP="00E956C2">
      <w:pPr>
        <w:spacing w:line="360" w:lineRule="auto"/>
        <w:jc w:val="both"/>
        <w:rPr>
          <w:rFonts w:ascii="Times New Roman" w:hAnsi="Times New Roman" w:cs="Times New Roman"/>
          <w:color w:val="000000" w:themeColor="text1"/>
          <w:sz w:val="24"/>
          <w:szCs w:val="24"/>
        </w:rPr>
      </w:pPr>
      <w:r w:rsidRPr="007242AE">
        <w:rPr>
          <w:rFonts w:ascii="Times New Roman" w:hAnsi="Times New Roman" w:cs="Times New Roman"/>
          <w:color w:val="000000" w:themeColor="text1"/>
          <w:sz w:val="24"/>
          <w:szCs w:val="24"/>
        </w:rPr>
        <w:t xml:space="preserve">I was not only limited to the task of data input of the banks, but I was also involved in various types of works which my line manager and supervisor demanded. I learned how to prepare the </w:t>
      </w:r>
      <w:r>
        <w:rPr>
          <w:rFonts w:ascii="Times New Roman" w:hAnsi="Times New Roman" w:cs="Times New Roman"/>
          <w:color w:val="000000" w:themeColor="text1"/>
          <w:sz w:val="24"/>
          <w:szCs w:val="24"/>
        </w:rPr>
        <w:t>business reports, how to do the monthly placement average of the Islamic unit and the offshore banking unit, how to calculate interest of the agent banking offering different interests in different years, how to do the budgeting and forecasting.</w:t>
      </w:r>
    </w:p>
    <w:p w14:paraId="4CBC7F0E"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76630FED"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5167011D"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77A2A5D9"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r w:rsidRPr="007242AE">
        <w:rPr>
          <w:rFonts w:ascii="Times New Roman" w:hAnsi="Times New Roman" w:cs="Times New Roman"/>
          <w:b/>
          <w:bCs/>
          <w:color w:val="4472C4" w:themeColor="accent1"/>
          <w:sz w:val="28"/>
          <w:szCs w:val="28"/>
          <w:u w:val="single"/>
        </w:rPr>
        <w:lastRenderedPageBreak/>
        <w:t>3.2 Tasks Performed During Internship Period</w:t>
      </w:r>
    </w:p>
    <w:p w14:paraId="35C180C0" w14:textId="77777777" w:rsidR="00E956C2" w:rsidRDefault="00E956C2" w:rsidP="00E956C2">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Industry 2019- Gave data input of all the 30 banks of 2019 from the annual report. It took almost 1.5 months to complete this task. It was one of the major tasks during my internship period.</w:t>
      </w:r>
    </w:p>
    <w:p w14:paraId="5B751699" w14:textId="77777777" w:rsidR="00E956C2" w:rsidRDefault="00E956C2" w:rsidP="00E956C2">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Checked the data entry of the 2021 and corrected them.</w:t>
      </w:r>
    </w:p>
    <w:p w14:paraId="35F0C50C" w14:textId="77777777" w:rsidR="00E956C2" w:rsidRDefault="00E956C2" w:rsidP="00E956C2">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Industry 2018- Gave data input of all the 30 banks of 2018 from the annual report. This was an additional task because I had completed the data entry of 2019 earlier than expected.</w:t>
      </w:r>
    </w:p>
    <w:p w14:paraId="70C4328D" w14:textId="77777777" w:rsidR="00E956C2" w:rsidRDefault="00E956C2" w:rsidP="00E956C2">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Breakdown of Capital (2021): This task was given by my supervisor and is one of my major tasks that I had to perform in these 3 months. Firstly, I had to calculate the CRAR of all the banks in an excel sheet. Then my supervisor told me to see what is City Bank’s position among all the banks. City Bank was on the number 11. Then my supervisor wanted to know why City Bank’s CRAR is less than the other 10 banks. For that, I had to calculate all the components of the 10 banks and compared to City Bank. The main problem was in City Bank’s Risk-Weighted Assets (RWA). City Bank’s RWA was higher than the other banks in compared to the Tier 1 and Tier 2 Capital. I had to sit with my supervisor many times for discussion regarding this topic.</w:t>
      </w:r>
    </w:p>
    <w:p w14:paraId="31D43938" w14:textId="77777777" w:rsidR="00E956C2" w:rsidRDefault="00E956C2" w:rsidP="00E956C2">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City Bank Islamic Banking- Placement Average from Trial Balance of February 2023</w:t>
      </w:r>
    </w:p>
    <w:p w14:paraId="35A3E5B2" w14:textId="77777777" w:rsidR="00E956C2" w:rsidRDefault="00E956C2" w:rsidP="00E956C2">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Offshore Banking Unit (OBU)- Average from Trial Balance.</w:t>
      </w:r>
    </w:p>
    <w:p w14:paraId="6BAFBB06" w14:textId="77777777" w:rsidR="00E956C2" w:rsidRDefault="00E956C2" w:rsidP="00E956C2">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Calculated JAW Ratio of City Bank- This task was also assigned additionally by my supervisor. He told me study about the JAW Ratio and report to him. I reported him about the topic and also calculated the JAW Ratios for City Bank for 2021, 2020, 2019, 2018.</w:t>
      </w:r>
    </w:p>
    <w:p w14:paraId="4FA6BB75" w14:textId="77777777" w:rsidR="00E956C2" w:rsidRDefault="00E956C2" w:rsidP="00E956C2">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Agent Banking Interest Earning Calculation</w:t>
      </w:r>
    </w:p>
    <w:p w14:paraId="4A724F18" w14:textId="77777777" w:rsidR="00E956C2" w:rsidRDefault="00E956C2" w:rsidP="00E956C2">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Islamic Banking Unit of all banks- This task was assigned by the Senior Manager of the Business Finance Department. He told me to calculate the components of deposit of all the banks which have Islamic unit. I had to calculate Total Deposits of 2018-2022, Current account 2018-2022, Savings Account 2018-2022, CASA 2018-2022, TD or Fixed deposit 2018-2022 of all the banks with Islamic Units. Then I had to calculate YoY growth of all the components and compared it to the City Bank. I found out that City </w:t>
      </w:r>
      <w:r>
        <w:rPr>
          <w:rFonts w:ascii="Times New Roman" w:hAnsi="Times New Roman" w:cs="Times New Roman"/>
          <w:color w:val="000000" w:themeColor="text1"/>
          <w:sz w:val="24"/>
          <w:szCs w:val="24"/>
        </w:rPr>
        <w:lastRenderedPageBreak/>
        <w:t>Bank had a massive growth in all the areas of deposits in the year 2022. This data is confidential and unaudited and that’s why I could not include this topic in this report.</w:t>
      </w:r>
    </w:p>
    <w:p w14:paraId="1E513286" w14:textId="77777777" w:rsidR="00E956C2" w:rsidRDefault="00E956C2" w:rsidP="00E956C2">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Financial Ratios of City Bank from the year 2012-2021</w:t>
      </w:r>
    </w:p>
    <w:p w14:paraId="2C0BFA40" w14:textId="77777777" w:rsidR="00E956C2" w:rsidRDefault="00E956C2" w:rsidP="00E956C2">
      <w:pPr>
        <w:pStyle w:val="ListParagraph"/>
        <w:numPr>
          <w:ilvl w:val="0"/>
          <w:numId w:val="17"/>
        </w:num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Contribution to the National Exchequer 2013-2022</w:t>
      </w:r>
    </w:p>
    <w:p w14:paraId="628C2C3C" w14:textId="77777777" w:rsidR="00E956C2" w:rsidRDefault="00E956C2" w:rsidP="00E956C2">
      <w:pPr>
        <w:pStyle w:val="ListParagraph"/>
        <w:spacing w:line="360" w:lineRule="auto"/>
        <w:jc w:val="both"/>
        <w:rPr>
          <w:rFonts w:ascii="Times New Roman" w:hAnsi="Times New Roman" w:cs="Times New Roman"/>
          <w:color w:val="000000" w:themeColor="text1"/>
          <w:sz w:val="24"/>
          <w:szCs w:val="24"/>
        </w:rPr>
      </w:pPr>
    </w:p>
    <w:p w14:paraId="3689E279" w14:textId="77777777" w:rsidR="00E956C2" w:rsidRDefault="00E956C2" w:rsidP="00E956C2">
      <w:pPr>
        <w:pStyle w:val="ListParagraph"/>
        <w:spacing w:line="360" w:lineRule="auto"/>
        <w:jc w:val="center"/>
        <w:rPr>
          <w:rFonts w:ascii="Times New Roman" w:hAnsi="Times New Roman" w:cs="Times New Roman"/>
          <w:b/>
          <w:bCs/>
          <w:color w:val="4472C4" w:themeColor="accent1"/>
          <w:sz w:val="28"/>
          <w:szCs w:val="28"/>
          <w:u w:val="single"/>
        </w:rPr>
      </w:pPr>
    </w:p>
    <w:p w14:paraId="62C20C47" w14:textId="77777777" w:rsidR="00E956C2" w:rsidRPr="00CA3F64" w:rsidRDefault="00E956C2" w:rsidP="00E956C2">
      <w:pPr>
        <w:pStyle w:val="ListParagraph"/>
        <w:spacing w:line="360" w:lineRule="auto"/>
        <w:jc w:val="center"/>
        <w:rPr>
          <w:rFonts w:ascii="Times New Roman" w:hAnsi="Times New Roman" w:cs="Times New Roman"/>
          <w:b/>
          <w:bCs/>
          <w:color w:val="4472C4" w:themeColor="accent1"/>
          <w:sz w:val="28"/>
          <w:szCs w:val="28"/>
          <w:u w:val="single"/>
        </w:rPr>
      </w:pPr>
      <w:r w:rsidRPr="00CA3F64">
        <w:rPr>
          <w:rFonts w:ascii="Times New Roman" w:hAnsi="Times New Roman" w:cs="Times New Roman"/>
          <w:b/>
          <w:bCs/>
          <w:color w:val="4472C4" w:themeColor="accent1"/>
          <w:sz w:val="28"/>
          <w:szCs w:val="28"/>
          <w:u w:val="single"/>
        </w:rPr>
        <w:t xml:space="preserve">3.3 Personal Experience at </w:t>
      </w:r>
      <w:r>
        <w:rPr>
          <w:rFonts w:ascii="Times New Roman" w:hAnsi="Times New Roman" w:cs="Times New Roman"/>
          <w:b/>
          <w:bCs/>
          <w:color w:val="4472C4" w:themeColor="accent1"/>
          <w:sz w:val="28"/>
          <w:szCs w:val="28"/>
          <w:u w:val="single"/>
        </w:rPr>
        <w:t xml:space="preserve">The </w:t>
      </w:r>
      <w:r w:rsidRPr="00CA3F64">
        <w:rPr>
          <w:rFonts w:ascii="Times New Roman" w:hAnsi="Times New Roman" w:cs="Times New Roman"/>
          <w:b/>
          <w:bCs/>
          <w:color w:val="4472C4" w:themeColor="accent1"/>
          <w:sz w:val="28"/>
          <w:szCs w:val="28"/>
          <w:u w:val="single"/>
        </w:rPr>
        <w:t>City Bank</w:t>
      </w:r>
      <w:r>
        <w:rPr>
          <w:rFonts w:ascii="Times New Roman" w:hAnsi="Times New Roman" w:cs="Times New Roman"/>
          <w:b/>
          <w:bCs/>
          <w:color w:val="4472C4" w:themeColor="accent1"/>
          <w:sz w:val="28"/>
          <w:szCs w:val="28"/>
          <w:u w:val="single"/>
        </w:rPr>
        <w:t xml:space="preserve"> Limited</w:t>
      </w:r>
    </w:p>
    <w:p w14:paraId="495DF535" w14:textId="77777777" w:rsidR="00E956C2" w:rsidRDefault="00E956C2" w:rsidP="00E956C2">
      <w:pPr>
        <w:spacing w:line="360" w:lineRule="auto"/>
        <w:jc w:val="both"/>
        <w:rPr>
          <w:rFonts w:ascii="Times New Roman" w:hAnsi="Times New Roman" w:cs="Times New Roman"/>
          <w:color w:val="000000" w:themeColor="text1"/>
          <w:sz w:val="24"/>
          <w:szCs w:val="24"/>
        </w:rPr>
      </w:pPr>
      <w:r w:rsidRPr="00A97D3E">
        <w:rPr>
          <w:rFonts w:ascii="Times New Roman" w:hAnsi="Times New Roman" w:cs="Times New Roman"/>
          <w:color w:val="000000" w:themeColor="text1"/>
          <w:sz w:val="24"/>
          <w:szCs w:val="24"/>
        </w:rPr>
        <w:t xml:space="preserve">First of all, working in an office environment with a number of professionals was a true privilege. The internship itself will never fade out in my memory because I acquired so much new information that I can hopefully apply to my next job. I did not feel like an intern because of the friendly and lovely work environment and culture. My three months have been made special by the entire business finance team, who I respect, admire, and simply cherish. I was always included in everything by my supervisor, so I never felt excluded. I discovered a lot of things that weren't covered in our university's curriculum or in my own school's textbooks. </w:t>
      </w:r>
      <w:r w:rsidRPr="00CA3F64">
        <w:rPr>
          <w:rFonts w:ascii="Times New Roman" w:hAnsi="Times New Roman" w:cs="Times New Roman"/>
          <w:color w:val="000000" w:themeColor="text1"/>
          <w:sz w:val="24"/>
          <w:szCs w:val="24"/>
        </w:rPr>
        <w:t>Working here, gave me the real taste of the corporate culture and drove me out of my comfort zone to push myself further. Each task was a challenge for me and from each task there was always something new that I learned. I used to ask lot of questions about different things because I always have the eagerness to learn something new. I used to make mistakes, but my team members always made me understand, never let me down or say anything insulting which would be demotivating me. My supervisor has always encouraged me to go beyond my limits, to think from other ang</w:t>
      </w:r>
      <w:r>
        <w:rPr>
          <w:rFonts w:ascii="Times New Roman" w:hAnsi="Times New Roman" w:cs="Times New Roman"/>
          <w:color w:val="000000" w:themeColor="text1"/>
          <w:sz w:val="24"/>
          <w:szCs w:val="24"/>
        </w:rPr>
        <w:t>le</w:t>
      </w:r>
      <w:r w:rsidRPr="00CA3F64">
        <w:rPr>
          <w:rFonts w:ascii="Times New Roman" w:hAnsi="Times New Roman" w:cs="Times New Roman"/>
          <w:color w:val="000000" w:themeColor="text1"/>
          <w:sz w:val="24"/>
          <w:szCs w:val="24"/>
        </w:rPr>
        <w:t>s also, and mentoring me throughout my internship period.</w:t>
      </w:r>
    </w:p>
    <w:p w14:paraId="3494BDEF"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49473ED5"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4D425662"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04F8C1C0"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562D958D"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2DCF21E8"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7E549965"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0E8DA8E9" w14:textId="77777777" w:rsidR="00E956C2" w:rsidRDefault="00E956C2" w:rsidP="00E956C2">
      <w:pPr>
        <w:spacing w:line="360" w:lineRule="auto"/>
        <w:jc w:val="center"/>
        <w:rPr>
          <w:rFonts w:ascii="Times New Roman" w:hAnsi="Times New Roman" w:cs="Times New Roman"/>
          <w:b/>
          <w:bCs/>
          <w:color w:val="4472C4" w:themeColor="accent1"/>
          <w:sz w:val="120"/>
          <w:szCs w:val="120"/>
        </w:rPr>
      </w:pPr>
    </w:p>
    <w:p w14:paraId="6B95B7CD" w14:textId="77777777" w:rsidR="00E956C2" w:rsidRDefault="00E956C2" w:rsidP="00E956C2">
      <w:pPr>
        <w:spacing w:line="240" w:lineRule="auto"/>
        <w:jc w:val="center"/>
        <w:rPr>
          <w:rFonts w:ascii="Times New Roman" w:hAnsi="Times New Roman" w:cs="Times New Roman"/>
          <w:b/>
          <w:bCs/>
          <w:color w:val="4472C4" w:themeColor="accent1"/>
          <w:sz w:val="110"/>
          <w:szCs w:val="110"/>
        </w:rPr>
      </w:pPr>
    </w:p>
    <w:p w14:paraId="69B92669" w14:textId="77777777" w:rsidR="00E956C2" w:rsidRPr="00120543" w:rsidRDefault="00E956C2" w:rsidP="00E956C2">
      <w:pPr>
        <w:spacing w:line="240" w:lineRule="auto"/>
        <w:jc w:val="center"/>
        <w:rPr>
          <w:rFonts w:ascii="Times New Roman" w:hAnsi="Times New Roman" w:cs="Times New Roman"/>
          <w:b/>
          <w:bCs/>
          <w:color w:val="4472C4" w:themeColor="accent1"/>
          <w:sz w:val="110"/>
          <w:szCs w:val="110"/>
        </w:rPr>
      </w:pPr>
      <w:r w:rsidRPr="00120543">
        <w:rPr>
          <w:rFonts w:ascii="Times New Roman" w:hAnsi="Times New Roman" w:cs="Times New Roman"/>
          <w:b/>
          <w:bCs/>
          <w:color w:val="4472C4" w:themeColor="accent1"/>
          <w:sz w:val="110"/>
          <w:szCs w:val="110"/>
        </w:rPr>
        <w:t>4.0</w:t>
      </w:r>
    </w:p>
    <w:p w14:paraId="7F037C8E" w14:textId="77777777" w:rsidR="00E956C2" w:rsidRPr="00120543" w:rsidRDefault="00E956C2" w:rsidP="00E956C2">
      <w:pPr>
        <w:spacing w:line="240" w:lineRule="auto"/>
        <w:jc w:val="center"/>
        <w:rPr>
          <w:rFonts w:ascii="Times New Roman" w:hAnsi="Times New Roman" w:cs="Times New Roman"/>
          <w:b/>
          <w:bCs/>
          <w:color w:val="4472C4" w:themeColor="accent1"/>
          <w:sz w:val="96"/>
          <w:szCs w:val="96"/>
        </w:rPr>
      </w:pPr>
      <w:r w:rsidRPr="00120543">
        <w:rPr>
          <w:rFonts w:ascii="Times New Roman" w:hAnsi="Times New Roman" w:cs="Times New Roman"/>
          <w:b/>
          <w:bCs/>
          <w:color w:val="4472C4" w:themeColor="accent1"/>
          <w:sz w:val="96"/>
          <w:szCs w:val="96"/>
        </w:rPr>
        <w:t>Five Years Financial</w:t>
      </w:r>
    </w:p>
    <w:p w14:paraId="43CE61CD" w14:textId="77777777" w:rsidR="00E956C2" w:rsidRPr="00120543" w:rsidRDefault="00E956C2" w:rsidP="00E956C2">
      <w:pPr>
        <w:spacing w:line="240" w:lineRule="auto"/>
        <w:jc w:val="center"/>
        <w:rPr>
          <w:rFonts w:ascii="Times New Roman" w:hAnsi="Times New Roman" w:cs="Times New Roman"/>
          <w:b/>
          <w:bCs/>
          <w:color w:val="4472C4" w:themeColor="accent1"/>
          <w:sz w:val="96"/>
          <w:szCs w:val="96"/>
        </w:rPr>
      </w:pPr>
      <w:r w:rsidRPr="00120543">
        <w:rPr>
          <w:rFonts w:ascii="Times New Roman" w:hAnsi="Times New Roman" w:cs="Times New Roman"/>
          <w:b/>
          <w:bCs/>
          <w:color w:val="4472C4" w:themeColor="accent1"/>
          <w:sz w:val="96"/>
          <w:szCs w:val="96"/>
        </w:rPr>
        <w:t>Performance</w:t>
      </w:r>
    </w:p>
    <w:p w14:paraId="5F8AC605" w14:textId="77777777" w:rsidR="00E956C2" w:rsidRPr="00E553F9" w:rsidRDefault="00E956C2" w:rsidP="00E956C2">
      <w:pPr>
        <w:spacing w:line="360" w:lineRule="auto"/>
        <w:jc w:val="center"/>
        <w:rPr>
          <w:rFonts w:ascii="Times New Roman" w:hAnsi="Times New Roman" w:cs="Times New Roman"/>
          <w:b/>
          <w:bCs/>
          <w:color w:val="4472C4" w:themeColor="accent1"/>
          <w:sz w:val="120"/>
          <w:szCs w:val="120"/>
        </w:rPr>
      </w:pPr>
    </w:p>
    <w:p w14:paraId="69DB91C5"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2774183F"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2BD2EF05"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56286D41"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67F439AB"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1F5533E8" w14:textId="77777777" w:rsidR="00E956C2" w:rsidRPr="00432375" w:rsidRDefault="00E956C2" w:rsidP="00E956C2">
      <w:pPr>
        <w:spacing w:line="360" w:lineRule="auto"/>
        <w:jc w:val="center"/>
        <w:rPr>
          <w:rFonts w:ascii="Times New Roman" w:hAnsi="Times New Roman" w:cs="Times New Roman"/>
          <w:b/>
          <w:bCs/>
          <w:color w:val="4472C4" w:themeColor="accent1"/>
          <w:sz w:val="28"/>
          <w:szCs w:val="28"/>
          <w:u w:val="single"/>
        </w:rPr>
      </w:pPr>
      <w:r w:rsidRPr="00432375">
        <w:rPr>
          <w:rFonts w:ascii="Times New Roman" w:hAnsi="Times New Roman" w:cs="Times New Roman"/>
          <w:b/>
          <w:bCs/>
          <w:color w:val="4472C4" w:themeColor="accent1"/>
          <w:sz w:val="28"/>
          <w:szCs w:val="28"/>
          <w:u w:val="single"/>
        </w:rPr>
        <w:lastRenderedPageBreak/>
        <w:t>4.1 Balance Sheet Components</w:t>
      </w:r>
    </w:p>
    <w:p w14:paraId="22B51C81" w14:textId="77777777" w:rsidR="00E956C2" w:rsidRPr="006326CA" w:rsidRDefault="00E956C2" w:rsidP="00E956C2">
      <w:pPr>
        <w:spacing w:line="360" w:lineRule="auto"/>
        <w:jc w:val="center"/>
        <w:rPr>
          <w:rFonts w:ascii="Times New Roman" w:hAnsi="Times New Roman" w:cs="Times New Roman"/>
          <w:color w:val="7030A0"/>
          <w:sz w:val="24"/>
          <w:szCs w:val="24"/>
          <w:u w:val="single"/>
        </w:rPr>
      </w:pPr>
      <w:r w:rsidRPr="006326CA">
        <w:rPr>
          <w:noProof/>
          <w:color w:val="7030A0"/>
        </w:rPr>
        <w:drawing>
          <wp:anchor distT="0" distB="0" distL="114300" distR="114300" simplePos="0" relativeHeight="251663360" behindDoc="0" locked="0" layoutInCell="1" allowOverlap="1" wp14:anchorId="5D7B74E6" wp14:editId="6440802E">
            <wp:simplePos x="0" y="0"/>
            <wp:positionH relativeFrom="margin">
              <wp:align>right</wp:align>
            </wp:positionH>
            <wp:positionV relativeFrom="paragraph">
              <wp:posOffset>325120</wp:posOffset>
            </wp:positionV>
            <wp:extent cx="5934075" cy="3000375"/>
            <wp:effectExtent l="0" t="0" r="9525" b="9525"/>
            <wp:wrapNone/>
            <wp:docPr id="946892566" name="Chart 94689256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97D1FC7-F063-52E2-26D1-B812E489A3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6326CA">
        <w:rPr>
          <w:rFonts w:ascii="Times New Roman" w:hAnsi="Times New Roman" w:cs="Times New Roman"/>
          <w:color w:val="7030A0"/>
          <w:sz w:val="24"/>
          <w:szCs w:val="24"/>
          <w:u w:val="single"/>
        </w:rPr>
        <w:t xml:space="preserve">4.1.1 </w:t>
      </w:r>
      <w:r w:rsidRPr="009E4E17">
        <w:rPr>
          <w:rFonts w:ascii="Times New Roman" w:hAnsi="Times New Roman" w:cs="Times New Roman"/>
          <w:color w:val="7030A0"/>
          <w:sz w:val="24"/>
          <w:szCs w:val="24"/>
          <w:u w:val="single"/>
        </w:rPr>
        <w:t>Deposits</w:t>
      </w:r>
    </w:p>
    <w:p w14:paraId="191356CF" w14:textId="77777777" w:rsidR="00E956C2" w:rsidRDefault="00E956C2" w:rsidP="00E956C2">
      <w:pPr>
        <w:spacing w:line="360" w:lineRule="auto"/>
        <w:jc w:val="both"/>
        <w:rPr>
          <w:rFonts w:ascii="Times New Roman" w:hAnsi="Times New Roman" w:cs="Times New Roman"/>
          <w:color w:val="000000" w:themeColor="text1"/>
        </w:rPr>
      </w:pPr>
    </w:p>
    <w:p w14:paraId="15F603CA" w14:textId="77777777" w:rsidR="00E956C2" w:rsidRDefault="00E956C2" w:rsidP="00E956C2">
      <w:pPr>
        <w:spacing w:line="360" w:lineRule="auto"/>
        <w:jc w:val="both"/>
        <w:rPr>
          <w:rFonts w:ascii="Times New Roman" w:hAnsi="Times New Roman" w:cs="Times New Roman"/>
          <w:color w:val="000000" w:themeColor="text1"/>
        </w:rPr>
      </w:pPr>
    </w:p>
    <w:p w14:paraId="19FC25E4" w14:textId="77777777" w:rsidR="00E956C2" w:rsidRDefault="00E956C2" w:rsidP="00E956C2">
      <w:pPr>
        <w:spacing w:line="360" w:lineRule="auto"/>
        <w:jc w:val="both"/>
        <w:rPr>
          <w:rFonts w:ascii="Times New Roman" w:hAnsi="Times New Roman" w:cs="Times New Roman"/>
          <w:color w:val="000000" w:themeColor="text1"/>
        </w:rPr>
      </w:pPr>
    </w:p>
    <w:p w14:paraId="79465692" w14:textId="77777777" w:rsidR="00E956C2" w:rsidRDefault="00E956C2" w:rsidP="00E956C2">
      <w:pPr>
        <w:spacing w:line="360" w:lineRule="auto"/>
        <w:jc w:val="both"/>
        <w:rPr>
          <w:rFonts w:ascii="Times New Roman" w:hAnsi="Times New Roman" w:cs="Times New Roman"/>
          <w:color w:val="000000" w:themeColor="text1"/>
        </w:rPr>
      </w:pPr>
    </w:p>
    <w:p w14:paraId="1A740877" w14:textId="77777777" w:rsidR="00E956C2" w:rsidRDefault="00E956C2" w:rsidP="00E956C2">
      <w:pPr>
        <w:spacing w:line="360" w:lineRule="auto"/>
        <w:jc w:val="both"/>
        <w:rPr>
          <w:rFonts w:ascii="Times New Roman" w:hAnsi="Times New Roman" w:cs="Times New Roman"/>
          <w:color w:val="000000" w:themeColor="text1"/>
        </w:rPr>
      </w:pPr>
    </w:p>
    <w:p w14:paraId="70758695" w14:textId="77777777" w:rsidR="00E956C2" w:rsidRDefault="00E956C2" w:rsidP="00E956C2">
      <w:pPr>
        <w:spacing w:line="360" w:lineRule="auto"/>
        <w:jc w:val="both"/>
        <w:rPr>
          <w:rFonts w:ascii="Times New Roman" w:hAnsi="Times New Roman" w:cs="Times New Roman"/>
          <w:color w:val="000000" w:themeColor="text1"/>
        </w:rPr>
      </w:pPr>
    </w:p>
    <w:p w14:paraId="67B8FBA9" w14:textId="77777777" w:rsidR="00E956C2" w:rsidRDefault="00E956C2" w:rsidP="00E956C2">
      <w:pPr>
        <w:spacing w:line="360" w:lineRule="auto"/>
        <w:jc w:val="both"/>
        <w:rPr>
          <w:rFonts w:ascii="Times New Roman" w:hAnsi="Times New Roman" w:cs="Times New Roman"/>
          <w:color w:val="000000" w:themeColor="text1"/>
        </w:rPr>
      </w:pPr>
    </w:p>
    <w:p w14:paraId="3E9B7436"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6CC61215"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05B0A100"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Deposits are the excess amount of money that people have and kept a certain amount of money in banks in order to earn interest and for the safety purpose. Deposits can be in many forms. It can be fixed deposits, savings deposits, current account deposits etc. </w:t>
      </w:r>
    </w:p>
    <w:p w14:paraId="641D29BB" w14:textId="77777777" w:rsidR="00E956C2" w:rsidRDefault="00E956C2" w:rsidP="00E956C2">
      <w:pPr>
        <w:spacing w:line="360" w:lineRule="auto"/>
        <w:jc w:val="both"/>
        <w:rPr>
          <w:rFonts w:ascii="Times New Roman" w:hAnsi="Times New Roman" w:cs="Times New Roman"/>
          <w:color w:val="000000" w:themeColor="text1"/>
          <w:sz w:val="24"/>
          <w:szCs w:val="24"/>
        </w:rPr>
      </w:pPr>
      <w:r w:rsidRPr="00685EB8">
        <w:rPr>
          <w:rFonts w:ascii="Times New Roman" w:hAnsi="Times New Roman" w:cs="Times New Roman"/>
          <w:color w:val="000000" w:themeColor="text1"/>
          <w:sz w:val="24"/>
          <w:szCs w:val="24"/>
        </w:rPr>
        <w:t xml:space="preserve">We can see that the deposits are growing and trending upward in this particular graphical representation The deposits </w:t>
      </w:r>
      <w:r>
        <w:rPr>
          <w:rFonts w:ascii="Times New Roman" w:hAnsi="Times New Roman" w:cs="Times New Roman"/>
          <w:color w:val="000000" w:themeColor="text1"/>
          <w:sz w:val="24"/>
          <w:szCs w:val="24"/>
        </w:rPr>
        <w:t xml:space="preserve">of CBL </w:t>
      </w:r>
      <w:r w:rsidRPr="00685EB8">
        <w:rPr>
          <w:rFonts w:ascii="Times New Roman" w:hAnsi="Times New Roman" w:cs="Times New Roman"/>
          <w:color w:val="000000" w:themeColor="text1"/>
          <w:sz w:val="24"/>
          <w:szCs w:val="24"/>
        </w:rPr>
        <w:t>were BDT 183,493</w:t>
      </w:r>
      <w:r>
        <w:rPr>
          <w:rFonts w:ascii="Times New Roman" w:hAnsi="Times New Roman" w:cs="Times New Roman"/>
          <w:color w:val="000000" w:themeColor="text1"/>
          <w:sz w:val="24"/>
          <w:szCs w:val="24"/>
        </w:rPr>
        <w:t xml:space="preserve"> million</w:t>
      </w:r>
      <w:r w:rsidRPr="00685EB8">
        <w:rPr>
          <w:rFonts w:ascii="Times New Roman" w:hAnsi="Times New Roman" w:cs="Times New Roman"/>
          <w:color w:val="000000" w:themeColor="text1"/>
          <w:sz w:val="24"/>
          <w:szCs w:val="24"/>
        </w:rPr>
        <w:t xml:space="preserve"> in 2017</w:t>
      </w:r>
      <w:r>
        <w:rPr>
          <w:rFonts w:ascii="Times New Roman" w:hAnsi="Times New Roman" w:cs="Times New Roman"/>
          <w:color w:val="000000" w:themeColor="text1"/>
          <w:sz w:val="24"/>
          <w:szCs w:val="24"/>
        </w:rPr>
        <w:t>, then it increased a bit to</w:t>
      </w:r>
      <w:r w:rsidRPr="00685E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BDT </w:t>
      </w:r>
      <w:r w:rsidRPr="00685EB8">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05,170 million in 2018</w:t>
      </w:r>
      <w:r w:rsidRPr="00685EB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In 2019, CBL made a deposit of BDT 246,704 million despite the effects of coronavirus. Later, it slightly increased to BDT254,781 million in 2020. Lastly, the deposits hit BDT 282,064 million in 2021 which was the highest deposits ever in the history of CBL. </w:t>
      </w:r>
      <w:r w:rsidRPr="009967B9">
        <w:rPr>
          <w:rFonts w:ascii="Times New Roman" w:hAnsi="Times New Roman" w:cs="Times New Roman"/>
          <w:color w:val="000000" w:themeColor="text1"/>
          <w:sz w:val="24"/>
          <w:szCs w:val="24"/>
        </w:rPr>
        <w:t xml:space="preserve">Every year we can see that the deposits of City Bank is increasing. The YoY growth of </w:t>
      </w:r>
      <w:r>
        <w:rPr>
          <w:rFonts w:ascii="Times New Roman" w:hAnsi="Times New Roman" w:cs="Times New Roman"/>
          <w:color w:val="000000" w:themeColor="text1"/>
          <w:sz w:val="24"/>
          <w:szCs w:val="24"/>
        </w:rPr>
        <w:t xml:space="preserve">the deposits </w:t>
      </w:r>
      <w:r w:rsidRPr="009967B9">
        <w:rPr>
          <w:rFonts w:ascii="Times New Roman" w:hAnsi="Times New Roman" w:cs="Times New Roman"/>
          <w:color w:val="000000" w:themeColor="text1"/>
          <w:sz w:val="24"/>
          <w:szCs w:val="24"/>
        </w:rPr>
        <w:t>are 11.81%, 20.24%, 3.27% and 10.71% during the 2018, 2019, 2020 and 2021 respectively.</w:t>
      </w:r>
      <w:r>
        <w:rPr>
          <w:rFonts w:ascii="Times New Roman" w:hAnsi="Times New Roman" w:cs="Times New Roman"/>
          <w:color w:val="000000" w:themeColor="text1"/>
          <w:sz w:val="24"/>
          <w:szCs w:val="24"/>
        </w:rPr>
        <w:t xml:space="preserve"> We can see that on 2019-2020 the growth is less and it may be due to the effect of Covid-19, as people did not have enough money to deposit in the banks and the whole world was struggling during that period. But City Bank made a huge comeback in the year 2021 and managed to overcome the situation.</w:t>
      </w:r>
    </w:p>
    <w:p w14:paraId="4DD6D5A2" w14:textId="77777777" w:rsidR="00E956C2" w:rsidRDefault="00E956C2" w:rsidP="00E956C2">
      <w:pPr>
        <w:spacing w:line="360" w:lineRule="auto"/>
        <w:rPr>
          <w:rFonts w:ascii="Times New Roman" w:hAnsi="Times New Roman" w:cs="Times New Roman"/>
          <w:color w:val="7030A0"/>
          <w:sz w:val="24"/>
          <w:szCs w:val="24"/>
          <w:u w:val="single"/>
        </w:rPr>
      </w:pPr>
    </w:p>
    <w:p w14:paraId="45CE7481" w14:textId="77777777" w:rsidR="00E956C2" w:rsidRPr="00F57F07" w:rsidRDefault="00E956C2" w:rsidP="00E956C2">
      <w:pPr>
        <w:spacing w:line="360" w:lineRule="auto"/>
        <w:jc w:val="center"/>
        <w:rPr>
          <w:rFonts w:ascii="Times New Roman" w:hAnsi="Times New Roman" w:cs="Times New Roman"/>
          <w:color w:val="000000" w:themeColor="text1"/>
          <w:sz w:val="24"/>
          <w:szCs w:val="24"/>
        </w:rPr>
      </w:pPr>
      <w:r w:rsidRPr="006326CA">
        <w:rPr>
          <w:noProof/>
          <w:color w:val="7030A0"/>
        </w:rPr>
        <w:lastRenderedPageBreak/>
        <w:drawing>
          <wp:anchor distT="0" distB="0" distL="114300" distR="114300" simplePos="0" relativeHeight="251667456" behindDoc="0" locked="0" layoutInCell="1" allowOverlap="1" wp14:anchorId="198262BE" wp14:editId="3A12DA6E">
            <wp:simplePos x="0" y="0"/>
            <wp:positionH relativeFrom="margin">
              <wp:align>right</wp:align>
            </wp:positionH>
            <wp:positionV relativeFrom="paragraph">
              <wp:posOffset>295275</wp:posOffset>
            </wp:positionV>
            <wp:extent cx="5943600" cy="2543175"/>
            <wp:effectExtent l="0" t="0" r="0" b="9525"/>
            <wp:wrapNone/>
            <wp:docPr id="8" name="Chart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ED12580-B6FD-5164-4087-8B84D04BC0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6326CA">
        <w:rPr>
          <w:rFonts w:ascii="Times New Roman" w:hAnsi="Times New Roman" w:cs="Times New Roman"/>
          <w:color w:val="7030A0"/>
          <w:sz w:val="24"/>
          <w:szCs w:val="24"/>
          <w:u w:val="single"/>
        </w:rPr>
        <w:t>4.1.2 Loans and Advances</w:t>
      </w:r>
    </w:p>
    <w:p w14:paraId="1C584BBD" w14:textId="77777777" w:rsidR="00E956C2" w:rsidRPr="00C0485B" w:rsidRDefault="00E956C2" w:rsidP="00E956C2">
      <w:pPr>
        <w:spacing w:line="360" w:lineRule="auto"/>
        <w:jc w:val="both"/>
        <w:rPr>
          <w:rFonts w:ascii="Times New Roman" w:hAnsi="Times New Roman" w:cs="Times New Roman"/>
          <w:color w:val="4472C4" w:themeColor="accent1"/>
          <w:sz w:val="24"/>
          <w:szCs w:val="24"/>
          <w:u w:val="single"/>
        </w:rPr>
      </w:pPr>
    </w:p>
    <w:p w14:paraId="025E4118" w14:textId="77777777" w:rsidR="00E956C2" w:rsidRDefault="00E956C2" w:rsidP="00E956C2">
      <w:pPr>
        <w:spacing w:line="360" w:lineRule="auto"/>
        <w:jc w:val="both"/>
        <w:rPr>
          <w:rFonts w:ascii="Times New Roman" w:hAnsi="Times New Roman" w:cs="Times New Roman"/>
          <w:color w:val="000000" w:themeColor="text1"/>
        </w:rPr>
      </w:pPr>
    </w:p>
    <w:p w14:paraId="74F3E85E" w14:textId="77777777" w:rsidR="00E956C2" w:rsidRPr="002E4E4E" w:rsidRDefault="00E956C2" w:rsidP="00E956C2">
      <w:pPr>
        <w:spacing w:line="360" w:lineRule="auto"/>
        <w:jc w:val="both"/>
        <w:rPr>
          <w:rFonts w:ascii="Times New Roman" w:hAnsi="Times New Roman" w:cs="Times New Roman"/>
          <w:color w:val="4472C4" w:themeColor="accent1"/>
          <w:sz w:val="24"/>
          <w:szCs w:val="24"/>
          <w:u w:val="single"/>
        </w:rPr>
      </w:pPr>
    </w:p>
    <w:p w14:paraId="4C265643" w14:textId="77777777" w:rsidR="00E956C2" w:rsidRPr="00432375" w:rsidRDefault="00E956C2" w:rsidP="00E956C2">
      <w:pPr>
        <w:spacing w:line="360" w:lineRule="auto"/>
        <w:jc w:val="both"/>
        <w:rPr>
          <w:rFonts w:ascii="Times New Roman" w:hAnsi="Times New Roman" w:cs="Times New Roman"/>
          <w:color w:val="000000" w:themeColor="text1"/>
          <w:sz w:val="24"/>
          <w:szCs w:val="24"/>
        </w:rPr>
      </w:pPr>
    </w:p>
    <w:p w14:paraId="75C81956"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1880DFA5" w14:textId="77777777" w:rsidR="00E956C2" w:rsidRPr="00CA3F64" w:rsidRDefault="00E956C2" w:rsidP="00E956C2">
      <w:pPr>
        <w:spacing w:line="360" w:lineRule="auto"/>
        <w:jc w:val="both"/>
        <w:rPr>
          <w:rFonts w:ascii="Times New Roman" w:hAnsi="Times New Roman" w:cs="Times New Roman"/>
          <w:color w:val="000000" w:themeColor="text1"/>
          <w:sz w:val="24"/>
          <w:szCs w:val="24"/>
        </w:rPr>
      </w:pPr>
    </w:p>
    <w:p w14:paraId="231089E5" w14:textId="77777777" w:rsidR="00E956C2" w:rsidRPr="00CA3F64" w:rsidRDefault="00E956C2" w:rsidP="00E956C2">
      <w:pPr>
        <w:spacing w:line="360" w:lineRule="auto"/>
        <w:jc w:val="both"/>
        <w:rPr>
          <w:rFonts w:ascii="Times New Roman" w:hAnsi="Times New Roman" w:cs="Times New Roman"/>
          <w:b/>
          <w:bCs/>
          <w:color w:val="C00000"/>
          <w:sz w:val="24"/>
          <w:szCs w:val="24"/>
        </w:rPr>
      </w:pPr>
    </w:p>
    <w:p w14:paraId="4C86DE92"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Loans and advances are the money that the banks give to the customers in different forms in order to take interests from them. The interest that the bank charges from customers is the main source of income for the conventional banks. The most common types of loan are home loan, personal loan, car loan, education loan, business or corporate loans etc.</w:t>
      </w:r>
    </w:p>
    <w:p w14:paraId="6D1572B5" w14:textId="77777777" w:rsidR="00E956C2" w:rsidRDefault="00E956C2" w:rsidP="00E956C2">
      <w:pPr>
        <w:spacing w:line="360" w:lineRule="auto"/>
        <w:jc w:val="both"/>
        <w:rPr>
          <w:rFonts w:ascii="Times New Roman" w:hAnsi="Times New Roman" w:cs="Times New Roman"/>
          <w:color w:val="000000" w:themeColor="text1"/>
          <w:sz w:val="24"/>
          <w:szCs w:val="24"/>
        </w:rPr>
      </w:pPr>
      <w:r w:rsidRPr="00685EB8">
        <w:rPr>
          <w:rFonts w:ascii="Times New Roman" w:hAnsi="Times New Roman" w:cs="Times New Roman"/>
          <w:color w:val="000000" w:themeColor="text1"/>
          <w:sz w:val="24"/>
          <w:szCs w:val="24"/>
        </w:rPr>
        <w:t xml:space="preserve">On the chart above, we can see that loans and advances have grown over the past five years. </w:t>
      </w:r>
      <w:r>
        <w:rPr>
          <w:rFonts w:ascii="Times New Roman" w:hAnsi="Times New Roman" w:cs="Times New Roman"/>
          <w:color w:val="000000" w:themeColor="text1"/>
          <w:sz w:val="24"/>
          <w:szCs w:val="24"/>
        </w:rPr>
        <w:t>The loans and advances of CBL were BDT 196,596 million in 2017. After that the loans and advances kept increasing each year. It was BDT 231,391 million in 2018 and after that it increased slightly to BDT 246,944 million. The next year, in 2020, CBL made BDT 268,202 in loans and advances which is a very good number despite the effects of the coronavirus pandemic. Lastly, in 2021, the loans and advances increased to BDT 286,380 million which is the highest ever in the history of CBL. It is expected to grow more in recent years.</w:t>
      </w:r>
      <w:r w:rsidRPr="00685EB8">
        <w:rPr>
          <w:rFonts w:ascii="Times New Roman" w:hAnsi="Times New Roman" w:cs="Times New Roman"/>
          <w:color w:val="000000" w:themeColor="text1"/>
          <w:sz w:val="24"/>
          <w:szCs w:val="24"/>
        </w:rPr>
        <w:t xml:space="preserve"> This displays an ongoing pattern of growth. </w:t>
      </w:r>
      <w:r>
        <w:rPr>
          <w:rFonts w:ascii="Times New Roman" w:hAnsi="Times New Roman" w:cs="Times New Roman"/>
          <w:color w:val="000000" w:themeColor="text1"/>
          <w:sz w:val="24"/>
          <w:szCs w:val="24"/>
        </w:rPr>
        <w:t>The growth of the Loans and Advances are 17.70%, 6.72%, 8.61%, 6.78% during the year 2018, 2019, 2020 and 2021 respectively. We can see that there was a huge growth of Loans and Advances during the year 2017-2018, but after that the loan growth decreased significantly. Though the growth is not that satisfactory, but we can say that City Bank is performing moderately in this component.</w:t>
      </w:r>
    </w:p>
    <w:p w14:paraId="6ADE8AA1" w14:textId="77777777" w:rsidR="00E956C2" w:rsidRDefault="00E956C2" w:rsidP="00E956C2">
      <w:pPr>
        <w:spacing w:line="360" w:lineRule="auto"/>
        <w:jc w:val="center"/>
        <w:rPr>
          <w:rFonts w:ascii="Times New Roman" w:hAnsi="Times New Roman" w:cs="Times New Roman"/>
          <w:color w:val="7030A0"/>
          <w:sz w:val="24"/>
          <w:szCs w:val="24"/>
          <w:u w:val="single"/>
        </w:rPr>
      </w:pPr>
    </w:p>
    <w:p w14:paraId="76792C82" w14:textId="77777777" w:rsidR="00E956C2" w:rsidRDefault="00E956C2" w:rsidP="00E956C2">
      <w:pPr>
        <w:spacing w:line="360" w:lineRule="auto"/>
        <w:jc w:val="center"/>
        <w:rPr>
          <w:rFonts w:ascii="Times New Roman" w:hAnsi="Times New Roman" w:cs="Times New Roman"/>
          <w:color w:val="7030A0"/>
          <w:sz w:val="24"/>
          <w:szCs w:val="24"/>
          <w:u w:val="single"/>
        </w:rPr>
      </w:pPr>
    </w:p>
    <w:p w14:paraId="21AD7855" w14:textId="77777777" w:rsidR="00E956C2" w:rsidRDefault="00E956C2" w:rsidP="00E956C2">
      <w:pPr>
        <w:spacing w:line="360" w:lineRule="auto"/>
        <w:rPr>
          <w:rFonts w:ascii="Times New Roman" w:hAnsi="Times New Roman" w:cs="Times New Roman"/>
          <w:color w:val="7030A0"/>
          <w:sz w:val="24"/>
          <w:szCs w:val="24"/>
          <w:u w:val="single"/>
        </w:rPr>
      </w:pPr>
    </w:p>
    <w:p w14:paraId="16EE0729" w14:textId="77777777" w:rsidR="00E956C2" w:rsidRPr="006326CA" w:rsidRDefault="00E956C2" w:rsidP="00E956C2">
      <w:pPr>
        <w:spacing w:line="360" w:lineRule="auto"/>
        <w:jc w:val="center"/>
        <w:rPr>
          <w:rFonts w:ascii="Times New Roman" w:hAnsi="Times New Roman" w:cs="Times New Roman"/>
          <w:color w:val="7030A0"/>
          <w:sz w:val="24"/>
          <w:szCs w:val="24"/>
          <w:u w:val="single"/>
        </w:rPr>
      </w:pPr>
      <w:r w:rsidRPr="006A1363">
        <w:rPr>
          <w:noProof/>
          <w:color w:val="000000" w:themeColor="text1"/>
        </w:rPr>
        <w:lastRenderedPageBreak/>
        <w:drawing>
          <wp:anchor distT="0" distB="0" distL="114300" distR="114300" simplePos="0" relativeHeight="251664384" behindDoc="0" locked="0" layoutInCell="1" allowOverlap="1" wp14:anchorId="00528BC6" wp14:editId="79C8EE49">
            <wp:simplePos x="0" y="0"/>
            <wp:positionH relativeFrom="margin">
              <wp:align>right</wp:align>
            </wp:positionH>
            <wp:positionV relativeFrom="paragraph">
              <wp:posOffset>331470</wp:posOffset>
            </wp:positionV>
            <wp:extent cx="5943600" cy="2476500"/>
            <wp:effectExtent l="0" t="0" r="0" b="0"/>
            <wp:wrapNone/>
            <wp:docPr id="4" name="Chart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A4FC1B6-F5E1-39C2-4059-E935D48812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Pr="006326CA">
        <w:rPr>
          <w:rFonts w:ascii="Times New Roman" w:hAnsi="Times New Roman" w:cs="Times New Roman"/>
          <w:color w:val="7030A0"/>
          <w:sz w:val="24"/>
          <w:szCs w:val="24"/>
          <w:u w:val="single"/>
        </w:rPr>
        <w:t>4.1.3 Credit-to-Deposit Ratio</w:t>
      </w:r>
    </w:p>
    <w:p w14:paraId="44955ECD" w14:textId="77777777" w:rsidR="00E956C2" w:rsidRPr="006A1363" w:rsidRDefault="00E956C2" w:rsidP="00E956C2">
      <w:pPr>
        <w:spacing w:line="360" w:lineRule="auto"/>
        <w:jc w:val="both"/>
        <w:rPr>
          <w:rFonts w:ascii="Times New Roman" w:hAnsi="Times New Roman" w:cs="Times New Roman"/>
          <w:b/>
          <w:bCs/>
          <w:color w:val="4472C4" w:themeColor="accent1"/>
          <w:sz w:val="24"/>
          <w:szCs w:val="24"/>
          <w:u w:val="single"/>
        </w:rPr>
      </w:pPr>
    </w:p>
    <w:p w14:paraId="3162AD13"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31967A22" w14:textId="77777777" w:rsidR="00E956C2" w:rsidRPr="00C0485B" w:rsidRDefault="00E956C2" w:rsidP="00E956C2">
      <w:pPr>
        <w:spacing w:line="360" w:lineRule="auto"/>
        <w:jc w:val="both"/>
        <w:rPr>
          <w:rFonts w:ascii="Times New Roman" w:hAnsi="Times New Roman" w:cs="Times New Roman"/>
          <w:color w:val="000000" w:themeColor="text1"/>
          <w:sz w:val="24"/>
          <w:szCs w:val="24"/>
        </w:rPr>
      </w:pPr>
    </w:p>
    <w:p w14:paraId="74D84815"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285256C0" w14:textId="77777777" w:rsidR="00E956C2" w:rsidRPr="003552F1" w:rsidRDefault="00E956C2" w:rsidP="00E956C2">
      <w:pPr>
        <w:spacing w:line="360" w:lineRule="auto"/>
        <w:rPr>
          <w:rFonts w:ascii="Times New Roman" w:hAnsi="Times New Roman" w:cs="Times New Roman"/>
          <w:sz w:val="24"/>
          <w:szCs w:val="24"/>
        </w:rPr>
      </w:pPr>
    </w:p>
    <w:p w14:paraId="79D6C6CF"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3F95E2D8"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742C44D1" w14:textId="77777777" w:rsidR="00E956C2" w:rsidRDefault="00E956C2" w:rsidP="00E956C2">
      <w:pPr>
        <w:spacing w:line="360" w:lineRule="auto"/>
        <w:jc w:val="both"/>
        <w:rPr>
          <w:rFonts w:ascii="Times New Roman" w:hAnsi="Times New Roman" w:cs="Times New Roman"/>
          <w:color w:val="000000" w:themeColor="text1"/>
          <w:sz w:val="24"/>
          <w:szCs w:val="24"/>
        </w:rPr>
      </w:pPr>
      <w:r w:rsidRPr="00685EB8">
        <w:rPr>
          <w:rFonts w:ascii="Times New Roman" w:hAnsi="Times New Roman" w:cs="Times New Roman"/>
          <w:color w:val="000000" w:themeColor="text1"/>
          <w:sz w:val="24"/>
          <w:szCs w:val="24"/>
        </w:rPr>
        <w:t>This figure</w:t>
      </w:r>
      <w:r>
        <w:rPr>
          <w:rFonts w:ascii="Times New Roman" w:hAnsi="Times New Roman" w:cs="Times New Roman"/>
          <w:color w:val="000000" w:themeColor="text1"/>
          <w:sz w:val="24"/>
          <w:szCs w:val="24"/>
        </w:rPr>
        <w:t xml:space="preserve"> above</w:t>
      </w:r>
      <w:r w:rsidRPr="00685EB8">
        <w:rPr>
          <w:rFonts w:ascii="Times New Roman" w:hAnsi="Times New Roman" w:cs="Times New Roman"/>
          <w:color w:val="000000" w:themeColor="text1"/>
          <w:sz w:val="24"/>
          <w:szCs w:val="24"/>
        </w:rPr>
        <w:t xml:space="preserve"> reveals the percentage of deposits the banks have received that have been dispersed as loans to individuals. By comparing loans and deposits for the same time period, banks typically use this ratio or percentage to evaluate the liquidity of a company.</w:t>
      </w:r>
      <w:r>
        <w:rPr>
          <w:rFonts w:ascii="Times New Roman" w:hAnsi="Times New Roman" w:cs="Times New Roman"/>
          <w:color w:val="000000" w:themeColor="text1"/>
          <w:sz w:val="24"/>
          <w:szCs w:val="24"/>
        </w:rPr>
        <w:t xml:space="preserve"> The higher the ratio, the better it is for the banks or financial institutions.</w:t>
      </w:r>
      <w:r w:rsidRPr="00685EB8">
        <w:rPr>
          <w:rFonts w:ascii="Times New Roman" w:hAnsi="Times New Roman" w:cs="Times New Roman"/>
          <w:color w:val="000000" w:themeColor="text1"/>
          <w:sz w:val="24"/>
          <w:szCs w:val="24"/>
        </w:rPr>
        <w:t xml:space="preserve"> As we observe, </w:t>
      </w:r>
      <w:r>
        <w:rPr>
          <w:rFonts w:ascii="Times New Roman" w:hAnsi="Times New Roman" w:cs="Times New Roman"/>
          <w:color w:val="000000" w:themeColor="text1"/>
          <w:sz w:val="24"/>
          <w:szCs w:val="24"/>
        </w:rPr>
        <w:t xml:space="preserve">the ratio was 84.90% in 2017 which was the highest in the last five years. Then the ratio started declining from the year 2018 to 2020. It was 82.250% in 2018, then decreased to 79.10% in 2019. in 2020, the ratio decreased to 74.70% which was the lowest of all in the last five years. This could be due to the effects of the coronavirus pandemic in 2019-2020. </w:t>
      </w:r>
      <w:r w:rsidRPr="00685EB8">
        <w:rPr>
          <w:rFonts w:ascii="Times New Roman" w:hAnsi="Times New Roman" w:cs="Times New Roman"/>
          <w:color w:val="000000" w:themeColor="text1"/>
          <w:sz w:val="24"/>
          <w:szCs w:val="24"/>
        </w:rPr>
        <w:t xml:space="preserve">This indicates that the bank's credit growth was subpar when compared to its deposit growth. However, the ratio rose by 6.6% in 2021, reaching a total of 81.3%. </w:t>
      </w:r>
    </w:p>
    <w:p w14:paraId="615909A6" w14:textId="77777777" w:rsidR="00E956C2" w:rsidRDefault="00E956C2" w:rsidP="00E956C2">
      <w:pPr>
        <w:spacing w:line="360" w:lineRule="auto"/>
        <w:jc w:val="center"/>
        <w:rPr>
          <w:rFonts w:ascii="Times New Roman" w:hAnsi="Times New Roman" w:cs="Times New Roman"/>
          <w:color w:val="7030A0"/>
          <w:sz w:val="24"/>
          <w:szCs w:val="24"/>
          <w:u w:val="single"/>
        </w:rPr>
      </w:pPr>
      <w:r>
        <w:rPr>
          <w:noProof/>
        </w:rPr>
        <w:drawing>
          <wp:anchor distT="0" distB="0" distL="114300" distR="114300" simplePos="0" relativeHeight="251686912" behindDoc="0" locked="0" layoutInCell="1" allowOverlap="1" wp14:anchorId="2C6A720A" wp14:editId="0AA5B3BE">
            <wp:simplePos x="0" y="0"/>
            <wp:positionH relativeFrom="margin">
              <wp:align>left</wp:align>
            </wp:positionH>
            <wp:positionV relativeFrom="paragraph">
              <wp:posOffset>257810</wp:posOffset>
            </wp:positionV>
            <wp:extent cx="5867400" cy="2571750"/>
            <wp:effectExtent l="0" t="0" r="0" b="0"/>
            <wp:wrapNone/>
            <wp:docPr id="5" name="Chart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B13E95F-29F8-2B9B-6EB8-E80EE945DB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6326CA">
        <w:rPr>
          <w:rFonts w:ascii="Times New Roman" w:hAnsi="Times New Roman" w:cs="Times New Roman"/>
          <w:color w:val="7030A0"/>
          <w:sz w:val="24"/>
          <w:szCs w:val="24"/>
          <w:u w:val="single"/>
        </w:rPr>
        <w:t>4.1.4 Investment-to-Deposit Ratio (IDR)</w:t>
      </w:r>
    </w:p>
    <w:p w14:paraId="2FD40BBC" w14:textId="77777777" w:rsidR="00E956C2" w:rsidRPr="00685EB8" w:rsidRDefault="00E956C2" w:rsidP="00E956C2">
      <w:pPr>
        <w:spacing w:line="360" w:lineRule="auto"/>
        <w:jc w:val="both"/>
        <w:rPr>
          <w:rFonts w:ascii="Times New Roman" w:hAnsi="Times New Roman" w:cs="Times New Roman"/>
          <w:color w:val="000000" w:themeColor="text1"/>
          <w:sz w:val="24"/>
          <w:szCs w:val="24"/>
        </w:rPr>
      </w:pPr>
    </w:p>
    <w:p w14:paraId="74D2EA62" w14:textId="77777777" w:rsidR="00E956C2" w:rsidRPr="00685EB8" w:rsidRDefault="00E956C2" w:rsidP="00E956C2">
      <w:pPr>
        <w:spacing w:line="360" w:lineRule="auto"/>
        <w:jc w:val="both"/>
        <w:rPr>
          <w:rFonts w:ascii="Times New Roman" w:hAnsi="Times New Roman" w:cs="Times New Roman"/>
          <w:color w:val="7030A0"/>
          <w:sz w:val="24"/>
          <w:szCs w:val="24"/>
          <w:u w:val="single"/>
        </w:rPr>
      </w:pPr>
    </w:p>
    <w:p w14:paraId="5A76AF8E" w14:textId="77777777" w:rsidR="00E956C2" w:rsidRPr="006326CA" w:rsidRDefault="00E956C2" w:rsidP="00E956C2">
      <w:pPr>
        <w:spacing w:line="360" w:lineRule="auto"/>
        <w:jc w:val="both"/>
        <w:rPr>
          <w:rFonts w:ascii="Times New Roman" w:hAnsi="Times New Roman" w:cs="Times New Roman"/>
          <w:color w:val="7030A0"/>
          <w:sz w:val="24"/>
          <w:szCs w:val="24"/>
          <w:u w:val="single"/>
        </w:rPr>
      </w:pPr>
    </w:p>
    <w:p w14:paraId="1639C177" w14:textId="77777777" w:rsidR="00E956C2" w:rsidRPr="003552F1" w:rsidRDefault="00E956C2" w:rsidP="00E956C2">
      <w:pPr>
        <w:spacing w:line="360" w:lineRule="auto"/>
        <w:jc w:val="center"/>
        <w:rPr>
          <w:rFonts w:ascii="Times New Roman" w:hAnsi="Times New Roman" w:cs="Times New Roman"/>
          <w:color w:val="000000" w:themeColor="text1"/>
          <w:sz w:val="24"/>
          <w:szCs w:val="24"/>
        </w:rPr>
      </w:pPr>
    </w:p>
    <w:p w14:paraId="40BFB4C4" w14:textId="77777777" w:rsidR="00E956C2" w:rsidRDefault="00E956C2" w:rsidP="00E956C2">
      <w:pPr>
        <w:shd w:val="clear" w:color="auto" w:fill="FFFFFF"/>
        <w:spacing w:after="0" w:line="360" w:lineRule="auto"/>
        <w:jc w:val="both"/>
        <w:outlineLvl w:val="0"/>
        <w:rPr>
          <w:rFonts w:ascii="Times New Roman" w:eastAsia="Times New Roman" w:hAnsi="Times New Roman" w:cs="Times New Roman"/>
          <w:color w:val="111111"/>
          <w:kern w:val="36"/>
          <w:sz w:val="24"/>
          <w:szCs w:val="24"/>
        </w:rPr>
      </w:pPr>
    </w:p>
    <w:p w14:paraId="1586A86F" w14:textId="77777777" w:rsidR="00E956C2" w:rsidRDefault="00E956C2" w:rsidP="00E956C2">
      <w:pPr>
        <w:shd w:val="clear" w:color="auto" w:fill="FFFFFF"/>
        <w:spacing w:after="0" w:line="360" w:lineRule="auto"/>
        <w:jc w:val="both"/>
        <w:outlineLvl w:val="0"/>
        <w:rPr>
          <w:rFonts w:ascii="Times New Roman" w:eastAsia="Times New Roman" w:hAnsi="Times New Roman" w:cs="Times New Roman"/>
          <w:color w:val="111111"/>
          <w:kern w:val="36"/>
          <w:sz w:val="24"/>
          <w:szCs w:val="24"/>
        </w:rPr>
      </w:pPr>
    </w:p>
    <w:p w14:paraId="69F86D02" w14:textId="77777777" w:rsidR="00E956C2" w:rsidRDefault="00E956C2" w:rsidP="00E956C2">
      <w:pPr>
        <w:shd w:val="clear" w:color="auto" w:fill="FFFFFF"/>
        <w:spacing w:after="0" w:line="360" w:lineRule="auto"/>
        <w:jc w:val="both"/>
        <w:outlineLvl w:val="0"/>
        <w:rPr>
          <w:rFonts w:ascii="Times New Roman" w:eastAsia="Times New Roman" w:hAnsi="Times New Roman" w:cs="Times New Roman"/>
          <w:color w:val="111111"/>
          <w:kern w:val="36"/>
          <w:sz w:val="24"/>
          <w:szCs w:val="24"/>
        </w:rPr>
      </w:pPr>
    </w:p>
    <w:p w14:paraId="7A7AD8E3" w14:textId="77777777" w:rsidR="00E956C2" w:rsidRDefault="00E956C2" w:rsidP="00E956C2">
      <w:pPr>
        <w:shd w:val="clear" w:color="auto" w:fill="FFFFFF"/>
        <w:spacing w:after="0" w:line="360" w:lineRule="auto"/>
        <w:jc w:val="both"/>
        <w:outlineLvl w:val="0"/>
        <w:rPr>
          <w:rFonts w:ascii="Times New Roman" w:eastAsia="Times New Roman" w:hAnsi="Times New Roman" w:cs="Times New Roman"/>
          <w:color w:val="111111"/>
          <w:kern w:val="36"/>
          <w:sz w:val="24"/>
          <w:szCs w:val="24"/>
        </w:rPr>
      </w:pPr>
    </w:p>
    <w:p w14:paraId="55DF83A2" w14:textId="77777777" w:rsidR="00E956C2" w:rsidRDefault="00E956C2" w:rsidP="00E956C2">
      <w:pPr>
        <w:shd w:val="clear" w:color="auto" w:fill="FFFFFF"/>
        <w:spacing w:after="0" w:line="360" w:lineRule="auto"/>
        <w:jc w:val="both"/>
        <w:outlineLvl w:val="0"/>
        <w:rPr>
          <w:rFonts w:ascii="Times New Roman" w:eastAsia="Times New Roman" w:hAnsi="Times New Roman" w:cs="Times New Roman"/>
          <w:color w:val="111111"/>
          <w:kern w:val="36"/>
          <w:sz w:val="24"/>
          <w:szCs w:val="24"/>
        </w:rPr>
      </w:pPr>
      <w:r w:rsidRPr="00306902">
        <w:rPr>
          <w:rFonts w:ascii="Times New Roman" w:eastAsia="Times New Roman" w:hAnsi="Times New Roman" w:cs="Times New Roman"/>
          <w:color w:val="111111"/>
          <w:kern w:val="36"/>
          <w:sz w:val="24"/>
          <w:szCs w:val="24"/>
        </w:rPr>
        <w:t xml:space="preserve">The ratio of investments to deposits reveals how much of a deposit is used for investments. </w:t>
      </w:r>
      <w:r>
        <w:rPr>
          <w:rFonts w:ascii="Times New Roman" w:eastAsia="Times New Roman" w:hAnsi="Times New Roman" w:cs="Times New Roman"/>
          <w:color w:val="111111"/>
          <w:kern w:val="36"/>
          <w:sz w:val="24"/>
          <w:szCs w:val="24"/>
        </w:rPr>
        <w:t xml:space="preserve">The greater the ratio, the more effectively the bank uses its deposits for investments in different areas like in government treasury bills and bonds, Islamic investment bonds, prize bonds, quoted and unquoted shares. </w:t>
      </w:r>
    </w:p>
    <w:p w14:paraId="7AC9D1C3" w14:textId="77777777" w:rsidR="00E956C2" w:rsidRDefault="00E956C2" w:rsidP="00E956C2">
      <w:pPr>
        <w:shd w:val="clear" w:color="auto" w:fill="FFFFFF"/>
        <w:spacing w:after="0" w:line="360" w:lineRule="auto"/>
        <w:jc w:val="both"/>
        <w:outlineLvl w:val="0"/>
        <w:rPr>
          <w:rFonts w:ascii="Times New Roman" w:eastAsia="Times New Roman" w:hAnsi="Times New Roman" w:cs="Times New Roman"/>
          <w:color w:val="111111"/>
          <w:kern w:val="36"/>
          <w:sz w:val="24"/>
          <w:szCs w:val="24"/>
        </w:rPr>
      </w:pPr>
      <w:r>
        <w:rPr>
          <w:rFonts w:ascii="Times New Roman" w:eastAsia="Times New Roman" w:hAnsi="Times New Roman" w:cs="Times New Roman"/>
          <w:color w:val="111111"/>
          <w:kern w:val="36"/>
          <w:sz w:val="24"/>
          <w:szCs w:val="24"/>
        </w:rPr>
        <w:t xml:space="preserve">Here, in the above graph, we can see that, in 2017 the IDR was 35.10% and it decreased to 29.60% in 2018. However, after the decrease, City Bank had effectively used its deposits in investment and the IDR increased to 67.50% in 2019. After that the IDR again decreased to 30.90% in 2020. This could be due to the effect of the Covid-19. Finally, City Bank again recovered from the situation and the IDR increased to 64.70% in 2021. </w:t>
      </w:r>
      <w:r w:rsidRPr="00781C7F">
        <w:rPr>
          <w:rFonts w:ascii="Times New Roman" w:eastAsia="Times New Roman" w:hAnsi="Times New Roman" w:cs="Times New Roman"/>
          <w:color w:val="111111"/>
          <w:kern w:val="36"/>
          <w:sz w:val="24"/>
          <w:szCs w:val="24"/>
        </w:rPr>
        <w:t xml:space="preserve">This indicates that </w:t>
      </w:r>
      <w:r>
        <w:rPr>
          <w:rFonts w:ascii="Times New Roman" w:eastAsia="Times New Roman" w:hAnsi="Times New Roman" w:cs="Times New Roman"/>
          <w:color w:val="111111"/>
          <w:kern w:val="36"/>
          <w:sz w:val="24"/>
          <w:szCs w:val="24"/>
        </w:rPr>
        <w:t>City</w:t>
      </w:r>
      <w:r w:rsidRPr="00781C7F">
        <w:rPr>
          <w:rFonts w:ascii="Times New Roman" w:eastAsia="Times New Roman" w:hAnsi="Times New Roman" w:cs="Times New Roman"/>
          <w:color w:val="111111"/>
          <w:kern w:val="36"/>
          <w:sz w:val="24"/>
          <w:szCs w:val="24"/>
        </w:rPr>
        <w:t xml:space="preserve"> </w:t>
      </w:r>
      <w:r>
        <w:rPr>
          <w:rFonts w:ascii="Times New Roman" w:eastAsia="Times New Roman" w:hAnsi="Times New Roman" w:cs="Times New Roman"/>
          <w:color w:val="111111"/>
          <w:kern w:val="36"/>
          <w:sz w:val="24"/>
          <w:szCs w:val="24"/>
        </w:rPr>
        <w:t>B</w:t>
      </w:r>
      <w:r w:rsidRPr="00781C7F">
        <w:rPr>
          <w:rFonts w:ascii="Times New Roman" w:eastAsia="Times New Roman" w:hAnsi="Times New Roman" w:cs="Times New Roman"/>
          <w:color w:val="111111"/>
          <w:kern w:val="36"/>
          <w:sz w:val="24"/>
          <w:szCs w:val="24"/>
        </w:rPr>
        <w:t>ank is effectively investing its deposits in a variety of lucrative domestic and international markets.</w:t>
      </w:r>
    </w:p>
    <w:p w14:paraId="2B8125F8" w14:textId="77777777" w:rsidR="00E956C2" w:rsidRDefault="00E956C2" w:rsidP="00E956C2">
      <w:pPr>
        <w:shd w:val="clear" w:color="auto" w:fill="FFFFFF"/>
        <w:spacing w:after="0" w:line="360" w:lineRule="auto"/>
        <w:jc w:val="center"/>
        <w:outlineLvl w:val="0"/>
        <w:rPr>
          <w:rFonts w:ascii="Times New Roman" w:eastAsia="Times New Roman" w:hAnsi="Times New Roman" w:cs="Times New Roman"/>
          <w:color w:val="111111"/>
          <w:kern w:val="36"/>
          <w:sz w:val="24"/>
          <w:szCs w:val="24"/>
        </w:rPr>
      </w:pPr>
    </w:p>
    <w:p w14:paraId="149A65F3" w14:textId="77777777" w:rsidR="00E956C2" w:rsidRPr="006326CA" w:rsidRDefault="00E956C2" w:rsidP="00E956C2">
      <w:pPr>
        <w:shd w:val="clear" w:color="auto" w:fill="FFFFFF"/>
        <w:spacing w:after="0" w:line="360" w:lineRule="auto"/>
        <w:jc w:val="center"/>
        <w:outlineLvl w:val="0"/>
        <w:rPr>
          <w:rFonts w:ascii="Times New Roman" w:eastAsia="Times New Roman" w:hAnsi="Times New Roman" w:cs="Times New Roman"/>
          <w:color w:val="7030A0"/>
          <w:kern w:val="36"/>
          <w:sz w:val="24"/>
          <w:szCs w:val="24"/>
          <w:u w:val="single"/>
        </w:rPr>
      </w:pPr>
      <w:r w:rsidRPr="006326CA">
        <w:rPr>
          <w:rFonts w:ascii="Times New Roman" w:eastAsia="Times New Roman" w:hAnsi="Times New Roman" w:cs="Times New Roman"/>
          <w:color w:val="7030A0"/>
          <w:kern w:val="36"/>
          <w:sz w:val="24"/>
          <w:szCs w:val="24"/>
          <w:u w:val="single"/>
        </w:rPr>
        <w:t>4.1.5 Debt-to-Equity Ratio</w:t>
      </w:r>
    </w:p>
    <w:p w14:paraId="0245E05E" w14:textId="77777777" w:rsidR="00E956C2" w:rsidRPr="00306902" w:rsidRDefault="00E956C2" w:rsidP="00E956C2">
      <w:pPr>
        <w:shd w:val="clear" w:color="auto" w:fill="FFFFFF"/>
        <w:spacing w:after="0" w:line="360" w:lineRule="auto"/>
        <w:jc w:val="both"/>
        <w:outlineLvl w:val="0"/>
        <w:rPr>
          <w:rFonts w:ascii="Times New Roman" w:eastAsia="Times New Roman" w:hAnsi="Times New Roman" w:cs="Times New Roman"/>
          <w:color w:val="000000" w:themeColor="text1"/>
          <w:kern w:val="36"/>
          <w:sz w:val="24"/>
          <w:szCs w:val="24"/>
        </w:rPr>
      </w:pPr>
      <w:r>
        <w:rPr>
          <w:noProof/>
        </w:rPr>
        <w:drawing>
          <wp:anchor distT="0" distB="0" distL="114300" distR="114300" simplePos="0" relativeHeight="251665408" behindDoc="0" locked="0" layoutInCell="1" allowOverlap="1" wp14:anchorId="11ED25CA" wp14:editId="51CF7ED6">
            <wp:simplePos x="0" y="0"/>
            <wp:positionH relativeFrom="margin">
              <wp:align>right</wp:align>
            </wp:positionH>
            <wp:positionV relativeFrom="paragraph">
              <wp:posOffset>41910</wp:posOffset>
            </wp:positionV>
            <wp:extent cx="5934075" cy="2495550"/>
            <wp:effectExtent l="0" t="0" r="9525" b="0"/>
            <wp:wrapNone/>
            <wp:docPr id="6" name="Chart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B37CB1-7687-54BF-CCFD-0DCD7571AE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4DBD1565" w14:textId="77777777" w:rsidR="00E956C2" w:rsidRDefault="00E956C2" w:rsidP="00E956C2">
      <w:pPr>
        <w:spacing w:line="360" w:lineRule="auto"/>
        <w:jc w:val="both"/>
        <w:rPr>
          <w:rFonts w:ascii="Times New Roman" w:hAnsi="Times New Roman" w:cs="Times New Roman"/>
          <w:sz w:val="24"/>
          <w:szCs w:val="24"/>
        </w:rPr>
      </w:pPr>
    </w:p>
    <w:p w14:paraId="69EA93B7" w14:textId="77777777" w:rsidR="00E956C2" w:rsidRPr="00781C7F" w:rsidRDefault="00E956C2" w:rsidP="00E956C2">
      <w:pPr>
        <w:rPr>
          <w:rFonts w:ascii="Times New Roman" w:hAnsi="Times New Roman" w:cs="Times New Roman"/>
          <w:sz w:val="24"/>
          <w:szCs w:val="24"/>
        </w:rPr>
      </w:pPr>
    </w:p>
    <w:p w14:paraId="6731C405" w14:textId="77777777" w:rsidR="00E956C2" w:rsidRPr="00781C7F" w:rsidRDefault="00E956C2" w:rsidP="00E956C2">
      <w:pPr>
        <w:rPr>
          <w:rFonts w:ascii="Times New Roman" w:hAnsi="Times New Roman" w:cs="Times New Roman"/>
          <w:sz w:val="24"/>
          <w:szCs w:val="24"/>
        </w:rPr>
      </w:pPr>
    </w:p>
    <w:p w14:paraId="7B39ED46" w14:textId="77777777" w:rsidR="00E956C2" w:rsidRPr="00781C7F" w:rsidRDefault="00E956C2" w:rsidP="00E956C2">
      <w:pPr>
        <w:rPr>
          <w:rFonts w:ascii="Times New Roman" w:hAnsi="Times New Roman" w:cs="Times New Roman"/>
          <w:sz w:val="24"/>
          <w:szCs w:val="24"/>
        </w:rPr>
      </w:pPr>
    </w:p>
    <w:p w14:paraId="78508120" w14:textId="77777777" w:rsidR="00E956C2" w:rsidRPr="00781C7F" w:rsidRDefault="00E956C2" w:rsidP="00E956C2">
      <w:pPr>
        <w:rPr>
          <w:rFonts w:ascii="Times New Roman" w:hAnsi="Times New Roman" w:cs="Times New Roman"/>
          <w:sz w:val="24"/>
          <w:szCs w:val="24"/>
        </w:rPr>
      </w:pPr>
    </w:p>
    <w:p w14:paraId="43769BA4" w14:textId="77777777" w:rsidR="00E956C2" w:rsidRPr="00781C7F" w:rsidRDefault="00E956C2" w:rsidP="00E956C2">
      <w:pPr>
        <w:rPr>
          <w:rFonts w:ascii="Times New Roman" w:hAnsi="Times New Roman" w:cs="Times New Roman"/>
          <w:sz w:val="24"/>
          <w:szCs w:val="24"/>
        </w:rPr>
      </w:pPr>
    </w:p>
    <w:p w14:paraId="383DB586" w14:textId="77777777" w:rsidR="00E956C2" w:rsidRPr="00781C7F" w:rsidRDefault="00E956C2" w:rsidP="00E956C2">
      <w:pPr>
        <w:rPr>
          <w:rFonts w:ascii="Times New Roman" w:hAnsi="Times New Roman" w:cs="Times New Roman"/>
          <w:sz w:val="24"/>
          <w:szCs w:val="24"/>
        </w:rPr>
      </w:pPr>
    </w:p>
    <w:p w14:paraId="3269B271" w14:textId="77777777" w:rsidR="00E956C2" w:rsidRDefault="00E956C2" w:rsidP="00E956C2">
      <w:pPr>
        <w:rPr>
          <w:rFonts w:ascii="Times New Roman" w:hAnsi="Times New Roman" w:cs="Times New Roman"/>
          <w:sz w:val="24"/>
          <w:szCs w:val="24"/>
        </w:rPr>
      </w:pPr>
    </w:p>
    <w:p w14:paraId="1BEF6DF2" w14:textId="77777777" w:rsidR="00E956C2" w:rsidRDefault="00E956C2" w:rsidP="00E956C2">
      <w:pPr>
        <w:spacing w:line="360" w:lineRule="auto"/>
        <w:jc w:val="both"/>
        <w:rPr>
          <w:rFonts w:ascii="Times New Roman" w:hAnsi="Times New Roman" w:cs="Times New Roman"/>
          <w:sz w:val="24"/>
          <w:szCs w:val="24"/>
        </w:rPr>
      </w:pPr>
      <w:r w:rsidRPr="00781C7F">
        <w:rPr>
          <w:rFonts w:ascii="Times New Roman" w:hAnsi="Times New Roman" w:cs="Times New Roman"/>
          <w:sz w:val="24"/>
          <w:szCs w:val="24"/>
        </w:rPr>
        <w:t>A leverage ratio that displays how much of a company's funding is provided by debt or equity is the debt-to-equity (D/E) ratio. A higher D/E ratio indicates that a c</w:t>
      </w:r>
      <w:r>
        <w:rPr>
          <w:rFonts w:ascii="Times New Roman" w:hAnsi="Times New Roman" w:cs="Times New Roman"/>
          <w:sz w:val="24"/>
          <w:szCs w:val="24"/>
        </w:rPr>
        <w:t>ompany</w:t>
      </w:r>
      <w:r w:rsidRPr="00781C7F">
        <w:rPr>
          <w:rFonts w:ascii="Times New Roman" w:hAnsi="Times New Roman" w:cs="Times New Roman"/>
          <w:sz w:val="24"/>
          <w:szCs w:val="24"/>
        </w:rPr>
        <w:t xml:space="preserve"> borrows more money than it issues in the form of equity. Because </w:t>
      </w:r>
      <w:r>
        <w:rPr>
          <w:rFonts w:ascii="Times New Roman" w:hAnsi="Times New Roman" w:cs="Times New Roman"/>
          <w:sz w:val="24"/>
          <w:szCs w:val="24"/>
        </w:rPr>
        <w:t>banks</w:t>
      </w:r>
      <w:r w:rsidRPr="00781C7F">
        <w:rPr>
          <w:rFonts w:ascii="Times New Roman" w:hAnsi="Times New Roman" w:cs="Times New Roman"/>
          <w:sz w:val="24"/>
          <w:szCs w:val="24"/>
        </w:rPr>
        <w:t xml:space="preserve"> borrow money</w:t>
      </w:r>
      <w:r>
        <w:rPr>
          <w:rFonts w:ascii="Times New Roman" w:hAnsi="Times New Roman" w:cs="Times New Roman"/>
          <w:sz w:val="24"/>
          <w:szCs w:val="24"/>
        </w:rPr>
        <w:t xml:space="preserve">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take deposits)</w:t>
      </w:r>
      <w:r w:rsidRPr="00781C7F">
        <w:rPr>
          <w:rFonts w:ascii="Times New Roman" w:hAnsi="Times New Roman" w:cs="Times New Roman"/>
          <w:sz w:val="24"/>
          <w:szCs w:val="24"/>
        </w:rPr>
        <w:t xml:space="preserve"> to make loans to customers, banks typically have higher D/E ratios. </w:t>
      </w:r>
      <w:r>
        <w:rPr>
          <w:rFonts w:ascii="Times New Roman" w:hAnsi="Times New Roman" w:cs="Times New Roman"/>
          <w:sz w:val="24"/>
          <w:szCs w:val="24"/>
        </w:rPr>
        <w:t xml:space="preserve">Here, we can see that the Debt-to-Equity ratio of City Bank was 10.10 in 2017, then it increased to 12.30 in 2018. After that, the D/E ratio does not seem to be increase or decrease that much showing a constant trend. In 2019, D/E ratio increased a bit to 13.00, then decreased a little bit to 12.30 and lastly reached 12.40 in </w:t>
      </w:r>
      <w:r>
        <w:rPr>
          <w:rFonts w:ascii="Times New Roman" w:hAnsi="Times New Roman" w:cs="Times New Roman"/>
          <w:sz w:val="24"/>
          <w:szCs w:val="24"/>
        </w:rPr>
        <w:lastRenderedPageBreak/>
        <w:t>2021. This is indicating that City Bank has maintained a constant rate of Debt-to-Equity Ratio throughout the last 5 years.</w:t>
      </w:r>
    </w:p>
    <w:p w14:paraId="4B59AF09" w14:textId="77777777" w:rsidR="00E956C2" w:rsidRPr="003513CE" w:rsidRDefault="00E956C2" w:rsidP="00E956C2">
      <w:pPr>
        <w:spacing w:line="360" w:lineRule="auto"/>
        <w:jc w:val="center"/>
        <w:rPr>
          <w:rFonts w:ascii="Times New Roman" w:hAnsi="Times New Roman" w:cs="Times New Roman"/>
          <w:sz w:val="24"/>
          <w:szCs w:val="24"/>
        </w:rPr>
      </w:pPr>
      <w:r w:rsidRPr="006326CA">
        <w:rPr>
          <w:noProof/>
          <w:color w:val="7030A0"/>
        </w:rPr>
        <w:drawing>
          <wp:anchor distT="0" distB="0" distL="114300" distR="114300" simplePos="0" relativeHeight="251666432" behindDoc="0" locked="0" layoutInCell="1" allowOverlap="1" wp14:anchorId="2041CA62" wp14:editId="16FDE7FF">
            <wp:simplePos x="0" y="0"/>
            <wp:positionH relativeFrom="margin">
              <wp:align>right</wp:align>
            </wp:positionH>
            <wp:positionV relativeFrom="paragraph">
              <wp:posOffset>237490</wp:posOffset>
            </wp:positionV>
            <wp:extent cx="5943600" cy="2276475"/>
            <wp:effectExtent l="0" t="0" r="0" b="9525"/>
            <wp:wrapNone/>
            <wp:docPr id="7" name="Chart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236106-6710-FDCE-C0F5-0151493E22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6326CA">
        <w:rPr>
          <w:rFonts w:ascii="Times New Roman" w:hAnsi="Times New Roman" w:cs="Times New Roman"/>
          <w:color w:val="7030A0"/>
          <w:sz w:val="24"/>
          <w:szCs w:val="24"/>
          <w:u w:val="single"/>
        </w:rPr>
        <w:t>4.1.6 Investments</w:t>
      </w:r>
    </w:p>
    <w:p w14:paraId="4A9CC91B" w14:textId="77777777" w:rsidR="00E956C2" w:rsidRDefault="00E956C2" w:rsidP="00E956C2">
      <w:pPr>
        <w:spacing w:line="360" w:lineRule="auto"/>
        <w:jc w:val="both"/>
        <w:rPr>
          <w:rFonts w:ascii="Times New Roman" w:hAnsi="Times New Roman" w:cs="Times New Roman"/>
          <w:sz w:val="24"/>
          <w:szCs w:val="24"/>
        </w:rPr>
      </w:pPr>
    </w:p>
    <w:p w14:paraId="7BDBECAB" w14:textId="77777777" w:rsidR="00E956C2" w:rsidRDefault="00E956C2" w:rsidP="00E956C2">
      <w:pPr>
        <w:spacing w:line="360" w:lineRule="auto"/>
        <w:jc w:val="both"/>
        <w:rPr>
          <w:rFonts w:ascii="Times New Roman" w:hAnsi="Times New Roman" w:cs="Times New Roman"/>
          <w:sz w:val="24"/>
          <w:szCs w:val="24"/>
        </w:rPr>
      </w:pPr>
    </w:p>
    <w:p w14:paraId="3F13507C" w14:textId="77777777" w:rsidR="00E956C2" w:rsidRPr="000C62E4" w:rsidRDefault="00E956C2" w:rsidP="00E956C2">
      <w:pPr>
        <w:rPr>
          <w:rFonts w:ascii="Times New Roman" w:hAnsi="Times New Roman" w:cs="Times New Roman"/>
          <w:sz w:val="24"/>
          <w:szCs w:val="24"/>
        </w:rPr>
      </w:pPr>
    </w:p>
    <w:p w14:paraId="63038255" w14:textId="77777777" w:rsidR="00E956C2" w:rsidRPr="000C62E4" w:rsidRDefault="00E956C2" w:rsidP="00E956C2">
      <w:pPr>
        <w:rPr>
          <w:rFonts w:ascii="Times New Roman" w:hAnsi="Times New Roman" w:cs="Times New Roman"/>
          <w:sz w:val="24"/>
          <w:szCs w:val="24"/>
        </w:rPr>
      </w:pPr>
    </w:p>
    <w:p w14:paraId="18ABD631" w14:textId="77777777" w:rsidR="00E956C2" w:rsidRPr="000C62E4" w:rsidRDefault="00E956C2" w:rsidP="00E956C2">
      <w:pPr>
        <w:rPr>
          <w:rFonts w:ascii="Times New Roman" w:hAnsi="Times New Roman" w:cs="Times New Roman"/>
          <w:sz w:val="24"/>
          <w:szCs w:val="24"/>
        </w:rPr>
      </w:pPr>
    </w:p>
    <w:p w14:paraId="1344CB14" w14:textId="77777777" w:rsidR="00E956C2" w:rsidRPr="000C62E4" w:rsidRDefault="00E956C2" w:rsidP="00E956C2">
      <w:pPr>
        <w:rPr>
          <w:rFonts w:ascii="Times New Roman" w:hAnsi="Times New Roman" w:cs="Times New Roman"/>
          <w:sz w:val="24"/>
          <w:szCs w:val="24"/>
        </w:rPr>
      </w:pPr>
    </w:p>
    <w:p w14:paraId="512F775C" w14:textId="77777777" w:rsidR="00E956C2" w:rsidRDefault="00E956C2" w:rsidP="00E956C2">
      <w:pPr>
        <w:rPr>
          <w:rFonts w:ascii="Times New Roman" w:hAnsi="Times New Roman" w:cs="Times New Roman"/>
          <w:sz w:val="24"/>
          <w:szCs w:val="24"/>
        </w:rPr>
      </w:pPr>
    </w:p>
    <w:p w14:paraId="2502EDFF" w14:textId="77777777" w:rsidR="00E956C2" w:rsidRPr="006326CA" w:rsidRDefault="00E956C2" w:rsidP="00E956C2">
      <w:pPr>
        <w:spacing w:line="360" w:lineRule="auto"/>
        <w:jc w:val="both"/>
        <w:rPr>
          <w:rFonts w:ascii="Times New Roman" w:hAnsi="Times New Roman" w:cs="Times New Roman"/>
          <w:color w:val="7030A0"/>
          <w:sz w:val="24"/>
          <w:szCs w:val="24"/>
        </w:rPr>
      </w:pPr>
      <w:r>
        <w:rPr>
          <w:rFonts w:ascii="Times New Roman" w:hAnsi="Times New Roman" w:cs="Times New Roman"/>
          <w:color w:val="000000" w:themeColor="text1"/>
          <w:sz w:val="24"/>
          <w:szCs w:val="24"/>
        </w:rPr>
        <w:t>The graphical representation above shows that CBL has used its deposits very well in both government and other sources. The investment of CBL was BDT 25,508 million in 2017 and slightly increased to BDT 27,882 million in 2018. After that the investment jumped to BDT 39,452 million and kept on increasing to BDT 46,251 million in 2020 and BDT 54,920 million in 2021, which was the highest over the last five years. We can see an increasing trend in the graph given above. Every year there was a huge growth of investment by City Bank. From 2017 to 2018, there was a growth of 9.31% in investment. After that, there was a huge jump in the growth of investment and it achieved 41.50% growth in the year 2019. Then the investment kept increasing but at a lower growth rate. Lastly, City Bank had a growth of 17.23% and 18.74% in the year 2020 and 2021 respectively. All of the increasing growth pattern indicated that City Bank is using its deposits very effectively by investing in government and other platforms.</w:t>
      </w:r>
    </w:p>
    <w:p w14:paraId="7C7126DA" w14:textId="77777777" w:rsidR="00E956C2" w:rsidRPr="006326CA" w:rsidRDefault="00E956C2" w:rsidP="00E956C2">
      <w:pPr>
        <w:spacing w:line="360" w:lineRule="auto"/>
        <w:jc w:val="center"/>
        <w:rPr>
          <w:rFonts w:ascii="Times New Roman" w:hAnsi="Times New Roman" w:cs="Times New Roman"/>
          <w:color w:val="7030A0"/>
          <w:sz w:val="24"/>
          <w:szCs w:val="24"/>
          <w:u w:val="single"/>
        </w:rPr>
      </w:pPr>
      <w:r w:rsidRPr="006326CA">
        <w:rPr>
          <w:noProof/>
          <w:color w:val="7030A0"/>
        </w:rPr>
        <w:drawing>
          <wp:anchor distT="0" distB="0" distL="114300" distR="114300" simplePos="0" relativeHeight="251668480" behindDoc="0" locked="0" layoutInCell="1" allowOverlap="1" wp14:anchorId="25B9E5AC" wp14:editId="67ACCEA0">
            <wp:simplePos x="0" y="0"/>
            <wp:positionH relativeFrom="margin">
              <wp:align>right</wp:align>
            </wp:positionH>
            <wp:positionV relativeFrom="paragraph">
              <wp:posOffset>231774</wp:posOffset>
            </wp:positionV>
            <wp:extent cx="5934075" cy="2447925"/>
            <wp:effectExtent l="0" t="0" r="9525" b="9525"/>
            <wp:wrapNone/>
            <wp:docPr id="9" name="Chart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3A7156B-A3EE-AAE7-ACF8-F2FAD8B3AF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Pr="006326CA">
        <w:rPr>
          <w:rFonts w:ascii="Times New Roman" w:hAnsi="Times New Roman" w:cs="Times New Roman"/>
          <w:color w:val="7030A0"/>
          <w:sz w:val="24"/>
          <w:szCs w:val="24"/>
          <w:u w:val="single"/>
        </w:rPr>
        <w:t>4.1.7 Total Assets</w:t>
      </w:r>
    </w:p>
    <w:p w14:paraId="1BEC6385" w14:textId="77777777" w:rsidR="00E956C2" w:rsidRDefault="00E956C2" w:rsidP="00E956C2">
      <w:pPr>
        <w:jc w:val="both"/>
        <w:rPr>
          <w:rFonts w:ascii="Times New Roman" w:hAnsi="Times New Roman" w:cs="Times New Roman"/>
          <w:sz w:val="24"/>
          <w:szCs w:val="24"/>
        </w:rPr>
      </w:pPr>
    </w:p>
    <w:p w14:paraId="56B2B590" w14:textId="77777777" w:rsidR="00E956C2" w:rsidRPr="00D16206" w:rsidRDefault="00E956C2" w:rsidP="00E956C2">
      <w:pPr>
        <w:rPr>
          <w:rFonts w:ascii="Times New Roman" w:hAnsi="Times New Roman" w:cs="Times New Roman"/>
          <w:sz w:val="24"/>
          <w:szCs w:val="24"/>
        </w:rPr>
      </w:pPr>
    </w:p>
    <w:p w14:paraId="20EC43C2" w14:textId="77777777" w:rsidR="00E956C2" w:rsidRPr="00D16206" w:rsidRDefault="00E956C2" w:rsidP="00E956C2">
      <w:pPr>
        <w:rPr>
          <w:rFonts w:ascii="Times New Roman" w:hAnsi="Times New Roman" w:cs="Times New Roman"/>
          <w:sz w:val="24"/>
          <w:szCs w:val="24"/>
        </w:rPr>
      </w:pPr>
    </w:p>
    <w:p w14:paraId="22F03947" w14:textId="77777777" w:rsidR="00E956C2" w:rsidRPr="00D16206" w:rsidRDefault="00E956C2" w:rsidP="00E956C2">
      <w:pPr>
        <w:rPr>
          <w:rFonts w:ascii="Times New Roman" w:hAnsi="Times New Roman" w:cs="Times New Roman"/>
          <w:sz w:val="24"/>
          <w:szCs w:val="24"/>
        </w:rPr>
      </w:pPr>
    </w:p>
    <w:p w14:paraId="74D21D6D" w14:textId="77777777" w:rsidR="00E956C2" w:rsidRPr="00D16206" w:rsidRDefault="00E956C2" w:rsidP="00E956C2">
      <w:pPr>
        <w:rPr>
          <w:rFonts w:ascii="Times New Roman" w:hAnsi="Times New Roman" w:cs="Times New Roman"/>
          <w:sz w:val="24"/>
          <w:szCs w:val="24"/>
        </w:rPr>
      </w:pPr>
    </w:p>
    <w:p w14:paraId="3BBFC720" w14:textId="77777777" w:rsidR="00E956C2" w:rsidRPr="00D16206" w:rsidRDefault="00E956C2" w:rsidP="00E956C2">
      <w:pPr>
        <w:rPr>
          <w:rFonts w:ascii="Times New Roman" w:hAnsi="Times New Roman" w:cs="Times New Roman"/>
          <w:sz w:val="24"/>
          <w:szCs w:val="24"/>
        </w:rPr>
      </w:pPr>
    </w:p>
    <w:p w14:paraId="4746D916" w14:textId="77777777" w:rsidR="00E956C2" w:rsidRDefault="00E956C2" w:rsidP="00E956C2">
      <w:pPr>
        <w:spacing w:line="360" w:lineRule="auto"/>
        <w:jc w:val="both"/>
        <w:rPr>
          <w:rFonts w:ascii="Times New Roman" w:hAnsi="Times New Roman" w:cs="Times New Roman"/>
          <w:sz w:val="24"/>
          <w:szCs w:val="24"/>
        </w:rPr>
      </w:pPr>
    </w:p>
    <w:p w14:paraId="0402FF42"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Total asset refers to what a bank or financial institution owns including the fixed assets, loans and investments, investments, money at call or short notice, cash and equivalents and other non-banking assets. </w:t>
      </w:r>
      <w:r w:rsidRPr="00CA47B4">
        <w:rPr>
          <w:rFonts w:ascii="Times New Roman" w:hAnsi="Times New Roman" w:cs="Times New Roman"/>
          <w:color w:val="000000" w:themeColor="text1"/>
          <w:sz w:val="24"/>
          <w:szCs w:val="24"/>
        </w:rPr>
        <w:t>The assets have an upward trajectory, as shown in the graph above. In 2017, it was BDT 275531 million</w:t>
      </w:r>
      <w:r>
        <w:rPr>
          <w:rFonts w:ascii="Times New Roman" w:hAnsi="Times New Roman" w:cs="Times New Roman"/>
          <w:color w:val="000000" w:themeColor="text1"/>
          <w:sz w:val="24"/>
          <w:szCs w:val="24"/>
        </w:rPr>
        <w:t>. After that it kept on increasing every year. In 2018, the total assets increased to BDT 324,780 million</w:t>
      </w:r>
      <w:r w:rsidRPr="00CA47B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and then slightly improved again to BDT 354,689 million in 2019 and BDT 382,926 million in 2020. Lastly, CBL’s total assets reached BDT 416,902 million, which is the highest in the last five years and it doubled more than twice from 2017. </w:t>
      </w:r>
      <w:r w:rsidRPr="00CA47B4">
        <w:rPr>
          <w:rFonts w:ascii="Times New Roman" w:hAnsi="Times New Roman" w:cs="Times New Roman"/>
          <w:color w:val="000000" w:themeColor="text1"/>
          <w:sz w:val="24"/>
          <w:szCs w:val="24"/>
        </w:rPr>
        <w:t xml:space="preserve">The banks' chances of making money would be improved by having more assets. </w:t>
      </w:r>
      <w:r>
        <w:rPr>
          <w:rFonts w:ascii="Times New Roman" w:hAnsi="Times New Roman" w:cs="Times New Roman"/>
          <w:color w:val="000000" w:themeColor="text1"/>
          <w:sz w:val="24"/>
          <w:szCs w:val="24"/>
        </w:rPr>
        <w:t>Every year the bank increased its total assets by making more investments, giving loans etc. The growth of the Total Assets is 17.87%, 9.21%, 7.96%, 8.87% in the year 2018, 2019, 2020, 2021 respectively. This is indicating that City Bank is doing well in most of the components and that’s why the total assets are increasing.</w:t>
      </w:r>
    </w:p>
    <w:p w14:paraId="0207276D"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r w:rsidRPr="00CC7FD0">
        <w:rPr>
          <w:rFonts w:ascii="Times New Roman" w:hAnsi="Times New Roman" w:cs="Times New Roman"/>
          <w:b/>
          <w:bCs/>
          <w:color w:val="4472C4" w:themeColor="accent1"/>
          <w:sz w:val="28"/>
          <w:szCs w:val="28"/>
          <w:u w:val="single"/>
        </w:rPr>
        <w:t>4.2 Income Statement Components</w:t>
      </w:r>
    </w:p>
    <w:p w14:paraId="678026A9" w14:textId="77777777" w:rsidR="00E956C2" w:rsidRPr="006326CA" w:rsidRDefault="00E956C2" w:rsidP="00E956C2">
      <w:pPr>
        <w:spacing w:line="360" w:lineRule="auto"/>
        <w:jc w:val="center"/>
        <w:rPr>
          <w:rFonts w:ascii="Times New Roman" w:hAnsi="Times New Roman" w:cs="Times New Roman"/>
          <w:color w:val="7030A0"/>
          <w:sz w:val="24"/>
          <w:szCs w:val="24"/>
          <w:u w:val="single"/>
        </w:rPr>
      </w:pPr>
      <w:r w:rsidRPr="006326CA">
        <w:rPr>
          <w:noProof/>
          <w:color w:val="7030A0"/>
          <w:u w:val="single"/>
        </w:rPr>
        <w:drawing>
          <wp:anchor distT="0" distB="0" distL="114300" distR="114300" simplePos="0" relativeHeight="251669504" behindDoc="0" locked="0" layoutInCell="1" allowOverlap="1" wp14:anchorId="6B7FB37A" wp14:editId="1D1549FB">
            <wp:simplePos x="0" y="0"/>
            <wp:positionH relativeFrom="margin">
              <wp:align>right</wp:align>
            </wp:positionH>
            <wp:positionV relativeFrom="paragraph">
              <wp:posOffset>329565</wp:posOffset>
            </wp:positionV>
            <wp:extent cx="5943600" cy="2590800"/>
            <wp:effectExtent l="0" t="0" r="0" b="0"/>
            <wp:wrapNone/>
            <wp:docPr id="10" name="Chart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3CD471-10F0-F237-94EA-6A478B57E5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Pr="006326CA">
        <w:rPr>
          <w:rFonts w:ascii="Times New Roman" w:hAnsi="Times New Roman" w:cs="Times New Roman"/>
          <w:color w:val="7030A0"/>
          <w:sz w:val="24"/>
          <w:szCs w:val="24"/>
          <w:u w:val="single"/>
        </w:rPr>
        <w:t>4.2.1 Net Interest Income</w:t>
      </w:r>
    </w:p>
    <w:p w14:paraId="3A5805BA" w14:textId="77777777" w:rsidR="00E956C2" w:rsidRDefault="00E956C2" w:rsidP="00E956C2">
      <w:pPr>
        <w:jc w:val="both"/>
        <w:rPr>
          <w:rFonts w:ascii="Times New Roman" w:hAnsi="Times New Roman" w:cs="Times New Roman"/>
          <w:sz w:val="24"/>
          <w:szCs w:val="24"/>
        </w:rPr>
      </w:pPr>
    </w:p>
    <w:p w14:paraId="5DE0835D" w14:textId="77777777" w:rsidR="00E956C2" w:rsidRPr="00A079C2" w:rsidRDefault="00E956C2" w:rsidP="00E956C2">
      <w:pPr>
        <w:rPr>
          <w:rFonts w:ascii="Times New Roman" w:hAnsi="Times New Roman" w:cs="Times New Roman"/>
          <w:sz w:val="24"/>
          <w:szCs w:val="24"/>
        </w:rPr>
      </w:pPr>
    </w:p>
    <w:p w14:paraId="091C7BFA" w14:textId="77777777" w:rsidR="00E956C2" w:rsidRPr="00A079C2" w:rsidRDefault="00E956C2" w:rsidP="00E956C2">
      <w:pPr>
        <w:rPr>
          <w:rFonts w:ascii="Times New Roman" w:hAnsi="Times New Roman" w:cs="Times New Roman"/>
          <w:sz w:val="24"/>
          <w:szCs w:val="24"/>
        </w:rPr>
      </w:pPr>
    </w:p>
    <w:p w14:paraId="24CCDC98" w14:textId="77777777" w:rsidR="00E956C2" w:rsidRPr="00A079C2" w:rsidRDefault="00E956C2" w:rsidP="00E956C2">
      <w:pPr>
        <w:rPr>
          <w:rFonts w:ascii="Times New Roman" w:hAnsi="Times New Roman" w:cs="Times New Roman"/>
          <w:sz w:val="24"/>
          <w:szCs w:val="24"/>
        </w:rPr>
      </w:pPr>
    </w:p>
    <w:p w14:paraId="62378497" w14:textId="77777777" w:rsidR="00E956C2" w:rsidRPr="00A079C2" w:rsidRDefault="00E956C2" w:rsidP="00E956C2">
      <w:pPr>
        <w:rPr>
          <w:rFonts w:ascii="Times New Roman" w:hAnsi="Times New Roman" w:cs="Times New Roman"/>
          <w:sz w:val="24"/>
          <w:szCs w:val="24"/>
        </w:rPr>
      </w:pPr>
    </w:p>
    <w:p w14:paraId="06E678BD" w14:textId="77777777" w:rsidR="00E956C2" w:rsidRPr="00A079C2" w:rsidRDefault="00E956C2" w:rsidP="00E956C2">
      <w:pPr>
        <w:rPr>
          <w:rFonts w:ascii="Times New Roman" w:hAnsi="Times New Roman" w:cs="Times New Roman"/>
          <w:sz w:val="24"/>
          <w:szCs w:val="24"/>
        </w:rPr>
      </w:pPr>
    </w:p>
    <w:p w14:paraId="52B2A301" w14:textId="77777777" w:rsidR="00E956C2" w:rsidRPr="00A079C2" w:rsidRDefault="00E956C2" w:rsidP="00E956C2">
      <w:pPr>
        <w:rPr>
          <w:rFonts w:ascii="Times New Roman" w:hAnsi="Times New Roman" w:cs="Times New Roman"/>
          <w:sz w:val="24"/>
          <w:szCs w:val="24"/>
        </w:rPr>
      </w:pPr>
    </w:p>
    <w:p w14:paraId="2A244DFB" w14:textId="77777777" w:rsidR="00E956C2" w:rsidRPr="00A079C2" w:rsidRDefault="00E956C2" w:rsidP="00E956C2">
      <w:pPr>
        <w:rPr>
          <w:rFonts w:ascii="Times New Roman" w:hAnsi="Times New Roman" w:cs="Times New Roman"/>
          <w:sz w:val="24"/>
          <w:szCs w:val="24"/>
        </w:rPr>
      </w:pPr>
    </w:p>
    <w:p w14:paraId="4DD0703F" w14:textId="77777777" w:rsidR="00E956C2" w:rsidRDefault="00E956C2" w:rsidP="00E956C2">
      <w:pPr>
        <w:rPr>
          <w:rFonts w:ascii="Times New Roman" w:hAnsi="Times New Roman" w:cs="Times New Roman"/>
          <w:sz w:val="24"/>
          <w:szCs w:val="24"/>
        </w:rPr>
      </w:pPr>
    </w:p>
    <w:p w14:paraId="506F0776" w14:textId="77777777" w:rsidR="00E956C2" w:rsidRDefault="00E956C2" w:rsidP="00E956C2">
      <w:pPr>
        <w:rPr>
          <w:rFonts w:ascii="Times New Roman" w:hAnsi="Times New Roman" w:cs="Times New Roman"/>
          <w:sz w:val="24"/>
          <w:szCs w:val="24"/>
        </w:rPr>
      </w:pPr>
    </w:p>
    <w:p w14:paraId="4E7E2D42" w14:textId="77777777" w:rsidR="00E956C2" w:rsidRDefault="00E956C2" w:rsidP="00E956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Net interest income refers to the income that is earned from loan interests after paying the interests on deposits. The more the net interest income, the more it is beneficial for the banks as </w:t>
      </w:r>
      <w:r>
        <w:rPr>
          <w:rFonts w:ascii="Times New Roman" w:hAnsi="Times New Roman" w:cs="Times New Roman"/>
          <w:sz w:val="24"/>
          <w:szCs w:val="24"/>
        </w:rPr>
        <w:lastRenderedPageBreak/>
        <w:t>they are being able to generate more interests from loans than giving on deposits. It is the main source of income for the banks and financial institutions.</w:t>
      </w:r>
    </w:p>
    <w:p w14:paraId="599B0C53" w14:textId="77777777" w:rsidR="00E956C2" w:rsidRDefault="00E956C2" w:rsidP="00E956C2">
      <w:pPr>
        <w:spacing w:line="360" w:lineRule="auto"/>
        <w:jc w:val="both"/>
        <w:rPr>
          <w:rFonts w:ascii="Times New Roman" w:hAnsi="Times New Roman" w:cs="Times New Roman"/>
          <w:sz w:val="24"/>
          <w:szCs w:val="24"/>
        </w:rPr>
      </w:pPr>
      <w:r>
        <w:rPr>
          <w:rFonts w:ascii="Times New Roman" w:hAnsi="Times New Roman" w:cs="Times New Roman"/>
          <w:sz w:val="24"/>
          <w:szCs w:val="24"/>
        </w:rPr>
        <w:t>Here, in the graph above, we can see that the NII was BDT 7495 million in 2017 and then increased to BDT 9201 million having a growth of 22.76%. It again increased in 2019 having a growth of 17.73% in 2019. In the year 2019-2020, NII decreased to BDT 8363 million having a negative growth of -22.79%. This decrease in NII is because of the Covid-19 as the whole country was on recession and suffering from the effects of coronavirus. Not only City Bank, almost every bank’s NII decreased during that period. However, when the effects of Covid-19 came to an end and the economy recovered a little bit, the banks also started to overcome the situation. With that, City Bank also handled the situation very well by having a 44.01% growth in 2021 with a NII of BDT 12048 million.</w:t>
      </w:r>
    </w:p>
    <w:p w14:paraId="2C34B3B4" w14:textId="77777777" w:rsidR="00E956C2" w:rsidRPr="002909CC" w:rsidRDefault="00E956C2" w:rsidP="00E956C2">
      <w:pPr>
        <w:spacing w:line="360" w:lineRule="auto"/>
        <w:jc w:val="center"/>
        <w:rPr>
          <w:rFonts w:ascii="Times New Roman" w:hAnsi="Times New Roman" w:cs="Times New Roman"/>
          <w:sz w:val="24"/>
          <w:szCs w:val="24"/>
        </w:rPr>
      </w:pPr>
      <w:r w:rsidRPr="006326CA">
        <w:rPr>
          <w:noProof/>
          <w:color w:val="7030A0"/>
          <w:u w:val="single"/>
        </w:rPr>
        <w:drawing>
          <wp:anchor distT="0" distB="0" distL="114300" distR="114300" simplePos="0" relativeHeight="251670528" behindDoc="0" locked="0" layoutInCell="1" allowOverlap="1" wp14:anchorId="54C3E2FF" wp14:editId="79E82F0B">
            <wp:simplePos x="0" y="0"/>
            <wp:positionH relativeFrom="margin">
              <wp:align>right</wp:align>
            </wp:positionH>
            <wp:positionV relativeFrom="paragraph">
              <wp:posOffset>247650</wp:posOffset>
            </wp:positionV>
            <wp:extent cx="5943600" cy="2771775"/>
            <wp:effectExtent l="0" t="0" r="0" b="9525"/>
            <wp:wrapNone/>
            <wp:docPr id="11" name="Chart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10F2AE3-9A5D-9869-4199-2ECB1A5421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6326CA">
        <w:rPr>
          <w:rFonts w:ascii="Times New Roman" w:hAnsi="Times New Roman" w:cs="Times New Roman"/>
          <w:color w:val="7030A0"/>
          <w:sz w:val="24"/>
          <w:szCs w:val="24"/>
          <w:u w:val="single"/>
        </w:rPr>
        <w:t>4.2.2 Operating Expenses</w:t>
      </w:r>
    </w:p>
    <w:p w14:paraId="7CDEDB46" w14:textId="77777777" w:rsidR="00E956C2" w:rsidRDefault="00E956C2" w:rsidP="00E956C2">
      <w:pPr>
        <w:spacing w:line="360" w:lineRule="auto"/>
        <w:jc w:val="center"/>
        <w:rPr>
          <w:rFonts w:ascii="Times New Roman" w:hAnsi="Times New Roman" w:cs="Times New Roman"/>
          <w:sz w:val="24"/>
          <w:szCs w:val="24"/>
        </w:rPr>
      </w:pPr>
    </w:p>
    <w:p w14:paraId="0C8F194C" w14:textId="77777777" w:rsidR="00E956C2" w:rsidRPr="000B1971" w:rsidRDefault="00E956C2" w:rsidP="00E956C2">
      <w:pPr>
        <w:rPr>
          <w:rFonts w:ascii="Times New Roman" w:hAnsi="Times New Roman" w:cs="Times New Roman"/>
          <w:sz w:val="24"/>
          <w:szCs w:val="24"/>
        </w:rPr>
      </w:pPr>
    </w:p>
    <w:p w14:paraId="68CA3EAA" w14:textId="77777777" w:rsidR="00E956C2" w:rsidRPr="000B1971" w:rsidRDefault="00E956C2" w:rsidP="00E956C2">
      <w:pPr>
        <w:rPr>
          <w:rFonts w:ascii="Times New Roman" w:hAnsi="Times New Roman" w:cs="Times New Roman"/>
          <w:sz w:val="24"/>
          <w:szCs w:val="24"/>
        </w:rPr>
      </w:pPr>
    </w:p>
    <w:p w14:paraId="31D2F998" w14:textId="77777777" w:rsidR="00E956C2" w:rsidRPr="000B1971" w:rsidRDefault="00E956C2" w:rsidP="00E956C2">
      <w:pPr>
        <w:rPr>
          <w:rFonts w:ascii="Times New Roman" w:hAnsi="Times New Roman" w:cs="Times New Roman"/>
          <w:sz w:val="24"/>
          <w:szCs w:val="24"/>
        </w:rPr>
      </w:pPr>
    </w:p>
    <w:p w14:paraId="05BDFD09" w14:textId="77777777" w:rsidR="00E956C2" w:rsidRPr="000B1971" w:rsidRDefault="00E956C2" w:rsidP="00E956C2">
      <w:pPr>
        <w:rPr>
          <w:rFonts w:ascii="Times New Roman" w:hAnsi="Times New Roman" w:cs="Times New Roman"/>
          <w:sz w:val="24"/>
          <w:szCs w:val="24"/>
        </w:rPr>
      </w:pPr>
    </w:p>
    <w:p w14:paraId="64A0FA50" w14:textId="77777777" w:rsidR="00E956C2" w:rsidRPr="000B1971" w:rsidRDefault="00E956C2" w:rsidP="00E956C2">
      <w:pPr>
        <w:rPr>
          <w:rFonts w:ascii="Times New Roman" w:hAnsi="Times New Roman" w:cs="Times New Roman"/>
          <w:sz w:val="24"/>
          <w:szCs w:val="24"/>
        </w:rPr>
      </w:pPr>
    </w:p>
    <w:p w14:paraId="0EAFCA2C" w14:textId="77777777" w:rsidR="00E956C2" w:rsidRPr="000B1971" w:rsidRDefault="00E956C2" w:rsidP="00E956C2">
      <w:pPr>
        <w:rPr>
          <w:rFonts w:ascii="Times New Roman" w:hAnsi="Times New Roman" w:cs="Times New Roman"/>
          <w:sz w:val="24"/>
          <w:szCs w:val="24"/>
        </w:rPr>
      </w:pPr>
    </w:p>
    <w:p w14:paraId="08EBBE2C" w14:textId="77777777" w:rsidR="00E956C2" w:rsidRPr="000B1971" w:rsidRDefault="00E956C2" w:rsidP="00E956C2">
      <w:pPr>
        <w:rPr>
          <w:rFonts w:ascii="Times New Roman" w:hAnsi="Times New Roman" w:cs="Times New Roman"/>
          <w:sz w:val="24"/>
          <w:szCs w:val="24"/>
        </w:rPr>
      </w:pPr>
    </w:p>
    <w:p w14:paraId="56EB5CB3" w14:textId="77777777" w:rsidR="00E956C2" w:rsidRDefault="00E956C2" w:rsidP="00E956C2">
      <w:pPr>
        <w:rPr>
          <w:rFonts w:ascii="Times New Roman" w:hAnsi="Times New Roman" w:cs="Times New Roman"/>
          <w:sz w:val="24"/>
          <w:szCs w:val="24"/>
        </w:rPr>
      </w:pPr>
    </w:p>
    <w:p w14:paraId="1E501A24" w14:textId="77777777" w:rsidR="00E956C2" w:rsidRPr="007F2D94" w:rsidRDefault="00E956C2" w:rsidP="00E956C2">
      <w:pPr>
        <w:spacing w:line="360" w:lineRule="auto"/>
        <w:rPr>
          <w:rFonts w:ascii="Times New Roman" w:hAnsi="Times New Roman" w:cs="Times New Roman"/>
          <w:color w:val="000000" w:themeColor="text1"/>
          <w:sz w:val="24"/>
          <w:szCs w:val="24"/>
        </w:rPr>
      </w:pPr>
      <w:r w:rsidRPr="001C0C1C">
        <w:rPr>
          <w:rFonts w:ascii="Times New Roman" w:hAnsi="Times New Roman" w:cs="Times New Roman"/>
          <w:color w:val="000000" w:themeColor="text1"/>
          <w:sz w:val="24"/>
          <w:szCs w:val="24"/>
        </w:rPr>
        <w:t xml:space="preserve">The cost that a </w:t>
      </w:r>
      <w:r>
        <w:rPr>
          <w:rFonts w:ascii="Times New Roman" w:hAnsi="Times New Roman" w:cs="Times New Roman"/>
          <w:color w:val="000000" w:themeColor="text1"/>
          <w:sz w:val="24"/>
          <w:szCs w:val="24"/>
        </w:rPr>
        <w:t>bank</w:t>
      </w:r>
      <w:r w:rsidRPr="001C0C1C">
        <w:rPr>
          <w:rFonts w:ascii="Times New Roman" w:hAnsi="Times New Roman" w:cs="Times New Roman"/>
          <w:color w:val="000000" w:themeColor="text1"/>
          <w:sz w:val="24"/>
          <w:szCs w:val="24"/>
        </w:rPr>
        <w:t xml:space="preserve"> incurs as a result of regular business operations is referred to as an operating expense</w:t>
      </w:r>
      <w:r>
        <w:rPr>
          <w:rFonts w:ascii="Times New Roman" w:hAnsi="Times New Roman" w:cs="Times New Roman"/>
          <w:color w:val="000000" w:themeColor="text1"/>
          <w:sz w:val="24"/>
          <w:szCs w:val="24"/>
        </w:rPr>
        <w:t>. O</w:t>
      </w:r>
      <w:r w:rsidRPr="007F2D94">
        <w:rPr>
          <w:rFonts w:ascii="Times New Roman" w:hAnsi="Times New Roman" w:cs="Times New Roman"/>
          <w:color w:val="000000" w:themeColor="text1"/>
          <w:sz w:val="24"/>
          <w:szCs w:val="24"/>
        </w:rPr>
        <w:t xml:space="preserve">perating expenses include </w:t>
      </w:r>
      <w:r>
        <w:rPr>
          <w:rFonts w:ascii="Times New Roman" w:hAnsi="Times New Roman" w:cs="Times New Roman"/>
          <w:color w:val="000000" w:themeColor="text1"/>
          <w:sz w:val="24"/>
          <w:szCs w:val="24"/>
        </w:rPr>
        <w:t>salaries and allowances, electricity and rent, legal expense, salary of MD and CEO, branding and promotional expenses etc.</w:t>
      </w:r>
    </w:p>
    <w:p w14:paraId="0207AC20" w14:textId="77777777" w:rsidR="00E956C2" w:rsidRDefault="00E956C2" w:rsidP="00E956C2">
      <w:pPr>
        <w:spacing w:line="360" w:lineRule="auto"/>
        <w:jc w:val="both"/>
        <w:rPr>
          <w:rFonts w:ascii="Times New Roman" w:hAnsi="Times New Roman" w:cs="Times New Roman"/>
          <w:color w:val="000000" w:themeColor="text1"/>
          <w:sz w:val="24"/>
          <w:szCs w:val="24"/>
        </w:rPr>
      </w:pPr>
      <w:r w:rsidRPr="001C0C1C">
        <w:rPr>
          <w:rFonts w:ascii="Times New Roman" w:hAnsi="Times New Roman" w:cs="Times New Roman"/>
          <w:color w:val="000000" w:themeColor="text1"/>
          <w:sz w:val="24"/>
          <w:szCs w:val="24"/>
        </w:rPr>
        <w:t xml:space="preserve">Over the past five years, operating costs have risen </w:t>
      </w:r>
      <w:r>
        <w:rPr>
          <w:rFonts w:ascii="Times New Roman" w:hAnsi="Times New Roman" w:cs="Times New Roman"/>
          <w:color w:val="000000" w:themeColor="text1"/>
          <w:sz w:val="24"/>
          <w:szCs w:val="24"/>
        </w:rPr>
        <w:t>for CBL</w:t>
      </w:r>
      <w:r w:rsidRPr="001C0C1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 2017, the operating cost of CBL was BDT 8047 million. It increased to BDT 9,223 million in 2018 and the again slightly increased to BDT 9,998 in 2019. After that the OPEX had a slight decline in 2020 with BDT 9,697 million. Lastly, CBL finished its year 2021 with BDT 10,403 million, which was the </w:t>
      </w:r>
      <w:r>
        <w:rPr>
          <w:rFonts w:ascii="Times New Roman" w:hAnsi="Times New Roman" w:cs="Times New Roman"/>
          <w:color w:val="000000" w:themeColor="text1"/>
          <w:sz w:val="24"/>
          <w:szCs w:val="24"/>
        </w:rPr>
        <w:lastRenderedPageBreak/>
        <w:t>highest in the last five years. Having too much operating expense is bad for the banks, so City Bank should try to keep its operating expenses in control.</w:t>
      </w:r>
    </w:p>
    <w:p w14:paraId="7B630151" w14:textId="77777777" w:rsidR="00E956C2" w:rsidRPr="002909CC" w:rsidRDefault="00E956C2" w:rsidP="00E956C2">
      <w:pPr>
        <w:spacing w:line="360" w:lineRule="auto"/>
        <w:jc w:val="center"/>
        <w:rPr>
          <w:rFonts w:ascii="Times New Roman" w:hAnsi="Times New Roman" w:cs="Times New Roman"/>
          <w:color w:val="000000" w:themeColor="text1"/>
          <w:sz w:val="24"/>
          <w:szCs w:val="24"/>
        </w:rPr>
      </w:pPr>
      <w:r w:rsidRPr="006326CA">
        <w:rPr>
          <w:noProof/>
          <w:color w:val="7030A0"/>
        </w:rPr>
        <w:drawing>
          <wp:anchor distT="0" distB="0" distL="114300" distR="114300" simplePos="0" relativeHeight="251671552" behindDoc="0" locked="0" layoutInCell="1" allowOverlap="1" wp14:anchorId="5B61B41A" wp14:editId="4E473411">
            <wp:simplePos x="0" y="0"/>
            <wp:positionH relativeFrom="margin">
              <wp:posOffset>57150</wp:posOffset>
            </wp:positionH>
            <wp:positionV relativeFrom="paragraph">
              <wp:posOffset>340995</wp:posOffset>
            </wp:positionV>
            <wp:extent cx="5934075" cy="2714625"/>
            <wp:effectExtent l="0" t="0" r="9525" b="9525"/>
            <wp:wrapNone/>
            <wp:docPr id="12" name="Chart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B27B6C1-62A6-DA9F-18E5-D1538D39DE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Pr="006326CA">
        <w:rPr>
          <w:rFonts w:ascii="Times New Roman" w:hAnsi="Times New Roman" w:cs="Times New Roman"/>
          <w:color w:val="7030A0"/>
          <w:sz w:val="24"/>
          <w:szCs w:val="24"/>
          <w:u w:val="single"/>
        </w:rPr>
        <w:t>4.2.3 Profit After Tax</w:t>
      </w:r>
    </w:p>
    <w:p w14:paraId="20367B63"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65285237" w14:textId="77777777" w:rsidR="00E956C2" w:rsidRPr="006326CA" w:rsidRDefault="00E956C2" w:rsidP="00E956C2">
      <w:pPr>
        <w:rPr>
          <w:rFonts w:ascii="Times New Roman" w:hAnsi="Times New Roman" w:cs="Times New Roman"/>
          <w:sz w:val="24"/>
          <w:szCs w:val="24"/>
        </w:rPr>
      </w:pPr>
    </w:p>
    <w:p w14:paraId="56E6EC3C" w14:textId="77777777" w:rsidR="00E956C2" w:rsidRPr="006326CA" w:rsidRDefault="00E956C2" w:rsidP="00E956C2">
      <w:pPr>
        <w:rPr>
          <w:rFonts w:ascii="Times New Roman" w:hAnsi="Times New Roman" w:cs="Times New Roman"/>
          <w:sz w:val="24"/>
          <w:szCs w:val="24"/>
        </w:rPr>
      </w:pPr>
    </w:p>
    <w:p w14:paraId="740194FB" w14:textId="77777777" w:rsidR="00E956C2" w:rsidRPr="006326CA" w:rsidRDefault="00E956C2" w:rsidP="00E956C2">
      <w:pPr>
        <w:rPr>
          <w:rFonts w:ascii="Times New Roman" w:hAnsi="Times New Roman" w:cs="Times New Roman"/>
          <w:sz w:val="24"/>
          <w:szCs w:val="24"/>
        </w:rPr>
      </w:pPr>
    </w:p>
    <w:p w14:paraId="7BBD638E" w14:textId="77777777" w:rsidR="00E956C2" w:rsidRPr="006326CA" w:rsidRDefault="00E956C2" w:rsidP="00E956C2">
      <w:pPr>
        <w:rPr>
          <w:rFonts w:ascii="Times New Roman" w:hAnsi="Times New Roman" w:cs="Times New Roman"/>
          <w:sz w:val="24"/>
          <w:szCs w:val="24"/>
        </w:rPr>
      </w:pPr>
    </w:p>
    <w:p w14:paraId="2BA140E3" w14:textId="77777777" w:rsidR="00E956C2" w:rsidRPr="006326CA" w:rsidRDefault="00E956C2" w:rsidP="00E956C2">
      <w:pPr>
        <w:rPr>
          <w:rFonts w:ascii="Times New Roman" w:hAnsi="Times New Roman" w:cs="Times New Roman"/>
          <w:sz w:val="24"/>
          <w:szCs w:val="24"/>
        </w:rPr>
      </w:pPr>
    </w:p>
    <w:p w14:paraId="64431982" w14:textId="77777777" w:rsidR="00E956C2" w:rsidRPr="006326CA" w:rsidRDefault="00E956C2" w:rsidP="00E956C2">
      <w:pPr>
        <w:rPr>
          <w:rFonts w:ascii="Times New Roman" w:hAnsi="Times New Roman" w:cs="Times New Roman"/>
          <w:sz w:val="24"/>
          <w:szCs w:val="24"/>
        </w:rPr>
      </w:pPr>
    </w:p>
    <w:p w14:paraId="7D367048" w14:textId="77777777" w:rsidR="00E956C2" w:rsidRPr="006326CA" w:rsidRDefault="00E956C2" w:rsidP="00E956C2">
      <w:pPr>
        <w:rPr>
          <w:rFonts w:ascii="Times New Roman" w:hAnsi="Times New Roman" w:cs="Times New Roman"/>
          <w:sz w:val="24"/>
          <w:szCs w:val="24"/>
        </w:rPr>
      </w:pPr>
    </w:p>
    <w:p w14:paraId="2C7E751D" w14:textId="77777777" w:rsidR="00E956C2" w:rsidRDefault="00E956C2" w:rsidP="00E956C2">
      <w:pPr>
        <w:rPr>
          <w:rFonts w:ascii="Times New Roman" w:hAnsi="Times New Roman" w:cs="Times New Roman"/>
          <w:color w:val="000000" w:themeColor="text1"/>
          <w:sz w:val="24"/>
          <w:szCs w:val="24"/>
        </w:rPr>
      </w:pPr>
    </w:p>
    <w:p w14:paraId="0A5FB63A"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14DE76A3" w14:textId="77777777" w:rsidR="00E956C2" w:rsidRPr="006326CA"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Profit after tax refers to the profit which remains after deducting all operating expenses, provisions and taxes. In the above graph, we can see that the Profit After Expense (PAT) was BDT 3628 million in 2017. It decreased to BDT 2018 million in 2018, having a negative growth of -44% from 2017 to 2018. This was the worst PAT in the last five years for CBL. The poor figures of PAT could be due to severe increase in OPEX or because of increased provisions and taxes. After that the PAT increased slightly to BDT 2472 million in 2019 despite the effects of the covid-19, having a small growth of 22%. Later on, it kept improving with BDT 4012 million in 2020 and BDT 4743 in 2021, having a growth of 62% and 18% in the year 2020 and 2021 respectively. Therefore, we can say that the Profit After Tax of City Bank is improving in recent years.</w:t>
      </w:r>
    </w:p>
    <w:p w14:paraId="3579FB18"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23A2A42F"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31815819"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4A1D7353"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66DE127D"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70782F5B"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4DBDB01E" w14:textId="77777777" w:rsidR="00E956C2" w:rsidRPr="00483C91" w:rsidRDefault="00E956C2" w:rsidP="00E956C2">
      <w:pPr>
        <w:spacing w:line="360" w:lineRule="auto"/>
        <w:jc w:val="center"/>
        <w:rPr>
          <w:rFonts w:ascii="Times New Roman" w:hAnsi="Times New Roman" w:cs="Times New Roman"/>
          <w:b/>
          <w:bCs/>
          <w:color w:val="4472C4" w:themeColor="accent1"/>
          <w:sz w:val="28"/>
          <w:szCs w:val="28"/>
          <w:u w:val="single"/>
        </w:rPr>
      </w:pPr>
      <w:r w:rsidRPr="00483C91">
        <w:rPr>
          <w:rFonts w:ascii="Times New Roman" w:hAnsi="Times New Roman" w:cs="Times New Roman"/>
          <w:b/>
          <w:bCs/>
          <w:color w:val="4472C4" w:themeColor="accent1"/>
          <w:sz w:val="28"/>
          <w:szCs w:val="28"/>
          <w:u w:val="single"/>
        </w:rPr>
        <w:t>4.3 BIS Capital Measures</w:t>
      </w:r>
    </w:p>
    <w:p w14:paraId="011A44B2" w14:textId="77777777" w:rsidR="00E956C2" w:rsidRDefault="00E956C2" w:rsidP="00E956C2">
      <w:pPr>
        <w:spacing w:line="360" w:lineRule="auto"/>
        <w:jc w:val="center"/>
        <w:rPr>
          <w:rFonts w:ascii="Times New Roman" w:hAnsi="Times New Roman" w:cs="Times New Roman"/>
          <w:color w:val="7030A0"/>
          <w:sz w:val="24"/>
          <w:szCs w:val="24"/>
          <w:u w:val="single"/>
        </w:rPr>
      </w:pPr>
      <w:r>
        <w:rPr>
          <w:noProof/>
        </w:rPr>
        <w:drawing>
          <wp:anchor distT="0" distB="0" distL="114300" distR="114300" simplePos="0" relativeHeight="251672576" behindDoc="0" locked="0" layoutInCell="1" allowOverlap="1" wp14:anchorId="1CA55C3A" wp14:editId="0ECFCDB4">
            <wp:simplePos x="0" y="0"/>
            <wp:positionH relativeFrom="margin">
              <wp:posOffset>38100</wp:posOffset>
            </wp:positionH>
            <wp:positionV relativeFrom="paragraph">
              <wp:posOffset>257809</wp:posOffset>
            </wp:positionV>
            <wp:extent cx="5934075" cy="2733675"/>
            <wp:effectExtent l="0" t="0" r="9525" b="9525"/>
            <wp:wrapNone/>
            <wp:docPr id="13" name="Chart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F905DE-70CB-83AC-F0F3-24CCE59061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Pr="00483C91">
        <w:rPr>
          <w:rFonts w:ascii="Times New Roman" w:hAnsi="Times New Roman" w:cs="Times New Roman"/>
          <w:color w:val="7030A0"/>
          <w:sz w:val="24"/>
          <w:szCs w:val="24"/>
          <w:u w:val="single"/>
        </w:rPr>
        <w:t>4.3.1 Total Capital Adequacy Ratio</w:t>
      </w:r>
    </w:p>
    <w:p w14:paraId="67CA1350" w14:textId="77777777" w:rsidR="00E956C2" w:rsidRDefault="00E956C2" w:rsidP="00E956C2">
      <w:pPr>
        <w:jc w:val="both"/>
        <w:rPr>
          <w:rFonts w:ascii="Times New Roman" w:hAnsi="Times New Roman" w:cs="Times New Roman"/>
          <w:sz w:val="24"/>
          <w:szCs w:val="24"/>
        </w:rPr>
      </w:pPr>
    </w:p>
    <w:p w14:paraId="4E53DC2C" w14:textId="77777777" w:rsidR="00E956C2" w:rsidRDefault="00E956C2" w:rsidP="00E956C2">
      <w:pPr>
        <w:jc w:val="both"/>
        <w:rPr>
          <w:rFonts w:ascii="Times New Roman" w:hAnsi="Times New Roman" w:cs="Times New Roman"/>
          <w:sz w:val="24"/>
          <w:szCs w:val="24"/>
        </w:rPr>
      </w:pPr>
    </w:p>
    <w:p w14:paraId="02326FCF" w14:textId="77777777" w:rsidR="00E956C2" w:rsidRDefault="00E956C2" w:rsidP="00E956C2">
      <w:pPr>
        <w:jc w:val="both"/>
        <w:rPr>
          <w:rFonts w:ascii="Times New Roman" w:hAnsi="Times New Roman" w:cs="Times New Roman"/>
          <w:sz w:val="24"/>
          <w:szCs w:val="24"/>
        </w:rPr>
      </w:pPr>
    </w:p>
    <w:p w14:paraId="63F81A49" w14:textId="77777777" w:rsidR="00E956C2" w:rsidRDefault="00E956C2" w:rsidP="00E956C2">
      <w:pPr>
        <w:jc w:val="both"/>
        <w:rPr>
          <w:rFonts w:ascii="Times New Roman" w:hAnsi="Times New Roman" w:cs="Times New Roman"/>
          <w:sz w:val="24"/>
          <w:szCs w:val="24"/>
        </w:rPr>
      </w:pPr>
    </w:p>
    <w:p w14:paraId="4015444E" w14:textId="77777777" w:rsidR="00E956C2" w:rsidRDefault="00E956C2" w:rsidP="00E956C2">
      <w:pPr>
        <w:jc w:val="both"/>
        <w:rPr>
          <w:rFonts w:ascii="Times New Roman" w:hAnsi="Times New Roman" w:cs="Times New Roman"/>
          <w:sz w:val="24"/>
          <w:szCs w:val="24"/>
        </w:rPr>
      </w:pPr>
    </w:p>
    <w:p w14:paraId="0AEA3064" w14:textId="77777777" w:rsidR="00E956C2" w:rsidRDefault="00E956C2" w:rsidP="00E956C2">
      <w:pPr>
        <w:jc w:val="both"/>
        <w:rPr>
          <w:rFonts w:ascii="Times New Roman" w:hAnsi="Times New Roman" w:cs="Times New Roman"/>
          <w:sz w:val="24"/>
          <w:szCs w:val="24"/>
        </w:rPr>
      </w:pPr>
    </w:p>
    <w:p w14:paraId="554F2DD1" w14:textId="77777777" w:rsidR="00E956C2" w:rsidRDefault="00E956C2" w:rsidP="00E956C2">
      <w:pPr>
        <w:jc w:val="both"/>
        <w:rPr>
          <w:rFonts w:ascii="Times New Roman" w:hAnsi="Times New Roman" w:cs="Times New Roman"/>
          <w:sz w:val="24"/>
          <w:szCs w:val="24"/>
        </w:rPr>
      </w:pPr>
    </w:p>
    <w:p w14:paraId="599D7B53" w14:textId="77777777" w:rsidR="00E956C2" w:rsidRDefault="00E956C2" w:rsidP="00E956C2">
      <w:pPr>
        <w:spacing w:line="360" w:lineRule="auto"/>
        <w:jc w:val="both"/>
        <w:rPr>
          <w:rFonts w:ascii="Times New Roman" w:hAnsi="Times New Roman" w:cs="Times New Roman"/>
          <w:sz w:val="24"/>
          <w:szCs w:val="24"/>
        </w:rPr>
      </w:pPr>
    </w:p>
    <w:p w14:paraId="0990F52C" w14:textId="77777777" w:rsidR="00E956C2" w:rsidRDefault="00E956C2" w:rsidP="00E956C2">
      <w:pPr>
        <w:spacing w:line="360" w:lineRule="auto"/>
        <w:jc w:val="both"/>
        <w:rPr>
          <w:rFonts w:ascii="Times New Roman" w:hAnsi="Times New Roman" w:cs="Times New Roman"/>
          <w:sz w:val="24"/>
          <w:szCs w:val="24"/>
        </w:rPr>
      </w:pPr>
    </w:p>
    <w:p w14:paraId="191A608B" w14:textId="77777777" w:rsidR="00E956C2" w:rsidRDefault="00E956C2" w:rsidP="00E956C2">
      <w:pPr>
        <w:spacing w:line="360" w:lineRule="auto"/>
        <w:jc w:val="both"/>
        <w:rPr>
          <w:rFonts w:ascii="Times New Roman" w:hAnsi="Times New Roman" w:cs="Times New Roman"/>
          <w:sz w:val="24"/>
          <w:szCs w:val="24"/>
        </w:rPr>
      </w:pPr>
      <w:r w:rsidRPr="00A46ADE">
        <w:rPr>
          <w:rFonts w:ascii="Times New Roman" w:hAnsi="Times New Roman" w:cs="Times New Roman"/>
          <w:sz w:val="24"/>
          <w:szCs w:val="24"/>
        </w:rPr>
        <w:t>The capital adequacy ratio (CAR) measures a bank's capital in relation to its current liabilities and risk-weighted assets.</w:t>
      </w:r>
      <w:r>
        <w:rPr>
          <w:rFonts w:ascii="Times New Roman" w:hAnsi="Times New Roman" w:cs="Times New Roman"/>
          <w:sz w:val="24"/>
          <w:szCs w:val="24"/>
        </w:rPr>
        <w:t xml:space="preserve"> Here, we can see that City Bank had CAR of 14.70% in 2017. It decreased slightly to 13.40% in the year 2018. Then the CAR increased to 15.20% in 2019 and continued to increase till 2020 with a CAR of 15.50%. However, the Capital Adequacy Ratio (CAR) decreased significantly in 2021. Since lower CAR is bad for the banks, City Bank should try to improve its CAR in the future.</w:t>
      </w:r>
    </w:p>
    <w:p w14:paraId="23F679E2" w14:textId="77777777" w:rsidR="00E956C2" w:rsidRDefault="00E956C2" w:rsidP="00E956C2">
      <w:pPr>
        <w:spacing w:line="360" w:lineRule="auto"/>
        <w:jc w:val="center"/>
        <w:rPr>
          <w:rFonts w:ascii="Times New Roman" w:hAnsi="Times New Roman" w:cs="Times New Roman"/>
          <w:color w:val="7030A0"/>
          <w:sz w:val="24"/>
          <w:szCs w:val="24"/>
          <w:u w:val="single"/>
        </w:rPr>
      </w:pPr>
      <w:r>
        <w:rPr>
          <w:noProof/>
        </w:rPr>
        <w:drawing>
          <wp:anchor distT="0" distB="0" distL="114300" distR="114300" simplePos="0" relativeHeight="251673600" behindDoc="0" locked="0" layoutInCell="1" allowOverlap="1" wp14:anchorId="55132172" wp14:editId="59F6EEF3">
            <wp:simplePos x="0" y="0"/>
            <wp:positionH relativeFrom="margin">
              <wp:align>right</wp:align>
            </wp:positionH>
            <wp:positionV relativeFrom="paragraph">
              <wp:posOffset>311150</wp:posOffset>
            </wp:positionV>
            <wp:extent cx="5934075" cy="2743200"/>
            <wp:effectExtent l="0" t="0" r="9525" b="0"/>
            <wp:wrapNone/>
            <wp:docPr id="14" name="Chart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6E81C0-85BF-F4C8-BBFA-6C3A82FFCB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Pr="00827455">
        <w:rPr>
          <w:rFonts w:ascii="Times New Roman" w:hAnsi="Times New Roman" w:cs="Times New Roman"/>
          <w:color w:val="7030A0"/>
          <w:sz w:val="24"/>
          <w:szCs w:val="24"/>
          <w:u w:val="single"/>
        </w:rPr>
        <w:t>4.3.2 Risk Weighted Assets</w:t>
      </w:r>
    </w:p>
    <w:p w14:paraId="41AE8E38" w14:textId="77777777" w:rsidR="00E956C2" w:rsidRDefault="00E956C2" w:rsidP="00E956C2">
      <w:pPr>
        <w:spacing w:line="360" w:lineRule="auto"/>
        <w:jc w:val="center"/>
        <w:rPr>
          <w:rFonts w:ascii="Times New Roman" w:hAnsi="Times New Roman" w:cs="Times New Roman"/>
          <w:color w:val="7030A0"/>
          <w:sz w:val="24"/>
          <w:szCs w:val="24"/>
          <w:u w:val="single"/>
        </w:rPr>
      </w:pPr>
    </w:p>
    <w:p w14:paraId="6092E03F" w14:textId="77777777" w:rsidR="00E956C2" w:rsidRPr="00B27306" w:rsidRDefault="00E956C2" w:rsidP="00E956C2">
      <w:pPr>
        <w:rPr>
          <w:rFonts w:ascii="Times New Roman" w:hAnsi="Times New Roman" w:cs="Times New Roman"/>
          <w:sz w:val="24"/>
          <w:szCs w:val="24"/>
        </w:rPr>
      </w:pPr>
    </w:p>
    <w:p w14:paraId="7DB1ABEC" w14:textId="77777777" w:rsidR="00E956C2" w:rsidRPr="00B27306" w:rsidRDefault="00E956C2" w:rsidP="00E956C2">
      <w:pPr>
        <w:rPr>
          <w:rFonts w:ascii="Times New Roman" w:hAnsi="Times New Roman" w:cs="Times New Roman"/>
          <w:sz w:val="24"/>
          <w:szCs w:val="24"/>
        </w:rPr>
      </w:pPr>
    </w:p>
    <w:p w14:paraId="241D712D" w14:textId="77777777" w:rsidR="00E956C2" w:rsidRPr="00B27306" w:rsidRDefault="00E956C2" w:rsidP="00E956C2">
      <w:pPr>
        <w:rPr>
          <w:rFonts w:ascii="Times New Roman" w:hAnsi="Times New Roman" w:cs="Times New Roman"/>
          <w:sz w:val="24"/>
          <w:szCs w:val="24"/>
        </w:rPr>
      </w:pPr>
    </w:p>
    <w:p w14:paraId="188B8951" w14:textId="77777777" w:rsidR="00E956C2" w:rsidRPr="00B27306" w:rsidRDefault="00E956C2" w:rsidP="00E956C2">
      <w:pPr>
        <w:rPr>
          <w:rFonts w:ascii="Times New Roman" w:hAnsi="Times New Roman" w:cs="Times New Roman"/>
          <w:sz w:val="24"/>
          <w:szCs w:val="24"/>
        </w:rPr>
      </w:pPr>
    </w:p>
    <w:p w14:paraId="3C1FA438" w14:textId="77777777" w:rsidR="00E956C2" w:rsidRPr="00B27306" w:rsidRDefault="00E956C2" w:rsidP="00E956C2">
      <w:pPr>
        <w:rPr>
          <w:rFonts w:ascii="Times New Roman" w:hAnsi="Times New Roman" w:cs="Times New Roman"/>
          <w:sz w:val="24"/>
          <w:szCs w:val="24"/>
        </w:rPr>
      </w:pPr>
    </w:p>
    <w:p w14:paraId="24EBD03D" w14:textId="77777777" w:rsidR="00E956C2" w:rsidRPr="00B27306" w:rsidRDefault="00E956C2" w:rsidP="00E956C2">
      <w:pPr>
        <w:rPr>
          <w:rFonts w:ascii="Times New Roman" w:hAnsi="Times New Roman" w:cs="Times New Roman"/>
          <w:sz w:val="24"/>
          <w:szCs w:val="24"/>
        </w:rPr>
      </w:pPr>
    </w:p>
    <w:p w14:paraId="05A06A1D" w14:textId="77777777" w:rsidR="00E956C2" w:rsidRPr="00B27306" w:rsidRDefault="00E956C2" w:rsidP="00E956C2">
      <w:pPr>
        <w:rPr>
          <w:rFonts w:ascii="Times New Roman" w:hAnsi="Times New Roman" w:cs="Times New Roman"/>
          <w:sz w:val="24"/>
          <w:szCs w:val="24"/>
        </w:rPr>
      </w:pPr>
    </w:p>
    <w:p w14:paraId="7613859E" w14:textId="77777777" w:rsidR="00E956C2" w:rsidRDefault="00E956C2" w:rsidP="00E956C2">
      <w:pPr>
        <w:spacing w:line="360" w:lineRule="auto"/>
        <w:jc w:val="both"/>
        <w:rPr>
          <w:rFonts w:ascii="Times New Roman" w:hAnsi="Times New Roman" w:cs="Times New Roman"/>
          <w:sz w:val="24"/>
          <w:szCs w:val="24"/>
        </w:rPr>
      </w:pPr>
    </w:p>
    <w:p w14:paraId="65F9E93F" w14:textId="77777777" w:rsidR="00E956C2" w:rsidRDefault="00E956C2" w:rsidP="00E956C2">
      <w:pPr>
        <w:spacing w:line="360" w:lineRule="auto"/>
        <w:jc w:val="both"/>
        <w:rPr>
          <w:rFonts w:ascii="Times New Roman" w:hAnsi="Times New Roman" w:cs="Times New Roman"/>
          <w:sz w:val="24"/>
          <w:szCs w:val="24"/>
        </w:rPr>
      </w:pPr>
      <w:r w:rsidRPr="00B27306">
        <w:rPr>
          <w:rFonts w:ascii="Times New Roman" w:hAnsi="Times New Roman" w:cs="Times New Roman"/>
          <w:sz w:val="24"/>
          <w:szCs w:val="24"/>
        </w:rPr>
        <w:t xml:space="preserve">The minimum capital a bank must possess in relation to the risk profile of its lending activities and other assets is established using risk-weighted assets. </w:t>
      </w:r>
      <w:r>
        <w:rPr>
          <w:rFonts w:ascii="Times New Roman" w:hAnsi="Times New Roman" w:cs="Times New Roman"/>
          <w:sz w:val="24"/>
          <w:szCs w:val="24"/>
        </w:rPr>
        <w:t>Risk weighted assets consists of credit risk, operational risk and market risk. Here, in the above graph we can see that the RWA of City Bank has an increasing trend though it slightly decreased in the year 2019. The RWA increased from BDT 202210 million in 2017 to BDT 259,413 million in 2018. After that increase, there was a slight decrease in RWA in 2019 with BDT 244,925 million. Then the RWA increased to BDT 269,322 million in 2020 and BDT 305,194 in 2021. This is indicating that the bank is taking more risk and therefore more capital is required to safeguard the depositors.</w:t>
      </w:r>
    </w:p>
    <w:p w14:paraId="3F75F0A0" w14:textId="77777777" w:rsidR="00E956C2" w:rsidRPr="00C67F0D" w:rsidRDefault="00E956C2" w:rsidP="00E956C2">
      <w:pPr>
        <w:spacing w:line="360" w:lineRule="auto"/>
        <w:jc w:val="center"/>
        <w:rPr>
          <w:rFonts w:ascii="Times New Roman" w:hAnsi="Times New Roman" w:cs="Times New Roman"/>
          <w:sz w:val="24"/>
          <w:szCs w:val="24"/>
        </w:rPr>
      </w:pPr>
      <w:r w:rsidRPr="007C3E8B">
        <w:rPr>
          <w:rFonts w:ascii="Times New Roman" w:hAnsi="Times New Roman" w:cs="Times New Roman"/>
          <w:b/>
          <w:bCs/>
          <w:color w:val="4472C4" w:themeColor="accent1"/>
          <w:sz w:val="28"/>
          <w:szCs w:val="28"/>
          <w:u w:val="single"/>
        </w:rPr>
        <w:t>4.4 Credit Quality</w:t>
      </w:r>
    </w:p>
    <w:p w14:paraId="2A9D02B1" w14:textId="77777777" w:rsidR="00E956C2" w:rsidRPr="00C67F0D" w:rsidRDefault="00E956C2" w:rsidP="00E956C2">
      <w:pPr>
        <w:spacing w:line="360" w:lineRule="auto"/>
        <w:jc w:val="center"/>
        <w:rPr>
          <w:rFonts w:ascii="Times New Roman" w:hAnsi="Times New Roman" w:cs="Times New Roman"/>
          <w:color w:val="7030A0"/>
          <w:sz w:val="24"/>
          <w:szCs w:val="24"/>
          <w:u w:val="single"/>
        </w:rPr>
      </w:pPr>
      <w:r>
        <w:rPr>
          <w:noProof/>
        </w:rPr>
        <w:drawing>
          <wp:anchor distT="0" distB="0" distL="114300" distR="114300" simplePos="0" relativeHeight="251674624" behindDoc="0" locked="0" layoutInCell="1" allowOverlap="1" wp14:anchorId="7139C6A0" wp14:editId="5085ECF9">
            <wp:simplePos x="0" y="0"/>
            <wp:positionH relativeFrom="margin">
              <wp:align>right</wp:align>
            </wp:positionH>
            <wp:positionV relativeFrom="paragraph">
              <wp:posOffset>344170</wp:posOffset>
            </wp:positionV>
            <wp:extent cx="5943600" cy="2590800"/>
            <wp:effectExtent l="0" t="0" r="0" b="0"/>
            <wp:wrapNone/>
            <wp:docPr id="2" name="Chart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2EA4C3F-33F7-46C7-C0FB-A0C76995E0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Pr="00C67F0D">
        <w:rPr>
          <w:rFonts w:ascii="Times New Roman" w:hAnsi="Times New Roman" w:cs="Times New Roman"/>
          <w:color w:val="7030A0"/>
          <w:sz w:val="24"/>
          <w:szCs w:val="24"/>
          <w:u w:val="single"/>
        </w:rPr>
        <w:t>4.4.1 NPL Volume</w:t>
      </w:r>
    </w:p>
    <w:p w14:paraId="647D0E99" w14:textId="77777777" w:rsidR="00E956C2" w:rsidRDefault="00E956C2" w:rsidP="00E956C2">
      <w:pPr>
        <w:spacing w:line="360" w:lineRule="auto"/>
        <w:jc w:val="both"/>
        <w:rPr>
          <w:rFonts w:ascii="Times New Roman" w:hAnsi="Times New Roman" w:cs="Times New Roman"/>
          <w:sz w:val="24"/>
          <w:szCs w:val="24"/>
        </w:rPr>
      </w:pPr>
    </w:p>
    <w:p w14:paraId="2CA5FCAB" w14:textId="77777777" w:rsidR="00E956C2" w:rsidRDefault="00E956C2" w:rsidP="00E956C2">
      <w:pPr>
        <w:spacing w:line="360" w:lineRule="auto"/>
        <w:jc w:val="both"/>
        <w:rPr>
          <w:rFonts w:ascii="Times New Roman" w:hAnsi="Times New Roman" w:cs="Times New Roman"/>
          <w:sz w:val="24"/>
          <w:szCs w:val="24"/>
        </w:rPr>
      </w:pPr>
    </w:p>
    <w:p w14:paraId="76DAF3F9" w14:textId="77777777" w:rsidR="00E956C2" w:rsidRDefault="00E956C2" w:rsidP="00E956C2">
      <w:pPr>
        <w:spacing w:line="360" w:lineRule="auto"/>
        <w:jc w:val="both"/>
        <w:rPr>
          <w:rFonts w:ascii="Times New Roman" w:hAnsi="Times New Roman" w:cs="Times New Roman"/>
          <w:sz w:val="24"/>
          <w:szCs w:val="24"/>
        </w:rPr>
      </w:pPr>
    </w:p>
    <w:p w14:paraId="48CE9F14" w14:textId="77777777" w:rsidR="00E956C2" w:rsidRDefault="00E956C2" w:rsidP="00E956C2">
      <w:pPr>
        <w:spacing w:line="360" w:lineRule="auto"/>
        <w:jc w:val="both"/>
        <w:rPr>
          <w:rFonts w:ascii="Times New Roman" w:hAnsi="Times New Roman" w:cs="Times New Roman"/>
          <w:sz w:val="24"/>
          <w:szCs w:val="24"/>
        </w:rPr>
      </w:pPr>
    </w:p>
    <w:p w14:paraId="39B9936A" w14:textId="77777777" w:rsidR="00E956C2" w:rsidRDefault="00E956C2" w:rsidP="00E956C2">
      <w:pPr>
        <w:spacing w:line="360" w:lineRule="auto"/>
        <w:jc w:val="both"/>
        <w:rPr>
          <w:rFonts w:ascii="Times New Roman" w:hAnsi="Times New Roman" w:cs="Times New Roman"/>
          <w:sz w:val="24"/>
          <w:szCs w:val="24"/>
        </w:rPr>
      </w:pPr>
    </w:p>
    <w:p w14:paraId="1F59187C" w14:textId="77777777" w:rsidR="00E956C2" w:rsidRDefault="00E956C2" w:rsidP="00E956C2">
      <w:pPr>
        <w:spacing w:line="360" w:lineRule="auto"/>
        <w:jc w:val="both"/>
        <w:rPr>
          <w:rFonts w:ascii="Times New Roman" w:hAnsi="Times New Roman" w:cs="Times New Roman"/>
          <w:sz w:val="24"/>
          <w:szCs w:val="24"/>
        </w:rPr>
      </w:pPr>
    </w:p>
    <w:p w14:paraId="380D11C2" w14:textId="77777777" w:rsidR="00E956C2" w:rsidRDefault="00E956C2" w:rsidP="00E956C2">
      <w:pPr>
        <w:spacing w:line="360" w:lineRule="auto"/>
        <w:jc w:val="both"/>
        <w:rPr>
          <w:rFonts w:ascii="Times New Roman" w:hAnsi="Times New Roman" w:cs="Times New Roman"/>
          <w:sz w:val="24"/>
          <w:szCs w:val="24"/>
        </w:rPr>
      </w:pPr>
    </w:p>
    <w:p w14:paraId="686F089B" w14:textId="77777777" w:rsidR="00E956C2" w:rsidRDefault="00E956C2" w:rsidP="00E956C2">
      <w:pPr>
        <w:spacing w:line="360" w:lineRule="auto"/>
        <w:jc w:val="both"/>
        <w:rPr>
          <w:rFonts w:ascii="Times New Roman" w:hAnsi="Times New Roman" w:cs="Times New Roman"/>
          <w:sz w:val="24"/>
          <w:szCs w:val="24"/>
        </w:rPr>
      </w:pPr>
    </w:p>
    <w:p w14:paraId="06AA06F1" w14:textId="77777777" w:rsidR="00E956C2" w:rsidRDefault="00E956C2" w:rsidP="00E956C2">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NPL refers to Non-Performing Loans. When the borrower fails to repay the loan or the loan is defaulted it is said to be a non-performing loan. The more the ratio, the bad it is for the banks. </w:t>
      </w:r>
      <w:r w:rsidRPr="00385681">
        <w:rPr>
          <w:rFonts w:ascii="Times New Roman" w:hAnsi="Times New Roman" w:cs="Times New Roman"/>
          <w:color w:val="000000" w:themeColor="text1"/>
          <w:sz w:val="24"/>
          <w:szCs w:val="24"/>
        </w:rPr>
        <w:t>There are some peaks and valleys in the graph for City Bank. The amount of NPLs was BDT 10,678</w:t>
      </w:r>
      <w:r>
        <w:rPr>
          <w:rFonts w:ascii="Times New Roman" w:hAnsi="Times New Roman" w:cs="Times New Roman"/>
          <w:color w:val="000000" w:themeColor="text1"/>
          <w:sz w:val="24"/>
          <w:szCs w:val="24"/>
        </w:rPr>
        <w:t xml:space="preserve"> million</w:t>
      </w:r>
      <w:r w:rsidRPr="00385681">
        <w:rPr>
          <w:rFonts w:ascii="Times New Roman" w:hAnsi="Times New Roman" w:cs="Times New Roman"/>
          <w:color w:val="000000" w:themeColor="text1"/>
          <w:sz w:val="24"/>
          <w:szCs w:val="24"/>
        </w:rPr>
        <w:t xml:space="preserve"> in 2017; in 2018, it rose to BDT 12,326</w:t>
      </w:r>
      <w:r>
        <w:rPr>
          <w:rFonts w:ascii="Times New Roman" w:hAnsi="Times New Roman" w:cs="Times New Roman"/>
          <w:color w:val="000000" w:themeColor="text1"/>
          <w:sz w:val="24"/>
          <w:szCs w:val="24"/>
        </w:rPr>
        <w:t xml:space="preserve"> million</w:t>
      </w:r>
      <w:r w:rsidRPr="00385681">
        <w:rPr>
          <w:rFonts w:ascii="Times New Roman" w:hAnsi="Times New Roman" w:cs="Times New Roman"/>
          <w:color w:val="000000" w:themeColor="text1"/>
          <w:sz w:val="24"/>
          <w:szCs w:val="24"/>
        </w:rPr>
        <w:t xml:space="preserve">. The volume in 2019 reached BDT 14,244 million, the highest level over the previous five years. A good sign for the bank </w:t>
      </w:r>
      <w:r w:rsidRPr="00385681">
        <w:rPr>
          <w:rFonts w:ascii="Times New Roman" w:hAnsi="Times New Roman" w:cs="Times New Roman"/>
          <w:color w:val="000000" w:themeColor="text1"/>
          <w:sz w:val="24"/>
          <w:szCs w:val="24"/>
        </w:rPr>
        <w:lastRenderedPageBreak/>
        <w:t>came when the volume dropped to BDT 10,850 in 2020. Eventually, it increased to BDT 13,906 million. The bank can use this signal to help determine their strategy or course of action for the future.</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City Bank should take corrective measures to keep the non-performing or classified loans in control. Otherwise, they might face losses if they failed to recover the loans.</w:t>
      </w:r>
    </w:p>
    <w:p w14:paraId="43D8FCDB" w14:textId="77777777" w:rsidR="00E956C2" w:rsidRPr="00401A72" w:rsidRDefault="00E956C2" w:rsidP="00E956C2">
      <w:pPr>
        <w:spacing w:line="360" w:lineRule="auto"/>
        <w:jc w:val="center"/>
        <w:rPr>
          <w:rFonts w:ascii="Times New Roman" w:hAnsi="Times New Roman" w:cs="Times New Roman"/>
          <w:color w:val="7030A0"/>
          <w:sz w:val="24"/>
          <w:szCs w:val="24"/>
          <w:u w:val="single"/>
        </w:rPr>
      </w:pPr>
      <w:r w:rsidRPr="00401A72">
        <w:rPr>
          <w:rFonts w:ascii="Times New Roman" w:hAnsi="Times New Roman" w:cs="Times New Roman"/>
          <w:color w:val="7030A0"/>
          <w:sz w:val="24"/>
          <w:szCs w:val="24"/>
          <w:u w:val="single"/>
        </w:rPr>
        <w:t>4.4.2 Percentage of NPL</w:t>
      </w:r>
    </w:p>
    <w:p w14:paraId="766924F6" w14:textId="77777777" w:rsidR="00E956C2" w:rsidRPr="00C67F0D" w:rsidRDefault="00E956C2" w:rsidP="00E956C2">
      <w:pPr>
        <w:spacing w:line="360" w:lineRule="auto"/>
        <w:jc w:val="both"/>
        <w:rPr>
          <w:rFonts w:ascii="Times New Roman" w:hAnsi="Times New Roman" w:cs="Times New Roman"/>
          <w:sz w:val="24"/>
          <w:szCs w:val="24"/>
        </w:rPr>
      </w:pPr>
      <w:r w:rsidRPr="00401A72">
        <w:rPr>
          <w:noProof/>
          <w:color w:val="7030A0"/>
          <w:u w:val="single"/>
        </w:rPr>
        <w:drawing>
          <wp:anchor distT="0" distB="0" distL="114300" distR="114300" simplePos="0" relativeHeight="251675648" behindDoc="0" locked="0" layoutInCell="1" allowOverlap="1" wp14:anchorId="3CE0E83F" wp14:editId="1B3A7FEC">
            <wp:simplePos x="0" y="0"/>
            <wp:positionH relativeFrom="margin">
              <wp:align>right</wp:align>
            </wp:positionH>
            <wp:positionV relativeFrom="paragraph">
              <wp:posOffset>178435</wp:posOffset>
            </wp:positionV>
            <wp:extent cx="5895975" cy="3152775"/>
            <wp:effectExtent l="0" t="0" r="9525" b="9525"/>
            <wp:wrapNone/>
            <wp:docPr id="3" name="Chart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C47C7B-F669-B433-7051-8B57A06757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3ABBF58B" w14:textId="77777777" w:rsidR="00E956C2" w:rsidRDefault="00E956C2" w:rsidP="00E956C2">
      <w:pPr>
        <w:spacing w:line="360" w:lineRule="auto"/>
        <w:jc w:val="both"/>
        <w:rPr>
          <w:rFonts w:ascii="Times New Roman" w:hAnsi="Times New Roman" w:cs="Times New Roman"/>
          <w:sz w:val="24"/>
          <w:szCs w:val="24"/>
        </w:rPr>
      </w:pPr>
    </w:p>
    <w:p w14:paraId="57C798DB" w14:textId="77777777" w:rsidR="00E956C2" w:rsidRDefault="00E956C2" w:rsidP="00E956C2">
      <w:pPr>
        <w:spacing w:line="360" w:lineRule="auto"/>
        <w:jc w:val="both"/>
        <w:rPr>
          <w:rFonts w:ascii="Times New Roman" w:hAnsi="Times New Roman" w:cs="Times New Roman"/>
          <w:sz w:val="24"/>
          <w:szCs w:val="24"/>
        </w:rPr>
      </w:pPr>
    </w:p>
    <w:p w14:paraId="1F3FEEB7" w14:textId="77777777" w:rsidR="00E956C2" w:rsidRDefault="00E956C2" w:rsidP="00E956C2">
      <w:pPr>
        <w:spacing w:line="360" w:lineRule="auto"/>
        <w:jc w:val="both"/>
        <w:rPr>
          <w:rFonts w:ascii="Times New Roman" w:hAnsi="Times New Roman" w:cs="Times New Roman"/>
          <w:sz w:val="24"/>
          <w:szCs w:val="24"/>
        </w:rPr>
      </w:pPr>
    </w:p>
    <w:p w14:paraId="72B59E32" w14:textId="77777777" w:rsidR="00E956C2" w:rsidRDefault="00E956C2" w:rsidP="00E956C2">
      <w:pPr>
        <w:spacing w:line="360" w:lineRule="auto"/>
        <w:jc w:val="both"/>
        <w:rPr>
          <w:rFonts w:ascii="Times New Roman" w:hAnsi="Times New Roman" w:cs="Times New Roman"/>
          <w:sz w:val="24"/>
          <w:szCs w:val="24"/>
        </w:rPr>
      </w:pPr>
    </w:p>
    <w:p w14:paraId="3C82DB73" w14:textId="77777777" w:rsidR="00E956C2" w:rsidRDefault="00E956C2" w:rsidP="00E956C2">
      <w:pPr>
        <w:spacing w:line="360" w:lineRule="auto"/>
        <w:jc w:val="both"/>
        <w:rPr>
          <w:rFonts w:ascii="Times New Roman" w:hAnsi="Times New Roman" w:cs="Times New Roman"/>
          <w:sz w:val="24"/>
          <w:szCs w:val="24"/>
        </w:rPr>
      </w:pPr>
    </w:p>
    <w:p w14:paraId="0329AB37" w14:textId="77777777" w:rsidR="00E956C2" w:rsidRDefault="00E956C2" w:rsidP="00E956C2">
      <w:pPr>
        <w:spacing w:line="360" w:lineRule="auto"/>
        <w:jc w:val="both"/>
        <w:rPr>
          <w:rFonts w:ascii="Times New Roman" w:hAnsi="Times New Roman" w:cs="Times New Roman"/>
          <w:sz w:val="24"/>
          <w:szCs w:val="24"/>
        </w:rPr>
      </w:pPr>
    </w:p>
    <w:p w14:paraId="709A07B0"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6025D94F"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270E8B89"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740BC675" w14:textId="77777777" w:rsidR="00E956C2" w:rsidRPr="00401A7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It </w:t>
      </w:r>
      <w:r w:rsidRPr="001D17CE">
        <w:rPr>
          <w:rFonts w:ascii="Times New Roman" w:hAnsi="Times New Roman" w:cs="Times New Roman"/>
          <w:color w:val="000000" w:themeColor="text1"/>
          <w:sz w:val="24"/>
          <w:szCs w:val="24"/>
        </w:rPr>
        <w:t xml:space="preserve">reveals the proportion of </w:t>
      </w:r>
      <w:r>
        <w:rPr>
          <w:rFonts w:ascii="Times New Roman" w:hAnsi="Times New Roman" w:cs="Times New Roman"/>
          <w:color w:val="000000" w:themeColor="text1"/>
          <w:sz w:val="24"/>
          <w:szCs w:val="24"/>
        </w:rPr>
        <w:t xml:space="preserve">loans that </w:t>
      </w:r>
      <w:r w:rsidRPr="001D17CE">
        <w:rPr>
          <w:rFonts w:ascii="Times New Roman" w:hAnsi="Times New Roman" w:cs="Times New Roman"/>
          <w:color w:val="000000" w:themeColor="text1"/>
          <w:sz w:val="24"/>
          <w:szCs w:val="24"/>
        </w:rPr>
        <w:t>had fallen behind or non-performing loans, or loans that are not making their scheduled payments or installments, out of all outstanding loans</w:t>
      </w:r>
      <w:r>
        <w:rPr>
          <w:rFonts w:ascii="Times New Roman" w:hAnsi="Times New Roman" w:cs="Times New Roman"/>
          <w:color w:val="000000" w:themeColor="text1"/>
          <w:sz w:val="24"/>
          <w:szCs w:val="24"/>
        </w:rPr>
        <w:t>. The smaller the ratio, the better it is for the banks.</w:t>
      </w:r>
    </w:p>
    <w:p w14:paraId="02C95F7C"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above graphical representation shows that the % of NPLs of CBL is fluctuating over the last five years. We could not find any trend in the % of NPLs in previous five years. The ratio was 5.40% in 2017, then it reduced slightly to 5.30% in 2018. The next year, in 2019, it increased to 5.80% which is a bad sign for CBL. This could be due to bad situation of the economy during the coronavirus pandemic. In 2020, the % of NPLs reduced significantly to 4.00%, which is good sign for the bank as they have been able to recover the defaulted loans in this year. But unfortunately, the ratio increased again in 2021 to 4.90%. City Bank should try to keep this ratio as low as possible. If they can keep the ratio lower, it will be beneficial for them to make profit.</w:t>
      </w:r>
    </w:p>
    <w:p w14:paraId="1EAAD993" w14:textId="77777777" w:rsidR="00E956C2" w:rsidRPr="00B74014" w:rsidRDefault="00E956C2" w:rsidP="00E956C2">
      <w:pPr>
        <w:spacing w:line="360" w:lineRule="auto"/>
        <w:jc w:val="center"/>
        <w:rPr>
          <w:rFonts w:ascii="Times New Roman" w:hAnsi="Times New Roman" w:cs="Times New Roman"/>
          <w:b/>
          <w:bCs/>
          <w:color w:val="4472C4" w:themeColor="accent1"/>
          <w:sz w:val="28"/>
          <w:szCs w:val="28"/>
          <w:u w:val="single"/>
        </w:rPr>
      </w:pPr>
      <w:r w:rsidRPr="00B74014">
        <w:rPr>
          <w:rFonts w:ascii="Times New Roman" w:hAnsi="Times New Roman" w:cs="Times New Roman"/>
          <w:b/>
          <w:bCs/>
          <w:color w:val="4472C4" w:themeColor="accent1"/>
          <w:sz w:val="28"/>
          <w:szCs w:val="28"/>
          <w:u w:val="single"/>
        </w:rPr>
        <w:lastRenderedPageBreak/>
        <w:t>4.5 Efficiency/Productivity Ratio</w:t>
      </w:r>
    </w:p>
    <w:p w14:paraId="1B69A4C9" w14:textId="77777777" w:rsidR="00E956C2" w:rsidRDefault="00E956C2" w:rsidP="00E956C2">
      <w:pPr>
        <w:spacing w:line="360" w:lineRule="auto"/>
        <w:jc w:val="center"/>
        <w:rPr>
          <w:rFonts w:ascii="Times New Roman" w:hAnsi="Times New Roman" w:cs="Times New Roman"/>
          <w:color w:val="7030A0"/>
          <w:sz w:val="24"/>
          <w:szCs w:val="24"/>
          <w:u w:val="single"/>
        </w:rPr>
      </w:pPr>
      <w:r>
        <w:rPr>
          <w:noProof/>
        </w:rPr>
        <w:drawing>
          <wp:anchor distT="0" distB="0" distL="114300" distR="114300" simplePos="0" relativeHeight="251676672" behindDoc="0" locked="0" layoutInCell="1" allowOverlap="1" wp14:anchorId="2E4A3BB4" wp14:editId="70E1405B">
            <wp:simplePos x="0" y="0"/>
            <wp:positionH relativeFrom="margin">
              <wp:align>right</wp:align>
            </wp:positionH>
            <wp:positionV relativeFrom="paragraph">
              <wp:posOffset>344170</wp:posOffset>
            </wp:positionV>
            <wp:extent cx="5943600" cy="2390775"/>
            <wp:effectExtent l="0" t="0" r="0" b="9525"/>
            <wp:wrapNone/>
            <wp:docPr id="15" name="Chart 1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B41BE6-CC35-7E63-F618-DE1B43102D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Pr="00B74014">
        <w:rPr>
          <w:rFonts w:ascii="Times New Roman" w:hAnsi="Times New Roman" w:cs="Times New Roman"/>
          <w:color w:val="7030A0"/>
          <w:sz w:val="24"/>
          <w:szCs w:val="24"/>
          <w:u w:val="single"/>
        </w:rPr>
        <w:t>4.5.1 Return on Equity</w:t>
      </w:r>
    </w:p>
    <w:p w14:paraId="3EE37854" w14:textId="77777777" w:rsidR="00E956C2" w:rsidRDefault="00E956C2" w:rsidP="00E956C2">
      <w:pPr>
        <w:spacing w:line="360" w:lineRule="auto"/>
        <w:jc w:val="both"/>
        <w:rPr>
          <w:rFonts w:ascii="Times New Roman" w:hAnsi="Times New Roman" w:cs="Times New Roman"/>
          <w:color w:val="7030A0"/>
          <w:sz w:val="24"/>
          <w:szCs w:val="24"/>
          <w:u w:val="single"/>
        </w:rPr>
      </w:pPr>
    </w:p>
    <w:p w14:paraId="378C0908" w14:textId="77777777" w:rsidR="00E956C2" w:rsidRPr="008A5A00" w:rsidRDefault="00E956C2" w:rsidP="00E956C2">
      <w:pPr>
        <w:rPr>
          <w:rFonts w:ascii="Times New Roman" w:hAnsi="Times New Roman" w:cs="Times New Roman"/>
          <w:sz w:val="24"/>
          <w:szCs w:val="24"/>
        </w:rPr>
      </w:pPr>
    </w:p>
    <w:p w14:paraId="12433B92" w14:textId="77777777" w:rsidR="00E956C2" w:rsidRPr="008A5A00" w:rsidRDefault="00E956C2" w:rsidP="00E956C2">
      <w:pPr>
        <w:rPr>
          <w:rFonts w:ascii="Times New Roman" w:hAnsi="Times New Roman" w:cs="Times New Roman"/>
          <w:sz w:val="24"/>
          <w:szCs w:val="24"/>
        </w:rPr>
      </w:pPr>
    </w:p>
    <w:p w14:paraId="38510457" w14:textId="77777777" w:rsidR="00E956C2" w:rsidRPr="008A5A00" w:rsidRDefault="00E956C2" w:rsidP="00E956C2">
      <w:pPr>
        <w:rPr>
          <w:rFonts w:ascii="Times New Roman" w:hAnsi="Times New Roman" w:cs="Times New Roman"/>
          <w:sz w:val="24"/>
          <w:szCs w:val="24"/>
        </w:rPr>
      </w:pPr>
    </w:p>
    <w:p w14:paraId="17204F35" w14:textId="77777777" w:rsidR="00E956C2" w:rsidRPr="008A5A00" w:rsidRDefault="00E956C2" w:rsidP="00E956C2">
      <w:pPr>
        <w:rPr>
          <w:rFonts w:ascii="Times New Roman" w:hAnsi="Times New Roman" w:cs="Times New Roman"/>
          <w:sz w:val="24"/>
          <w:szCs w:val="24"/>
        </w:rPr>
      </w:pPr>
    </w:p>
    <w:p w14:paraId="4D8B5050" w14:textId="77777777" w:rsidR="00E956C2" w:rsidRPr="008A5A00" w:rsidRDefault="00E956C2" w:rsidP="00E956C2">
      <w:pPr>
        <w:rPr>
          <w:rFonts w:ascii="Times New Roman" w:hAnsi="Times New Roman" w:cs="Times New Roman"/>
          <w:sz w:val="24"/>
          <w:szCs w:val="24"/>
        </w:rPr>
      </w:pPr>
    </w:p>
    <w:p w14:paraId="7494DF68" w14:textId="77777777" w:rsidR="00E956C2" w:rsidRPr="008A5A00" w:rsidRDefault="00E956C2" w:rsidP="00E956C2">
      <w:pPr>
        <w:rPr>
          <w:rFonts w:ascii="Times New Roman" w:hAnsi="Times New Roman" w:cs="Times New Roman"/>
          <w:sz w:val="24"/>
          <w:szCs w:val="24"/>
        </w:rPr>
      </w:pPr>
    </w:p>
    <w:p w14:paraId="0E4B8A87" w14:textId="77777777" w:rsidR="00E956C2" w:rsidRPr="008A5A00" w:rsidRDefault="00E956C2" w:rsidP="00E956C2">
      <w:pPr>
        <w:rPr>
          <w:rFonts w:ascii="Times New Roman" w:hAnsi="Times New Roman" w:cs="Times New Roman"/>
          <w:sz w:val="24"/>
          <w:szCs w:val="24"/>
        </w:rPr>
      </w:pPr>
    </w:p>
    <w:p w14:paraId="030E0655" w14:textId="77777777" w:rsidR="00E956C2" w:rsidRDefault="00E956C2" w:rsidP="00E956C2">
      <w:pPr>
        <w:spacing w:line="360" w:lineRule="auto"/>
        <w:jc w:val="both"/>
        <w:rPr>
          <w:rFonts w:ascii="Times New Roman" w:hAnsi="Times New Roman" w:cs="Times New Roman"/>
          <w:sz w:val="24"/>
          <w:szCs w:val="24"/>
        </w:rPr>
      </w:pPr>
      <w:r w:rsidRPr="00A07617">
        <w:rPr>
          <w:rFonts w:ascii="Times New Roman" w:hAnsi="Times New Roman" w:cs="Times New Roman"/>
          <w:sz w:val="24"/>
          <w:szCs w:val="24"/>
        </w:rPr>
        <w:t>ROE determines a business' success and efficacy in generating revenues. A company is more successful at turning its investment in equity into profits the higher the ROE.</w:t>
      </w:r>
      <w:r>
        <w:rPr>
          <w:rFonts w:ascii="Times New Roman" w:hAnsi="Times New Roman" w:cs="Times New Roman"/>
          <w:sz w:val="24"/>
          <w:szCs w:val="24"/>
        </w:rPr>
        <w:t xml:space="preserve"> </w:t>
      </w:r>
      <w:r w:rsidRPr="00A07617">
        <w:rPr>
          <w:rFonts w:ascii="Times New Roman" w:hAnsi="Times New Roman" w:cs="Times New Roman"/>
          <w:sz w:val="24"/>
          <w:szCs w:val="24"/>
        </w:rPr>
        <w:t>On the diagram above, we are able to observe that City Bank's ROE was 15.90% in 2017, which is positive for the institution, but it fell to 8% and 10% in 2018 and 2019, respectively. Lower revenue after taxes in these two consecutive years was the cause of the ROE decline. However, City Bank was able to regain its high ROE of 14.80% in 2020 and continued to perform well in 2021 with a ROE of 16%. According to this, City Bank is turning its equity financing into profits much more effectively now than it was in the past.</w:t>
      </w:r>
    </w:p>
    <w:p w14:paraId="4C15A193" w14:textId="77777777" w:rsidR="00E956C2" w:rsidRPr="00BD5CA7" w:rsidRDefault="00E956C2" w:rsidP="00E956C2">
      <w:pPr>
        <w:spacing w:line="360" w:lineRule="auto"/>
        <w:jc w:val="center"/>
        <w:rPr>
          <w:rFonts w:ascii="Times New Roman" w:hAnsi="Times New Roman" w:cs="Times New Roman"/>
          <w:sz w:val="24"/>
          <w:szCs w:val="24"/>
        </w:rPr>
      </w:pPr>
      <w:r>
        <w:rPr>
          <w:noProof/>
        </w:rPr>
        <w:drawing>
          <wp:anchor distT="0" distB="0" distL="114300" distR="114300" simplePos="0" relativeHeight="251677696" behindDoc="0" locked="0" layoutInCell="1" allowOverlap="1" wp14:anchorId="0C6EC658" wp14:editId="10BBC502">
            <wp:simplePos x="0" y="0"/>
            <wp:positionH relativeFrom="margin">
              <wp:align>right</wp:align>
            </wp:positionH>
            <wp:positionV relativeFrom="paragraph">
              <wp:posOffset>219075</wp:posOffset>
            </wp:positionV>
            <wp:extent cx="5943600" cy="2628900"/>
            <wp:effectExtent l="0" t="0" r="0" b="0"/>
            <wp:wrapNone/>
            <wp:docPr id="16" name="Chart 1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D954FA9-40AC-4B0E-4A72-6B9ED9AABE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Pr="001472A4">
        <w:rPr>
          <w:rFonts w:ascii="Times New Roman" w:hAnsi="Times New Roman" w:cs="Times New Roman"/>
          <w:color w:val="7030A0"/>
          <w:sz w:val="24"/>
          <w:szCs w:val="24"/>
          <w:u w:val="single"/>
        </w:rPr>
        <w:t>4.5.2 Return on Asset</w:t>
      </w:r>
    </w:p>
    <w:p w14:paraId="74E4752B" w14:textId="77777777" w:rsidR="00E956C2" w:rsidRPr="001472A4" w:rsidRDefault="00E956C2" w:rsidP="00E956C2">
      <w:pPr>
        <w:spacing w:line="360" w:lineRule="auto"/>
        <w:jc w:val="center"/>
        <w:rPr>
          <w:rFonts w:ascii="Times New Roman" w:hAnsi="Times New Roman" w:cs="Times New Roman"/>
          <w:color w:val="7030A0"/>
          <w:sz w:val="24"/>
          <w:szCs w:val="24"/>
          <w:u w:val="single"/>
        </w:rPr>
      </w:pPr>
    </w:p>
    <w:p w14:paraId="7B6FF19F" w14:textId="77777777" w:rsidR="00E956C2" w:rsidRDefault="00E956C2" w:rsidP="00E956C2">
      <w:pPr>
        <w:jc w:val="both"/>
        <w:rPr>
          <w:rFonts w:ascii="Times New Roman" w:hAnsi="Times New Roman" w:cs="Times New Roman"/>
          <w:sz w:val="24"/>
          <w:szCs w:val="24"/>
        </w:rPr>
      </w:pPr>
    </w:p>
    <w:p w14:paraId="10955C79" w14:textId="77777777" w:rsidR="00E956C2" w:rsidRPr="000B1979" w:rsidRDefault="00E956C2" w:rsidP="00E956C2">
      <w:pPr>
        <w:rPr>
          <w:rFonts w:ascii="Times New Roman" w:hAnsi="Times New Roman" w:cs="Times New Roman"/>
          <w:sz w:val="24"/>
          <w:szCs w:val="24"/>
        </w:rPr>
      </w:pPr>
    </w:p>
    <w:p w14:paraId="4D093D3C" w14:textId="77777777" w:rsidR="00E956C2" w:rsidRPr="000B1979" w:rsidRDefault="00E956C2" w:rsidP="00E956C2">
      <w:pPr>
        <w:rPr>
          <w:rFonts w:ascii="Times New Roman" w:hAnsi="Times New Roman" w:cs="Times New Roman"/>
          <w:sz w:val="24"/>
          <w:szCs w:val="24"/>
        </w:rPr>
      </w:pPr>
    </w:p>
    <w:p w14:paraId="767F183C" w14:textId="77777777" w:rsidR="00E956C2" w:rsidRPr="000B1979" w:rsidRDefault="00E956C2" w:rsidP="00E956C2">
      <w:pPr>
        <w:rPr>
          <w:rFonts w:ascii="Times New Roman" w:hAnsi="Times New Roman" w:cs="Times New Roman"/>
          <w:sz w:val="24"/>
          <w:szCs w:val="24"/>
        </w:rPr>
      </w:pPr>
    </w:p>
    <w:p w14:paraId="04D1B627" w14:textId="77777777" w:rsidR="00E956C2" w:rsidRPr="000B1979" w:rsidRDefault="00E956C2" w:rsidP="00E956C2">
      <w:pPr>
        <w:rPr>
          <w:rFonts w:ascii="Times New Roman" w:hAnsi="Times New Roman" w:cs="Times New Roman"/>
          <w:sz w:val="24"/>
          <w:szCs w:val="24"/>
        </w:rPr>
      </w:pPr>
    </w:p>
    <w:p w14:paraId="7C45AF7C" w14:textId="77777777" w:rsidR="00E956C2" w:rsidRPr="000B1979" w:rsidRDefault="00E956C2" w:rsidP="00E956C2">
      <w:pPr>
        <w:rPr>
          <w:rFonts w:ascii="Times New Roman" w:hAnsi="Times New Roman" w:cs="Times New Roman"/>
          <w:sz w:val="24"/>
          <w:szCs w:val="24"/>
        </w:rPr>
      </w:pPr>
    </w:p>
    <w:p w14:paraId="186A2687" w14:textId="77777777" w:rsidR="00E956C2" w:rsidRPr="000B1979" w:rsidRDefault="00E956C2" w:rsidP="00E956C2">
      <w:pPr>
        <w:rPr>
          <w:rFonts w:ascii="Times New Roman" w:hAnsi="Times New Roman" w:cs="Times New Roman"/>
          <w:sz w:val="24"/>
          <w:szCs w:val="24"/>
        </w:rPr>
      </w:pPr>
    </w:p>
    <w:p w14:paraId="3B54D3E6" w14:textId="77777777" w:rsidR="00E956C2" w:rsidRDefault="00E956C2" w:rsidP="00E956C2">
      <w:pPr>
        <w:rPr>
          <w:rFonts w:ascii="Times New Roman" w:hAnsi="Times New Roman" w:cs="Times New Roman"/>
          <w:sz w:val="24"/>
          <w:szCs w:val="24"/>
        </w:rPr>
      </w:pPr>
    </w:p>
    <w:p w14:paraId="4051E3A4"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ROA refers to Return on Assets. This indicates how much return the bank is getting on the total assets they have. The formula for calculating ROA is Net profit divided by Total assets of the bank. We can see in the above graph that the ROA of CBL was 1.40% in 2017. After that the bank did not perform well and thus its ROA decreased to 0.70% in both 2018 and 2019. This poor performance in ROA indicates that CBL was not being able to convert its profit efficiently by using the total assets they have. However, the ROA started improving in 2020 and reached 1.10%. In the next year, ROA increased more to 1.20% in 2021. City bank should make this ROA better in the future.</w:t>
      </w:r>
    </w:p>
    <w:p w14:paraId="2096D030" w14:textId="77777777" w:rsidR="00E956C2" w:rsidRPr="000B1979" w:rsidRDefault="00E956C2" w:rsidP="00E956C2">
      <w:pPr>
        <w:spacing w:line="360" w:lineRule="auto"/>
        <w:jc w:val="center"/>
        <w:rPr>
          <w:rFonts w:ascii="Times New Roman" w:hAnsi="Times New Roman" w:cs="Times New Roman"/>
          <w:color w:val="7030A0"/>
          <w:sz w:val="24"/>
          <w:szCs w:val="24"/>
          <w:u w:val="single"/>
        </w:rPr>
      </w:pPr>
      <w:r w:rsidRPr="000B1979">
        <w:rPr>
          <w:rFonts w:ascii="Times New Roman" w:hAnsi="Times New Roman" w:cs="Times New Roman"/>
          <w:color w:val="7030A0"/>
          <w:sz w:val="24"/>
          <w:szCs w:val="24"/>
          <w:u w:val="single"/>
        </w:rPr>
        <w:t>4.5.3 Cost to Income Ratio</w:t>
      </w:r>
    </w:p>
    <w:p w14:paraId="54BD9176" w14:textId="77777777" w:rsidR="00E956C2" w:rsidRDefault="00E956C2" w:rsidP="00E956C2">
      <w:pPr>
        <w:jc w:val="both"/>
        <w:rPr>
          <w:rFonts w:ascii="Times New Roman" w:hAnsi="Times New Roman" w:cs="Times New Roman"/>
          <w:sz w:val="24"/>
          <w:szCs w:val="24"/>
        </w:rPr>
      </w:pPr>
      <w:r>
        <w:rPr>
          <w:noProof/>
        </w:rPr>
        <w:drawing>
          <wp:anchor distT="0" distB="0" distL="114300" distR="114300" simplePos="0" relativeHeight="251678720" behindDoc="0" locked="0" layoutInCell="1" allowOverlap="1" wp14:anchorId="0E81A98F" wp14:editId="1F527F89">
            <wp:simplePos x="0" y="0"/>
            <wp:positionH relativeFrom="margin">
              <wp:align>right</wp:align>
            </wp:positionH>
            <wp:positionV relativeFrom="paragraph">
              <wp:posOffset>8890</wp:posOffset>
            </wp:positionV>
            <wp:extent cx="5934075" cy="2600325"/>
            <wp:effectExtent l="0" t="0" r="9525" b="9525"/>
            <wp:wrapNone/>
            <wp:docPr id="17" name="Chart 1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9716704-D364-E441-EEFC-0D6D4FFF3E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14:paraId="07823569" w14:textId="77777777" w:rsidR="00E956C2" w:rsidRDefault="00E956C2" w:rsidP="00E956C2">
      <w:pPr>
        <w:jc w:val="both"/>
        <w:rPr>
          <w:rFonts w:ascii="Times New Roman" w:hAnsi="Times New Roman" w:cs="Times New Roman"/>
          <w:sz w:val="24"/>
          <w:szCs w:val="24"/>
        </w:rPr>
      </w:pPr>
    </w:p>
    <w:p w14:paraId="2947B2F2" w14:textId="77777777" w:rsidR="00E956C2" w:rsidRDefault="00E956C2" w:rsidP="00E956C2">
      <w:pPr>
        <w:jc w:val="both"/>
        <w:rPr>
          <w:rFonts w:ascii="Times New Roman" w:hAnsi="Times New Roman" w:cs="Times New Roman"/>
          <w:sz w:val="24"/>
          <w:szCs w:val="24"/>
        </w:rPr>
      </w:pPr>
    </w:p>
    <w:p w14:paraId="3EA8B16D" w14:textId="77777777" w:rsidR="00E956C2" w:rsidRDefault="00E956C2" w:rsidP="00E956C2">
      <w:pPr>
        <w:jc w:val="both"/>
        <w:rPr>
          <w:rFonts w:ascii="Times New Roman" w:hAnsi="Times New Roman" w:cs="Times New Roman"/>
          <w:sz w:val="24"/>
          <w:szCs w:val="24"/>
        </w:rPr>
      </w:pPr>
    </w:p>
    <w:p w14:paraId="68AB6F52" w14:textId="77777777" w:rsidR="00E956C2" w:rsidRDefault="00E956C2" w:rsidP="00E956C2">
      <w:pPr>
        <w:jc w:val="both"/>
        <w:rPr>
          <w:rFonts w:ascii="Times New Roman" w:hAnsi="Times New Roman" w:cs="Times New Roman"/>
          <w:sz w:val="24"/>
          <w:szCs w:val="24"/>
        </w:rPr>
      </w:pPr>
    </w:p>
    <w:p w14:paraId="13DA9CFF" w14:textId="77777777" w:rsidR="00E956C2" w:rsidRDefault="00E956C2" w:rsidP="00E956C2">
      <w:pPr>
        <w:jc w:val="both"/>
        <w:rPr>
          <w:rFonts w:ascii="Times New Roman" w:hAnsi="Times New Roman" w:cs="Times New Roman"/>
          <w:sz w:val="24"/>
          <w:szCs w:val="24"/>
        </w:rPr>
      </w:pPr>
    </w:p>
    <w:p w14:paraId="44C58DF2" w14:textId="77777777" w:rsidR="00E956C2" w:rsidRDefault="00E956C2" w:rsidP="00E956C2">
      <w:pPr>
        <w:jc w:val="both"/>
        <w:rPr>
          <w:rFonts w:ascii="Times New Roman" w:hAnsi="Times New Roman" w:cs="Times New Roman"/>
          <w:sz w:val="24"/>
          <w:szCs w:val="24"/>
        </w:rPr>
      </w:pPr>
    </w:p>
    <w:p w14:paraId="69E3564D" w14:textId="77777777" w:rsidR="00E956C2" w:rsidRDefault="00E956C2" w:rsidP="00E956C2">
      <w:pPr>
        <w:jc w:val="both"/>
        <w:rPr>
          <w:rFonts w:ascii="Times New Roman" w:hAnsi="Times New Roman" w:cs="Times New Roman"/>
          <w:sz w:val="24"/>
          <w:szCs w:val="24"/>
        </w:rPr>
      </w:pPr>
    </w:p>
    <w:p w14:paraId="5172BC8F"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39B8AC11" w14:textId="77777777" w:rsidR="00E956C2" w:rsidRPr="00563AF4"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cost to income ratio basically determines how much cost the bank is incurring to make the income. The lower the cost to income ratio, the better it is for the banks. We can see in the graph above that the CIR is 53.90% in 2017. It increased to 58% in 2018 and then decreased to 54.70% in 2019. The CIR again increased to 57.90% in 2020 and again decreased to 48.60% in 2021, which was the lowest in the last five years. We could not find any trend in this graph, rather the figures fluctuated too much. In the recent year 2021, the ratio was the least and it is indicating that the bank is spending less cost or money to make incomes.</w:t>
      </w:r>
    </w:p>
    <w:p w14:paraId="7CADD426" w14:textId="77777777" w:rsidR="00E956C2" w:rsidRDefault="00E956C2" w:rsidP="00E956C2">
      <w:pPr>
        <w:spacing w:line="360" w:lineRule="auto"/>
        <w:jc w:val="center"/>
        <w:rPr>
          <w:rFonts w:ascii="Times New Roman" w:hAnsi="Times New Roman" w:cs="Times New Roman"/>
          <w:color w:val="7030A0"/>
          <w:sz w:val="24"/>
          <w:szCs w:val="24"/>
          <w:u w:val="single"/>
        </w:rPr>
      </w:pPr>
    </w:p>
    <w:p w14:paraId="33B0BD0D" w14:textId="77777777" w:rsidR="00E956C2" w:rsidRDefault="00E956C2" w:rsidP="00E956C2">
      <w:pPr>
        <w:spacing w:line="360" w:lineRule="auto"/>
        <w:jc w:val="center"/>
        <w:rPr>
          <w:rFonts w:ascii="Times New Roman" w:hAnsi="Times New Roman" w:cs="Times New Roman"/>
          <w:color w:val="7030A0"/>
          <w:sz w:val="24"/>
          <w:szCs w:val="24"/>
          <w:u w:val="single"/>
        </w:rPr>
      </w:pPr>
    </w:p>
    <w:p w14:paraId="1E517052" w14:textId="77777777" w:rsidR="00E956C2" w:rsidRPr="00062898" w:rsidRDefault="00E956C2" w:rsidP="00E956C2">
      <w:pPr>
        <w:spacing w:line="360" w:lineRule="auto"/>
        <w:jc w:val="center"/>
        <w:rPr>
          <w:rFonts w:ascii="Times New Roman" w:hAnsi="Times New Roman" w:cs="Times New Roman"/>
          <w:color w:val="7030A0"/>
          <w:sz w:val="24"/>
          <w:szCs w:val="24"/>
          <w:u w:val="single"/>
        </w:rPr>
      </w:pPr>
      <w:r>
        <w:rPr>
          <w:noProof/>
        </w:rPr>
        <w:lastRenderedPageBreak/>
        <w:drawing>
          <wp:anchor distT="0" distB="0" distL="114300" distR="114300" simplePos="0" relativeHeight="251679744" behindDoc="0" locked="0" layoutInCell="1" allowOverlap="1" wp14:anchorId="3AF3612B" wp14:editId="25E38384">
            <wp:simplePos x="0" y="0"/>
            <wp:positionH relativeFrom="margin">
              <wp:align>right</wp:align>
            </wp:positionH>
            <wp:positionV relativeFrom="paragraph">
              <wp:posOffset>261620</wp:posOffset>
            </wp:positionV>
            <wp:extent cx="5934075" cy="2343150"/>
            <wp:effectExtent l="0" t="0" r="9525" b="0"/>
            <wp:wrapNone/>
            <wp:docPr id="18" name="Chart 1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84347A6-E2B8-93AA-3EF6-EE552DCDD4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Pr="00062898">
        <w:rPr>
          <w:rFonts w:ascii="Times New Roman" w:hAnsi="Times New Roman" w:cs="Times New Roman"/>
          <w:color w:val="7030A0"/>
          <w:sz w:val="24"/>
          <w:szCs w:val="24"/>
          <w:u w:val="single"/>
        </w:rPr>
        <w:t>4.5.4 Net Interest Margin Ratio</w:t>
      </w:r>
    </w:p>
    <w:p w14:paraId="354EB00A" w14:textId="77777777" w:rsidR="00E956C2" w:rsidRDefault="00E956C2" w:rsidP="00E956C2">
      <w:pPr>
        <w:jc w:val="both"/>
        <w:rPr>
          <w:rFonts w:ascii="Times New Roman" w:hAnsi="Times New Roman" w:cs="Times New Roman"/>
          <w:sz w:val="24"/>
          <w:szCs w:val="24"/>
        </w:rPr>
      </w:pPr>
    </w:p>
    <w:p w14:paraId="26C43697" w14:textId="77777777" w:rsidR="00E956C2" w:rsidRDefault="00E956C2" w:rsidP="00E956C2">
      <w:pPr>
        <w:jc w:val="both"/>
        <w:rPr>
          <w:rFonts w:ascii="Times New Roman" w:hAnsi="Times New Roman" w:cs="Times New Roman"/>
          <w:sz w:val="24"/>
          <w:szCs w:val="24"/>
        </w:rPr>
      </w:pPr>
    </w:p>
    <w:p w14:paraId="506F1938" w14:textId="77777777" w:rsidR="00E956C2" w:rsidRDefault="00E956C2" w:rsidP="00E956C2">
      <w:pPr>
        <w:jc w:val="both"/>
        <w:rPr>
          <w:rFonts w:ascii="Times New Roman" w:hAnsi="Times New Roman" w:cs="Times New Roman"/>
          <w:sz w:val="24"/>
          <w:szCs w:val="24"/>
        </w:rPr>
      </w:pPr>
    </w:p>
    <w:p w14:paraId="5127556E" w14:textId="77777777" w:rsidR="00E956C2" w:rsidRDefault="00E956C2" w:rsidP="00E956C2">
      <w:pPr>
        <w:jc w:val="both"/>
        <w:rPr>
          <w:rFonts w:ascii="Times New Roman" w:hAnsi="Times New Roman" w:cs="Times New Roman"/>
          <w:sz w:val="24"/>
          <w:szCs w:val="24"/>
        </w:rPr>
      </w:pPr>
    </w:p>
    <w:p w14:paraId="6D053FDD" w14:textId="77777777" w:rsidR="00E956C2" w:rsidRDefault="00E956C2" w:rsidP="00E956C2">
      <w:pPr>
        <w:jc w:val="both"/>
        <w:rPr>
          <w:rFonts w:ascii="Times New Roman" w:hAnsi="Times New Roman" w:cs="Times New Roman"/>
          <w:sz w:val="24"/>
          <w:szCs w:val="24"/>
        </w:rPr>
      </w:pPr>
    </w:p>
    <w:p w14:paraId="7D6FF87E" w14:textId="77777777" w:rsidR="00E956C2" w:rsidRDefault="00E956C2" w:rsidP="00E956C2">
      <w:pPr>
        <w:jc w:val="both"/>
        <w:rPr>
          <w:rFonts w:ascii="Times New Roman" w:hAnsi="Times New Roman" w:cs="Times New Roman"/>
          <w:sz w:val="24"/>
          <w:szCs w:val="24"/>
        </w:rPr>
      </w:pPr>
    </w:p>
    <w:p w14:paraId="4B9CF9AD" w14:textId="77777777" w:rsidR="00E956C2" w:rsidRDefault="00E956C2" w:rsidP="00E956C2">
      <w:pPr>
        <w:jc w:val="both"/>
        <w:rPr>
          <w:rFonts w:ascii="Times New Roman" w:hAnsi="Times New Roman" w:cs="Times New Roman"/>
          <w:sz w:val="24"/>
          <w:szCs w:val="24"/>
        </w:rPr>
      </w:pPr>
    </w:p>
    <w:p w14:paraId="60233E15" w14:textId="77777777" w:rsidR="00E956C2" w:rsidRDefault="00E956C2" w:rsidP="00E956C2">
      <w:pPr>
        <w:jc w:val="both"/>
        <w:rPr>
          <w:rFonts w:ascii="Times New Roman" w:hAnsi="Times New Roman" w:cs="Times New Roman"/>
          <w:sz w:val="24"/>
          <w:szCs w:val="24"/>
        </w:rPr>
      </w:pPr>
    </w:p>
    <w:p w14:paraId="43119C79"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net interest margin ratio is basically a profitability indicator of a bank. It is the spread or profit that the bank keeps in between the interest received and interest paid. The higher the ratio, the higher the bank is making the spread. We can see in the above graph that the net interest margin ratio of CBL was 4.30% in 2017. It then decreased a bit to 4.10% in 2018. After the decrease in the last year, it improved to 5% in 2019. In the next year, the NIM decreased significantly to 3.80%, which was the lowest in the last five years. This lower NIM of CBL in 2020 was mainly due to the unstable economic condition of Bangladesh because of the effects of the covid-19. However, the ratio improved in 2021 and reached 4.60% indicating that CBL is doing moderately well in making profits from the interests.</w:t>
      </w:r>
    </w:p>
    <w:p w14:paraId="15AC9691" w14:textId="77777777" w:rsidR="00E956C2" w:rsidRPr="00B024B1" w:rsidRDefault="00E956C2" w:rsidP="00E956C2">
      <w:pPr>
        <w:spacing w:line="360" w:lineRule="auto"/>
        <w:jc w:val="center"/>
        <w:rPr>
          <w:rFonts w:ascii="Times New Roman" w:hAnsi="Times New Roman" w:cs="Times New Roman"/>
          <w:color w:val="000000" w:themeColor="text1"/>
          <w:sz w:val="24"/>
          <w:szCs w:val="24"/>
        </w:rPr>
      </w:pPr>
      <w:r>
        <w:rPr>
          <w:noProof/>
        </w:rPr>
        <w:drawing>
          <wp:anchor distT="0" distB="0" distL="114300" distR="114300" simplePos="0" relativeHeight="251680768" behindDoc="0" locked="0" layoutInCell="1" allowOverlap="1" wp14:anchorId="24393114" wp14:editId="411C82BD">
            <wp:simplePos x="0" y="0"/>
            <wp:positionH relativeFrom="margin">
              <wp:align>right</wp:align>
            </wp:positionH>
            <wp:positionV relativeFrom="paragraph">
              <wp:posOffset>368935</wp:posOffset>
            </wp:positionV>
            <wp:extent cx="5943600" cy="2695575"/>
            <wp:effectExtent l="0" t="0" r="0" b="9525"/>
            <wp:wrapNone/>
            <wp:docPr id="19" name="Chart 1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7E8ACCF-3577-C521-0BC2-06A413AD8F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Pr="00062898">
        <w:rPr>
          <w:rFonts w:ascii="Times New Roman" w:hAnsi="Times New Roman" w:cs="Times New Roman"/>
          <w:color w:val="7030A0"/>
          <w:sz w:val="24"/>
          <w:szCs w:val="24"/>
          <w:u w:val="single"/>
        </w:rPr>
        <w:t>4.5.5 Statutory Liquidity Ratio (SLR)</w:t>
      </w:r>
    </w:p>
    <w:p w14:paraId="1918EC87"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6C36C531"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0C37D3F4"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54CAE186"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063AC021"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16E95B6D"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1165293C"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70EBA4F5" w14:textId="77777777" w:rsidR="00E956C2" w:rsidRDefault="00E956C2" w:rsidP="00E956C2">
      <w:pPr>
        <w:spacing w:line="360" w:lineRule="auto"/>
        <w:jc w:val="both"/>
        <w:rPr>
          <w:rFonts w:ascii="Times New Roman" w:hAnsi="Times New Roman" w:cs="Times New Roman"/>
          <w:color w:val="000000" w:themeColor="text1"/>
          <w:sz w:val="24"/>
          <w:szCs w:val="24"/>
        </w:rPr>
      </w:pPr>
      <w:r w:rsidRPr="00EE296F">
        <w:rPr>
          <w:rFonts w:ascii="Times New Roman" w:hAnsi="Times New Roman" w:cs="Times New Roman"/>
          <w:color w:val="000000" w:themeColor="text1"/>
          <w:sz w:val="24"/>
          <w:szCs w:val="24"/>
        </w:rPr>
        <w:lastRenderedPageBreak/>
        <w:t>The minimum portion of deposits that a commercial bank must keep in the form of liquid cash, gold, or other securities is known as the Statutory Liquidity Ratio, or SLR. The SLR is set by the B</w:t>
      </w:r>
      <w:r>
        <w:rPr>
          <w:rFonts w:ascii="Times New Roman" w:hAnsi="Times New Roman" w:cs="Times New Roman"/>
          <w:color w:val="000000" w:themeColor="text1"/>
          <w:sz w:val="24"/>
          <w:szCs w:val="24"/>
        </w:rPr>
        <w:t>angladesh Bank (BB)</w:t>
      </w:r>
      <w:r w:rsidRPr="00EE296F">
        <w:rPr>
          <w:rFonts w:ascii="Times New Roman" w:hAnsi="Times New Roman" w:cs="Times New Roman"/>
          <w:color w:val="000000" w:themeColor="text1"/>
          <w:sz w:val="24"/>
          <w:szCs w:val="24"/>
        </w:rPr>
        <w:t xml:space="preserve"> and serves as a means of controlling in the expansion of credit in Bangladesh.</w:t>
      </w:r>
      <w:r>
        <w:rPr>
          <w:rFonts w:ascii="Times New Roman" w:hAnsi="Times New Roman" w:cs="Times New Roman"/>
          <w:color w:val="000000" w:themeColor="text1"/>
          <w:sz w:val="24"/>
          <w:szCs w:val="24"/>
        </w:rPr>
        <w:t xml:space="preserve"> If the banks fail to meet the requirement of SLR, penalty is given to that bank.</w:t>
      </w:r>
    </w:p>
    <w:p w14:paraId="1B2433C2"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Bangladesh, BB has set the SLR for conventional banks as 13% and for Islamic Banks it is 5.5%. In the above graph, we can clearly see that the SLR was 15.80% in 2017, then decreased slightly to 14.60% in 2018. After that the SLR kept increasing every year. It increased to 17.50% in 2019, 17.20% in 2020 and finally 21.20% in 2021, which was the highest among the previous five years. All of the years, City Bank has maintained its SLR above the benchmark set by the Bangladesh Bank. </w:t>
      </w:r>
      <w:r w:rsidRPr="000D7943">
        <w:rPr>
          <w:rFonts w:ascii="Times New Roman" w:hAnsi="Times New Roman" w:cs="Times New Roman"/>
          <w:color w:val="000000" w:themeColor="text1"/>
          <w:sz w:val="24"/>
          <w:szCs w:val="24"/>
        </w:rPr>
        <w:t>As a result, we can state that City Bank corresponds with all BB regulations and guidelines.</w:t>
      </w:r>
    </w:p>
    <w:p w14:paraId="56E24A8E" w14:textId="77777777" w:rsidR="00E956C2" w:rsidRPr="00824C45" w:rsidRDefault="00E956C2" w:rsidP="00E956C2">
      <w:pPr>
        <w:spacing w:line="360" w:lineRule="auto"/>
        <w:jc w:val="center"/>
        <w:rPr>
          <w:rFonts w:ascii="Times New Roman" w:hAnsi="Times New Roman" w:cs="Times New Roman"/>
          <w:color w:val="7030A0"/>
          <w:sz w:val="24"/>
          <w:szCs w:val="24"/>
          <w:u w:val="single"/>
        </w:rPr>
      </w:pPr>
      <w:r w:rsidRPr="00824C45">
        <w:rPr>
          <w:rFonts w:ascii="Times New Roman" w:hAnsi="Times New Roman" w:cs="Times New Roman"/>
          <w:color w:val="7030A0"/>
          <w:sz w:val="24"/>
          <w:szCs w:val="24"/>
          <w:u w:val="single"/>
        </w:rPr>
        <w:t>4.5.6 Cash Reserve Ratio (CRR)</w:t>
      </w:r>
    </w:p>
    <w:p w14:paraId="42530273" w14:textId="77777777" w:rsidR="00E956C2" w:rsidRPr="00824C45" w:rsidRDefault="00E956C2" w:rsidP="00E956C2">
      <w:pPr>
        <w:spacing w:line="360" w:lineRule="auto"/>
        <w:jc w:val="both"/>
        <w:rPr>
          <w:rFonts w:ascii="Times New Roman" w:hAnsi="Times New Roman" w:cs="Times New Roman"/>
          <w:color w:val="000000" w:themeColor="text1"/>
          <w:sz w:val="24"/>
          <w:szCs w:val="24"/>
        </w:rPr>
      </w:pPr>
      <w:r>
        <w:rPr>
          <w:noProof/>
        </w:rPr>
        <w:drawing>
          <wp:anchor distT="0" distB="0" distL="114300" distR="114300" simplePos="0" relativeHeight="251681792" behindDoc="0" locked="0" layoutInCell="1" allowOverlap="1" wp14:anchorId="7DD06885" wp14:editId="3F46AAAE">
            <wp:simplePos x="0" y="0"/>
            <wp:positionH relativeFrom="margin">
              <wp:align>right</wp:align>
            </wp:positionH>
            <wp:positionV relativeFrom="paragraph">
              <wp:posOffset>6985</wp:posOffset>
            </wp:positionV>
            <wp:extent cx="5943600" cy="3038475"/>
            <wp:effectExtent l="0" t="0" r="0" b="9525"/>
            <wp:wrapNone/>
            <wp:docPr id="20" name="Chart 2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4848F03-2CFE-3F0C-59CA-140EF85FAC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14:paraId="0591DFF4" w14:textId="77777777" w:rsidR="00E956C2" w:rsidRPr="00EE296F" w:rsidRDefault="00E956C2" w:rsidP="00E956C2">
      <w:pPr>
        <w:spacing w:line="360" w:lineRule="auto"/>
        <w:jc w:val="both"/>
        <w:rPr>
          <w:rFonts w:ascii="Times New Roman" w:hAnsi="Times New Roman" w:cs="Times New Roman"/>
          <w:color w:val="000000" w:themeColor="text1"/>
          <w:sz w:val="24"/>
          <w:szCs w:val="24"/>
        </w:rPr>
      </w:pPr>
    </w:p>
    <w:p w14:paraId="484955E1" w14:textId="77777777" w:rsidR="00E956C2" w:rsidRDefault="00E956C2" w:rsidP="00E956C2">
      <w:pPr>
        <w:jc w:val="both"/>
        <w:rPr>
          <w:rFonts w:ascii="Times New Roman" w:hAnsi="Times New Roman" w:cs="Times New Roman"/>
          <w:sz w:val="24"/>
          <w:szCs w:val="24"/>
        </w:rPr>
      </w:pPr>
    </w:p>
    <w:p w14:paraId="40706218" w14:textId="77777777" w:rsidR="00E956C2" w:rsidRDefault="00E956C2" w:rsidP="00E956C2">
      <w:pPr>
        <w:jc w:val="both"/>
        <w:rPr>
          <w:rFonts w:ascii="Times New Roman" w:hAnsi="Times New Roman" w:cs="Times New Roman"/>
          <w:sz w:val="24"/>
          <w:szCs w:val="24"/>
        </w:rPr>
      </w:pPr>
    </w:p>
    <w:p w14:paraId="327005E4" w14:textId="77777777" w:rsidR="00E956C2" w:rsidRDefault="00E956C2" w:rsidP="00E956C2">
      <w:pPr>
        <w:jc w:val="both"/>
        <w:rPr>
          <w:rFonts w:ascii="Times New Roman" w:hAnsi="Times New Roman" w:cs="Times New Roman"/>
          <w:sz w:val="24"/>
          <w:szCs w:val="24"/>
        </w:rPr>
      </w:pPr>
    </w:p>
    <w:p w14:paraId="0E9EC722" w14:textId="77777777" w:rsidR="00E956C2" w:rsidRDefault="00E956C2" w:rsidP="00E956C2">
      <w:pPr>
        <w:jc w:val="both"/>
        <w:rPr>
          <w:rFonts w:ascii="Times New Roman" w:hAnsi="Times New Roman" w:cs="Times New Roman"/>
          <w:sz w:val="24"/>
          <w:szCs w:val="24"/>
        </w:rPr>
      </w:pPr>
    </w:p>
    <w:p w14:paraId="7C4A2BE1" w14:textId="77777777" w:rsidR="00E956C2" w:rsidRDefault="00E956C2" w:rsidP="00E956C2">
      <w:pPr>
        <w:jc w:val="both"/>
        <w:rPr>
          <w:rFonts w:ascii="Times New Roman" w:hAnsi="Times New Roman" w:cs="Times New Roman"/>
          <w:sz w:val="24"/>
          <w:szCs w:val="24"/>
        </w:rPr>
      </w:pPr>
    </w:p>
    <w:p w14:paraId="44825059" w14:textId="77777777" w:rsidR="00E956C2" w:rsidRDefault="00E956C2" w:rsidP="00E956C2">
      <w:pPr>
        <w:jc w:val="both"/>
        <w:rPr>
          <w:rFonts w:ascii="Times New Roman" w:hAnsi="Times New Roman" w:cs="Times New Roman"/>
          <w:sz w:val="24"/>
          <w:szCs w:val="24"/>
        </w:rPr>
      </w:pPr>
    </w:p>
    <w:p w14:paraId="565138AD" w14:textId="77777777" w:rsidR="00E956C2" w:rsidRDefault="00E956C2" w:rsidP="00E956C2">
      <w:pPr>
        <w:spacing w:line="360" w:lineRule="auto"/>
        <w:jc w:val="both"/>
        <w:rPr>
          <w:rFonts w:ascii="Times New Roman" w:hAnsi="Times New Roman" w:cs="Times New Roman"/>
          <w:sz w:val="24"/>
          <w:szCs w:val="24"/>
        </w:rPr>
      </w:pPr>
    </w:p>
    <w:p w14:paraId="04F83698" w14:textId="77777777" w:rsidR="00E956C2" w:rsidRDefault="00E956C2" w:rsidP="00E956C2">
      <w:pPr>
        <w:spacing w:line="360" w:lineRule="auto"/>
        <w:jc w:val="both"/>
        <w:rPr>
          <w:rFonts w:ascii="Times New Roman" w:hAnsi="Times New Roman" w:cs="Times New Roman"/>
          <w:sz w:val="24"/>
          <w:szCs w:val="24"/>
        </w:rPr>
      </w:pPr>
    </w:p>
    <w:p w14:paraId="41530E5B" w14:textId="77777777" w:rsidR="00E956C2" w:rsidRDefault="00E956C2" w:rsidP="00E956C2">
      <w:pPr>
        <w:spacing w:line="360" w:lineRule="auto"/>
        <w:jc w:val="both"/>
        <w:rPr>
          <w:rFonts w:ascii="Times New Roman" w:hAnsi="Times New Roman" w:cs="Times New Roman"/>
          <w:sz w:val="24"/>
          <w:szCs w:val="24"/>
        </w:rPr>
      </w:pPr>
    </w:p>
    <w:p w14:paraId="2A5A882F" w14:textId="77777777" w:rsidR="00E956C2" w:rsidRDefault="00E956C2" w:rsidP="00E956C2">
      <w:pPr>
        <w:spacing w:line="360" w:lineRule="auto"/>
        <w:jc w:val="both"/>
        <w:rPr>
          <w:rFonts w:ascii="Times New Roman" w:hAnsi="Times New Roman" w:cs="Times New Roman"/>
          <w:sz w:val="24"/>
          <w:szCs w:val="24"/>
        </w:rPr>
      </w:pPr>
      <w:r w:rsidRPr="002B426E">
        <w:rPr>
          <w:rFonts w:ascii="Times New Roman" w:hAnsi="Times New Roman" w:cs="Times New Roman"/>
          <w:sz w:val="24"/>
          <w:szCs w:val="24"/>
        </w:rPr>
        <w:t xml:space="preserve">In accordance with the Cash Reserve Ratio (CRR), banking institutions are required to hold a specific minimum amount of customer deposits as reserves, either in cash or as deposits with the central bank. </w:t>
      </w:r>
      <w:r>
        <w:rPr>
          <w:rFonts w:ascii="Times New Roman" w:hAnsi="Times New Roman" w:cs="Times New Roman"/>
          <w:sz w:val="24"/>
          <w:szCs w:val="24"/>
        </w:rPr>
        <w:t>Bangladesh Bank has set the CRR at 4% for both conventional and Islamic banks.</w:t>
      </w:r>
    </w:p>
    <w:p w14:paraId="6E2745B8" w14:textId="77777777" w:rsidR="00E956C2" w:rsidRDefault="00E956C2" w:rsidP="00E956C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the graph above, we can see a decreasing trend of CRR from 2017 to 2020. In 2017, it was 7.40% and then started declining at a lower rate. In 2020, the CRR was 4.90 % which is the lowest among the previous years. However, the CRR increased to 6.20% in 2021. Though the CRR kept decreasing but every year it was above the requirement of the Bangladesh Bank. Thus, we can say that City Bank has convincingly done well in maintaining the CRR.</w:t>
      </w:r>
    </w:p>
    <w:p w14:paraId="73AA8B18"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r w:rsidRPr="009A7910">
        <w:rPr>
          <w:rFonts w:ascii="Times New Roman" w:hAnsi="Times New Roman" w:cs="Times New Roman"/>
          <w:b/>
          <w:bCs/>
          <w:color w:val="4472C4" w:themeColor="accent1"/>
          <w:sz w:val="28"/>
          <w:szCs w:val="28"/>
          <w:u w:val="single"/>
        </w:rPr>
        <w:t>4.6 Share Information</w:t>
      </w:r>
    </w:p>
    <w:p w14:paraId="70A6FD3E" w14:textId="77777777" w:rsidR="00E956C2" w:rsidRPr="009A7910" w:rsidRDefault="00E956C2" w:rsidP="00E956C2">
      <w:pPr>
        <w:spacing w:line="360" w:lineRule="auto"/>
        <w:jc w:val="center"/>
        <w:rPr>
          <w:rFonts w:ascii="Times New Roman" w:hAnsi="Times New Roman" w:cs="Times New Roman"/>
          <w:color w:val="7030A0"/>
          <w:sz w:val="24"/>
          <w:szCs w:val="24"/>
          <w:u w:val="single"/>
        </w:rPr>
      </w:pPr>
      <w:r>
        <w:rPr>
          <w:noProof/>
        </w:rPr>
        <w:drawing>
          <wp:anchor distT="0" distB="0" distL="114300" distR="114300" simplePos="0" relativeHeight="251682816" behindDoc="0" locked="0" layoutInCell="1" allowOverlap="1" wp14:anchorId="150EB280" wp14:editId="6FE29171">
            <wp:simplePos x="0" y="0"/>
            <wp:positionH relativeFrom="margin">
              <wp:align>right</wp:align>
            </wp:positionH>
            <wp:positionV relativeFrom="paragraph">
              <wp:posOffset>261620</wp:posOffset>
            </wp:positionV>
            <wp:extent cx="5943600" cy="2628900"/>
            <wp:effectExtent l="0" t="0" r="0" b="0"/>
            <wp:wrapNone/>
            <wp:docPr id="22" name="Chart 2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D70BF8C-8144-BDC3-61F7-C50165C4A1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Pr="009A7910">
        <w:rPr>
          <w:rFonts w:ascii="Times New Roman" w:hAnsi="Times New Roman" w:cs="Times New Roman"/>
          <w:color w:val="7030A0"/>
          <w:sz w:val="24"/>
          <w:szCs w:val="24"/>
          <w:u w:val="single"/>
        </w:rPr>
        <w:t>4.6.1 Earnings Per Share</w:t>
      </w:r>
    </w:p>
    <w:p w14:paraId="514E3885" w14:textId="77777777" w:rsidR="00E956C2" w:rsidRDefault="00E956C2" w:rsidP="00E956C2">
      <w:pPr>
        <w:jc w:val="both"/>
        <w:rPr>
          <w:rFonts w:ascii="Times New Roman" w:hAnsi="Times New Roman" w:cs="Times New Roman"/>
          <w:sz w:val="24"/>
          <w:szCs w:val="24"/>
        </w:rPr>
      </w:pPr>
    </w:p>
    <w:p w14:paraId="40DB300A" w14:textId="77777777" w:rsidR="00E956C2" w:rsidRPr="00626E27" w:rsidRDefault="00E956C2" w:rsidP="00E956C2">
      <w:pPr>
        <w:rPr>
          <w:rFonts w:ascii="Times New Roman" w:hAnsi="Times New Roman" w:cs="Times New Roman"/>
          <w:sz w:val="24"/>
          <w:szCs w:val="24"/>
        </w:rPr>
      </w:pPr>
    </w:p>
    <w:p w14:paraId="33CED4C9" w14:textId="77777777" w:rsidR="00E956C2" w:rsidRPr="00626E27" w:rsidRDefault="00E956C2" w:rsidP="00E956C2">
      <w:pPr>
        <w:rPr>
          <w:rFonts w:ascii="Times New Roman" w:hAnsi="Times New Roman" w:cs="Times New Roman"/>
          <w:sz w:val="24"/>
          <w:szCs w:val="24"/>
        </w:rPr>
      </w:pPr>
    </w:p>
    <w:p w14:paraId="20C6051A" w14:textId="77777777" w:rsidR="00E956C2" w:rsidRPr="00626E27" w:rsidRDefault="00E956C2" w:rsidP="00E956C2">
      <w:pPr>
        <w:rPr>
          <w:rFonts w:ascii="Times New Roman" w:hAnsi="Times New Roman" w:cs="Times New Roman"/>
          <w:sz w:val="24"/>
          <w:szCs w:val="24"/>
        </w:rPr>
      </w:pPr>
    </w:p>
    <w:p w14:paraId="67BE875E" w14:textId="77777777" w:rsidR="00E956C2" w:rsidRPr="00626E27" w:rsidRDefault="00E956C2" w:rsidP="00E956C2">
      <w:pPr>
        <w:rPr>
          <w:rFonts w:ascii="Times New Roman" w:hAnsi="Times New Roman" w:cs="Times New Roman"/>
          <w:sz w:val="24"/>
          <w:szCs w:val="24"/>
        </w:rPr>
      </w:pPr>
    </w:p>
    <w:p w14:paraId="135C0196" w14:textId="77777777" w:rsidR="00E956C2" w:rsidRPr="00626E27" w:rsidRDefault="00E956C2" w:rsidP="00E956C2">
      <w:pPr>
        <w:rPr>
          <w:rFonts w:ascii="Times New Roman" w:hAnsi="Times New Roman" w:cs="Times New Roman"/>
          <w:sz w:val="24"/>
          <w:szCs w:val="24"/>
        </w:rPr>
      </w:pPr>
    </w:p>
    <w:p w14:paraId="4BB58233" w14:textId="77777777" w:rsidR="00E956C2" w:rsidRPr="00626E27" w:rsidRDefault="00E956C2" w:rsidP="00E956C2">
      <w:pPr>
        <w:rPr>
          <w:rFonts w:ascii="Times New Roman" w:hAnsi="Times New Roman" w:cs="Times New Roman"/>
          <w:sz w:val="24"/>
          <w:szCs w:val="24"/>
        </w:rPr>
      </w:pPr>
    </w:p>
    <w:p w14:paraId="0D50CCE6" w14:textId="77777777" w:rsidR="00E956C2" w:rsidRPr="00626E27" w:rsidRDefault="00E956C2" w:rsidP="00E956C2">
      <w:pPr>
        <w:rPr>
          <w:rFonts w:ascii="Times New Roman" w:hAnsi="Times New Roman" w:cs="Times New Roman"/>
          <w:sz w:val="24"/>
          <w:szCs w:val="24"/>
        </w:rPr>
      </w:pPr>
    </w:p>
    <w:p w14:paraId="6FD15C62" w14:textId="77777777" w:rsidR="00E956C2" w:rsidRDefault="00E956C2" w:rsidP="00E956C2">
      <w:pPr>
        <w:rPr>
          <w:rFonts w:ascii="Times New Roman" w:hAnsi="Times New Roman" w:cs="Times New Roman"/>
          <w:sz w:val="24"/>
          <w:szCs w:val="24"/>
        </w:rPr>
      </w:pPr>
    </w:p>
    <w:p w14:paraId="4DD20AB8" w14:textId="77777777" w:rsidR="00E956C2" w:rsidRDefault="00E956C2" w:rsidP="00E956C2">
      <w:pPr>
        <w:spacing w:line="360" w:lineRule="auto"/>
        <w:jc w:val="both"/>
        <w:rPr>
          <w:rFonts w:ascii="Times New Roman" w:hAnsi="Times New Roman" w:cs="Times New Roman"/>
          <w:color w:val="000000" w:themeColor="text1"/>
          <w:sz w:val="24"/>
          <w:szCs w:val="24"/>
        </w:rPr>
      </w:pPr>
      <w:r w:rsidRPr="00BD3C81">
        <w:rPr>
          <w:rFonts w:ascii="Times New Roman" w:hAnsi="Times New Roman" w:cs="Times New Roman"/>
          <w:color w:val="000000" w:themeColor="text1"/>
          <w:sz w:val="24"/>
          <w:szCs w:val="24"/>
        </w:rPr>
        <w:t xml:space="preserve">The basic formula for calculating earnings per share (EPS) is to divide a bank's net profit after tax by the total number of outstanding common shares. </w:t>
      </w:r>
      <w:r>
        <w:rPr>
          <w:rFonts w:ascii="Times New Roman" w:hAnsi="Times New Roman" w:cs="Times New Roman"/>
          <w:color w:val="000000" w:themeColor="text1"/>
          <w:sz w:val="24"/>
          <w:szCs w:val="24"/>
        </w:rPr>
        <w:t>This ratio measures or indicates a bank’s profitability. The higher the ratio, the better is for the banks and the investors as well and also indicates that the bank is performing well. We can see in the graph above that the Earnings per share of CBL fluctuated throughout the last five years. The EPS of City Bank was 4.10 in 2017, but unfortunately CBL could not retain this good EPS figure and it declined significantly to 2.10 in 2018. In the next year, in 2019, EPS improved a little bit to 2.40. The lower EPS in 2018 and 2019 was mainly due to the decreased market price of the shares. However, CBL started to regain its good figures in EPS in 2020 with an EPS of 3.90. Lastly, in the year 2021, CBL performed even better than the previous years with an EPS of 4.40. This is indicating that currently CBL is doing well in the profitability segment and its investors and shareholders are also happy with the current figures. It is forecasted that the EPS will keep improving in 2022 also.</w:t>
      </w:r>
    </w:p>
    <w:p w14:paraId="0DF21D13" w14:textId="77777777" w:rsidR="00E956C2" w:rsidRPr="00086109" w:rsidRDefault="00E956C2" w:rsidP="00E956C2">
      <w:pPr>
        <w:spacing w:line="360" w:lineRule="auto"/>
        <w:jc w:val="center"/>
        <w:rPr>
          <w:rFonts w:ascii="Times New Roman" w:hAnsi="Times New Roman" w:cs="Times New Roman"/>
          <w:color w:val="000000" w:themeColor="text1"/>
          <w:sz w:val="24"/>
          <w:szCs w:val="24"/>
        </w:rPr>
      </w:pPr>
      <w:r>
        <w:rPr>
          <w:noProof/>
        </w:rPr>
        <w:lastRenderedPageBreak/>
        <w:drawing>
          <wp:anchor distT="0" distB="0" distL="114300" distR="114300" simplePos="0" relativeHeight="251683840" behindDoc="0" locked="0" layoutInCell="1" allowOverlap="1" wp14:anchorId="61F29E0D" wp14:editId="33A63842">
            <wp:simplePos x="0" y="0"/>
            <wp:positionH relativeFrom="margin">
              <wp:align>right</wp:align>
            </wp:positionH>
            <wp:positionV relativeFrom="paragraph">
              <wp:posOffset>323850</wp:posOffset>
            </wp:positionV>
            <wp:extent cx="5943600" cy="2571750"/>
            <wp:effectExtent l="0" t="0" r="0" b="0"/>
            <wp:wrapNone/>
            <wp:docPr id="23" name="Chart 2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ED3D50-2347-0B5D-0826-2AEA6BE308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sidRPr="002909CC">
        <w:rPr>
          <w:rFonts w:ascii="Times New Roman" w:hAnsi="Times New Roman" w:cs="Times New Roman"/>
          <w:color w:val="7030A0"/>
          <w:sz w:val="24"/>
          <w:szCs w:val="24"/>
          <w:u w:val="single"/>
        </w:rPr>
        <w:t>4.6.2 Net Asset Value Per Share</w:t>
      </w:r>
    </w:p>
    <w:p w14:paraId="1C52086B" w14:textId="77777777" w:rsidR="00E956C2" w:rsidRDefault="00E956C2" w:rsidP="00E956C2">
      <w:pPr>
        <w:jc w:val="both"/>
        <w:rPr>
          <w:rFonts w:ascii="Times New Roman" w:hAnsi="Times New Roman" w:cs="Times New Roman"/>
          <w:sz w:val="24"/>
          <w:szCs w:val="24"/>
        </w:rPr>
      </w:pPr>
    </w:p>
    <w:p w14:paraId="1219B249" w14:textId="77777777" w:rsidR="00E956C2" w:rsidRDefault="00E956C2" w:rsidP="00E956C2">
      <w:pPr>
        <w:jc w:val="both"/>
        <w:rPr>
          <w:rFonts w:ascii="Times New Roman" w:hAnsi="Times New Roman" w:cs="Times New Roman"/>
          <w:sz w:val="24"/>
          <w:szCs w:val="24"/>
        </w:rPr>
      </w:pPr>
    </w:p>
    <w:p w14:paraId="7ED963F2" w14:textId="77777777" w:rsidR="00E956C2" w:rsidRDefault="00E956C2" w:rsidP="00E956C2">
      <w:pPr>
        <w:jc w:val="both"/>
        <w:rPr>
          <w:rFonts w:ascii="Times New Roman" w:hAnsi="Times New Roman" w:cs="Times New Roman"/>
          <w:sz w:val="24"/>
          <w:szCs w:val="24"/>
        </w:rPr>
      </w:pPr>
    </w:p>
    <w:p w14:paraId="74DC3B6A" w14:textId="77777777" w:rsidR="00E956C2" w:rsidRDefault="00E956C2" w:rsidP="00E956C2">
      <w:pPr>
        <w:jc w:val="both"/>
        <w:rPr>
          <w:rFonts w:ascii="Times New Roman" w:hAnsi="Times New Roman" w:cs="Times New Roman"/>
          <w:sz w:val="24"/>
          <w:szCs w:val="24"/>
        </w:rPr>
      </w:pPr>
    </w:p>
    <w:p w14:paraId="3FE03F21" w14:textId="77777777" w:rsidR="00E956C2" w:rsidRDefault="00E956C2" w:rsidP="00E956C2">
      <w:pPr>
        <w:jc w:val="both"/>
        <w:rPr>
          <w:rFonts w:ascii="Times New Roman" w:hAnsi="Times New Roman" w:cs="Times New Roman"/>
          <w:sz w:val="24"/>
          <w:szCs w:val="24"/>
        </w:rPr>
      </w:pPr>
    </w:p>
    <w:p w14:paraId="18E2A4F1" w14:textId="77777777" w:rsidR="00E956C2" w:rsidRDefault="00E956C2" w:rsidP="00E956C2">
      <w:pPr>
        <w:jc w:val="both"/>
        <w:rPr>
          <w:rFonts w:ascii="Times New Roman" w:hAnsi="Times New Roman" w:cs="Times New Roman"/>
          <w:sz w:val="24"/>
          <w:szCs w:val="24"/>
        </w:rPr>
      </w:pPr>
    </w:p>
    <w:p w14:paraId="49DE5DC2" w14:textId="77777777" w:rsidR="00E956C2" w:rsidRDefault="00E956C2" w:rsidP="00E956C2">
      <w:pPr>
        <w:jc w:val="both"/>
        <w:rPr>
          <w:rFonts w:ascii="Times New Roman" w:hAnsi="Times New Roman" w:cs="Times New Roman"/>
          <w:sz w:val="24"/>
          <w:szCs w:val="24"/>
        </w:rPr>
      </w:pPr>
    </w:p>
    <w:p w14:paraId="72BFBBC2" w14:textId="77777777" w:rsidR="00E956C2" w:rsidRDefault="00E956C2" w:rsidP="00E956C2">
      <w:pPr>
        <w:jc w:val="both"/>
        <w:rPr>
          <w:rFonts w:ascii="Times New Roman" w:hAnsi="Times New Roman" w:cs="Times New Roman"/>
          <w:sz w:val="24"/>
          <w:szCs w:val="24"/>
        </w:rPr>
      </w:pPr>
    </w:p>
    <w:p w14:paraId="4092EAFA" w14:textId="77777777" w:rsidR="00E956C2" w:rsidRDefault="00E956C2" w:rsidP="00E956C2">
      <w:pPr>
        <w:rPr>
          <w:rFonts w:ascii="Times New Roman" w:hAnsi="Times New Roman" w:cs="Times New Roman"/>
          <w:sz w:val="24"/>
          <w:szCs w:val="24"/>
        </w:rPr>
      </w:pPr>
    </w:p>
    <w:p w14:paraId="5F4D4911" w14:textId="77777777" w:rsidR="00E956C2" w:rsidRDefault="00E956C2" w:rsidP="00E956C2">
      <w:pPr>
        <w:spacing w:line="360" w:lineRule="auto"/>
        <w:jc w:val="both"/>
        <w:rPr>
          <w:rFonts w:ascii="Times New Roman" w:hAnsi="Times New Roman" w:cs="Times New Roman"/>
          <w:sz w:val="24"/>
          <w:szCs w:val="24"/>
        </w:rPr>
      </w:pPr>
      <w:r>
        <w:rPr>
          <w:rFonts w:ascii="Times New Roman" w:hAnsi="Times New Roman" w:cs="Times New Roman"/>
          <w:sz w:val="24"/>
          <w:szCs w:val="24"/>
        </w:rPr>
        <w:t>The Net Asset Value Per Share of a bank is found by dividing Total Shareholder’s Equity with the Number of Shares Outstanding of that year. It shows how much net asset value the bank holds in 1 share. Here, we can see that in 2017, the NAVPS was BDT 27 and decreased to 25.20 and 25.00 in year 2018 and 2019. After that, the NAVPS increased significantly to 28.40 in 2020 and it continued to increase in 2021 as well with a value of 29.30. We can see a lot of fluctuation in the trend. Though City Bank was struggling with the NAVPS during 2019 and 2018 because of the lower shareholder’s equity, but it recovered in 2020 and 2021.</w:t>
      </w:r>
    </w:p>
    <w:p w14:paraId="32F8FF9F" w14:textId="77777777" w:rsidR="00E956C2" w:rsidRDefault="00E956C2" w:rsidP="00E956C2">
      <w:pPr>
        <w:spacing w:line="360" w:lineRule="auto"/>
        <w:jc w:val="center"/>
        <w:rPr>
          <w:rFonts w:ascii="Times New Roman" w:hAnsi="Times New Roman" w:cs="Times New Roman"/>
          <w:color w:val="7030A0"/>
          <w:sz w:val="24"/>
          <w:szCs w:val="24"/>
          <w:u w:val="single"/>
        </w:rPr>
      </w:pPr>
      <w:r>
        <w:rPr>
          <w:noProof/>
        </w:rPr>
        <w:drawing>
          <wp:anchor distT="0" distB="0" distL="114300" distR="114300" simplePos="0" relativeHeight="251684864" behindDoc="0" locked="0" layoutInCell="1" allowOverlap="1" wp14:anchorId="0AC90629" wp14:editId="5CFDFFA0">
            <wp:simplePos x="0" y="0"/>
            <wp:positionH relativeFrom="margin">
              <wp:align>left</wp:align>
            </wp:positionH>
            <wp:positionV relativeFrom="paragraph">
              <wp:posOffset>363855</wp:posOffset>
            </wp:positionV>
            <wp:extent cx="5934075" cy="2847975"/>
            <wp:effectExtent l="0" t="0" r="9525" b="9525"/>
            <wp:wrapNone/>
            <wp:docPr id="24" name="Chart 2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B6DAB2-D1FA-B930-FB4D-B0FADA274F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Pr="00AA5BE2">
        <w:rPr>
          <w:rFonts w:ascii="Times New Roman" w:hAnsi="Times New Roman" w:cs="Times New Roman"/>
          <w:color w:val="7030A0"/>
          <w:sz w:val="24"/>
          <w:szCs w:val="24"/>
          <w:u w:val="single"/>
        </w:rPr>
        <w:t>4.6.3 Total Dividend</w:t>
      </w:r>
    </w:p>
    <w:p w14:paraId="15734690" w14:textId="77777777" w:rsidR="00E956C2" w:rsidRDefault="00E956C2" w:rsidP="00E956C2">
      <w:pPr>
        <w:spacing w:line="360" w:lineRule="auto"/>
        <w:jc w:val="center"/>
        <w:rPr>
          <w:rFonts w:ascii="Times New Roman" w:hAnsi="Times New Roman" w:cs="Times New Roman"/>
          <w:color w:val="7030A0"/>
          <w:sz w:val="24"/>
          <w:szCs w:val="24"/>
          <w:u w:val="single"/>
        </w:rPr>
      </w:pPr>
    </w:p>
    <w:p w14:paraId="0266C6F3" w14:textId="77777777" w:rsidR="00E956C2" w:rsidRDefault="00E956C2" w:rsidP="00E956C2">
      <w:pPr>
        <w:spacing w:line="360" w:lineRule="auto"/>
        <w:jc w:val="center"/>
        <w:rPr>
          <w:rFonts w:ascii="Times New Roman" w:hAnsi="Times New Roman" w:cs="Times New Roman"/>
          <w:color w:val="7030A0"/>
          <w:sz w:val="24"/>
          <w:szCs w:val="24"/>
          <w:u w:val="single"/>
        </w:rPr>
      </w:pPr>
    </w:p>
    <w:p w14:paraId="3BEB1A71" w14:textId="77777777" w:rsidR="00E956C2" w:rsidRDefault="00E956C2" w:rsidP="00E956C2">
      <w:pPr>
        <w:spacing w:line="360" w:lineRule="auto"/>
        <w:jc w:val="center"/>
        <w:rPr>
          <w:rFonts w:ascii="Times New Roman" w:hAnsi="Times New Roman" w:cs="Times New Roman"/>
          <w:color w:val="7030A0"/>
          <w:sz w:val="24"/>
          <w:szCs w:val="24"/>
          <w:u w:val="single"/>
        </w:rPr>
      </w:pPr>
    </w:p>
    <w:p w14:paraId="45622371" w14:textId="77777777" w:rsidR="00E956C2" w:rsidRDefault="00E956C2" w:rsidP="00E956C2">
      <w:pPr>
        <w:spacing w:line="360" w:lineRule="auto"/>
        <w:jc w:val="center"/>
        <w:rPr>
          <w:rFonts w:ascii="Times New Roman" w:hAnsi="Times New Roman" w:cs="Times New Roman"/>
          <w:color w:val="7030A0"/>
          <w:sz w:val="24"/>
          <w:szCs w:val="24"/>
          <w:u w:val="single"/>
        </w:rPr>
      </w:pPr>
    </w:p>
    <w:p w14:paraId="60F66DFB" w14:textId="77777777" w:rsidR="00E956C2" w:rsidRDefault="00E956C2" w:rsidP="00E956C2">
      <w:pPr>
        <w:spacing w:line="360" w:lineRule="auto"/>
        <w:jc w:val="center"/>
        <w:rPr>
          <w:rFonts w:ascii="Times New Roman" w:hAnsi="Times New Roman" w:cs="Times New Roman"/>
          <w:color w:val="7030A0"/>
          <w:sz w:val="24"/>
          <w:szCs w:val="24"/>
          <w:u w:val="single"/>
        </w:rPr>
      </w:pPr>
    </w:p>
    <w:p w14:paraId="68E61E68" w14:textId="77777777" w:rsidR="00E956C2" w:rsidRDefault="00E956C2" w:rsidP="00E956C2">
      <w:pPr>
        <w:spacing w:line="360" w:lineRule="auto"/>
        <w:jc w:val="center"/>
        <w:rPr>
          <w:rFonts w:ascii="Times New Roman" w:hAnsi="Times New Roman" w:cs="Times New Roman"/>
          <w:color w:val="7030A0"/>
          <w:sz w:val="24"/>
          <w:szCs w:val="24"/>
          <w:u w:val="single"/>
        </w:rPr>
      </w:pPr>
    </w:p>
    <w:p w14:paraId="5F296F05" w14:textId="77777777" w:rsidR="00E956C2" w:rsidRDefault="00E956C2" w:rsidP="00E956C2">
      <w:pPr>
        <w:spacing w:line="360" w:lineRule="auto"/>
        <w:jc w:val="center"/>
        <w:rPr>
          <w:rFonts w:ascii="Times New Roman" w:hAnsi="Times New Roman" w:cs="Times New Roman"/>
          <w:color w:val="7030A0"/>
          <w:sz w:val="24"/>
          <w:szCs w:val="24"/>
          <w:u w:val="single"/>
        </w:rPr>
      </w:pPr>
    </w:p>
    <w:p w14:paraId="5394FA97" w14:textId="77777777" w:rsidR="00E956C2" w:rsidRDefault="00E956C2" w:rsidP="00E956C2">
      <w:pPr>
        <w:spacing w:line="360" w:lineRule="auto"/>
        <w:jc w:val="center"/>
        <w:rPr>
          <w:rFonts w:ascii="Times New Roman" w:hAnsi="Times New Roman" w:cs="Times New Roman"/>
          <w:color w:val="7030A0"/>
          <w:sz w:val="24"/>
          <w:szCs w:val="24"/>
          <w:u w:val="single"/>
        </w:rPr>
      </w:pPr>
    </w:p>
    <w:p w14:paraId="155E62A7" w14:textId="77777777" w:rsidR="00E956C2" w:rsidRDefault="00E956C2" w:rsidP="00E956C2">
      <w:pPr>
        <w:spacing w:line="360" w:lineRule="auto"/>
        <w:jc w:val="both"/>
        <w:rPr>
          <w:rFonts w:ascii="Times New Roman" w:hAnsi="Times New Roman" w:cs="Times New Roman"/>
          <w:color w:val="000000" w:themeColor="text1"/>
          <w:sz w:val="24"/>
          <w:szCs w:val="24"/>
        </w:rPr>
      </w:pPr>
      <w:r w:rsidRPr="00621F2D">
        <w:rPr>
          <w:rFonts w:ascii="Times New Roman" w:hAnsi="Times New Roman" w:cs="Times New Roman"/>
          <w:color w:val="000000" w:themeColor="text1"/>
          <w:sz w:val="24"/>
          <w:szCs w:val="24"/>
        </w:rPr>
        <w:lastRenderedPageBreak/>
        <w:t xml:space="preserve">A dividend is a sum of money that an organization distributes to its stockholders from its earnings. You can receive dividends in the form of cash, stock, or bonus shares. Dividends are one way that businesses can return their profits to shareholders. A corporation's board of directors has the power to decide whether to distribute profits to shareholders in the form of dividends. </w:t>
      </w:r>
      <w:r>
        <w:rPr>
          <w:rFonts w:ascii="Times New Roman" w:hAnsi="Times New Roman" w:cs="Times New Roman"/>
          <w:color w:val="000000" w:themeColor="text1"/>
          <w:sz w:val="24"/>
          <w:szCs w:val="24"/>
        </w:rPr>
        <w:t>When the banks are giving higher dividend, it might indicate that the bank is making more profit. We can see that City Bank has distributed 24% dividend in 2017, later it decreased to 11% and 15% in 2018 and 2019. After that, the dividend increased to 22.50% in 2020 and 25% in 2021. This is indicating that the bank has performed well in 2020 and 2021 than it did in 2018 and 2019.</w:t>
      </w:r>
    </w:p>
    <w:p w14:paraId="60FB5471" w14:textId="77777777" w:rsidR="00E956C2" w:rsidRDefault="00E956C2" w:rsidP="00E956C2">
      <w:pPr>
        <w:spacing w:line="360" w:lineRule="auto"/>
        <w:jc w:val="center"/>
        <w:rPr>
          <w:rFonts w:ascii="Times New Roman" w:hAnsi="Times New Roman" w:cs="Times New Roman"/>
          <w:color w:val="7030A0"/>
          <w:sz w:val="24"/>
          <w:szCs w:val="24"/>
          <w:u w:val="single"/>
        </w:rPr>
      </w:pPr>
      <w:r>
        <w:rPr>
          <w:noProof/>
        </w:rPr>
        <w:drawing>
          <wp:anchor distT="0" distB="0" distL="114300" distR="114300" simplePos="0" relativeHeight="251685888" behindDoc="0" locked="0" layoutInCell="1" allowOverlap="1" wp14:anchorId="174487D3" wp14:editId="3B1B764E">
            <wp:simplePos x="0" y="0"/>
            <wp:positionH relativeFrom="margin">
              <wp:align>right</wp:align>
            </wp:positionH>
            <wp:positionV relativeFrom="paragraph">
              <wp:posOffset>367030</wp:posOffset>
            </wp:positionV>
            <wp:extent cx="5943600" cy="2990850"/>
            <wp:effectExtent l="0" t="0" r="0" b="0"/>
            <wp:wrapNone/>
            <wp:docPr id="25" name="Chart 2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48D4FBD-F542-7C25-1865-3BC0B86363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r w:rsidRPr="00383E7B">
        <w:rPr>
          <w:rFonts w:ascii="Times New Roman" w:hAnsi="Times New Roman" w:cs="Times New Roman"/>
          <w:color w:val="7030A0"/>
          <w:sz w:val="24"/>
          <w:szCs w:val="24"/>
          <w:u w:val="single"/>
        </w:rPr>
        <w:t>4.6.4 Net Operating Cash Flow Per Share</w:t>
      </w:r>
    </w:p>
    <w:p w14:paraId="24E36099" w14:textId="77777777" w:rsidR="00E956C2" w:rsidRPr="00383E7B" w:rsidRDefault="00E956C2" w:rsidP="00E956C2">
      <w:pPr>
        <w:spacing w:line="360" w:lineRule="auto"/>
        <w:jc w:val="center"/>
        <w:rPr>
          <w:rFonts w:ascii="Times New Roman" w:hAnsi="Times New Roman" w:cs="Times New Roman"/>
          <w:color w:val="7030A0"/>
          <w:sz w:val="24"/>
          <w:szCs w:val="24"/>
          <w:u w:val="single"/>
        </w:rPr>
      </w:pPr>
    </w:p>
    <w:p w14:paraId="41FD967D" w14:textId="77777777" w:rsidR="00E956C2" w:rsidRPr="00AA5BE2" w:rsidRDefault="00E956C2" w:rsidP="00E956C2">
      <w:pPr>
        <w:spacing w:line="360" w:lineRule="auto"/>
        <w:jc w:val="both"/>
        <w:rPr>
          <w:rFonts w:ascii="Times New Roman" w:hAnsi="Times New Roman" w:cs="Times New Roman"/>
          <w:color w:val="000000" w:themeColor="text1"/>
          <w:sz w:val="24"/>
          <w:szCs w:val="24"/>
        </w:rPr>
      </w:pPr>
    </w:p>
    <w:p w14:paraId="38830922" w14:textId="77777777" w:rsidR="00E956C2" w:rsidRDefault="00E956C2" w:rsidP="00E956C2">
      <w:pPr>
        <w:spacing w:line="360" w:lineRule="auto"/>
        <w:jc w:val="both"/>
        <w:rPr>
          <w:rFonts w:ascii="Times New Roman" w:hAnsi="Times New Roman" w:cs="Times New Roman"/>
          <w:color w:val="000000" w:themeColor="text1"/>
          <w:sz w:val="24"/>
          <w:szCs w:val="24"/>
        </w:rPr>
      </w:pPr>
    </w:p>
    <w:p w14:paraId="16024162" w14:textId="77777777" w:rsidR="00E956C2" w:rsidRPr="005B66F1" w:rsidRDefault="00E956C2" w:rsidP="00E956C2">
      <w:pPr>
        <w:rPr>
          <w:rFonts w:ascii="Times New Roman" w:hAnsi="Times New Roman" w:cs="Times New Roman"/>
          <w:sz w:val="24"/>
          <w:szCs w:val="24"/>
        </w:rPr>
      </w:pPr>
    </w:p>
    <w:p w14:paraId="6F9312E2" w14:textId="77777777" w:rsidR="00E956C2" w:rsidRPr="005B66F1" w:rsidRDefault="00E956C2" w:rsidP="00E956C2">
      <w:pPr>
        <w:rPr>
          <w:rFonts w:ascii="Times New Roman" w:hAnsi="Times New Roman" w:cs="Times New Roman"/>
          <w:sz w:val="24"/>
          <w:szCs w:val="24"/>
        </w:rPr>
      </w:pPr>
    </w:p>
    <w:p w14:paraId="78485079" w14:textId="77777777" w:rsidR="00E956C2" w:rsidRPr="005B66F1" w:rsidRDefault="00E956C2" w:rsidP="00E956C2">
      <w:pPr>
        <w:rPr>
          <w:rFonts w:ascii="Times New Roman" w:hAnsi="Times New Roman" w:cs="Times New Roman"/>
          <w:sz w:val="24"/>
          <w:szCs w:val="24"/>
        </w:rPr>
      </w:pPr>
    </w:p>
    <w:p w14:paraId="09443336" w14:textId="77777777" w:rsidR="00E956C2" w:rsidRPr="005B66F1" w:rsidRDefault="00E956C2" w:rsidP="00E956C2">
      <w:pPr>
        <w:rPr>
          <w:rFonts w:ascii="Times New Roman" w:hAnsi="Times New Roman" w:cs="Times New Roman"/>
          <w:sz w:val="24"/>
          <w:szCs w:val="24"/>
        </w:rPr>
      </w:pPr>
    </w:p>
    <w:p w14:paraId="186D5ED5" w14:textId="77777777" w:rsidR="00E956C2" w:rsidRPr="005B66F1" w:rsidRDefault="00E956C2" w:rsidP="00E956C2">
      <w:pPr>
        <w:rPr>
          <w:rFonts w:ascii="Times New Roman" w:hAnsi="Times New Roman" w:cs="Times New Roman"/>
          <w:sz w:val="24"/>
          <w:szCs w:val="24"/>
        </w:rPr>
      </w:pPr>
    </w:p>
    <w:p w14:paraId="36DBDE68" w14:textId="77777777" w:rsidR="00E956C2" w:rsidRDefault="00E956C2" w:rsidP="00E956C2">
      <w:pPr>
        <w:rPr>
          <w:rFonts w:ascii="Times New Roman" w:hAnsi="Times New Roman" w:cs="Times New Roman"/>
          <w:color w:val="000000" w:themeColor="text1"/>
          <w:sz w:val="24"/>
          <w:szCs w:val="24"/>
        </w:rPr>
      </w:pPr>
    </w:p>
    <w:p w14:paraId="2BF00B22" w14:textId="77777777" w:rsidR="00E956C2" w:rsidRDefault="00E956C2" w:rsidP="00E956C2">
      <w:pPr>
        <w:spacing w:line="360" w:lineRule="auto"/>
        <w:jc w:val="both"/>
        <w:rPr>
          <w:rFonts w:ascii="Times New Roman" w:hAnsi="Times New Roman" w:cs="Times New Roman"/>
          <w:sz w:val="24"/>
          <w:szCs w:val="24"/>
        </w:rPr>
      </w:pPr>
    </w:p>
    <w:p w14:paraId="32E7D88A" w14:textId="77777777" w:rsidR="00E956C2" w:rsidRDefault="00E956C2" w:rsidP="00E956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Net Operating Cash Flow Per Share (NOCFPS) is calculated by dividing net operating cash flow with number of shares outstanding. The higher the value, the better it is for a bank. </w:t>
      </w:r>
    </w:p>
    <w:p w14:paraId="036B0106" w14:textId="77777777" w:rsidR="00E956C2" w:rsidRDefault="00E956C2" w:rsidP="00E956C2">
      <w:pPr>
        <w:spacing w:line="360" w:lineRule="auto"/>
        <w:jc w:val="both"/>
        <w:rPr>
          <w:rFonts w:ascii="Times New Roman" w:hAnsi="Times New Roman" w:cs="Times New Roman"/>
          <w:sz w:val="24"/>
          <w:szCs w:val="24"/>
        </w:rPr>
      </w:pPr>
      <w:r>
        <w:rPr>
          <w:rFonts w:ascii="Times New Roman" w:hAnsi="Times New Roman" w:cs="Times New Roman"/>
          <w:sz w:val="24"/>
          <w:szCs w:val="24"/>
        </w:rPr>
        <w:t>Here we can see in the graph above that the NOCFPS was -6.33 in 2017 because of the negative operating cash flows which could be due to decrease in the value of the operating cash flows. However, the bank has recovered from the situation and made 13.71 in 2018 and 14.17 in 2019. Again, the value decreased to 5.01 in 2020 and then again increased to 12.97. Overall, we can say that there are no patterns found as the graph is fluctuating too much.</w:t>
      </w:r>
    </w:p>
    <w:p w14:paraId="3B130352" w14:textId="77777777" w:rsidR="00E956C2" w:rsidRDefault="00E956C2" w:rsidP="00E956C2">
      <w:pPr>
        <w:spacing w:line="360" w:lineRule="auto"/>
        <w:jc w:val="both"/>
        <w:rPr>
          <w:rFonts w:ascii="Times New Roman" w:hAnsi="Times New Roman" w:cs="Times New Roman"/>
          <w:sz w:val="24"/>
          <w:szCs w:val="24"/>
        </w:rPr>
      </w:pPr>
    </w:p>
    <w:p w14:paraId="637326D8" w14:textId="77777777" w:rsidR="00E956C2" w:rsidRDefault="00E956C2" w:rsidP="00E956C2">
      <w:pPr>
        <w:spacing w:line="360" w:lineRule="auto"/>
        <w:jc w:val="both"/>
        <w:rPr>
          <w:rFonts w:ascii="Times New Roman" w:hAnsi="Times New Roman" w:cs="Times New Roman"/>
          <w:sz w:val="24"/>
          <w:szCs w:val="24"/>
        </w:rPr>
      </w:pPr>
    </w:p>
    <w:p w14:paraId="53A6264D" w14:textId="77777777" w:rsidR="00E956C2" w:rsidRDefault="00E956C2" w:rsidP="00E956C2">
      <w:pPr>
        <w:spacing w:line="360" w:lineRule="auto"/>
        <w:jc w:val="center"/>
        <w:rPr>
          <w:rFonts w:ascii="Times New Roman" w:hAnsi="Times New Roman" w:cs="Times New Roman"/>
          <w:b/>
          <w:bCs/>
          <w:color w:val="4472C4" w:themeColor="accent1"/>
          <w:sz w:val="96"/>
          <w:szCs w:val="96"/>
        </w:rPr>
      </w:pPr>
    </w:p>
    <w:p w14:paraId="28183F27" w14:textId="77777777" w:rsidR="00E956C2" w:rsidRDefault="00E956C2" w:rsidP="00E956C2">
      <w:pPr>
        <w:spacing w:line="240" w:lineRule="auto"/>
        <w:jc w:val="center"/>
        <w:rPr>
          <w:rFonts w:ascii="Times New Roman" w:hAnsi="Times New Roman" w:cs="Times New Roman"/>
          <w:b/>
          <w:bCs/>
          <w:color w:val="4472C4" w:themeColor="accent1"/>
          <w:sz w:val="96"/>
          <w:szCs w:val="96"/>
        </w:rPr>
      </w:pPr>
    </w:p>
    <w:p w14:paraId="453B7337" w14:textId="77777777" w:rsidR="00E956C2" w:rsidRPr="00E10362" w:rsidRDefault="00E956C2" w:rsidP="00E956C2">
      <w:pPr>
        <w:spacing w:line="240" w:lineRule="auto"/>
        <w:jc w:val="center"/>
        <w:rPr>
          <w:rFonts w:ascii="Times New Roman" w:hAnsi="Times New Roman" w:cs="Times New Roman"/>
          <w:b/>
          <w:bCs/>
          <w:color w:val="4472C4" w:themeColor="accent1"/>
          <w:sz w:val="96"/>
          <w:szCs w:val="96"/>
        </w:rPr>
      </w:pPr>
      <w:r w:rsidRPr="00E10362">
        <w:rPr>
          <w:rFonts w:ascii="Times New Roman" w:hAnsi="Times New Roman" w:cs="Times New Roman"/>
          <w:b/>
          <w:bCs/>
          <w:color w:val="4472C4" w:themeColor="accent1"/>
          <w:sz w:val="96"/>
          <w:szCs w:val="96"/>
        </w:rPr>
        <w:t>5.0</w:t>
      </w:r>
    </w:p>
    <w:p w14:paraId="14BFD9BA" w14:textId="77777777" w:rsidR="00E956C2" w:rsidRPr="00E10362" w:rsidRDefault="00E956C2" w:rsidP="00E956C2">
      <w:pPr>
        <w:spacing w:line="240" w:lineRule="auto"/>
        <w:jc w:val="center"/>
        <w:rPr>
          <w:rFonts w:ascii="Times New Roman" w:hAnsi="Times New Roman" w:cs="Times New Roman"/>
          <w:b/>
          <w:bCs/>
          <w:color w:val="4472C4" w:themeColor="accent1"/>
          <w:sz w:val="96"/>
          <w:szCs w:val="96"/>
        </w:rPr>
      </w:pPr>
      <w:r w:rsidRPr="00E10362">
        <w:rPr>
          <w:rFonts w:ascii="Times New Roman" w:hAnsi="Times New Roman" w:cs="Times New Roman"/>
          <w:b/>
          <w:bCs/>
          <w:color w:val="4472C4" w:themeColor="accent1"/>
          <w:sz w:val="96"/>
          <w:szCs w:val="96"/>
        </w:rPr>
        <w:t>Comparison</w:t>
      </w:r>
    </w:p>
    <w:p w14:paraId="1F1078C2" w14:textId="77777777" w:rsidR="00E956C2" w:rsidRDefault="00E956C2" w:rsidP="00E956C2">
      <w:pPr>
        <w:spacing w:line="240" w:lineRule="auto"/>
        <w:jc w:val="center"/>
        <w:rPr>
          <w:rFonts w:ascii="Times New Roman" w:hAnsi="Times New Roman" w:cs="Times New Roman"/>
          <w:b/>
          <w:bCs/>
          <w:color w:val="4472C4" w:themeColor="accent1"/>
          <w:sz w:val="96"/>
          <w:szCs w:val="96"/>
        </w:rPr>
      </w:pPr>
      <w:r w:rsidRPr="00E10362">
        <w:rPr>
          <w:rFonts w:ascii="Times New Roman" w:hAnsi="Times New Roman" w:cs="Times New Roman"/>
          <w:b/>
          <w:bCs/>
          <w:color w:val="4472C4" w:themeColor="accent1"/>
          <w:sz w:val="96"/>
          <w:szCs w:val="96"/>
        </w:rPr>
        <w:t>With Industry</w:t>
      </w:r>
    </w:p>
    <w:p w14:paraId="1ADD750F" w14:textId="77777777" w:rsidR="00B52F29" w:rsidRDefault="00B52F29" w:rsidP="00E956C2">
      <w:pPr>
        <w:spacing w:line="360" w:lineRule="auto"/>
        <w:jc w:val="center"/>
        <w:rPr>
          <w:rFonts w:ascii="Times New Roman" w:hAnsi="Times New Roman" w:cs="Times New Roman"/>
          <w:b/>
          <w:bCs/>
          <w:color w:val="4472C4" w:themeColor="accent1"/>
          <w:sz w:val="96"/>
          <w:szCs w:val="96"/>
        </w:rPr>
      </w:pPr>
    </w:p>
    <w:p w14:paraId="0BCBC5C1" w14:textId="77777777" w:rsidR="00B52F29" w:rsidRDefault="00B52F29" w:rsidP="00E956C2">
      <w:pPr>
        <w:spacing w:line="360" w:lineRule="auto"/>
        <w:jc w:val="center"/>
        <w:rPr>
          <w:rFonts w:ascii="Times New Roman" w:hAnsi="Times New Roman" w:cs="Times New Roman"/>
          <w:b/>
          <w:bCs/>
          <w:color w:val="4472C4" w:themeColor="accent1"/>
          <w:sz w:val="28"/>
          <w:szCs w:val="28"/>
          <w:u w:val="single"/>
        </w:rPr>
      </w:pPr>
    </w:p>
    <w:p w14:paraId="54876B52" w14:textId="77777777" w:rsidR="00B52F29" w:rsidRDefault="00B52F29" w:rsidP="00E956C2">
      <w:pPr>
        <w:spacing w:line="360" w:lineRule="auto"/>
        <w:jc w:val="center"/>
        <w:rPr>
          <w:rFonts w:ascii="Times New Roman" w:hAnsi="Times New Roman" w:cs="Times New Roman"/>
          <w:b/>
          <w:bCs/>
          <w:color w:val="4472C4" w:themeColor="accent1"/>
          <w:sz w:val="28"/>
          <w:szCs w:val="28"/>
          <w:u w:val="single"/>
        </w:rPr>
      </w:pPr>
    </w:p>
    <w:p w14:paraId="5D79D8C3" w14:textId="77777777" w:rsidR="00B52F29" w:rsidRDefault="00B52F29" w:rsidP="00E956C2">
      <w:pPr>
        <w:spacing w:line="360" w:lineRule="auto"/>
        <w:jc w:val="center"/>
        <w:rPr>
          <w:rFonts w:ascii="Times New Roman" w:hAnsi="Times New Roman" w:cs="Times New Roman"/>
          <w:b/>
          <w:bCs/>
          <w:color w:val="4472C4" w:themeColor="accent1"/>
          <w:sz w:val="28"/>
          <w:szCs w:val="28"/>
          <w:u w:val="single"/>
        </w:rPr>
      </w:pPr>
    </w:p>
    <w:p w14:paraId="419E79E2" w14:textId="77777777" w:rsidR="00C44204" w:rsidRDefault="00C44204" w:rsidP="00E956C2">
      <w:pPr>
        <w:spacing w:line="360" w:lineRule="auto"/>
        <w:jc w:val="center"/>
        <w:rPr>
          <w:rFonts w:ascii="Times New Roman" w:hAnsi="Times New Roman" w:cs="Times New Roman"/>
          <w:b/>
          <w:bCs/>
          <w:color w:val="4472C4" w:themeColor="accent1"/>
          <w:sz w:val="28"/>
          <w:szCs w:val="28"/>
          <w:u w:val="single"/>
        </w:rPr>
      </w:pPr>
    </w:p>
    <w:p w14:paraId="1BC2E6A1" w14:textId="77777777" w:rsidR="00C44204" w:rsidRPr="00C44204" w:rsidRDefault="00E956C2" w:rsidP="00C91B66">
      <w:pPr>
        <w:spacing w:after="0" w:line="360" w:lineRule="auto"/>
        <w:jc w:val="center"/>
        <w:rPr>
          <w:rFonts w:ascii="Times New Roman" w:hAnsi="Times New Roman" w:cs="Times New Roman"/>
          <w:b/>
          <w:bCs/>
          <w:color w:val="4472C4" w:themeColor="accent1"/>
          <w:sz w:val="28"/>
          <w:szCs w:val="28"/>
          <w:u w:val="single"/>
        </w:rPr>
      </w:pPr>
      <w:r w:rsidRPr="00E10362">
        <w:rPr>
          <w:rFonts w:ascii="Times New Roman" w:hAnsi="Times New Roman" w:cs="Times New Roman"/>
          <w:b/>
          <w:bCs/>
          <w:color w:val="4472C4" w:themeColor="accent1"/>
          <w:sz w:val="28"/>
          <w:szCs w:val="28"/>
          <w:u w:val="single"/>
        </w:rPr>
        <w:t>5.1 Comparison with Industry Average (2021)</w:t>
      </w:r>
    </w:p>
    <w:tbl>
      <w:tblPr>
        <w:tblStyle w:val="GridTable5DarkAccent5"/>
        <w:tblpPr w:leftFromText="187" w:rightFromText="187" w:vertAnchor="page" w:horzAnchor="margin" w:tblpY="1887"/>
        <w:tblW w:w="9625" w:type="dxa"/>
        <w:tblLook w:val="04A0" w:firstRow="1" w:lastRow="0" w:firstColumn="1" w:lastColumn="0" w:noHBand="0" w:noVBand="1"/>
      </w:tblPr>
      <w:tblGrid>
        <w:gridCol w:w="4315"/>
        <w:gridCol w:w="1890"/>
        <w:gridCol w:w="1800"/>
        <w:gridCol w:w="1620"/>
      </w:tblGrid>
      <w:tr w:rsidR="00C44204" w:rsidRPr="00E10362" w14:paraId="3A73BE7D" w14:textId="77777777" w:rsidTr="00C44204">
        <w:trPr>
          <w:cnfStyle w:val="100000000000" w:firstRow="1" w:lastRow="0" w:firstColumn="0" w:lastColumn="0" w:oddVBand="0" w:evenVBand="0" w:oddHBand="0"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9625" w:type="dxa"/>
            <w:gridSpan w:val="4"/>
            <w:noWrap/>
            <w:hideMark/>
          </w:tcPr>
          <w:p w14:paraId="1F166D81" w14:textId="77777777" w:rsidR="00C44204" w:rsidRPr="00E10362" w:rsidRDefault="00C44204" w:rsidP="00C44204">
            <w:pPr>
              <w:tabs>
                <w:tab w:val="center" w:pos="4704"/>
              </w:tabs>
              <w:rPr>
                <w:rFonts w:ascii="Times New Roman" w:eastAsia="Times New Roman" w:hAnsi="Times New Roman" w:cs="Times New Roman"/>
                <w:color w:val="000000"/>
              </w:rPr>
            </w:pPr>
            <w:r>
              <w:rPr>
                <w:rFonts w:ascii="Times New Roman" w:eastAsia="Times New Roman" w:hAnsi="Times New Roman" w:cs="Times New Roman"/>
                <w:color w:val="000000" w:themeColor="text1"/>
              </w:rPr>
              <w:lastRenderedPageBreak/>
              <w:tab/>
            </w:r>
            <w:r w:rsidRPr="004620AB">
              <w:rPr>
                <w:rFonts w:ascii="Times New Roman" w:eastAsia="Times New Roman" w:hAnsi="Times New Roman" w:cs="Times New Roman"/>
                <w:color w:val="000000" w:themeColor="text1"/>
              </w:rPr>
              <w:t>Industry or Cross-Sectional Analysis 2021</w:t>
            </w:r>
          </w:p>
        </w:tc>
      </w:tr>
      <w:tr w:rsidR="00C44204" w:rsidRPr="00E10362" w14:paraId="2869E128" w14:textId="77777777" w:rsidTr="00C4420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4315" w:type="dxa"/>
            <w:noWrap/>
            <w:hideMark/>
          </w:tcPr>
          <w:p w14:paraId="055F85F9" w14:textId="77777777" w:rsidR="00C44204" w:rsidRPr="00B9156A" w:rsidRDefault="00C44204" w:rsidP="00C44204">
            <w:pPr>
              <w:jc w:val="center"/>
              <w:rPr>
                <w:rFonts w:ascii="Times New Roman" w:eastAsia="Times New Roman" w:hAnsi="Times New Roman" w:cs="Times New Roman"/>
                <w:color w:val="000000" w:themeColor="text1"/>
              </w:rPr>
            </w:pPr>
            <w:r w:rsidRPr="00B9156A">
              <w:rPr>
                <w:rFonts w:ascii="Times New Roman" w:eastAsia="Times New Roman" w:hAnsi="Times New Roman" w:cs="Times New Roman"/>
                <w:color w:val="000000" w:themeColor="text1"/>
              </w:rPr>
              <w:t>Details</w:t>
            </w:r>
          </w:p>
        </w:tc>
        <w:tc>
          <w:tcPr>
            <w:tcW w:w="1890" w:type="dxa"/>
            <w:noWrap/>
            <w:hideMark/>
          </w:tcPr>
          <w:p w14:paraId="3CA35CA7" w14:textId="77777777" w:rsidR="00C44204" w:rsidRPr="00E10362" w:rsidRDefault="00C44204" w:rsidP="00C442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rPr>
            </w:pPr>
            <w:r w:rsidRPr="00E10362">
              <w:rPr>
                <w:rFonts w:ascii="Times New Roman" w:eastAsia="Times New Roman" w:hAnsi="Times New Roman" w:cs="Times New Roman"/>
                <w:b/>
                <w:bCs/>
                <w:color w:val="000000" w:themeColor="text1"/>
              </w:rPr>
              <w:t xml:space="preserve">City Bank </w:t>
            </w:r>
          </w:p>
        </w:tc>
        <w:tc>
          <w:tcPr>
            <w:tcW w:w="1800" w:type="dxa"/>
            <w:noWrap/>
            <w:hideMark/>
          </w:tcPr>
          <w:p w14:paraId="6226392C" w14:textId="77777777" w:rsidR="00C44204" w:rsidRPr="00E10362" w:rsidRDefault="00C44204" w:rsidP="00C442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rPr>
            </w:pPr>
            <w:r w:rsidRPr="00E10362">
              <w:rPr>
                <w:rFonts w:ascii="Times New Roman" w:eastAsia="Times New Roman" w:hAnsi="Times New Roman" w:cs="Times New Roman"/>
                <w:b/>
                <w:bCs/>
                <w:color w:val="000000" w:themeColor="text1"/>
              </w:rPr>
              <w:t>Industry Average</w:t>
            </w:r>
          </w:p>
        </w:tc>
        <w:tc>
          <w:tcPr>
            <w:tcW w:w="1620" w:type="dxa"/>
            <w:noWrap/>
            <w:hideMark/>
          </w:tcPr>
          <w:p w14:paraId="6F6C4A43" w14:textId="77777777" w:rsidR="00C44204" w:rsidRPr="00E10362" w:rsidRDefault="00C44204" w:rsidP="00C4420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themeColor="text1"/>
              </w:rPr>
            </w:pPr>
            <w:r w:rsidRPr="00E10362">
              <w:rPr>
                <w:rFonts w:ascii="Times New Roman" w:eastAsia="Times New Roman" w:hAnsi="Times New Roman" w:cs="Times New Roman"/>
                <w:b/>
                <w:bCs/>
                <w:color w:val="000000" w:themeColor="text1"/>
              </w:rPr>
              <w:t>City Bank's Status</w:t>
            </w:r>
          </w:p>
        </w:tc>
      </w:tr>
      <w:tr w:rsidR="00C44204" w:rsidRPr="00E10362" w14:paraId="2E3CEF7E" w14:textId="77777777" w:rsidTr="00C44204">
        <w:trPr>
          <w:trHeight w:val="300"/>
        </w:trPr>
        <w:tc>
          <w:tcPr>
            <w:cnfStyle w:val="001000000000" w:firstRow="0" w:lastRow="0" w:firstColumn="1" w:lastColumn="0" w:oddVBand="0" w:evenVBand="0" w:oddHBand="0" w:evenHBand="0" w:firstRowFirstColumn="0" w:firstRowLastColumn="0" w:lastRowFirstColumn="0" w:lastRowLastColumn="0"/>
            <w:tcW w:w="4315" w:type="dxa"/>
            <w:noWrap/>
            <w:hideMark/>
          </w:tcPr>
          <w:p w14:paraId="00EF75E8" w14:textId="77777777" w:rsidR="00C44204" w:rsidRPr="004620AB" w:rsidRDefault="00C44204" w:rsidP="00C44204">
            <w:pPr>
              <w:rPr>
                <w:rFonts w:ascii="Times New Roman" w:eastAsia="Times New Roman" w:hAnsi="Times New Roman" w:cs="Times New Roman"/>
                <w:color w:val="000000" w:themeColor="text1"/>
              </w:rPr>
            </w:pPr>
            <w:r w:rsidRPr="004620AB">
              <w:rPr>
                <w:rFonts w:ascii="Times New Roman" w:eastAsia="Times New Roman" w:hAnsi="Times New Roman" w:cs="Times New Roman"/>
                <w:color w:val="000000" w:themeColor="text1"/>
              </w:rPr>
              <w:t>Balance Sheet Components:</w:t>
            </w:r>
          </w:p>
        </w:tc>
        <w:tc>
          <w:tcPr>
            <w:tcW w:w="1890" w:type="dxa"/>
            <w:noWrap/>
            <w:hideMark/>
          </w:tcPr>
          <w:p w14:paraId="7D8AE57F" w14:textId="77777777" w:rsidR="00C44204" w:rsidRPr="00E10362" w:rsidRDefault="00C44204" w:rsidP="00C442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 </w:t>
            </w:r>
          </w:p>
        </w:tc>
        <w:tc>
          <w:tcPr>
            <w:tcW w:w="1800" w:type="dxa"/>
            <w:noWrap/>
            <w:hideMark/>
          </w:tcPr>
          <w:p w14:paraId="54933D63" w14:textId="77777777" w:rsidR="00C44204" w:rsidRPr="00E10362" w:rsidRDefault="00C44204" w:rsidP="00C442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 </w:t>
            </w:r>
          </w:p>
        </w:tc>
        <w:tc>
          <w:tcPr>
            <w:tcW w:w="1620" w:type="dxa"/>
            <w:noWrap/>
            <w:hideMark/>
          </w:tcPr>
          <w:p w14:paraId="2FA6D4C2" w14:textId="77777777" w:rsidR="00C44204" w:rsidRPr="00E10362" w:rsidRDefault="00C44204" w:rsidP="00C4420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 </w:t>
            </w:r>
          </w:p>
        </w:tc>
      </w:tr>
      <w:tr w:rsidR="00C44204" w:rsidRPr="00E10362" w14:paraId="37EB0C06"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72BC8684"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Cash</w:t>
            </w:r>
          </w:p>
        </w:tc>
        <w:tc>
          <w:tcPr>
            <w:tcW w:w="1890" w:type="dxa"/>
            <w:noWrap/>
            <w:hideMark/>
          </w:tcPr>
          <w:p w14:paraId="45817CAD"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10362">
              <w:rPr>
                <w:rFonts w:ascii="Times New Roman" w:eastAsia="Times New Roman" w:hAnsi="Times New Roman" w:cs="Times New Roman"/>
              </w:rPr>
              <w:t>30,224,393,721</w:t>
            </w:r>
          </w:p>
        </w:tc>
        <w:tc>
          <w:tcPr>
            <w:tcW w:w="1800" w:type="dxa"/>
            <w:noWrap/>
            <w:hideMark/>
          </w:tcPr>
          <w:p w14:paraId="1398C2F4"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30626908577</w:t>
            </w:r>
          </w:p>
        </w:tc>
        <w:tc>
          <w:tcPr>
            <w:tcW w:w="1620" w:type="dxa"/>
            <w:noWrap/>
            <w:hideMark/>
          </w:tcPr>
          <w:p w14:paraId="667BD6C4"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Below Average</w:t>
            </w:r>
          </w:p>
        </w:tc>
      </w:tr>
      <w:tr w:rsidR="00C44204" w:rsidRPr="00E10362" w14:paraId="13A1EBFF"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4F390E75"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Balance with other Banks and FIs</w:t>
            </w:r>
          </w:p>
        </w:tc>
        <w:tc>
          <w:tcPr>
            <w:tcW w:w="1890" w:type="dxa"/>
            <w:noWrap/>
            <w:hideMark/>
          </w:tcPr>
          <w:p w14:paraId="5AEC74E5"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22794051152</w:t>
            </w:r>
          </w:p>
        </w:tc>
        <w:tc>
          <w:tcPr>
            <w:tcW w:w="1800" w:type="dxa"/>
            <w:noWrap/>
            <w:hideMark/>
          </w:tcPr>
          <w:p w14:paraId="3C4D5F97"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13262262636</w:t>
            </w:r>
          </w:p>
        </w:tc>
        <w:tc>
          <w:tcPr>
            <w:tcW w:w="1620" w:type="dxa"/>
            <w:noWrap/>
            <w:hideMark/>
          </w:tcPr>
          <w:p w14:paraId="7F58FAFE"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40336911"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45E74391"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Investments</w:t>
            </w:r>
          </w:p>
        </w:tc>
        <w:tc>
          <w:tcPr>
            <w:tcW w:w="1890" w:type="dxa"/>
            <w:noWrap/>
            <w:hideMark/>
          </w:tcPr>
          <w:p w14:paraId="5417F8C7"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54920390908</w:t>
            </w:r>
          </w:p>
        </w:tc>
        <w:tc>
          <w:tcPr>
            <w:tcW w:w="1800" w:type="dxa"/>
            <w:noWrap/>
            <w:hideMark/>
          </w:tcPr>
          <w:p w14:paraId="36AFC1BC"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63507784769</w:t>
            </w:r>
          </w:p>
        </w:tc>
        <w:tc>
          <w:tcPr>
            <w:tcW w:w="1620" w:type="dxa"/>
            <w:noWrap/>
            <w:hideMark/>
          </w:tcPr>
          <w:p w14:paraId="0FA8222A"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Below Average</w:t>
            </w:r>
          </w:p>
        </w:tc>
      </w:tr>
      <w:tr w:rsidR="00C44204" w:rsidRPr="00E10362" w14:paraId="34EC24BB"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0F5299C7"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Government Investments</w:t>
            </w:r>
          </w:p>
        </w:tc>
        <w:tc>
          <w:tcPr>
            <w:tcW w:w="1890" w:type="dxa"/>
            <w:noWrap/>
            <w:hideMark/>
          </w:tcPr>
          <w:p w14:paraId="6EE230A5"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48091329448</w:t>
            </w:r>
          </w:p>
        </w:tc>
        <w:tc>
          <w:tcPr>
            <w:tcW w:w="1800" w:type="dxa"/>
            <w:noWrap/>
            <w:hideMark/>
          </w:tcPr>
          <w:p w14:paraId="76712379"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53636507980</w:t>
            </w:r>
          </w:p>
        </w:tc>
        <w:tc>
          <w:tcPr>
            <w:tcW w:w="1620" w:type="dxa"/>
            <w:noWrap/>
            <w:hideMark/>
          </w:tcPr>
          <w:p w14:paraId="6D6ACA9F"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Below Average</w:t>
            </w:r>
          </w:p>
        </w:tc>
      </w:tr>
      <w:tr w:rsidR="00C44204" w:rsidRPr="00E10362" w14:paraId="334E0990"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6249F438"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Loans and advances</w:t>
            </w:r>
          </w:p>
        </w:tc>
        <w:tc>
          <w:tcPr>
            <w:tcW w:w="1890" w:type="dxa"/>
            <w:noWrap/>
            <w:hideMark/>
          </w:tcPr>
          <w:p w14:paraId="4A2B03D3"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286379678476</w:t>
            </w:r>
          </w:p>
        </w:tc>
        <w:tc>
          <w:tcPr>
            <w:tcW w:w="1800" w:type="dxa"/>
            <w:noWrap/>
            <w:hideMark/>
          </w:tcPr>
          <w:p w14:paraId="6F3E9CAD"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316672998231</w:t>
            </w:r>
          </w:p>
        </w:tc>
        <w:tc>
          <w:tcPr>
            <w:tcW w:w="1620" w:type="dxa"/>
            <w:noWrap/>
            <w:hideMark/>
          </w:tcPr>
          <w:p w14:paraId="500D8FAF"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Below Average</w:t>
            </w:r>
          </w:p>
        </w:tc>
      </w:tr>
      <w:tr w:rsidR="00C44204" w:rsidRPr="00E10362" w14:paraId="5020B735"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53D19CBF"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Fixed Assets including premises</w:t>
            </w:r>
          </w:p>
        </w:tc>
        <w:tc>
          <w:tcPr>
            <w:tcW w:w="1890" w:type="dxa"/>
            <w:noWrap/>
            <w:hideMark/>
          </w:tcPr>
          <w:p w14:paraId="2B773783"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6464783605</w:t>
            </w:r>
          </w:p>
        </w:tc>
        <w:tc>
          <w:tcPr>
            <w:tcW w:w="1800" w:type="dxa"/>
            <w:noWrap/>
            <w:hideMark/>
          </w:tcPr>
          <w:p w14:paraId="17995430"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6255837384</w:t>
            </w:r>
          </w:p>
        </w:tc>
        <w:tc>
          <w:tcPr>
            <w:tcW w:w="1620" w:type="dxa"/>
            <w:noWrap/>
            <w:hideMark/>
          </w:tcPr>
          <w:p w14:paraId="703F86BB"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7B172491"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12214F16"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assets</w:t>
            </w:r>
          </w:p>
        </w:tc>
        <w:tc>
          <w:tcPr>
            <w:tcW w:w="1890" w:type="dxa"/>
            <w:noWrap/>
            <w:hideMark/>
          </w:tcPr>
          <w:p w14:paraId="22E3C8E0"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416902360890</w:t>
            </w:r>
          </w:p>
        </w:tc>
        <w:tc>
          <w:tcPr>
            <w:tcW w:w="1800" w:type="dxa"/>
            <w:noWrap/>
            <w:hideMark/>
          </w:tcPr>
          <w:p w14:paraId="179DF09A"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450719805208</w:t>
            </w:r>
          </w:p>
        </w:tc>
        <w:tc>
          <w:tcPr>
            <w:tcW w:w="1620" w:type="dxa"/>
            <w:noWrap/>
            <w:hideMark/>
          </w:tcPr>
          <w:p w14:paraId="2123F267"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Below Average</w:t>
            </w:r>
          </w:p>
        </w:tc>
      </w:tr>
      <w:tr w:rsidR="00C44204" w:rsidRPr="00E10362" w14:paraId="060BA773"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41E2D5FF"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Deposits</w:t>
            </w:r>
          </w:p>
        </w:tc>
        <w:tc>
          <w:tcPr>
            <w:tcW w:w="1890" w:type="dxa"/>
            <w:noWrap/>
            <w:hideMark/>
          </w:tcPr>
          <w:p w14:paraId="36387320"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282063632416</w:t>
            </w:r>
          </w:p>
        </w:tc>
        <w:tc>
          <w:tcPr>
            <w:tcW w:w="1800" w:type="dxa"/>
            <w:noWrap/>
            <w:hideMark/>
          </w:tcPr>
          <w:p w14:paraId="2EA56426"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336857922554</w:t>
            </w:r>
          </w:p>
        </w:tc>
        <w:tc>
          <w:tcPr>
            <w:tcW w:w="1620" w:type="dxa"/>
            <w:noWrap/>
            <w:hideMark/>
          </w:tcPr>
          <w:p w14:paraId="19FFD143"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Below Average</w:t>
            </w:r>
          </w:p>
        </w:tc>
      </w:tr>
      <w:tr w:rsidR="00C44204" w:rsidRPr="00E10362" w14:paraId="78AED1B3"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08238B6C"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TD/Fixed Deposits</w:t>
            </w:r>
          </w:p>
        </w:tc>
        <w:tc>
          <w:tcPr>
            <w:tcW w:w="1890" w:type="dxa"/>
            <w:noWrap/>
            <w:hideMark/>
          </w:tcPr>
          <w:p w14:paraId="56A85AE4"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153089871504</w:t>
            </w:r>
          </w:p>
        </w:tc>
        <w:tc>
          <w:tcPr>
            <w:tcW w:w="1800" w:type="dxa"/>
            <w:noWrap/>
            <w:hideMark/>
          </w:tcPr>
          <w:p w14:paraId="13B3C090"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127055904745</w:t>
            </w:r>
          </w:p>
        </w:tc>
        <w:tc>
          <w:tcPr>
            <w:tcW w:w="1620" w:type="dxa"/>
            <w:noWrap/>
            <w:hideMark/>
          </w:tcPr>
          <w:p w14:paraId="71EEFEB8"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638F3FED"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65AFBFC7"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shareholders' equity</w:t>
            </w:r>
          </w:p>
        </w:tc>
        <w:tc>
          <w:tcPr>
            <w:tcW w:w="1890" w:type="dxa"/>
            <w:noWrap/>
            <w:hideMark/>
          </w:tcPr>
          <w:p w14:paraId="225D29F5"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31224444271</w:t>
            </w:r>
          </w:p>
        </w:tc>
        <w:tc>
          <w:tcPr>
            <w:tcW w:w="1800" w:type="dxa"/>
            <w:noWrap/>
            <w:hideMark/>
          </w:tcPr>
          <w:p w14:paraId="6B1F6EB9"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28831956909</w:t>
            </w:r>
          </w:p>
        </w:tc>
        <w:tc>
          <w:tcPr>
            <w:tcW w:w="1620" w:type="dxa"/>
            <w:noWrap/>
            <w:hideMark/>
          </w:tcPr>
          <w:p w14:paraId="2FE79D6E"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4A779756"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0994656E"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Balance Sheet Size</w:t>
            </w:r>
          </w:p>
        </w:tc>
        <w:tc>
          <w:tcPr>
            <w:tcW w:w="1890" w:type="dxa"/>
            <w:noWrap/>
            <w:hideMark/>
          </w:tcPr>
          <w:p w14:paraId="1D03E9E1"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416902360890</w:t>
            </w:r>
          </w:p>
        </w:tc>
        <w:tc>
          <w:tcPr>
            <w:tcW w:w="1800" w:type="dxa"/>
            <w:noWrap/>
            <w:hideMark/>
          </w:tcPr>
          <w:p w14:paraId="3A302A11"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450853760695</w:t>
            </w:r>
          </w:p>
        </w:tc>
        <w:tc>
          <w:tcPr>
            <w:tcW w:w="1620" w:type="dxa"/>
            <w:noWrap/>
            <w:hideMark/>
          </w:tcPr>
          <w:p w14:paraId="64CA9308"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Below Average</w:t>
            </w:r>
          </w:p>
        </w:tc>
      </w:tr>
      <w:tr w:rsidR="00C44204" w:rsidRPr="00E10362" w14:paraId="07828564"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68F59AA0"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 xml:space="preserve">Total off-balance sheet items </w:t>
            </w:r>
          </w:p>
        </w:tc>
        <w:tc>
          <w:tcPr>
            <w:tcW w:w="1890" w:type="dxa"/>
            <w:noWrap/>
            <w:hideMark/>
          </w:tcPr>
          <w:p w14:paraId="3139EAE8"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228064581079</w:t>
            </w:r>
          </w:p>
        </w:tc>
        <w:tc>
          <w:tcPr>
            <w:tcW w:w="1800" w:type="dxa"/>
            <w:noWrap/>
            <w:hideMark/>
          </w:tcPr>
          <w:p w14:paraId="15F586A6"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128344682612</w:t>
            </w:r>
          </w:p>
        </w:tc>
        <w:tc>
          <w:tcPr>
            <w:tcW w:w="1620" w:type="dxa"/>
            <w:noWrap/>
            <w:hideMark/>
          </w:tcPr>
          <w:p w14:paraId="073B42E8"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492E3718"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35440F44" w14:textId="77777777" w:rsidR="00C44204" w:rsidRPr="004620AB" w:rsidRDefault="00C44204" w:rsidP="00C44204">
            <w:pPr>
              <w:rPr>
                <w:rFonts w:ascii="Times New Roman" w:eastAsia="Times New Roman" w:hAnsi="Times New Roman" w:cs="Times New Roman"/>
                <w:color w:val="000000" w:themeColor="text1"/>
                <w:sz w:val="24"/>
                <w:szCs w:val="24"/>
              </w:rPr>
            </w:pPr>
            <w:r w:rsidRPr="004620AB">
              <w:rPr>
                <w:rFonts w:ascii="Times New Roman" w:eastAsia="Times New Roman" w:hAnsi="Times New Roman" w:cs="Times New Roman"/>
                <w:color w:val="000000" w:themeColor="text1"/>
                <w:sz w:val="24"/>
                <w:szCs w:val="24"/>
              </w:rPr>
              <w:t>Income Statement Components:</w:t>
            </w:r>
          </w:p>
        </w:tc>
        <w:tc>
          <w:tcPr>
            <w:tcW w:w="1890" w:type="dxa"/>
            <w:noWrap/>
            <w:hideMark/>
          </w:tcPr>
          <w:p w14:paraId="0F0A778D"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 </w:t>
            </w:r>
          </w:p>
        </w:tc>
        <w:tc>
          <w:tcPr>
            <w:tcW w:w="1800" w:type="dxa"/>
            <w:noWrap/>
            <w:hideMark/>
          </w:tcPr>
          <w:p w14:paraId="1F991984"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 </w:t>
            </w:r>
          </w:p>
        </w:tc>
        <w:tc>
          <w:tcPr>
            <w:tcW w:w="1620" w:type="dxa"/>
            <w:noWrap/>
            <w:hideMark/>
          </w:tcPr>
          <w:p w14:paraId="4F74A6C2"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 </w:t>
            </w:r>
          </w:p>
        </w:tc>
      </w:tr>
      <w:tr w:rsidR="00C44204" w:rsidRPr="00E10362" w14:paraId="1ADF10E4"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0D046CA9"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Net Interest Income</w:t>
            </w:r>
          </w:p>
        </w:tc>
        <w:tc>
          <w:tcPr>
            <w:tcW w:w="1890" w:type="dxa"/>
            <w:noWrap/>
            <w:hideMark/>
          </w:tcPr>
          <w:p w14:paraId="7DC95A2B"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12047799985</w:t>
            </w:r>
          </w:p>
        </w:tc>
        <w:tc>
          <w:tcPr>
            <w:tcW w:w="1800" w:type="dxa"/>
            <w:noWrap/>
            <w:hideMark/>
          </w:tcPr>
          <w:p w14:paraId="30952E77"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7882961647</w:t>
            </w:r>
          </w:p>
        </w:tc>
        <w:tc>
          <w:tcPr>
            <w:tcW w:w="1620" w:type="dxa"/>
            <w:noWrap/>
            <w:hideMark/>
          </w:tcPr>
          <w:p w14:paraId="66245508"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2E80E5F3"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7A97AD67"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Operating Income</w:t>
            </w:r>
          </w:p>
        </w:tc>
        <w:tc>
          <w:tcPr>
            <w:tcW w:w="1890" w:type="dxa"/>
            <w:noWrap/>
            <w:hideMark/>
          </w:tcPr>
          <w:p w14:paraId="27E43990"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21403264194</w:t>
            </w:r>
          </w:p>
        </w:tc>
        <w:tc>
          <w:tcPr>
            <w:tcW w:w="1800" w:type="dxa"/>
            <w:noWrap/>
            <w:hideMark/>
          </w:tcPr>
          <w:p w14:paraId="7981076D"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16027280597</w:t>
            </w:r>
          </w:p>
        </w:tc>
        <w:tc>
          <w:tcPr>
            <w:tcW w:w="1620" w:type="dxa"/>
            <w:noWrap/>
            <w:hideMark/>
          </w:tcPr>
          <w:p w14:paraId="6606D0B0"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01392B10"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22027857"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Operating Expenses</w:t>
            </w:r>
          </w:p>
        </w:tc>
        <w:tc>
          <w:tcPr>
            <w:tcW w:w="1890" w:type="dxa"/>
            <w:noWrap/>
            <w:hideMark/>
          </w:tcPr>
          <w:p w14:paraId="53CF6C02"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10402717266</w:t>
            </w:r>
          </w:p>
        </w:tc>
        <w:tc>
          <w:tcPr>
            <w:tcW w:w="1800" w:type="dxa"/>
            <w:noWrap/>
            <w:hideMark/>
          </w:tcPr>
          <w:p w14:paraId="576F70BA"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8455772110</w:t>
            </w:r>
          </w:p>
        </w:tc>
        <w:tc>
          <w:tcPr>
            <w:tcW w:w="1620" w:type="dxa"/>
            <w:noWrap/>
            <w:hideMark/>
          </w:tcPr>
          <w:p w14:paraId="69446DE7"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70CA9AEB"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0935A6C2"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Provision</w:t>
            </w:r>
          </w:p>
        </w:tc>
        <w:tc>
          <w:tcPr>
            <w:tcW w:w="1890" w:type="dxa"/>
            <w:noWrap/>
            <w:hideMark/>
          </w:tcPr>
          <w:p w14:paraId="6A4B1ED1"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2545693255</w:t>
            </w:r>
          </w:p>
        </w:tc>
        <w:tc>
          <w:tcPr>
            <w:tcW w:w="1800" w:type="dxa"/>
            <w:noWrap/>
            <w:hideMark/>
          </w:tcPr>
          <w:p w14:paraId="5EEA220F"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2634771911</w:t>
            </w:r>
          </w:p>
        </w:tc>
        <w:tc>
          <w:tcPr>
            <w:tcW w:w="1620" w:type="dxa"/>
            <w:noWrap/>
            <w:hideMark/>
          </w:tcPr>
          <w:p w14:paraId="572991C8"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Below Average</w:t>
            </w:r>
          </w:p>
        </w:tc>
      </w:tr>
      <w:tr w:rsidR="00C44204" w:rsidRPr="00E10362" w14:paraId="67FAE969"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27A60D7A"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Provision for Tax</w:t>
            </w:r>
          </w:p>
        </w:tc>
        <w:tc>
          <w:tcPr>
            <w:tcW w:w="1890" w:type="dxa"/>
            <w:noWrap/>
            <w:hideMark/>
          </w:tcPr>
          <w:p w14:paraId="285FCE93"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3711793806</w:t>
            </w:r>
          </w:p>
        </w:tc>
        <w:tc>
          <w:tcPr>
            <w:tcW w:w="1800" w:type="dxa"/>
            <w:noWrap/>
            <w:hideMark/>
          </w:tcPr>
          <w:p w14:paraId="7E849B4A"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2104005451</w:t>
            </w:r>
          </w:p>
        </w:tc>
        <w:tc>
          <w:tcPr>
            <w:tcW w:w="1620" w:type="dxa"/>
            <w:noWrap/>
            <w:hideMark/>
          </w:tcPr>
          <w:p w14:paraId="4046676F"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26EEA615"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1FD9440D"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Net Profit After Tax</w:t>
            </w:r>
          </w:p>
        </w:tc>
        <w:tc>
          <w:tcPr>
            <w:tcW w:w="1890" w:type="dxa"/>
            <w:noWrap/>
            <w:hideMark/>
          </w:tcPr>
          <w:p w14:paraId="6D147791"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4743059867</w:t>
            </w:r>
          </w:p>
        </w:tc>
        <w:tc>
          <w:tcPr>
            <w:tcW w:w="1800" w:type="dxa"/>
            <w:noWrap/>
            <w:hideMark/>
          </w:tcPr>
          <w:p w14:paraId="453BF581"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2832731125</w:t>
            </w:r>
          </w:p>
        </w:tc>
        <w:tc>
          <w:tcPr>
            <w:tcW w:w="1620" w:type="dxa"/>
            <w:noWrap/>
            <w:hideMark/>
          </w:tcPr>
          <w:p w14:paraId="28462B0F"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0AED6740"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2C663FFB" w14:textId="77777777" w:rsidR="00C44204" w:rsidRPr="004620AB" w:rsidRDefault="00C44204" w:rsidP="00C44204">
            <w:pPr>
              <w:rPr>
                <w:rFonts w:ascii="Times New Roman" w:eastAsia="Times New Roman" w:hAnsi="Times New Roman" w:cs="Times New Roman"/>
                <w:color w:val="000000" w:themeColor="text1"/>
                <w:sz w:val="24"/>
                <w:szCs w:val="24"/>
              </w:rPr>
            </w:pPr>
            <w:r w:rsidRPr="004620AB">
              <w:rPr>
                <w:rFonts w:ascii="Times New Roman" w:eastAsia="Times New Roman" w:hAnsi="Times New Roman" w:cs="Times New Roman"/>
                <w:color w:val="000000" w:themeColor="text1"/>
                <w:sz w:val="24"/>
                <w:szCs w:val="24"/>
              </w:rPr>
              <w:t>Notes:</w:t>
            </w:r>
          </w:p>
        </w:tc>
        <w:tc>
          <w:tcPr>
            <w:tcW w:w="1890" w:type="dxa"/>
            <w:noWrap/>
            <w:hideMark/>
          </w:tcPr>
          <w:p w14:paraId="69B15D8B"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 </w:t>
            </w:r>
          </w:p>
        </w:tc>
        <w:tc>
          <w:tcPr>
            <w:tcW w:w="1800" w:type="dxa"/>
            <w:noWrap/>
            <w:hideMark/>
          </w:tcPr>
          <w:p w14:paraId="545E83C6"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 </w:t>
            </w:r>
          </w:p>
        </w:tc>
        <w:tc>
          <w:tcPr>
            <w:tcW w:w="1620" w:type="dxa"/>
            <w:noWrap/>
            <w:hideMark/>
          </w:tcPr>
          <w:p w14:paraId="48F21A72"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 </w:t>
            </w:r>
          </w:p>
        </w:tc>
      </w:tr>
      <w:tr w:rsidR="00C44204" w:rsidRPr="00E10362" w14:paraId="09ADA2B3"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509EC1F0"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Cash Reserve Ratio (CRR)- Surplus</w:t>
            </w:r>
          </w:p>
        </w:tc>
        <w:tc>
          <w:tcPr>
            <w:tcW w:w="1890" w:type="dxa"/>
            <w:noWrap/>
            <w:hideMark/>
          </w:tcPr>
          <w:p w14:paraId="7582FD29"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6407183041</w:t>
            </w:r>
          </w:p>
        </w:tc>
        <w:tc>
          <w:tcPr>
            <w:tcW w:w="1800" w:type="dxa"/>
            <w:noWrap/>
            <w:hideMark/>
          </w:tcPr>
          <w:p w14:paraId="3D36FA17"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-4844009521</w:t>
            </w:r>
          </w:p>
        </w:tc>
        <w:tc>
          <w:tcPr>
            <w:tcW w:w="1620" w:type="dxa"/>
            <w:noWrap/>
            <w:hideMark/>
          </w:tcPr>
          <w:p w14:paraId="0125294A"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125CDDEF"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654763F3"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Statutory Liquidity Ratio (SLR)- Surplus</w:t>
            </w:r>
          </w:p>
        </w:tc>
        <w:tc>
          <w:tcPr>
            <w:tcW w:w="1890" w:type="dxa"/>
            <w:noWrap/>
            <w:hideMark/>
          </w:tcPr>
          <w:p w14:paraId="7ED24C16"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24236752525</w:t>
            </w:r>
          </w:p>
        </w:tc>
        <w:tc>
          <w:tcPr>
            <w:tcW w:w="1800" w:type="dxa"/>
            <w:noWrap/>
            <w:hideMark/>
          </w:tcPr>
          <w:p w14:paraId="64BDD250"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27439903034</w:t>
            </w:r>
          </w:p>
        </w:tc>
        <w:tc>
          <w:tcPr>
            <w:tcW w:w="1620" w:type="dxa"/>
            <w:noWrap/>
            <w:hideMark/>
          </w:tcPr>
          <w:p w14:paraId="613A3DAC"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Below Average</w:t>
            </w:r>
          </w:p>
        </w:tc>
      </w:tr>
      <w:tr w:rsidR="00C44204" w:rsidRPr="00E10362" w14:paraId="305F2A1E"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0FBAC343"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Capital Adequacy Ratio</w:t>
            </w:r>
          </w:p>
        </w:tc>
        <w:tc>
          <w:tcPr>
            <w:tcW w:w="1890" w:type="dxa"/>
            <w:noWrap/>
            <w:hideMark/>
          </w:tcPr>
          <w:p w14:paraId="0AE1A5FA"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14.16%</w:t>
            </w:r>
          </w:p>
        </w:tc>
        <w:tc>
          <w:tcPr>
            <w:tcW w:w="1800" w:type="dxa"/>
            <w:noWrap/>
            <w:hideMark/>
          </w:tcPr>
          <w:p w14:paraId="0DA929FC"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13.81%</w:t>
            </w:r>
          </w:p>
        </w:tc>
        <w:tc>
          <w:tcPr>
            <w:tcW w:w="1620" w:type="dxa"/>
            <w:noWrap/>
            <w:hideMark/>
          </w:tcPr>
          <w:p w14:paraId="2DBC6AEF"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723C43A4"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4DDF8BD4"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Risk-Weighted Assets</w:t>
            </w:r>
          </w:p>
        </w:tc>
        <w:tc>
          <w:tcPr>
            <w:tcW w:w="1890" w:type="dxa"/>
            <w:noWrap/>
            <w:hideMark/>
          </w:tcPr>
          <w:p w14:paraId="14041012"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305193808132</w:t>
            </w:r>
          </w:p>
        </w:tc>
        <w:tc>
          <w:tcPr>
            <w:tcW w:w="1800" w:type="dxa"/>
            <w:noWrap/>
            <w:hideMark/>
          </w:tcPr>
          <w:p w14:paraId="7AE94406"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258261979330</w:t>
            </w:r>
          </w:p>
        </w:tc>
        <w:tc>
          <w:tcPr>
            <w:tcW w:w="1620" w:type="dxa"/>
            <w:noWrap/>
            <w:hideMark/>
          </w:tcPr>
          <w:p w14:paraId="61E390F0"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29966B43"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0CFBDF78"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Interest Income</w:t>
            </w:r>
          </w:p>
        </w:tc>
        <w:tc>
          <w:tcPr>
            <w:tcW w:w="1890" w:type="dxa"/>
            <w:noWrap/>
            <w:hideMark/>
          </w:tcPr>
          <w:p w14:paraId="35B8BFDB"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20725354751</w:t>
            </w:r>
          </w:p>
        </w:tc>
        <w:tc>
          <w:tcPr>
            <w:tcW w:w="1800" w:type="dxa"/>
            <w:noWrap/>
            <w:hideMark/>
          </w:tcPr>
          <w:p w14:paraId="0BA5166B"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18659166359</w:t>
            </w:r>
          </w:p>
        </w:tc>
        <w:tc>
          <w:tcPr>
            <w:tcW w:w="1620" w:type="dxa"/>
            <w:noWrap/>
            <w:hideMark/>
          </w:tcPr>
          <w:p w14:paraId="5759C2E3"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26791C8C"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0A9DB94B"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Commission, Exchange and Brokerage</w:t>
            </w:r>
          </w:p>
        </w:tc>
        <w:tc>
          <w:tcPr>
            <w:tcW w:w="1890" w:type="dxa"/>
            <w:noWrap/>
            <w:hideMark/>
          </w:tcPr>
          <w:p w14:paraId="5FDA1E74"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4674253919</w:t>
            </w:r>
          </w:p>
        </w:tc>
        <w:tc>
          <w:tcPr>
            <w:tcW w:w="1800" w:type="dxa"/>
            <w:noWrap/>
            <w:hideMark/>
          </w:tcPr>
          <w:p w14:paraId="4DCF286C"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2686851754</w:t>
            </w:r>
          </w:p>
        </w:tc>
        <w:tc>
          <w:tcPr>
            <w:tcW w:w="1620" w:type="dxa"/>
            <w:noWrap/>
            <w:hideMark/>
          </w:tcPr>
          <w:p w14:paraId="1F4EA0BC"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0F2E8363"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0F48EEF2"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Other Operating Income</w:t>
            </w:r>
          </w:p>
        </w:tc>
        <w:tc>
          <w:tcPr>
            <w:tcW w:w="1890" w:type="dxa"/>
            <w:noWrap/>
            <w:hideMark/>
          </w:tcPr>
          <w:p w14:paraId="7C036359"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2102242902</w:t>
            </w:r>
          </w:p>
        </w:tc>
        <w:tc>
          <w:tcPr>
            <w:tcW w:w="1800" w:type="dxa"/>
            <w:noWrap/>
            <w:hideMark/>
          </w:tcPr>
          <w:p w14:paraId="29073855"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1183423562</w:t>
            </w:r>
          </w:p>
        </w:tc>
        <w:tc>
          <w:tcPr>
            <w:tcW w:w="1620" w:type="dxa"/>
            <w:noWrap/>
            <w:hideMark/>
          </w:tcPr>
          <w:p w14:paraId="1508D70B"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33A2A768"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06731DE6"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Salaries and Allowances</w:t>
            </w:r>
          </w:p>
        </w:tc>
        <w:tc>
          <w:tcPr>
            <w:tcW w:w="1890" w:type="dxa"/>
            <w:noWrap/>
            <w:hideMark/>
          </w:tcPr>
          <w:p w14:paraId="094EA520"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6073630989</w:t>
            </w:r>
          </w:p>
        </w:tc>
        <w:tc>
          <w:tcPr>
            <w:tcW w:w="1800" w:type="dxa"/>
            <w:noWrap/>
            <w:hideMark/>
          </w:tcPr>
          <w:p w14:paraId="29216251"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4453599664</w:t>
            </w:r>
          </w:p>
        </w:tc>
        <w:tc>
          <w:tcPr>
            <w:tcW w:w="1620" w:type="dxa"/>
            <w:noWrap/>
            <w:hideMark/>
          </w:tcPr>
          <w:p w14:paraId="00C57EEB"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0CB53B2D"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01FD16CE"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CEO's Salary</w:t>
            </w:r>
          </w:p>
        </w:tc>
        <w:tc>
          <w:tcPr>
            <w:tcW w:w="1890" w:type="dxa"/>
            <w:noWrap/>
            <w:hideMark/>
          </w:tcPr>
          <w:p w14:paraId="65608987"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20301212</w:t>
            </w:r>
          </w:p>
        </w:tc>
        <w:tc>
          <w:tcPr>
            <w:tcW w:w="1800" w:type="dxa"/>
            <w:noWrap/>
            <w:hideMark/>
          </w:tcPr>
          <w:p w14:paraId="4388FA71"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27381592</w:t>
            </w:r>
          </w:p>
        </w:tc>
        <w:tc>
          <w:tcPr>
            <w:tcW w:w="1620" w:type="dxa"/>
            <w:noWrap/>
            <w:hideMark/>
          </w:tcPr>
          <w:p w14:paraId="78FC938B"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Below Average</w:t>
            </w:r>
          </w:p>
        </w:tc>
      </w:tr>
      <w:tr w:rsidR="00C44204" w:rsidRPr="00E10362" w14:paraId="44D9D960"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1FABF49B"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Earnings Per Share</w:t>
            </w:r>
          </w:p>
        </w:tc>
        <w:tc>
          <w:tcPr>
            <w:tcW w:w="1890" w:type="dxa"/>
            <w:noWrap/>
            <w:hideMark/>
          </w:tcPr>
          <w:p w14:paraId="22D3AE2F"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4.44</w:t>
            </w:r>
          </w:p>
        </w:tc>
        <w:tc>
          <w:tcPr>
            <w:tcW w:w="1800" w:type="dxa"/>
            <w:noWrap/>
            <w:hideMark/>
          </w:tcPr>
          <w:p w14:paraId="2DCE0CAE"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2.69</w:t>
            </w:r>
          </w:p>
        </w:tc>
        <w:tc>
          <w:tcPr>
            <w:tcW w:w="1620" w:type="dxa"/>
            <w:noWrap/>
            <w:hideMark/>
          </w:tcPr>
          <w:p w14:paraId="54C92D40"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5DCAAB1A" w14:textId="77777777" w:rsidTr="00C4420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74750BA4"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Net Operating Cash flow per share</w:t>
            </w:r>
          </w:p>
        </w:tc>
        <w:tc>
          <w:tcPr>
            <w:tcW w:w="1890" w:type="dxa"/>
            <w:noWrap/>
            <w:hideMark/>
          </w:tcPr>
          <w:p w14:paraId="494C95A1"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E10362">
              <w:rPr>
                <w:rFonts w:ascii="Times New Roman" w:eastAsia="Times New Roman" w:hAnsi="Times New Roman" w:cs="Times New Roman"/>
              </w:rPr>
              <w:t xml:space="preserve">                       12.97 </w:t>
            </w:r>
          </w:p>
        </w:tc>
        <w:tc>
          <w:tcPr>
            <w:tcW w:w="1800" w:type="dxa"/>
            <w:noWrap/>
            <w:hideMark/>
          </w:tcPr>
          <w:p w14:paraId="1A150F7E" w14:textId="77777777" w:rsidR="00C44204" w:rsidRPr="00E10362" w:rsidRDefault="00C44204" w:rsidP="00C44204">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1.10</w:t>
            </w:r>
          </w:p>
        </w:tc>
        <w:tc>
          <w:tcPr>
            <w:tcW w:w="1620" w:type="dxa"/>
            <w:noWrap/>
            <w:hideMark/>
          </w:tcPr>
          <w:p w14:paraId="35000B9F" w14:textId="77777777" w:rsidR="00C44204" w:rsidRPr="00E10362" w:rsidRDefault="00C44204" w:rsidP="00C4420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r w:rsidR="00C44204" w:rsidRPr="00E10362" w14:paraId="4B6D9D72" w14:textId="77777777" w:rsidTr="00C44204">
        <w:trPr>
          <w:trHeight w:val="315"/>
        </w:trPr>
        <w:tc>
          <w:tcPr>
            <w:cnfStyle w:val="001000000000" w:firstRow="0" w:lastRow="0" w:firstColumn="1" w:lastColumn="0" w:oddVBand="0" w:evenVBand="0" w:oddHBand="0" w:evenHBand="0" w:firstRowFirstColumn="0" w:firstRowLastColumn="0" w:lastRowFirstColumn="0" w:lastRowLastColumn="0"/>
            <w:tcW w:w="4315" w:type="dxa"/>
            <w:noWrap/>
            <w:hideMark/>
          </w:tcPr>
          <w:p w14:paraId="4312E434" w14:textId="77777777" w:rsidR="00C44204" w:rsidRPr="004620AB" w:rsidRDefault="00C44204" w:rsidP="00C44204">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Net Asset Value Per Share</w:t>
            </w:r>
          </w:p>
        </w:tc>
        <w:tc>
          <w:tcPr>
            <w:tcW w:w="1890" w:type="dxa"/>
            <w:noWrap/>
            <w:hideMark/>
          </w:tcPr>
          <w:p w14:paraId="46C97DF9"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E10362">
              <w:rPr>
                <w:rFonts w:ascii="Times New Roman" w:eastAsia="Times New Roman" w:hAnsi="Times New Roman" w:cs="Times New Roman"/>
              </w:rPr>
              <w:t>29.26</w:t>
            </w:r>
          </w:p>
        </w:tc>
        <w:tc>
          <w:tcPr>
            <w:tcW w:w="1800" w:type="dxa"/>
            <w:noWrap/>
            <w:hideMark/>
          </w:tcPr>
          <w:p w14:paraId="3AF2A68E" w14:textId="77777777" w:rsidR="00C44204" w:rsidRPr="00E10362" w:rsidRDefault="00C44204" w:rsidP="00C44204">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24.56</w:t>
            </w:r>
          </w:p>
        </w:tc>
        <w:tc>
          <w:tcPr>
            <w:tcW w:w="1620" w:type="dxa"/>
            <w:noWrap/>
            <w:hideMark/>
          </w:tcPr>
          <w:p w14:paraId="09EC5B0C" w14:textId="77777777" w:rsidR="00C44204" w:rsidRPr="00E10362" w:rsidRDefault="00C44204" w:rsidP="00C4420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10362">
              <w:rPr>
                <w:rFonts w:ascii="Times New Roman" w:eastAsia="Times New Roman" w:hAnsi="Times New Roman" w:cs="Times New Roman"/>
                <w:color w:val="000000"/>
              </w:rPr>
              <w:t>Above Average</w:t>
            </w:r>
          </w:p>
        </w:tc>
      </w:tr>
    </w:tbl>
    <w:p w14:paraId="473E0032" w14:textId="77777777" w:rsidR="00C44204" w:rsidRDefault="00C44204" w:rsidP="00C44204">
      <w:pPr>
        <w:spacing w:line="360" w:lineRule="auto"/>
        <w:rPr>
          <w:rFonts w:ascii="Times New Roman" w:hAnsi="Times New Roman" w:cs="Times New Roman"/>
          <w:color w:val="7030A0"/>
          <w:sz w:val="28"/>
          <w:szCs w:val="28"/>
          <w:u w:val="single"/>
        </w:rPr>
      </w:pPr>
    </w:p>
    <w:p w14:paraId="1429CA7F" w14:textId="5DF8E95A" w:rsidR="00E956C2" w:rsidRDefault="00E956C2" w:rsidP="00E956C2">
      <w:pPr>
        <w:spacing w:line="360" w:lineRule="auto"/>
        <w:jc w:val="center"/>
        <w:rPr>
          <w:rFonts w:ascii="Times New Roman" w:hAnsi="Times New Roman" w:cs="Times New Roman"/>
          <w:color w:val="7030A0"/>
          <w:sz w:val="28"/>
          <w:szCs w:val="28"/>
          <w:u w:val="single"/>
        </w:rPr>
      </w:pPr>
      <w:r w:rsidRPr="00474AB0">
        <w:rPr>
          <w:rFonts w:ascii="Times New Roman" w:hAnsi="Times New Roman" w:cs="Times New Roman"/>
          <w:color w:val="7030A0"/>
          <w:sz w:val="28"/>
          <w:szCs w:val="28"/>
          <w:u w:val="single"/>
        </w:rPr>
        <w:lastRenderedPageBreak/>
        <w:t>5.1.1 Findings from the Industry Analysis of 2021</w:t>
      </w:r>
    </w:p>
    <w:p w14:paraId="224A3777"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above table, I have done an industry analysis for the year 2021. First of all, I have picked important components from the balance sheet, income statement and notes. The first column in the above table is the important components which I have analyzed. The second column consists of the data of City Bank for the year ended 2021. The third column consists of the industry average of 2021. I have taken the data of 28 banks for each component and made average of each and every component. The fourth column consists of the City Bank’s status in each component. I have compared the industry average with the data of City Bank and tried to find whether City Bank performed above the industry average or below the industry average.</w:t>
      </w:r>
    </w:p>
    <w:p w14:paraId="143E9518"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have analyzed 30 components or items from the balance sheet, income statement and notes. Among the 30 components, 20 out of 30 components were above the industry average, whereas 10 of the components were below the industry average.</w:t>
      </w:r>
    </w:p>
    <w:p w14:paraId="3FEA6A6C" w14:textId="77777777" w:rsidR="00E956C2" w:rsidRDefault="00E956C2" w:rsidP="00E956C2">
      <w:pPr>
        <w:spacing w:line="36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From the balance sheet components- </w:t>
      </w:r>
      <w:r w:rsidRPr="00C40DBB">
        <w:rPr>
          <w:rFonts w:ascii="Times New Roman" w:eastAsia="Times New Roman" w:hAnsi="Times New Roman" w:cs="Times New Roman"/>
          <w:color w:val="000000" w:themeColor="text1"/>
          <w:sz w:val="24"/>
          <w:szCs w:val="24"/>
        </w:rPr>
        <w:t>Balance with other Banks and F</w:t>
      </w:r>
      <w:r>
        <w:rPr>
          <w:rFonts w:ascii="Times New Roman" w:eastAsia="Times New Roman" w:hAnsi="Times New Roman" w:cs="Times New Roman"/>
          <w:color w:val="000000" w:themeColor="text1"/>
          <w:sz w:val="24"/>
          <w:szCs w:val="24"/>
        </w:rPr>
        <w:t>inancial Institutions</w:t>
      </w:r>
      <w:r w:rsidRPr="00C40DBB">
        <w:rPr>
          <w:rFonts w:ascii="Times New Roman" w:eastAsia="Times New Roman" w:hAnsi="Times New Roman" w:cs="Times New Roman"/>
          <w:color w:val="000000" w:themeColor="text1"/>
          <w:sz w:val="24"/>
          <w:szCs w:val="24"/>
        </w:rPr>
        <w:t>, Fixed Assets including premises, TD/Fixed Deposits, Total shareholders' equity, Total off-balance sheet items</w:t>
      </w:r>
      <w:r>
        <w:rPr>
          <w:rFonts w:ascii="Times New Roman" w:eastAsia="Times New Roman" w:hAnsi="Times New Roman" w:cs="Times New Roman"/>
          <w:color w:val="000000" w:themeColor="text1"/>
          <w:sz w:val="24"/>
          <w:szCs w:val="24"/>
        </w:rPr>
        <w:t xml:space="preserve"> were above the industry average. Since all of these components scored above the industry average, we can say that City Bank performed well in these segments. While </w:t>
      </w:r>
      <w:r w:rsidRPr="00C40DBB">
        <w:rPr>
          <w:rFonts w:ascii="Times New Roman" w:eastAsia="Times New Roman" w:hAnsi="Times New Roman" w:cs="Times New Roman"/>
          <w:color w:val="000000" w:themeColor="text1"/>
          <w:sz w:val="24"/>
          <w:szCs w:val="24"/>
        </w:rPr>
        <w:t>Total Cash, Investments, Government Investments, Loans and advances, Total assets, Total Deposits, Balance Sheet Size</w:t>
      </w:r>
      <w:r>
        <w:rPr>
          <w:rFonts w:ascii="Times New Roman" w:eastAsia="Times New Roman" w:hAnsi="Times New Roman" w:cs="Times New Roman"/>
          <w:color w:val="000000" w:themeColor="text1"/>
          <w:sz w:val="24"/>
          <w:szCs w:val="24"/>
        </w:rPr>
        <w:t xml:space="preserve"> were below the industry average. All of these components are very important for banks. Since, City Bank performed below the industry average, they should definitely improve the concerned areas.</w:t>
      </w:r>
    </w:p>
    <w:p w14:paraId="1F018DA0" w14:textId="77777777" w:rsidR="00E956C2" w:rsidRDefault="00E956C2" w:rsidP="00E956C2">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From the Income Statement items, every component was above the average except one. </w:t>
      </w:r>
      <w:r w:rsidRPr="00E14E7D">
        <w:rPr>
          <w:rFonts w:ascii="Times New Roman" w:eastAsia="Times New Roman" w:hAnsi="Times New Roman" w:cs="Times New Roman"/>
          <w:color w:val="000000" w:themeColor="text1"/>
          <w:sz w:val="24"/>
          <w:szCs w:val="24"/>
        </w:rPr>
        <w:t>Net Interest Income, Total Operating Income, Net Profit After Tax</w:t>
      </w:r>
      <w:r>
        <w:rPr>
          <w:rFonts w:ascii="Times New Roman" w:eastAsia="Times New Roman" w:hAnsi="Times New Roman" w:cs="Times New Roman"/>
          <w:color w:val="000000" w:themeColor="text1"/>
          <w:sz w:val="24"/>
          <w:szCs w:val="24"/>
        </w:rPr>
        <w:t xml:space="preserve"> were above the industry average which is a very good sign for the bank, whereas </w:t>
      </w:r>
      <w:r w:rsidRPr="00E14E7D">
        <w:rPr>
          <w:rFonts w:ascii="Times New Roman" w:eastAsia="Times New Roman" w:hAnsi="Times New Roman" w:cs="Times New Roman"/>
          <w:color w:val="000000" w:themeColor="text1"/>
          <w:sz w:val="24"/>
          <w:szCs w:val="24"/>
        </w:rPr>
        <w:t>Total Operating Expense</w:t>
      </w:r>
      <w:r>
        <w:rPr>
          <w:rFonts w:ascii="Times New Roman" w:eastAsia="Times New Roman" w:hAnsi="Times New Roman" w:cs="Times New Roman"/>
          <w:color w:val="000000" w:themeColor="text1"/>
          <w:sz w:val="24"/>
          <w:szCs w:val="24"/>
        </w:rPr>
        <w:t xml:space="preserve"> and </w:t>
      </w:r>
      <w:r w:rsidRPr="00E14E7D">
        <w:rPr>
          <w:rFonts w:ascii="Times New Roman" w:eastAsia="Times New Roman" w:hAnsi="Times New Roman" w:cs="Times New Roman"/>
          <w:color w:val="000000" w:themeColor="text1"/>
          <w:sz w:val="24"/>
          <w:szCs w:val="24"/>
        </w:rPr>
        <w:t>Total Provision for Tax</w:t>
      </w:r>
      <w:r>
        <w:rPr>
          <w:rFonts w:ascii="Times New Roman" w:eastAsia="Times New Roman" w:hAnsi="Times New Roman" w:cs="Times New Roman"/>
          <w:color w:val="000000" w:themeColor="text1"/>
          <w:sz w:val="24"/>
          <w:szCs w:val="24"/>
        </w:rPr>
        <w:t xml:space="preserve"> were above industry average which was detrimental for City Bank. They should keep their expenses in control.</w:t>
      </w:r>
    </w:p>
    <w:p w14:paraId="3D3E15D0" w14:textId="77777777" w:rsidR="00B52F29" w:rsidRDefault="00E956C2" w:rsidP="00B52F29">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Among the components of the notes, every component was above the average except for two. City Bank’s </w:t>
      </w:r>
      <w:r w:rsidRPr="002F05A1">
        <w:rPr>
          <w:rFonts w:ascii="Times New Roman" w:eastAsia="Times New Roman" w:hAnsi="Times New Roman" w:cs="Times New Roman"/>
          <w:color w:val="000000" w:themeColor="text1"/>
          <w:sz w:val="24"/>
          <w:szCs w:val="24"/>
        </w:rPr>
        <w:t>Earnings Per Share, Net Operating Cash Flow Per Share, Net Asset Value Per Share, Interest Income, Commission, Exchange and Brokerage</w:t>
      </w:r>
      <w:r>
        <w:rPr>
          <w:rFonts w:ascii="Times New Roman" w:eastAsia="Times New Roman" w:hAnsi="Times New Roman" w:cs="Times New Roman"/>
          <w:color w:val="000000" w:themeColor="text1"/>
          <w:sz w:val="24"/>
          <w:szCs w:val="24"/>
        </w:rPr>
        <w:t xml:space="preserve"> income, CAR were quite above the industry average which indicates City Bank’s strong performance in 2021.</w:t>
      </w:r>
    </w:p>
    <w:p w14:paraId="193ED614" w14:textId="42C93D36" w:rsidR="00E956C2" w:rsidRPr="005C24CB" w:rsidRDefault="00E956C2" w:rsidP="00B52F29">
      <w:pPr>
        <w:spacing w:line="360" w:lineRule="auto"/>
        <w:jc w:val="center"/>
        <w:rPr>
          <w:rFonts w:ascii="Times New Roman" w:hAnsi="Times New Roman" w:cs="Times New Roman"/>
          <w:color w:val="000000" w:themeColor="text1"/>
          <w:sz w:val="24"/>
          <w:szCs w:val="24"/>
        </w:rPr>
      </w:pPr>
      <w:r>
        <w:rPr>
          <w:rFonts w:ascii="Times New Roman" w:hAnsi="Times New Roman" w:cs="Times New Roman"/>
          <w:b/>
          <w:bCs/>
          <w:color w:val="7030A0"/>
          <w:sz w:val="28"/>
          <w:szCs w:val="28"/>
          <w:u w:val="single"/>
        </w:rPr>
        <w:lastRenderedPageBreak/>
        <w:t>5.2</w:t>
      </w:r>
      <w:r w:rsidRPr="00F47DA6">
        <w:rPr>
          <w:rFonts w:ascii="Times New Roman" w:hAnsi="Times New Roman" w:cs="Times New Roman"/>
          <w:b/>
          <w:bCs/>
          <w:color w:val="4472C4" w:themeColor="accent1"/>
          <w:sz w:val="28"/>
          <w:szCs w:val="28"/>
          <w:u w:val="single"/>
        </w:rPr>
        <w:t xml:space="preserve"> </w:t>
      </w:r>
      <w:r w:rsidRPr="00E10362">
        <w:rPr>
          <w:rFonts w:ascii="Times New Roman" w:hAnsi="Times New Roman" w:cs="Times New Roman"/>
          <w:b/>
          <w:bCs/>
          <w:color w:val="4472C4" w:themeColor="accent1"/>
          <w:sz w:val="28"/>
          <w:szCs w:val="28"/>
          <w:u w:val="single"/>
        </w:rPr>
        <w:t>Comparison with Industry Average (202</w:t>
      </w:r>
      <w:r>
        <w:rPr>
          <w:rFonts w:ascii="Times New Roman" w:hAnsi="Times New Roman" w:cs="Times New Roman"/>
          <w:b/>
          <w:bCs/>
          <w:color w:val="4472C4" w:themeColor="accent1"/>
          <w:sz w:val="28"/>
          <w:szCs w:val="28"/>
          <w:u w:val="single"/>
        </w:rPr>
        <w:t>0</w:t>
      </w:r>
      <w:r w:rsidRPr="00E10362">
        <w:rPr>
          <w:rFonts w:ascii="Times New Roman" w:hAnsi="Times New Roman" w:cs="Times New Roman"/>
          <w:b/>
          <w:bCs/>
          <w:color w:val="4472C4" w:themeColor="accent1"/>
          <w:sz w:val="28"/>
          <w:szCs w:val="28"/>
          <w:u w:val="single"/>
        </w:rPr>
        <w:t>)</w:t>
      </w:r>
    </w:p>
    <w:tbl>
      <w:tblPr>
        <w:tblStyle w:val="GridTable5DarkAccent3"/>
        <w:tblW w:w="8960" w:type="dxa"/>
        <w:tblLook w:val="04A0" w:firstRow="1" w:lastRow="0" w:firstColumn="1" w:lastColumn="0" w:noHBand="0" w:noVBand="1"/>
      </w:tblPr>
      <w:tblGrid>
        <w:gridCol w:w="4153"/>
        <w:gridCol w:w="1591"/>
        <w:gridCol w:w="1718"/>
        <w:gridCol w:w="1707"/>
      </w:tblGrid>
      <w:tr w:rsidR="00E956C2" w:rsidRPr="00F47DA6" w14:paraId="24C818C2" w14:textId="77777777" w:rsidTr="0036570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60" w:type="dxa"/>
            <w:gridSpan w:val="4"/>
            <w:noWrap/>
            <w:hideMark/>
          </w:tcPr>
          <w:p w14:paraId="1AA771DE" w14:textId="77777777" w:rsidR="00E956C2" w:rsidRPr="00F47DA6" w:rsidRDefault="00E956C2" w:rsidP="0036570C">
            <w:pPr>
              <w:jc w:val="center"/>
              <w:rPr>
                <w:rFonts w:ascii="Times New Roman" w:eastAsia="Times New Roman" w:hAnsi="Times New Roman" w:cs="Times New Roman"/>
                <w:color w:val="000000"/>
              </w:rPr>
            </w:pPr>
            <w:r w:rsidRPr="00F47DA6">
              <w:rPr>
                <w:rFonts w:ascii="Times New Roman" w:eastAsia="Times New Roman" w:hAnsi="Times New Roman" w:cs="Times New Roman"/>
                <w:color w:val="000000"/>
              </w:rPr>
              <w:t>Industry or Cross</w:t>
            </w:r>
            <w:r w:rsidRPr="001B159C">
              <w:rPr>
                <w:rFonts w:ascii="Times New Roman" w:eastAsia="Times New Roman" w:hAnsi="Times New Roman" w:cs="Times New Roman"/>
                <w:color w:val="000000"/>
              </w:rPr>
              <w:t>-</w:t>
            </w:r>
            <w:r w:rsidRPr="00F47DA6">
              <w:rPr>
                <w:rFonts w:ascii="Times New Roman" w:eastAsia="Times New Roman" w:hAnsi="Times New Roman" w:cs="Times New Roman"/>
                <w:color w:val="000000"/>
              </w:rPr>
              <w:t>Sectional Analysis 202</w:t>
            </w:r>
            <w:r w:rsidRPr="001B159C">
              <w:rPr>
                <w:rFonts w:ascii="Times New Roman" w:eastAsia="Times New Roman" w:hAnsi="Times New Roman" w:cs="Times New Roman"/>
                <w:color w:val="000000"/>
              </w:rPr>
              <w:t>0</w:t>
            </w:r>
          </w:p>
        </w:tc>
      </w:tr>
      <w:tr w:rsidR="00E956C2" w:rsidRPr="00F47DA6" w14:paraId="02B4AD32" w14:textId="77777777" w:rsidTr="003657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53" w:type="dxa"/>
            <w:noWrap/>
            <w:hideMark/>
          </w:tcPr>
          <w:p w14:paraId="2B6A8C6A" w14:textId="77777777" w:rsidR="00E956C2" w:rsidRPr="00F47DA6" w:rsidRDefault="00E956C2" w:rsidP="0036570C">
            <w:pPr>
              <w:jc w:val="center"/>
              <w:rPr>
                <w:rFonts w:ascii="Times New Roman" w:eastAsia="Times New Roman" w:hAnsi="Times New Roman" w:cs="Times New Roman"/>
                <w:color w:val="000000"/>
              </w:rPr>
            </w:pPr>
            <w:r w:rsidRPr="00F47DA6">
              <w:rPr>
                <w:rFonts w:ascii="Times New Roman" w:eastAsia="Times New Roman" w:hAnsi="Times New Roman" w:cs="Times New Roman"/>
                <w:color w:val="000000"/>
              </w:rPr>
              <w:t>Details</w:t>
            </w:r>
          </w:p>
        </w:tc>
        <w:tc>
          <w:tcPr>
            <w:tcW w:w="1453" w:type="dxa"/>
            <w:noWrap/>
            <w:hideMark/>
          </w:tcPr>
          <w:p w14:paraId="3199925B" w14:textId="77777777" w:rsidR="00E956C2" w:rsidRPr="00F47DA6" w:rsidRDefault="00E956C2" w:rsidP="003657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47DA6">
              <w:rPr>
                <w:rFonts w:ascii="Times New Roman" w:eastAsia="Times New Roman" w:hAnsi="Times New Roman" w:cs="Times New Roman"/>
                <w:b/>
                <w:bCs/>
                <w:color w:val="000000"/>
              </w:rPr>
              <w:t xml:space="preserve">City Bank </w:t>
            </w:r>
          </w:p>
        </w:tc>
        <w:tc>
          <w:tcPr>
            <w:tcW w:w="1647" w:type="dxa"/>
            <w:noWrap/>
            <w:hideMark/>
          </w:tcPr>
          <w:p w14:paraId="6B906A59" w14:textId="77777777" w:rsidR="00E956C2" w:rsidRPr="00F47DA6" w:rsidRDefault="00E956C2" w:rsidP="003657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47DA6">
              <w:rPr>
                <w:rFonts w:ascii="Times New Roman" w:eastAsia="Times New Roman" w:hAnsi="Times New Roman" w:cs="Times New Roman"/>
                <w:b/>
                <w:bCs/>
                <w:color w:val="000000"/>
              </w:rPr>
              <w:t>Industry Average</w:t>
            </w:r>
          </w:p>
        </w:tc>
        <w:tc>
          <w:tcPr>
            <w:tcW w:w="1707" w:type="dxa"/>
            <w:noWrap/>
            <w:hideMark/>
          </w:tcPr>
          <w:p w14:paraId="1E4CC881" w14:textId="77777777" w:rsidR="00E956C2" w:rsidRPr="00F47DA6" w:rsidRDefault="00E956C2" w:rsidP="003657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F47DA6">
              <w:rPr>
                <w:rFonts w:ascii="Times New Roman" w:eastAsia="Times New Roman" w:hAnsi="Times New Roman" w:cs="Times New Roman"/>
                <w:b/>
                <w:bCs/>
                <w:color w:val="000000"/>
              </w:rPr>
              <w:t>City Bank's Status</w:t>
            </w:r>
          </w:p>
        </w:tc>
      </w:tr>
      <w:tr w:rsidR="00E956C2" w:rsidRPr="00F47DA6" w14:paraId="5FEF1BE9" w14:textId="77777777" w:rsidTr="0036570C">
        <w:trPr>
          <w:trHeight w:val="300"/>
        </w:trPr>
        <w:tc>
          <w:tcPr>
            <w:cnfStyle w:val="001000000000" w:firstRow="0" w:lastRow="0" w:firstColumn="1" w:lastColumn="0" w:oddVBand="0" w:evenVBand="0" w:oddHBand="0" w:evenHBand="0" w:firstRowFirstColumn="0" w:firstRowLastColumn="0" w:lastRowFirstColumn="0" w:lastRowLastColumn="0"/>
            <w:tcW w:w="4153" w:type="dxa"/>
            <w:noWrap/>
            <w:hideMark/>
          </w:tcPr>
          <w:p w14:paraId="686510B5" w14:textId="77777777" w:rsidR="00E956C2" w:rsidRPr="004620AB" w:rsidRDefault="00E956C2" w:rsidP="0036570C">
            <w:pPr>
              <w:rPr>
                <w:rFonts w:ascii="Times New Roman" w:eastAsia="Times New Roman" w:hAnsi="Times New Roman" w:cs="Times New Roman"/>
                <w:color w:val="000000"/>
              </w:rPr>
            </w:pPr>
            <w:r w:rsidRPr="004620AB">
              <w:rPr>
                <w:rFonts w:ascii="Times New Roman" w:eastAsia="Times New Roman" w:hAnsi="Times New Roman" w:cs="Times New Roman"/>
                <w:color w:val="000000"/>
              </w:rPr>
              <w:t>Balance Sheet Components:</w:t>
            </w:r>
          </w:p>
        </w:tc>
        <w:tc>
          <w:tcPr>
            <w:tcW w:w="1453" w:type="dxa"/>
            <w:noWrap/>
            <w:hideMark/>
          </w:tcPr>
          <w:p w14:paraId="083EDCC8" w14:textId="77777777" w:rsidR="00E956C2" w:rsidRPr="00F47DA6" w:rsidRDefault="00E956C2" w:rsidP="003657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 </w:t>
            </w:r>
          </w:p>
        </w:tc>
        <w:tc>
          <w:tcPr>
            <w:tcW w:w="1647" w:type="dxa"/>
            <w:noWrap/>
            <w:hideMark/>
          </w:tcPr>
          <w:p w14:paraId="6EA893C9" w14:textId="77777777" w:rsidR="00E956C2" w:rsidRPr="00F47DA6" w:rsidRDefault="00E956C2" w:rsidP="003657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 </w:t>
            </w:r>
          </w:p>
        </w:tc>
        <w:tc>
          <w:tcPr>
            <w:tcW w:w="1707" w:type="dxa"/>
            <w:noWrap/>
            <w:hideMark/>
          </w:tcPr>
          <w:p w14:paraId="543A6986" w14:textId="77777777" w:rsidR="00E956C2" w:rsidRPr="00F47DA6" w:rsidRDefault="00E956C2" w:rsidP="003657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 </w:t>
            </w:r>
          </w:p>
        </w:tc>
      </w:tr>
      <w:tr w:rsidR="00E956C2" w:rsidRPr="00F47DA6" w14:paraId="6470628B"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730E9880" w14:textId="77777777" w:rsidR="00E956C2" w:rsidRPr="004620AB" w:rsidRDefault="00E956C2" w:rsidP="0036570C">
            <w:pPr>
              <w:rPr>
                <w:rFonts w:ascii="Times New Roman" w:eastAsia="Times New Roman" w:hAnsi="Times New Roman" w:cs="Times New Roman"/>
                <w:b w:val="0"/>
                <w:bCs w:val="0"/>
                <w:sz w:val="24"/>
                <w:szCs w:val="24"/>
              </w:rPr>
            </w:pPr>
            <w:r w:rsidRPr="004620AB">
              <w:rPr>
                <w:rFonts w:ascii="Times New Roman" w:eastAsia="Times New Roman" w:hAnsi="Times New Roman" w:cs="Times New Roman"/>
                <w:b w:val="0"/>
                <w:bCs w:val="0"/>
                <w:color w:val="000000" w:themeColor="text1"/>
                <w:sz w:val="24"/>
                <w:szCs w:val="24"/>
              </w:rPr>
              <w:t>Total Cash</w:t>
            </w:r>
          </w:p>
        </w:tc>
        <w:tc>
          <w:tcPr>
            <w:tcW w:w="1453" w:type="dxa"/>
            <w:noWrap/>
            <w:hideMark/>
          </w:tcPr>
          <w:p w14:paraId="11FD650F"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47DA6">
              <w:rPr>
                <w:rFonts w:ascii="Times New Roman" w:eastAsia="Times New Roman" w:hAnsi="Times New Roman" w:cs="Times New Roman"/>
              </w:rPr>
              <w:t>22,403,557,932</w:t>
            </w:r>
          </w:p>
        </w:tc>
        <w:tc>
          <w:tcPr>
            <w:tcW w:w="1647" w:type="dxa"/>
            <w:noWrap/>
            <w:hideMark/>
          </w:tcPr>
          <w:p w14:paraId="411A9BFC"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29523395655</w:t>
            </w:r>
          </w:p>
        </w:tc>
        <w:tc>
          <w:tcPr>
            <w:tcW w:w="1707" w:type="dxa"/>
            <w:noWrap/>
            <w:hideMark/>
          </w:tcPr>
          <w:p w14:paraId="34DEDA7B"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40B82900"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468161BC"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Balance with other Banks and FIs</w:t>
            </w:r>
          </w:p>
        </w:tc>
        <w:tc>
          <w:tcPr>
            <w:tcW w:w="1453" w:type="dxa"/>
            <w:noWrap/>
            <w:hideMark/>
          </w:tcPr>
          <w:p w14:paraId="6C8F5112"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27023103737</w:t>
            </w:r>
          </w:p>
        </w:tc>
        <w:tc>
          <w:tcPr>
            <w:tcW w:w="1647" w:type="dxa"/>
            <w:noWrap/>
            <w:hideMark/>
          </w:tcPr>
          <w:p w14:paraId="51260F55"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13216017384</w:t>
            </w:r>
          </w:p>
        </w:tc>
        <w:tc>
          <w:tcPr>
            <w:tcW w:w="1707" w:type="dxa"/>
            <w:noWrap/>
            <w:hideMark/>
          </w:tcPr>
          <w:p w14:paraId="3C270A05"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5C737BD5"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7409ADE7"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Investments</w:t>
            </w:r>
          </w:p>
        </w:tc>
        <w:tc>
          <w:tcPr>
            <w:tcW w:w="1453" w:type="dxa"/>
            <w:noWrap/>
            <w:hideMark/>
          </w:tcPr>
          <w:p w14:paraId="32616D02"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46251445615</w:t>
            </w:r>
          </w:p>
        </w:tc>
        <w:tc>
          <w:tcPr>
            <w:tcW w:w="1647" w:type="dxa"/>
            <w:noWrap/>
            <w:hideMark/>
          </w:tcPr>
          <w:p w14:paraId="5E9FA364"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55849087634</w:t>
            </w:r>
          </w:p>
        </w:tc>
        <w:tc>
          <w:tcPr>
            <w:tcW w:w="1707" w:type="dxa"/>
            <w:noWrap/>
            <w:hideMark/>
          </w:tcPr>
          <w:p w14:paraId="2D4C1FFA"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2BA2A84A"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55627531"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Government Investments</w:t>
            </w:r>
          </w:p>
        </w:tc>
        <w:tc>
          <w:tcPr>
            <w:tcW w:w="1453" w:type="dxa"/>
            <w:noWrap/>
            <w:hideMark/>
          </w:tcPr>
          <w:p w14:paraId="3D36B856"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42061653285</w:t>
            </w:r>
          </w:p>
        </w:tc>
        <w:tc>
          <w:tcPr>
            <w:tcW w:w="1647" w:type="dxa"/>
            <w:noWrap/>
            <w:hideMark/>
          </w:tcPr>
          <w:p w14:paraId="774A856B"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48429849720</w:t>
            </w:r>
          </w:p>
        </w:tc>
        <w:tc>
          <w:tcPr>
            <w:tcW w:w="1707" w:type="dxa"/>
            <w:noWrap/>
            <w:hideMark/>
          </w:tcPr>
          <w:p w14:paraId="00ED5356"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496C103B"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1A1EF282"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Loans and advances</w:t>
            </w:r>
          </w:p>
        </w:tc>
        <w:tc>
          <w:tcPr>
            <w:tcW w:w="1453" w:type="dxa"/>
            <w:noWrap/>
            <w:hideMark/>
          </w:tcPr>
          <w:p w14:paraId="304A191E"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268201520561</w:t>
            </w:r>
          </w:p>
        </w:tc>
        <w:tc>
          <w:tcPr>
            <w:tcW w:w="1647" w:type="dxa"/>
            <w:noWrap/>
            <w:hideMark/>
          </w:tcPr>
          <w:p w14:paraId="25B2525A"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286369131641</w:t>
            </w:r>
          </w:p>
        </w:tc>
        <w:tc>
          <w:tcPr>
            <w:tcW w:w="1707" w:type="dxa"/>
            <w:noWrap/>
            <w:hideMark/>
          </w:tcPr>
          <w:p w14:paraId="450E1C9A"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36BEB1D5"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51B78624"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Fixed Assets including premises</w:t>
            </w:r>
          </w:p>
        </w:tc>
        <w:tc>
          <w:tcPr>
            <w:tcW w:w="1453" w:type="dxa"/>
            <w:noWrap/>
            <w:hideMark/>
          </w:tcPr>
          <w:p w14:paraId="08A203B3"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5920244649</w:t>
            </w:r>
          </w:p>
        </w:tc>
        <w:tc>
          <w:tcPr>
            <w:tcW w:w="1647" w:type="dxa"/>
            <w:noWrap/>
            <w:hideMark/>
          </w:tcPr>
          <w:p w14:paraId="4A749DBA"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6112898276</w:t>
            </w:r>
          </w:p>
        </w:tc>
        <w:tc>
          <w:tcPr>
            <w:tcW w:w="1707" w:type="dxa"/>
            <w:noWrap/>
            <w:hideMark/>
          </w:tcPr>
          <w:p w14:paraId="76D3CF25"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3CCDCEA1"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4CB907BA"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assets</w:t>
            </w:r>
          </w:p>
        </w:tc>
        <w:tc>
          <w:tcPr>
            <w:tcW w:w="1453" w:type="dxa"/>
            <w:noWrap/>
            <w:hideMark/>
          </w:tcPr>
          <w:p w14:paraId="716A521E"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382925766660</w:t>
            </w:r>
          </w:p>
        </w:tc>
        <w:tc>
          <w:tcPr>
            <w:tcW w:w="1647" w:type="dxa"/>
            <w:noWrap/>
            <w:hideMark/>
          </w:tcPr>
          <w:p w14:paraId="16DD4A27"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407776980568</w:t>
            </w:r>
          </w:p>
        </w:tc>
        <w:tc>
          <w:tcPr>
            <w:tcW w:w="1707" w:type="dxa"/>
            <w:noWrap/>
            <w:hideMark/>
          </w:tcPr>
          <w:p w14:paraId="42727A62"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5096679E"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3E7CC5D6"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Deposits</w:t>
            </w:r>
          </w:p>
        </w:tc>
        <w:tc>
          <w:tcPr>
            <w:tcW w:w="1453" w:type="dxa"/>
            <w:noWrap/>
            <w:hideMark/>
          </w:tcPr>
          <w:p w14:paraId="53BE8A4B"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254781149633</w:t>
            </w:r>
          </w:p>
        </w:tc>
        <w:tc>
          <w:tcPr>
            <w:tcW w:w="1647" w:type="dxa"/>
            <w:noWrap/>
            <w:hideMark/>
          </w:tcPr>
          <w:p w14:paraId="4FCC3A22"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F47DA6">
              <w:rPr>
                <w:rFonts w:ascii="Arial" w:eastAsia="Times New Roman" w:hAnsi="Arial" w:cs="Arial"/>
                <w:color w:val="000000"/>
                <w:sz w:val="20"/>
                <w:szCs w:val="20"/>
              </w:rPr>
              <w:t>316,312,224,865</w:t>
            </w:r>
          </w:p>
        </w:tc>
        <w:tc>
          <w:tcPr>
            <w:tcW w:w="1707" w:type="dxa"/>
            <w:noWrap/>
            <w:hideMark/>
          </w:tcPr>
          <w:p w14:paraId="68DF10DA"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172A1B23"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3511EBDF"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TD/Fixed Deposits</w:t>
            </w:r>
          </w:p>
        </w:tc>
        <w:tc>
          <w:tcPr>
            <w:tcW w:w="1453" w:type="dxa"/>
            <w:noWrap/>
            <w:hideMark/>
          </w:tcPr>
          <w:p w14:paraId="0B928AD4"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147946628940</w:t>
            </w:r>
          </w:p>
        </w:tc>
        <w:tc>
          <w:tcPr>
            <w:tcW w:w="1647" w:type="dxa"/>
            <w:noWrap/>
            <w:hideMark/>
          </w:tcPr>
          <w:p w14:paraId="0FE49F11"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167736484025</w:t>
            </w:r>
          </w:p>
        </w:tc>
        <w:tc>
          <w:tcPr>
            <w:tcW w:w="1707" w:type="dxa"/>
            <w:noWrap/>
            <w:hideMark/>
          </w:tcPr>
          <w:p w14:paraId="50B6FD8E"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0319F00E"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455FCC6E"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shareholders' equity</w:t>
            </w:r>
          </w:p>
        </w:tc>
        <w:tc>
          <w:tcPr>
            <w:tcW w:w="1453" w:type="dxa"/>
            <w:noWrap/>
            <w:hideMark/>
          </w:tcPr>
          <w:p w14:paraId="07327314"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28818329628</w:t>
            </w:r>
          </w:p>
        </w:tc>
        <w:tc>
          <w:tcPr>
            <w:tcW w:w="1647" w:type="dxa"/>
            <w:noWrap/>
            <w:hideMark/>
          </w:tcPr>
          <w:p w14:paraId="357574F2"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27083796952</w:t>
            </w:r>
          </w:p>
        </w:tc>
        <w:tc>
          <w:tcPr>
            <w:tcW w:w="1707" w:type="dxa"/>
            <w:noWrap/>
            <w:hideMark/>
          </w:tcPr>
          <w:p w14:paraId="761447F8"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4B4B64CA"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151AFF69"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Balance Sheet Size</w:t>
            </w:r>
          </w:p>
        </w:tc>
        <w:tc>
          <w:tcPr>
            <w:tcW w:w="1453" w:type="dxa"/>
            <w:noWrap/>
            <w:hideMark/>
          </w:tcPr>
          <w:p w14:paraId="47C52D12"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382925766660</w:t>
            </w:r>
          </w:p>
        </w:tc>
        <w:tc>
          <w:tcPr>
            <w:tcW w:w="1647" w:type="dxa"/>
            <w:noWrap/>
            <w:hideMark/>
          </w:tcPr>
          <w:p w14:paraId="725EF8C8"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405519537100</w:t>
            </w:r>
          </w:p>
        </w:tc>
        <w:tc>
          <w:tcPr>
            <w:tcW w:w="1707" w:type="dxa"/>
            <w:noWrap/>
            <w:hideMark/>
          </w:tcPr>
          <w:p w14:paraId="407B0A6A"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7744235A"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266682E2"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 xml:space="preserve">Total off-balance sheet items </w:t>
            </w:r>
          </w:p>
        </w:tc>
        <w:tc>
          <w:tcPr>
            <w:tcW w:w="1453" w:type="dxa"/>
            <w:noWrap/>
            <w:hideMark/>
          </w:tcPr>
          <w:p w14:paraId="45B7E85A"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136337540395</w:t>
            </w:r>
          </w:p>
        </w:tc>
        <w:tc>
          <w:tcPr>
            <w:tcW w:w="1647" w:type="dxa"/>
            <w:noWrap/>
            <w:hideMark/>
          </w:tcPr>
          <w:p w14:paraId="3B598CC7"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100317535894</w:t>
            </w:r>
          </w:p>
        </w:tc>
        <w:tc>
          <w:tcPr>
            <w:tcW w:w="1707" w:type="dxa"/>
            <w:noWrap/>
            <w:hideMark/>
          </w:tcPr>
          <w:p w14:paraId="757A7E17"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1B856ED1"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0C0D1C39" w14:textId="77777777" w:rsidR="00E956C2" w:rsidRPr="004620AB" w:rsidRDefault="00E956C2" w:rsidP="0036570C">
            <w:pPr>
              <w:rPr>
                <w:rFonts w:ascii="Times New Roman" w:eastAsia="Times New Roman" w:hAnsi="Times New Roman" w:cs="Times New Roman"/>
                <w:color w:val="000000" w:themeColor="text1"/>
                <w:sz w:val="24"/>
                <w:szCs w:val="24"/>
              </w:rPr>
            </w:pPr>
            <w:r w:rsidRPr="004620AB">
              <w:rPr>
                <w:rFonts w:ascii="Times New Roman" w:eastAsia="Times New Roman" w:hAnsi="Times New Roman" w:cs="Times New Roman"/>
                <w:color w:val="000000" w:themeColor="text1"/>
                <w:sz w:val="24"/>
                <w:szCs w:val="24"/>
              </w:rPr>
              <w:t>Income Statement Components:</w:t>
            </w:r>
          </w:p>
        </w:tc>
        <w:tc>
          <w:tcPr>
            <w:tcW w:w="1453" w:type="dxa"/>
            <w:noWrap/>
            <w:hideMark/>
          </w:tcPr>
          <w:p w14:paraId="6E00792A"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 </w:t>
            </w:r>
          </w:p>
        </w:tc>
        <w:tc>
          <w:tcPr>
            <w:tcW w:w="1647" w:type="dxa"/>
            <w:noWrap/>
            <w:hideMark/>
          </w:tcPr>
          <w:p w14:paraId="233544E2"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 </w:t>
            </w:r>
          </w:p>
        </w:tc>
        <w:tc>
          <w:tcPr>
            <w:tcW w:w="1707" w:type="dxa"/>
            <w:noWrap/>
            <w:hideMark/>
          </w:tcPr>
          <w:p w14:paraId="4DA0590F"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E956C2" w:rsidRPr="00F47DA6" w14:paraId="0FF93BDC"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68F8FDA6"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Net Interest Income</w:t>
            </w:r>
          </w:p>
        </w:tc>
        <w:tc>
          <w:tcPr>
            <w:tcW w:w="1453" w:type="dxa"/>
            <w:noWrap/>
            <w:hideMark/>
          </w:tcPr>
          <w:p w14:paraId="3327AC36"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8363188091</w:t>
            </w:r>
          </w:p>
        </w:tc>
        <w:tc>
          <w:tcPr>
            <w:tcW w:w="1647" w:type="dxa"/>
            <w:noWrap/>
            <w:hideMark/>
          </w:tcPr>
          <w:p w14:paraId="14066478"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6675880125</w:t>
            </w:r>
          </w:p>
        </w:tc>
        <w:tc>
          <w:tcPr>
            <w:tcW w:w="1707" w:type="dxa"/>
            <w:noWrap/>
            <w:hideMark/>
          </w:tcPr>
          <w:p w14:paraId="544902B2"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4265343B"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677A2E8D"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Operating Income</w:t>
            </w:r>
          </w:p>
        </w:tc>
        <w:tc>
          <w:tcPr>
            <w:tcW w:w="1453" w:type="dxa"/>
            <w:noWrap/>
            <w:hideMark/>
          </w:tcPr>
          <w:p w14:paraId="5558C9F0"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16737227393</w:t>
            </w:r>
          </w:p>
        </w:tc>
        <w:tc>
          <w:tcPr>
            <w:tcW w:w="1647" w:type="dxa"/>
            <w:noWrap/>
            <w:hideMark/>
          </w:tcPr>
          <w:p w14:paraId="4A47D98C"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14029754958</w:t>
            </w:r>
          </w:p>
        </w:tc>
        <w:tc>
          <w:tcPr>
            <w:tcW w:w="1707" w:type="dxa"/>
            <w:noWrap/>
            <w:hideMark/>
          </w:tcPr>
          <w:p w14:paraId="4171B623"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0741A45F"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3F919B44"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Operating Expenses</w:t>
            </w:r>
          </w:p>
        </w:tc>
        <w:tc>
          <w:tcPr>
            <w:tcW w:w="1453" w:type="dxa"/>
            <w:noWrap/>
            <w:hideMark/>
          </w:tcPr>
          <w:p w14:paraId="4FFE65C1"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9697466587</w:t>
            </w:r>
          </w:p>
        </w:tc>
        <w:tc>
          <w:tcPr>
            <w:tcW w:w="1647" w:type="dxa"/>
            <w:noWrap/>
            <w:hideMark/>
          </w:tcPr>
          <w:p w14:paraId="6D928616"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7730736094</w:t>
            </w:r>
          </w:p>
        </w:tc>
        <w:tc>
          <w:tcPr>
            <w:tcW w:w="1707" w:type="dxa"/>
            <w:noWrap/>
            <w:hideMark/>
          </w:tcPr>
          <w:p w14:paraId="292EE631"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4050F7A6"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7C4B7752"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Provision</w:t>
            </w:r>
          </w:p>
        </w:tc>
        <w:tc>
          <w:tcPr>
            <w:tcW w:w="1453" w:type="dxa"/>
            <w:noWrap/>
            <w:hideMark/>
          </w:tcPr>
          <w:p w14:paraId="762D886F"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(644,264,639)</w:t>
            </w:r>
          </w:p>
        </w:tc>
        <w:tc>
          <w:tcPr>
            <w:tcW w:w="1647" w:type="dxa"/>
            <w:noWrap/>
            <w:hideMark/>
          </w:tcPr>
          <w:p w14:paraId="4BD81012"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1820798665</w:t>
            </w:r>
          </w:p>
        </w:tc>
        <w:tc>
          <w:tcPr>
            <w:tcW w:w="1707" w:type="dxa"/>
            <w:noWrap/>
            <w:hideMark/>
          </w:tcPr>
          <w:p w14:paraId="3AED6538"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2A9243BA"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7D398121"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Total Provision for Tax</w:t>
            </w:r>
          </w:p>
        </w:tc>
        <w:tc>
          <w:tcPr>
            <w:tcW w:w="1453" w:type="dxa"/>
            <w:noWrap/>
            <w:hideMark/>
          </w:tcPr>
          <w:p w14:paraId="221BC96C"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-2383324921</w:t>
            </w:r>
          </w:p>
        </w:tc>
        <w:tc>
          <w:tcPr>
            <w:tcW w:w="1647" w:type="dxa"/>
            <w:noWrap/>
            <w:hideMark/>
          </w:tcPr>
          <w:p w14:paraId="1F0B0695"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1786425412</w:t>
            </w:r>
          </w:p>
        </w:tc>
        <w:tc>
          <w:tcPr>
            <w:tcW w:w="1707" w:type="dxa"/>
            <w:noWrap/>
            <w:hideMark/>
          </w:tcPr>
          <w:p w14:paraId="05084D83"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1190A5A8"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483D05B2"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Net Profit After Tax</w:t>
            </w:r>
          </w:p>
        </w:tc>
        <w:tc>
          <w:tcPr>
            <w:tcW w:w="1453" w:type="dxa"/>
            <w:noWrap/>
            <w:hideMark/>
          </w:tcPr>
          <w:p w14:paraId="6810504F"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4012171246</w:t>
            </w:r>
          </w:p>
        </w:tc>
        <w:tc>
          <w:tcPr>
            <w:tcW w:w="1647" w:type="dxa"/>
            <w:noWrap/>
            <w:hideMark/>
          </w:tcPr>
          <w:p w14:paraId="54E5CDF3"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2474466961</w:t>
            </w:r>
          </w:p>
        </w:tc>
        <w:tc>
          <w:tcPr>
            <w:tcW w:w="1707" w:type="dxa"/>
            <w:noWrap/>
            <w:hideMark/>
          </w:tcPr>
          <w:p w14:paraId="0F1AC8A9"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6EB64BBE"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752FE296" w14:textId="77777777" w:rsidR="00E956C2" w:rsidRPr="004620AB" w:rsidRDefault="00E956C2" w:rsidP="0036570C">
            <w:pPr>
              <w:rPr>
                <w:rFonts w:ascii="Times New Roman" w:eastAsia="Times New Roman" w:hAnsi="Times New Roman" w:cs="Times New Roman"/>
                <w:color w:val="000000"/>
                <w:sz w:val="24"/>
                <w:szCs w:val="24"/>
              </w:rPr>
            </w:pPr>
            <w:r w:rsidRPr="004620AB">
              <w:rPr>
                <w:rFonts w:ascii="Times New Roman" w:eastAsia="Times New Roman" w:hAnsi="Times New Roman" w:cs="Times New Roman"/>
                <w:color w:val="000000"/>
                <w:sz w:val="24"/>
                <w:szCs w:val="24"/>
              </w:rPr>
              <w:t>Notes:</w:t>
            </w:r>
          </w:p>
        </w:tc>
        <w:tc>
          <w:tcPr>
            <w:tcW w:w="1453" w:type="dxa"/>
            <w:noWrap/>
            <w:hideMark/>
          </w:tcPr>
          <w:p w14:paraId="49149C69"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 </w:t>
            </w:r>
          </w:p>
        </w:tc>
        <w:tc>
          <w:tcPr>
            <w:tcW w:w="1647" w:type="dxa"/>
            <w:noWrap/>
            <w:hideMark/>
          </w:tcPr>
          <w:p w14:paraId="36C1552B"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 </w:t>
            </w:r>
          </w:p>
        </w:tc>
        <w:tc>
          <w:tcPr>
            <w:tcW w:w="1707" w:type="dxa"/>
            <w:noWrap/>
            <w:hideMark/>
          </w:tcPr>
          <w:p w14:paraId="31ED111D"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E956C2" w:rsidRPr="00F47DA6" w14:paraId="64D44764"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6284996E"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Cash Reserve Ratio (CRR)- Surplus</w:t>
            </w:r>
          </w:p>
        </w:tc>
        <w:tc>
          <w:tcPr>
            <w:tcW w:w="1453" w:type="dxa"/>
            <w:noWrap/>
            <w:hideMark/>
          </w:tcPr>
          <w:p w14:paraId="13FEEFE6"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2768417708</w:t>
            </w:r>
          </w:p>
        </w:tc>
        <w:tc>
          <w:tcPr>
            <w:tcW w:w="1647" w:type="dxa"/>
            <w:noWrap/>
            <w:hideMark/>
          </w:tcPr>
          <w:p w14:paraId="3646035A"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10424565657</w:t>
            </w:r>
          </w:p>
        </w:tc>
        <w:tc>
          <w:tcPr>
            <w:tcW w:w="1707" w:type="dxa"/>
            <w:noWrap/>
            <w:hideMark/>
          </w:tcPr>
          <w:p w14:paraId="36FB6166"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046E517A"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3EC3B027"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Statutory Liquidity Ratio (SLR)- Surplus</w:t>
            </w:r>
          </w:p>
        </w:tc>
        <w:tc>
          <w:tcPr>
            <w:tcW w:w="1453" w:type="dxa"/>
            <w:noWrap/>
            <w:hideMark/>
          </w:tcPr>
          <w:p w14:paraId="7449A66D"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12591941011</w:t>
            </w:r>
          </w:p>
        </w:tc>
        <w:tc>
          <w:tcPr>
            <w:tcW w:w="1647" w:type="dxa"/>
            <w:noWrap/>
            <w:hideMark/>
          </w:tcPr>
          <w:p w14:paraId="488290C5"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29525292687</w:t>
            </w:r>
          </w:p>
        </w:tc>
        <w:tc>
          <w:tcPr>
            <w:tcW w:w="1707" w:type="dxa"/>
            <w:noWrap/>
            <w:hideMark/>
          </w:tcPr>
          <w:p w14:paraId="53F8A211"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5A3B0DE9"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17386CFF"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Capital Adequacy Ratio</w:t>
            </w:r>
          </w:p>
        </w:tc>
        <w:tc>
          <w:tcPr>
            <w:tcW w:w="1453" w:type="dxa"/>
            <w:noWrap/>
            <w:hideMark/>
          </w:tcPr>
          <w:p w14:paraId="6ABA2489"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14.28%</w:t>
            </w:r>
          </w:p>
        </w:tc>
        <w:tc>
          <w:tcPr>
            <w:tcW w:w="1647" w:type="dxa"/>
            <w:noWrap/>
            <w:hideMark/>
          </w:tcPr>
          <w:p w14:paraId="02189AED"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14.13%</w:t>
            </w:r>
          </w:p>
        </w:tc>
        <w:tc>
          <w:tcPr>
            <w:tcW w:w="1707" w:type="dxa"/>
            <w:noWrap/>
            <w:hideMark/>
          </w:tcPr>
          <w:p w14:paraId="04FC32F2"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018CE832"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2691839F"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Total Risk-Weighted Assets</w:t>
            </w:r>
          </w:p>
        </w:tc>
        <w:tc>
          <w:tcPr>
            <w:tcW w:w="1453" w:type="dxa"/>
            <w:noWrap/>
            <w:hideMark/>
          </w:tcPr>
          <w:p w14:paraId="3773291A"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27513820000</w:t>
            </w:r>
          </w:p>
        </w:tc>
        <w:tc>
          <w:tcPr>
            <w:tcW w:w="1647" w:type="dxa"/>
            <w:noWrap/>
            <w:hideMark/>
          </w:tcPr>
          <w:p w14:paraId="57FCA914"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232717963180</w:t>
            </w:r>
          </w:p>
        </w:tc>
        <w:tc>
          <w:tcPr>
            <w:tcW w:w="1707" w:type="dxa"/>
            <w:noWrap/>
            <w:hideMark/>
          </w:tcPr>
          <w:p w14:paraId="12EF4DEB"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40FE77C1"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15B48602"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Interest Income</w:t>
            </w:r>
          </w:p>
        </w:tc>
        <w:tc>
          <w:tcPr>
            <w:tcW w:w="1453" w:type="dxa"/>
            <w:noWrap/>
            <w:hideMark/>
          </w:tcPr>
          <w:p w14:paraId="4985A4EA"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21509912679</w:t>
            </w:r>
          </w:p>
        </w:tc>
        <w:tc>
          <w:tcPr>
            <w:tcW w:w="1647" w:type="dxa"/>
            <w:noWrap/>
            <w:hideMark/>
          </w:tcPr>
          <w:p w14:paraId="27146E1A"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17832720582</w:t>
            </w:r>
          </w:p>
        </w:tc>
        <w:tc>
          <w:tcPr>
            <w:tcW w:w="1707" w:type="dxa"/>
            <w:noWrap/>
            <w:hideMark/>
          </w:tcPr>
          <w:p w14:paraId="55D0A95F"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77D01DB4"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7D450392"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Commission, Exchange and Brokerage</w:t>
            </w:r>
          </w:p>
        </w:tc>
        <w:tc>
          <w:tcPr>
            <w:tcW w:w="1453" w:type="dxa"/>
            <w:noWrap/>
            <w:hideMark/>
          </w:tcPr>
          <w:p w14:paraId="5BA6FDC9"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3355184560</w:t>
            </w:r>
          </w:p>
        </w:tc>
        <w:tc>
          <w:tcPr>
            <w:tcW w:w="1647" w:type="dxa"/>
            <w:noWrap/>
            <w:hideMark/>
          </w:tcPr>
          <w:p w14:paraId="3062EAB4"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2128569838</w:t>
            </w:r>
          </w:p>
        </w:tc>
        <w:tc>
          <w:tcPr>
            <w:tcW w:w="1707" w:type="dxa"/>
            <w:noWrap/>
            <w:hideMark/>
          </w:tcPr>
          <w:p w14:paraId="5DD2B755"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1F91EDC9"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06107CD4"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Other Operating Income</w:t>
            </w:r>
          </w:p>
        </w:tc>
        <w:tc>
          <w:tcPr>
            <w:tcW w:w="1453" w:type="dxa"/>
            <w:noWrap/>
            <w:hideMark/>
          </w:tcPr>
          <w:p w14:paraId="41917D00"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1580928599</w:t>
            </w:r>
          </w:p>
        </w:tc>
        <w:tc>
          <w:tcPr>
            <w:tcW w:w="1647" w:type="dxa"/>
            <w:noWrap/>
            <w:hideMark/>
          </w:tcPr>
          <w:p w14:paraId="05753462"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894496623</w:t>
            </w:r>
          </w:p>
        </w:tc>
        <w:tc>
          <w:tcPr>
            <w:tcW w:w="1707" w:type="dxa"/>
            <w:noWrap/>
            <w:hideMark/>
          </w:tcPr>
          <w:p w14:paraId="7C673CBC"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3FDDA3E2"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3C5C0AAA"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Salaries and Allowances</w:t>
            </w:r>
          </w:p>
        </w:tc>
        <w:tc>
          <w:tcPr>
            <w:tcW w:w="1453" w:type="dxa"/>
            <w:noWrap/>
            <w:hideMark/>
          </w:tcPr>
          <w:p w14:paraId="32120303"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5246612242</w:t>
            </w:r>
          </w:p>
        </w:tc>
        <w:tc>
          <w:tcPr>
            <w:tcW w:w="1647" w:type="dxa"/>
            <w:noWrap/>
            <w:hideMark/>
          </w:tcPr>
          <w:p w14:paraId="780A491A"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4199133143</w:t>
            </w:r>
          </w:p>
        </w:tc>
        <w:tc>
          <w:tcPr>
            <w:tcW w:w="1707" w:type="dxa"/>
            <w:noWrap/>
            <w:hideMark/>
          </w:tcPr>
          <w:p w14:paraId="3DA3616F"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04B4FF76"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34E4F6A9"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CEO's Salary</w:t>
            </w:r>
          </w:p>
        </w:tc>
        <w:tc>
          <w:tcPr>
            <w:tcW w:w="1453" w:type="dxa"/>
            <w:noWrap/>
            <w:hideMark/>
          </w:tcPr>
          <w:p w14:paraId="4ED777E7"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18764419</w:t>
            </w:r>
          </w:p>
        </w:tc>
        <w:tc>
          <w:tcPr>
            <w:tcW w:w="1647" w:type="dxa"/>
            <w:noWrap/>
            <w:hideMark/>
          </w:tcPr>
          <w:p w14:paraId="3B1FAFD6"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15712210</w:t>
            </w:r>
          </w:p>
        </w:tc>
        <w:tc>
          <w:tcPr>
            <w:tcW w:w="1707" w:type="dxa"/>
            <w:noWrap/>
            <w:hideMark/>
          </w:tcPr>
          <w:p w14:paraId="49A97331"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7F505D51"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2EB9117C"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Earnings Per Share</w:t>
            </w:r>
          </w:p>
        </w:tc>
        <w:tc>
          <w:tcPr>
            <w:tcW w:w="1453" w:type="dxa"/>
            <w:noWrap/>
            <w:hideMark/>
          </w:tcPr>
          <w:p w14:paraId="0CE07DB1"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3.95</w:t>
            </w:r>
          </w:p>
        </w:tc>
        <w:tc>
          <w:tcPr>
            <w:tcW w:w="1647" w:type="dxa"/>
            <w:noWrap/>
            <w:hideMark/>
          </w:tcPr>
          <w:p w14:paraId="1B42B942"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2.59</w:t>
            </w:r>
          </w:p>
        </w:tc>
        <w:tc>
          <w:tcPr>
            <w:tcW w:w="1707" w:type="dxa"/>
            <w:noWrap/>
            <w:hideMark/>
          </w:tcPr>
          <w:p w14:paraId="69C9D72A"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r w:rsidR="00E956C2" w:rsidRPr="00F47DA6" w14:paraId="5F8195A9"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4918DE51"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Net Operating Cash flow per share</w:t>
            </w:r>
          </w:p>
        </w:tc>
        <w:tc>
          <w:tcPr>
            <w:tcW w:w="1453" w:type="dxa"/>
            <w:noWrap/>
            <w:hideMark/>
          </w:tcPr>
          <w:p w14:paraId="5A15A6DC"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F47DA6">
              <w:rPr>
                <w:rFonts w:ascii="Times New Roman" w:eastAsia="Times New Roman" w:hAnsi="Times New Roman" w:cs="Times New Roman"/>
              </w:rPr>
              <w:t xml:space="preserve">                 5.01 </w:t>
            </w:r>
          </w:p>
        </w:tc>
        <w:tc>
          <w:tcPr>
            <w:tcW w:w="1647" w:type="dxa"/>
            <w:noWrap/>
            <w:hideMark/>
          </w:tcPr>
          <w:p w14:paraId="0BAF332C" w14:textId="77777777" w:rsidR="00E956C2" w:rsidRPr="00F47DA6"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13.23</w:t>
            </w:r>
          </w:p>
        </w:tc>
        <w:tc>
          <w:tcPr>
            <w:tcW w:w="1707" w:type="dxa"/>
            <w:noWrap/>
            <w:hideMark/>
          </w:tcPr>
          <w:p w14:paraId="5B4ACC04" w14:textId="77777777" w:rsidR="00E956C2" w:rsidRPr="00F47DA6"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Below Average</w:t>
            </w:r>
          </w:p>
        </w:tc>
      </w:tr>
      <w:tr w:rsidR="00E956C2" w:rsidRPr="00F47DA6" w14:paraId="6779C85B"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153" w:type="dxa"/>
            <w:noWrap/>
            <w:hideMark/>
          </w:tcPr>
          <w:p w14:paraId="095756EE"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Net Asset Value Per Share</w:t>
            </w:r>
          </w:p>
        </w:tc>
        <w:tc>
          <w:tcPr>
            <w:tcW w:w="1453" w:type="dxa"/>
            <w:noWrap/>
            <w:hideMark/>
          </w:tcPr>
          <w:p w14:paraId="76AE9677"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47DA6">
              <w:rPr>
                <w:rFonts w:ascii="Times New Roman" w:eastAsia="Times New Roman" w:hAnsi="Times New Roman" w:cs="Times New Roman"/>
              </w:rPr>
              <w:t>28.35</w:t>
            </w:r>
          </w:p>
        </w:tc>
        <w:tc>
          <w:tcPr>
            <w:tcW w:w="1647" w:type="dxa"/>
            <w:noWrap/>
            <w:hideMark/>
          </w:tcPr>
          <w:p w14:paraId="22CF414D" w14:textId="77777777" w:rsidR="00E956C2" w:rsidRPr="00F47DA6"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24.59</w:t>
            </w:r>
          </w:p>
        </w:tc>
        <w:tc>
          <w:tcPr>
            <w:tcW w:w="1707" w:type="dxa"/>
            <w:noWrap/>
            <w:hideMark/>
          </w:tcPr>
          <w:p w14:paraId="0408FA5F" w14:textId="77777777" w:rsidR="00E956C2" w:rsidRPr="00F47DA6"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47DA6">
              <w:rPr>
                <w:rFonts w:ascii="Times New Roman" w:eastAsia="Times New Roman" w:hAnsi="Times New Roman" w:cs="Times New Roman"/>
                <w:color w:val="000000"/>
              </w:rPr>
              <w:t>Above Average</w:t>
            </w:r>
          </w:p>
        </w:tc>
      </w:tr>
    </w:tbl>
    <w:p w14:paraId="165D0E85" w14:textId="77777777" w:rsidR="00B52F29" w:rsidRDefault="00B52F29" w:rsidP="00B52F29">
      <w:pPr>
        <w:spacing w:line="360" w:lineRule="auto"/>
        <w:rPr>
          <w:rFonts w:ascii="Times New Roman" w:hAnsi="Times New Roman" w:cs="Times New Roman"/>
          <w:b/>
          <w:bCs/>
          <w:color w:val="7030A0"/>
          <w:sz w:val="28"/>
          <w:szCs w:val="28"/>
          <w:u w:val="single"/>
        </w:rPr>
      </w:pPr>
    </w:p>
    <w:p w14:paraId="42C9CE3A" w14:textId="11D79432" w:rsidR="00E956C2" w:rsidRDefault="00E956C2" w:rsidP="00B52F29">
      <w:pPr>
        <w:spacing w:line="360" w:lineRule="auto"/>
        <w:jc w:val="center"/>
        <w:rPr>
          <w:rFonts w:ascii="Times New Roman" w:hAnsi="Times New Roman" w:cs="Times New Roman"/>
          <w:color w:val="7030A0"/>
          <w:sz w:val="28"/>
          <w:szCs w:val="28"/>
          <w:u w:val="single"/>
        </w:rPr>
      </w:pPr>
      <w:r w:rsidRPr="00474AB0">
        <w:rPr>
          <w:rFonts w:ascii="Times New Roman" w:hAnsi="Times New Roman" w:cs="Times New Roman"/>
          <w:color w:val="7030A0"/>
          <w:sz w:val="28"/>
          <w:szCs w:val="28"/>
          <w:u w:val="single"/>
        </w:rPr>
        <w:lastRenderedPageBreak/>
        <w:t>5.2.1 Findings from the Industry Analysis of 2020</w:t>
      </w:r>
    </w:p>
    <w:p w14:paraId="52F94EC7"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above table, I have done an industry analysis for the year 2020. First of all, I have picked important components from the balance sheet, income statement and notes. The first column in the above table is the important components which I have analyzed. The second column consists of the data of City Bank for the year ended 2020. The third column consists of the industry average of 2020. I have taken the data of 28 banks for each component and made average of each and every component. The fourth column consists of the City Bank’s status in each component. I have compared the industry average with the data of City Bank and tried to find whether City Bank performed above the industry average or below the industry average.</w:t>
      </w:r>
    </w:p>
    <w:p w14:paraId="414FFB9D"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have analyzed 30 components or items from the balance sheet, income statement and notes. Among the 30 components, 15 out of 30 components were above the industry average, whereas 15 of the components were below the industry average.</w:t>
      </w:r>
    </w:p>
    <w:p w14:paraId="34748F47" w14:textId="77777777" w:rsidR="00E956C2" w:rsidRDefault="00E956C2" w:rsidP="00E956C2">
      <w:pPr>
        <w:spacing w:line="36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From the balance sheet components- </w:t>
      </w:r>
      <w:r w:rsidRPr="00C40DBB">
        <w:rPr>
          <w:rFonts w:ascii="Times New Roman" w:eastAsia="Times New Roman" w:hAnsi="Times New Roman" w:cs="Times New Roman"/>
          <w:color w:val="000000" w:themeColor="text1"/>
          <w:sz w:val="24"/>
          <w:szCs w:val="24"/>
        </w:rPr>
        <w:t>Balance with other Banks and F</w:t>
      </w:r>
      <w:r>
        <w:rPr>
          <w:rFonts w:ascii="Times New Roman" w:eastAsia="Times New Roman" w:hAnsi="Times New Roman" w:cs="Times New Roman"/>
          <w:color w:val="000000" w:themeColor="text1"/>
          <w:sz w:val="24"/>
          <w:szCs w:val="24"/>
        </w:rPr>
        <w:t>inancial Institutions</w:t>
      </w:r>
      <w:r w:rsidRPr="00C40DBB">
        <w:rPr>
          <w:rFonts w:ascii="Times New Roman" w:eastAsia="Times New Roman" w:hAnsi="Times New Roman" w:cs="Times New Roman"/>
          <w:color w:val="000000" w:themeColor="text1"/>
          <w:sz w:val="24"/>
          <w:szCs w:val="24"/>
        </w:rPr>
        <w:t>, Total shareholders' equity, Total off-balance sheet items</w:t>
      </w:r>
      <w:r>
        <w:rPr>
          <w:rFonts w:ascii="Times New Roman" w:eastAsia="Times New Roman" w:hAnsi="Times New Roman" w:cs="Times New Roman"/>
          <w:color w:val="000000" w:themeColor="text1"/>
          <w:sz w:val="24"/>
          <w:szCs w:val="24"/>
        </w:rPr>
        <w:t xml:space="preserve"> were above the industry average. While </w:t>
      </w:r>
      <w:r w:rsidRPr="00C40DBB">
        <w:rPr>
          <w:rFonts w:ascii="Times New Roman" w:eastAsia="Times New Roman" w:hAnsi="Times New Roman" w:cs="Times New Roman"/>
          <w:color w:val="000000" w:themeColor="text1"/>
          <w:sz w:val="24"/>
          <w:szCs w:val="24"/>
        </w:rPr>
        <w:t>Total Cash, Investments, Government Investments, Loans and advances, Total assets, Total Deposits, Balance Sheet Size</w:t>
      </w:r>
      <w:r>
        <w:rPr>
          <w:rFonts w:ascii="Times New Roman" w:eastAsia="Times New Roman" w:hAnsi="Times New Roman" w:cs="Times New Roman"/>
          <w:color w:val="000000" w:themeColor="text1"/>
          <w:sz w:val="24"/>
          <w:szCs w:val="24"/>
        </w:rPr>
        <w:t xml:space="preserve"> were below the industry average. All of these components are very important for banks. Therefore, we can conclude that City Bank is not performing well in the Balance Sheet components.</w:t>
      </w:r>
    </w:p>
    <w:p w14:paraId="76A95714" w14:textId="77777777" w:rsidR="00E956C2" w:rsidRDefault="00E956C2" w:rsidP="00E956C2">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From the Income Statement items, every component was above the average except two. </w:t>
      </w:r>
      <w:r w:rsidRPr="00E14E7D">
        <w:rPr>
          <w:rFonts w:ascii="Times New Roman" w:eastAsia="Times New Roman" w:hAnsi="Times New Roman" w:cs="Times New Roman"/>
          <w:color w:val="000000" w:themeColor="text1"/>
          <w:sz w:val="24"/>
          <w:szCs w:val="24"/>
        </w:rPr>
        <w:t>Net Interest Income, Total Operating Income, Net Profit After Tax</w:t>
      </w:r>
      <w:r>
        <w:rPr>
          <w:rFonts w:ascii="Times New Roman" w:eastAsia="Times New Roman" w:hAnsi="Times New Roman" w:cs="Times New Roman"/>
          <w:color w:val="000000" w:themeColor="text1"/>
          <w:sz w:val="24"/>
          <w:szCs w:val="24"/>
        </w:rPr>
        <w:t xml:space="preserve"> were above the industry average which is a very good sign for the bank, whereas </w:t>
      </w:r>
      <w:r w:rsidRPr="00E14E7D">
        <w:rPr>
          <w:rFonts w:ascii="Times New Roman" w:eastAsia="Times New Roman" w:hAnsi="Times New Roman" w:cs="Times New Roman"/>
          <w:color w:val="000000" w:themeColor="text1"/>
          <w:sz w:val="24"/>
          <w:szCs w:val="24"/>
        </w:rPr>
        <w:t>Total Operating Expense</w:t>
      </w:r>
      <w:r>
        <w:rPr>
          <w:rFonts w:ascii="Times New Roman" w:eastAsia="Times New Roman" w:hAnsi="Times New Roman" w:cs="Times New Roman"/>
          <w:color w:val="000000" w:themeColor="text1"/>
          <w:sz w:val="24"/>
          <w:szCs w:val="24"/>
        </w:rPr>
        <w:t xml:space="preserve"> was above the industry average which was detrimental for City Bank. They should keep their expenses in control. They have kept their provision for tax in control this year as it is below the industry average.</w:t>
      </w:r>
    </w:p>
    <w:p w14:paraId="597E949F"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Among the components of the notes, 4 of the components out of 12 are below the industry average. City Bank’s </w:t>
      </w:r>
      <w:r w:rsidRPr="002F05A1">
        <w:rPr>
          <w:rFonts w:ascii="Times New Roman" w:eastAsia="Times New Roman" w:hAnsi="Times New Roman" w:cs="Times New Roman"/>
          <w:color w:val="000000" w:themeColor="text1"/>
          <w:sz w:val="24"/>
          <w:szCs w:val="24"/>
        </w:rPr>
        <w:t>Earnings Per Share,</w:t>
      </w:r>
      <w:r>
        <w:rPr>
          <w:rFonts w:ascii="Times New Roman" w:eastAsia="Times New Roman" w:hAnsi="Times New Roman" w:cs="Times New Roman"/>
          <w:color w:val="000000" w:themeColor="text1"/>
          <w:sz w:val="24"/>
          <w:szCs w:val="24"/>
        </w:rPr>
        <w:t xml:space="preserve"> </w:t>
      </w:r>
      <w:r w:rsidRPr="002F05A1">
        <w:rPr>
          <w:rFonts w:ascii="Times New Roman" w:eastAsia="Times New Roman" w:hAnsi="Times New Roman" w:cs="Times New Roman"/>
          <w:color w:val="000000" w:themeColor="text1"/>
          <w:sz w:val="24"/>
          <w:szCs w:val="24"/>
        </w:rPr>
        <w:t>Net Asset Value Per Share, Interest Income, Commission, Exchange and Brokerage</w:t>
      </w:r>
      <w:r>
        <w:rPr>
          <w:rFonts w:ascii="Times New Roman" w:eastAsia="Times New Roman" w:hAnsi="Times New Roman" w:cs="Times New Roman"/>
          <w:color w:val="000000" w:themeColor="text1"/>
          <w:sz w:val="24"/>
          <w:szCs w:val="24"/>
        </w:rPr>
        <w:t xml:space="preserve"> income, CAR were quite above the industry average, whereas Salaries and Allowances and CEO’s salary was also average, which City Bank should keep in control. So, we can say that year 2020 was not very satisfactory nor too bad for City Bank.</w:t>
      </w:r>
    </w:p>
    <w:p w14:paraId="105D097F" w14:textId="0B02BB51" w:rsidR="00E956C2" w:rsidRPr="00F5421A" w:rsidRDefault="00E956C2" w:rsidP="00B52F29">
      <w:pPr>
        <w:spacing w:line="360" w:lineRule="auto"/>
        <w:jc w:val="center"/>
        <w:rPr>
          <w:rFonts w:ascii="Times New Roman" w:hAnsi="Times New Roman" w:cs="Times New Roman"/>
          <w:color w:val="000000" w:themeColor="text1"/>
          <w:sz w:val="24"/>
          <w:szCs w:val="24"/>
        </w:rPr>
      </w:pPr>
      <w:r>
        <w:rPr>
          <w:rFonts w:ascii="Times New Roman" w:hAnsi="Times New Roman" w:cs="Times New Roman"/>
          <w:b/>
          <w:bCs/>
          <w:color w:val="7030A0"/>
          <w:sz w:val="28"/>
          <w:szCs w:val="28"/>
          <w:u w:val="single"/>
        </w:rPr>
        <w:lastRenderedPageBreak/>
        <w:t>5.3</w:t>
      </w:r>
      <w:r w:rsidRPr="00F47DA6">
        <w:rPr>
          <w:rFonts w:ascii="Times New Roman" w:hAnsi="Times New Roman" w:cs="Times New Roman"/>
          <w:b/>
          <w:bCs/>
          <w:color w:val="4472C4" w:themeColor="accent1"/>
          <w:sz w:val="28"/>
          <w:szCs w:val="28"/>
          <w:u w:val="single"/>
        </w:rPr>
        <w:t xml:space="preserve"> </w:t>
      </w:r>
      <w:r w:rsidRPr="00E10362">
        <w:rPr>
          <w:rFonts w:ascii="Times New Roman" w:hAnsi="Times New Roman" w:cs="Times New Roman"/>
          <w:b/>
          <w:bCs/>
          <w:color w:val="4472C4" w:themeColor="accent1"/>
          <w:sz w:val="28"/>
          <w:szCs w:val="28"/>
          <w:u w:val="single"/>
        </w:rPr>
        <w:t>Comparison with Industry Average (20</w:t>
      </w:r>
      <w:r>
        <w:rPr>
          <w:rFonts w:ascii="Times New Roman" w:hAnsi="Times New Roman" w:cs="Times New Roman"/>
          <w:b/>
          <w:bCs/>
          <w:color w:val="4472C4" w:themeColor="accent1"/>
          <w:sz w:val="28"/>
          <w:szCs w:val="28"/>
          <w:u w:val="single"/>
        </w:rPr>
        <w:t>19</w:t>
      </w:r>
      <w:r w:rsidRPr="00E10362">
        <w:rPr>
          <w:rFonts w:ascii="Times New Roman" w:hAnsi="Times New Roman" w:cs="Times New Roman"/>
          <w:b/>
          <w:bCs/>
          <w:color w:val="4472C4" w:themeColor="accent1"/>
          <w:sz w:val="28"/>
          <w:szCs w:val="28"/>
          <w:u w:val="single"/>
        </w:rPr>
        <w:t>)</w:t>
      </w:r>
    </w:p>
    <w:tbl>
      <w:tblPr>
        <w:tblStyle w:val="GridTable5DarkAccent6"/>
        <w:tblW w:w="8960" w:type="dxa"/>
        <w:tblLook w:val="04A0" w:firstRow="1" w:lastRow="0" w:firstColumn="1" w:lastColumn="0" w:noHBand="0" w:noVBand="1"/>
      </w:tblPr>
      <w:tblGrid>
        <w:gridCol w:w="4092"/>
        <w:gridCol w:w="1718"/>
        <w:gridCol w:w="1718"/>
        <w:gridCol w:w="1682"/>
      </w:tblGrid>
      <w:tr w:rsidR="00E956C2" w:rsidRPr="001B159C" w14:paraId="6A216416" w14:textId="77777777" w:rsidTr="0036570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60" w:type="dxa"/>
            <w:gridSpan w:val="4"/>
            <w:noWrap/>
            <w:hideMark/>
          </w:tcPr>
          <w:p w14:paraId="5C41FA04" w14:textId="77777777" w:rsidR="00E956C2" w:rsidRPr="001B159C" w:rsidRDefault="00E956C2" w:rsidP="0036570C">
            <w:pPr>
              <w:jc w:val="center"/>
              <w:rPr>
                <w:rFonts w:ascii="Times New Roman" w:eastAsia="Times New Roman" w:hAnsi="Times New Roman" w:cs="Times New Roman"/>
                <w:color w:val="000000"/>
              </w:rPr>
            </w:pPr>
            <w:r w:rsidRPr="001B159C">
              <w:rPr>
                <w:rFonts w:ascii="Times New Roman" w:eastAsia="Times New Roman" w:hAnsi="Times New Roman" w:cs="Times New Roman"/>
                <w:color w:val="000000"/>
              </w:rPr>
              <w:t>Industry or Cross-Sectional Analysis 2019</w:t>
            </w:r>
          </w:p>
        </w:tc>
      </w:tr>
      <w:tr w:rsidR="00E956C2" w:rsidRPr="001B159C" w14:paraId="6D3679DB" w14:textId="77777777" w:rsidTr="0036570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92" w:type="dxa"/>
            <w:noWrap/>
            <w:hideMark/>
          </w:tcPr>
          <w:p w14:paraId="1E098AC4" w14:textId="77777777" w:rsidR="00E956C2" w:rsidRPr="001B159C" w:rsidRDefault="00E956C2" w:rsidP="0036570C">
            <w:pPr>
              <w:jc w:val="center"/>
              <w:rPr>
                <w:rFonts w:ascii="Times New Roman" w:eastAsia="Times New Roman" w:hAnsi="Times New Roman" w:cs="Times New Roman"/>
                <w:color w:val="000000"/>
              </w:rPr>
            </w:pPr>
            <w:r w:rsidRPr="001B159C">
              <w:rPr>
                <w:rFonts w:ascii="Times New Roman" w:eastAsia="Times New Roman" w:hAnsi="Times New Roman" w:cs="Times New Roman"/>
                <w:color w:val="000000"/>
              </w:rPr>
              <w:t>Details</w:t>
            </w:r>
          </w:p>
        </w:tc>
        <w:tc>
          <w:tcPr>
            <w:tcW w:w="1563" w:type="dxa"/>
            <w:noWrap/>
            <w:hideMark/>
          </w:tcPr>
          <w:p w14:paraId="6F1D54D2" w14:textId="77777777" w:rsidR="00E956C2" w:rsidRPr="001B159C" w:rsidRDefault="00E956C2" w:rsidP="003657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1B159C">
              <w:rPr>
                <w:rFonts w:ascii="Times New Roman" w:eastAsia="Times New Roman" w:hAnsi="Times New Roman" w:cs="Times New Roman"/>
                <w:b/>
                <w:bCs/>
                <w:color w:val="000000"/>
              </w:rPr>
              <w:t xml:space="preserve">City Bank </w:t>
            </w:r>
          </w:p>
        </w:tc>
        <w:tc>
          <w:tcPr>
            <w:tcW w:w="1623" w:type="dxa"/>
            <w:noWrap/>
            <w:hideMark/>
          </w:tcPr>
          <w:p w14:paraId="534BF167" w14:textId="77777777" w:rsidR="00E956C2" w:rsidRPr="001B159C" w:rsidRDefault="00E956C2" w:rsidP="003657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1B159C">
              <w:rPr>
                <w:rFonts w:ascii="Times New Roman" w:eastAsia="Times New Roman" w:hAnsi="Times New Roman" w:cs="Times New Roman"/>
                <w:b/>
                <w:bCs/>
                <w:color w:val="000000"/>
              </w:rPr>
              <w:t>Industry Average</w:t>
            </w:r>
          </w:p>
        </w:tc>
        <w:tc>
          <w:tcPr>
            <w:tcW w:w="1682" w:type="dxa"/>
            <w:noWrap/>
            <w:hideMark/>
          </w:tcPr>
          <w:p w14:paraId="2378D2AA" w14:textId="77777777" w:rsidR="00E956C2" w:rsidRPr="001B159C" w:rsidRDefault="00E956C2" w:rsidP="003657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rPr>
            </w:pPr>
            <w:r w:rsidRPr="001B159C">
              <w:rPr>
                <w:rFonts w:ascii="Times New Roman" w:eastAsia="Times New Roman" w:hAnsi="Times New Roman" w:cs="Times New Roman"/>
                <w:b/>
                <w:bCs/>
                <w:color w:val="000000"/>
              </w:rPr>
              <w:t>City Bank's Status</w:t>
            </w:r>
          </w:p>
        </w:tc>
      </w:tr>
      <w:tr w:rsidR="00E956C2" w:rsidRPr="001B159C" w14:paraId="2867E8FC" w14:textId="77777777" w:rsidTr="0036570C">
        <w:trPr>
          <w:trHeight w:val="300"/>
        </w:trPr>
        <w:tc>
          <w:tcPr>
            <w:cnfStyle w:val="001000000000" w:firstRow="0" w:lastRow="0" w:firstColumn="1" w:lastColumn="0" w:oddVBand="0" w:evenVBand="0" w:oddHBand="0" w:evenHBand="0" w:firstRowFirstColumn="0" w:firstRowLastColumn="0" w:lastRowFirstColumn="0" w:lastRowLastColumn="0"/>
            <w:tcW w:w="4092" w:type="dxa"/>
            <w:noWrap/>
            <w:hideMark/>
          </w:tcPr>
          <w:p w14:paraId="5DEDA5F1" w14:textId="77777777" w:rsidR="00E956C2" w:rsidRPr="004620AB" w:rsidRDefault="00E956C2" w:rsidP="0036570C">
            <w:pPr>
              <w:rPr>
                <w:rFonts w:ascii="Times New Roman" w:eastAsia="Times New Roman" w:hAnsi="Times New Roman" w:cs="Times New Roman"/>
                <w:color w:val="000000"/>
              </w:rPr>
            </w:pPr>
            <w:r w:rsidRPr="004620AB">
              <w:rPr>
                <w:rFonts w:ascii="Times New Roman" w:eastAsia="Times New Roman" w:hAnsi="Times New Roman" w:cs="Times New Roman"/>
                <w:color w:val="000000"/>
              </w:rPr>
              <w:t>Balance Sheet Components:</w:t>
            </w:r>
          </w:p>
        </w:tc>
        <w:tc>
          <w:tcPr>
            <w:tcW w:w="1563" w:type="dxa"/>
            <w:noWrap/>
            <w:hideMark/>
          </w:tcPr>
          <w:p w14:paraId="0103F13C" w14:textId="77777777" w:rsidR="00E956C2" w:rsidRPr="001B159C" w:rsidRDefault="00E956C2" w:rsidP="003657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 </w:t>
            </w:r>
          </w:p>
        </w:tc>
        <w:tc>
          <w:tcPr>
            <w:tcW w:w="1623" w:type="dxa"/>
            <w:noWrap/>
            <w:hideMark/>
          </w:tcPr>
          <w:p w14:paraId="0F4A46BE" w14:textId="77777777" w:rsidR="00E956C2" w:rsidRPr="001B159C" w:rsidRDefault="00E956C2" w:rsidP="003657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 </w:t>
            </w:r>
          </w:p>
        </w:tc>
        <w:tc>
          <w:tcPr>
            <w:tcW w:w="1682" w:type="dxa"/>
            <w:noWrap/>
            <w:hideMark/>
          </w:tcPr>
          <w:p w14:paraId="2F88A67D" w14:textId="77777777" w:rsidR="00E956C2" w:rsidRPr="001B159C" w:rsidRDefault="00E956C2" w:rsidP="003657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 </w:t>
            </w:r>
          </w:p>
        </w:tc>
      </w:tr>
      <w:tr w:rsidR="00E956C2" w:rsidRPr="001B159C" w14:paraId="1F9EA18C"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3561C608" w14:textId="77777777" w:rsidR="00E956C2" w:rsidRPr="004620AB" w:rsidRDefault="00E956C2" w:rsidP="0036570C">
            <w:pPr>
              <w:rPr>
                <w:rFonts w:ascii="Times New Roman" w:eastAsia="Times New Roman" w:hAnsi="Times New Roman" w:cs="Times New Roman"/>
                <w:b w:val="0"/>
                <w:bCs w:val="0"/>
                <w:sz w:val="24"/>
                <w:szCs w:val="24"/>
              </w:rPr>
            </w:pPr>
            <w:r w:rsidRPr="004620AB">
              <w:rPr>
                <w:rFonts w:ascii="Times New Roman" w:eastAsia="Times New Roman" w:hAnsi="Times New Roman" w:cs="Times New Roman"/>
                <w:b w:val="0"/>
                <w:bCs w:val="0"/>
                <w:color w:val="000000" w:themeColor="text1"/>
                <w:sz w:val="24"/>
                <w:szCs w:val="24"/>
              </w:rPr>
              <w:t>Total Cash</w:t>
            </w:r>
          </w:p>
        </w:tc>
        <w:tc>
          <w:tcPr>
            <w:tcW w:w="1563" w:type="dxa"/>
            <w:noWrap/>
            <w:hideMark/>
          </w:tcPr>
          <w:p w14:paraId="02F6DEC3"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1B159C">
              <w:rPr>
                <w:rFonts w:ascii="Times New Roman" w:eastAsia="Times New Roman" w:hAnsi="Times New Roman" w:cs="Times New Roman"/>
              </w:rPr>
              <w:t>25,906,831,013</w:t>
            </w:r>
          </w:p>
        </w:tc>
        <w:tc>
          <w:tcPr>
            <w:tcW w:w="1623" w:type="dxa"/>
            <w:noWrap/>
            <w:hideMark/>
          </w:tcPr>
          <w:p w14:paraId="53CCA366"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24079562924</w:t>
            </w:r>
          </w:p>
        </w:tc>
        <w:tc>
          <w:tcPr>
            <w:tcW w:w="1682" w:type="dxa"/>
            <w:noWrap/>
            <w:hideMark/>
          </w:tcPr>
          <w:p w14:paraId="6CA5619C"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28F76BCC"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23A845B6"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Balance with other Banks and FIs</w:t>
            </w:r>
          </w:p>
        </w:tc>
        <w:tc>
          <w:tcPr>
            <w:tcW w:w="1563" w:type="dxa"/>
            <w:noWrap/>
            <w:hideMark/>
          </w:tcPr>
          <w:p w14:paraId="09872665"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23036295521</w:t>
            </w:r>
          </w:p>
        </w:tc>
        <w:tc>
          <w:tcPr>
            <w:tcW w:w="1623" w:type="dxa"/>
            <w:noWrap/>
            <w:hideMark/>
          </w:tcPr>
          <w:p w14:paraId="20D8AAEA"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11919070764</w:t>
            </w:r>
          </w:p>
        </w:tc>
        <w:tc>
          <w:tcPr>
            <w:tcW w:w="1682" w:type="dxa"/>
            <w:noWrap/>
            <w:hideMark/>
          </w:tcPr>
          <w:p w14:paraId="33218BA8"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4261B503"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36EF3AB1"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Investments</w:t>
            </w:r>
          </w:p>
        </w:tc>
        <w:tc>
          <w:tcPr>
            <w:tcW w:w="1563" w:type="dxa"/>
            <w:noWrap/>
            <w:hideMark/>
          </w:tcPr>
          <w:p w14:paraId="12AB5A04"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39451504628</w:t>
            </w:r>
          </w:p>
        </w:tc>
        <w:tc>
          <w:tcPr>
            <w:tcW w:w="1623" w:type="dxa"/>
            <w:noWrap/>
            <w:hideMark/>
          </w:tcPr>
          <w:p w14:paraId="52A90A64"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43681876155</w:t>
            </w:r>
          </w:p>
        </w:tc>
        <w:tc>
          <w:tcPr>
            <w:tcW w:w="1682" w:type="dxa"/>
            <w:noWrap/>
            <w:hideMark/>
          </w:tcPr>
          <w:p w14:paraId="3A008E59"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Below Average</w:t>
            </w:r>
          </w:p>
        </w:tc>
      </w:tr>
      <w:tr w:rsidR="00E956C2" w:rsidRPr="001B159C" w14:paraId="39D6E251"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396A1546"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Government Investments</w:t>
            </w:r>
          </w:p>
        </w:tc>
        <w:tc>
          <w:tcPr>
            <w:tcW w:w="1563" w:type="dxa"/>
            <w:noWrap/>
            <w:hideMark/>
          </w:tcPr>
          <w:p w14:paraId="35BEE876"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36085210195</w:t>
            </w:r>
          </w:p>
        </w:tc>
        <w:tc>
          <w:tcPr>
            <w:tcW w:w="1623" w:type="dxa"/>
            <w:noWrap/>
            <w:hideMark/>
          </w:tcPr>
          <w:p w14:paraId="77E8BC06"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37024482709</w:t>
            </w:r>
          </w:p>
        </w:tc>
        <w:tc>
          <w:tcPr>
            <w:tcW w:w="1682" w:type="dxa"/>
            <w:noWrap/>
            <w:hideMark/>
          </w:tcPr>
          <w:p w14:paraId="3682251F"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Below Average</w:t>
            </w:r>
          </w:p>
        </w:tc>
      </w:tr>
      <w:tr w:rsidR="00E956C2" w:rsidRPr="001B159C" w14:paraId="03D73E4B"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03B4FEEB"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Loans and advances</w:t>
            </w:r>
          </w:p>
        </w:tc>
        <w:tc>
          <w:tcPr>
            <w:tcW w:w="1563" w:type="dxa"/>
            <w:noWrap/>
            <w:hideMark/>
          </w:tcPr>
          <w:p w14:paraId="51A42768"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246943650723</w:t>
            </w:r>
          </w:p>
        </w:tc>
        <w:tc>
          <w:tcPr>
            <w:tcW w:w="1623" w:type="dxa"/>
            <w:noWrap/>
            <w:hideMark/>
          </w:tcPr>
          <w:p w14:paraId="218896CD"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264384047675</w:t>
            </w:r>
          </w:p>
        </w:tc>
        <w:tc>
          <w:tcPr>
            <w:tcW w:w="1682" w:type="dxa"/>
            <w:noWrap/>
            <w:hideMark/>
          </w:tcPr>
          <w:p w14:paraId="100DFE08"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Below Average</w:t>
            </w:r>
          </w:p>
        </w:tc>
      </w:tr>
      <w:tr w:rsidR="00E956C2" w:rsidRPr="001B159C" w14:paraId="143C7A60"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737D7E5D"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Fixed Assets including premises</w:t>
            </w:r>
          </w:p>
        </w:tc>
        <w:tc>
          <w:tcPr>
            <w:tcW w:w="1563" w:type="dxa"/>
            <w:noWrap/>
            <w:hideMark/>
          </w:tcPr>
          <w:p w14:paraId="30659BB0"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5675246085</w:t>
            </w:r>
          </w:p>
        </w:tc>
        <w:tc>
          <w:tcPr>
            <w:tcW w:w="1623" w:type="dxa"/>
            <w:noWrap/>
            <w:hideMark/>
          </w:tcPr>
          <w:p w14:paraId="451289FA"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5615312328</w:t>
            </w:r>
          </w:p>
        </w:tc>
        <w:tc>
          <w:tcPr>
            <w:tcW w:w="1682" w:type="dxa"/>
            <w:noWrap/>
            <w:hideMark/>
          </w:tcPr>
          <w:p w14:paraId="734409E5"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36C674DF"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6F2F62CE"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assets</w:t>
            </w:r>
          </w:p>
        </w:tc>
        <w:tc>
          <w:tcPr>
            <w:tcW w:w="1563" w:type="dxa"/>
            <w:noWrap/>
            <w:hideMark/>
          </w:tcPr>
          <w:p w14:paraId="07EE5FF1"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354688987338</w:t>
            </w:r>
          </w:p>
        </w:tc>
        <w:tc>
          <w:tcPr>
            <w:tcW w:w="1623" w:type="dxa"/>
            <w:noWrap/>
            <w:hideMark/>
          </w:tcPr>
          <w:p w14:paraId="5EE351A1"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365246675399</w:t>
            </w:r>
          </w:p>
        </w:tc>
        <w:tc>
          <w:tcPr>
            <w:tcW w:w="1682" w:type="dxa"/>
            <w:noWrap/>
            <w:hideMark/>
          </w:tcPr>
          <w:p w14:paraId="51BF665A"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Below Average</w:t>
            </w:r>
          </w:p>
        </w:tc>
      </w:tr>
      <w:tr w:rsidR="00E956C2" w:rsidRPr="001B159C" w14:paraId="7855077A"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767E513F"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Deposits</w:t>
            </w:r>
          </w:p>
        </w:tc>
        <w:tc>
          <w:tcPr>
            <w:tcW w:w="1563" w:type="dxa"/>
            <w:noWrap/>
            <w:hideMark/>
          </w:tcPr>
          <w:p w14:paraId="66FFCD9A"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246703665442</w:t>
            </w:r>
          </w:p>
        </w:tc>
        <w:tc>
          <w:tcPr>
            <w:tcW w:w="1623" w:type="dxa"/>
            <w:noWrap/>
            <w:hideMark/>
          </w:tcPr>
          <w:p w14:paraId="7E7F868D"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1B159C">
              <w:rPr>
                <w:rFonts w:ascii="Arial" w:eastAsia="Times New Roman" w:hAnsi="Arial" w:cs="Arial"/>
                <w:color w:val="000000"/>
                <w:sz w:val="20"/>
                <w:szCs w:val="20"/>
              </w:rPr>
              <w:t>284,892,046,830</w:t>
            </w:r>
          </w:p>
        </w:tc>
        <w:tc>
          <w:tcPr>
            <w:tcW w:w="1682" w:type="dxa"/>
            <w:noWrap/>
            <w:hideMark/>
          </w:tcPr>
          <w:p w14:paraId="7D59C7DB"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Below Average</w:t>
            </w:r>
          </w:p>
        </w:tc>
      </w:tr>
      <w:tr w:rsidR="00E956C2" w:rsidRPr="001B159C" w14:paraId="7B922190"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710CDB50"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TD/Fixed Deposits</w:t>
            </w:r>
          </w:p>
        </w:tc>
        <w:tc>
          <w:tcPr>
            <w:tcW w:w="1563" w:type="dxa"/>
            <w:noWrap/>
            <w:hideMark/>
          </w:tcPr>
          <w:p w14:paraId="15467FFB"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157661889059</w:t>
            </w:r>
          </w:p>
        </w:tc>
        <w:tc>
          <w:tcPr>
            <w:tcW w:w="1623" w:type="dxa"/>
            <w:noWrap/>
            <w:hideMark/>
          </w:tcPr>
          <w:p w14:paraId="4CA873A9"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rPr>
            </w:pPr>
            <w:r w:rsidRPr="001B159C">
              <w:rPr>
                <w:rFonts w:ascii="Arial" w:eastAsia="Times New Roman" w:hAnsi="Arial" w:cs="Arial"/>
                <w:color w:val="000000"/>
                <w:sz w:val="20"/>
                <w:szCs w:val="20"/>
              </w:rPr>
              <w:t>158,640,913,962</w:t>
            </w:r>
          </w:p>
        </w:tc>
        <w:tc>
          <w:tcPr>
            <w:tcW w:w="1682" w:type="dxa"/>
            <w:noWrap/>
            <w:hideMark/>
          </w:tcPr>
          <w:p w14:paraId="7569EC10"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Below Average</w:t>
            </w:r>
          </w:p>
        </w:tc>
      </w:tr>
      <w:tr w:rsidR="00E956C2" w:rsidRPr="001B159C" w14:paraId="0EDFF8EB"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301E85FA"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Total shareholders' equity</w:t>
            </w:r>
          </w:p>
        </w:tc>
        <w:tc>
          <w:tcPr>
            <w:tcW w:w="1563" w:type="dxa"/>
            <w:noWrap/>
            <w:hideMark/>
          </w:tcPr>
          <w:p w14:paraId="1E069A9E"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25415636375</w:t>
            </w:r>
          </w:p>
        </w:tc>
        <w:tc>
          <w:tcPr>
            <w:tcW w:w="1623" w:type="dxa"/>
            <w:noWrap/>
            <w:hideMark/>
          </w:tcPr>
          <w:p w14:paraId="7E666E38"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24520930662</w:t>
            </w:r>
          </w:p>
        </w:tc>
        <w:tc>
          <w:tcPr>
            <w:tcW w:w="1682" w:type="dxa"/>
            <w:noWrap/>
            <w:hideMark/>
          </w:tcPr>
          <w:p w14:paraId="3A9F5DD8"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69A7E9B1"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415D13DB"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Balance Sheet Size</w:t>
            </w:r>
          </w:p>
        </w:tc>
        <w:tc>
          <w:tcPr>
            <w:tcW w:w="1563" w:type="dxa"/>
            <w:noWrap/>
            <w:hideMark/>
          </w:tcPr>
          <w:p w14:paraId="2ACF9326"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354688987338</w:t>
            </w:r>
          </w:p>
        </w:tc>
        <w:tc>
          <w:tcPr>
            <w:tcW w:w="1623" w:type="dxa"/>
            <w:noWrap/>
            <w:hideMark/>
          </w:tcPr>
          <w:p w14:paraId="784CE36E"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365246675399</w:t>
            </w:r>
          </w:p>
        </w:tc>
        <w:tc>
          <w:tcPr>
            <w:tcW w:w="1682" w:type="dxa"/>
            <w:noWrap/>
            <w:hideMark/>
          </w:tcPr>
          <w:p w14:paraId="38BDEFDE"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Below Average</w:t>
            </w:r>
          </w:p>
        </w:tc>
      </w:tr>
      <w:tr w:rsidR="00E956C2" w:rsidRPr="001B159C" w14:paraId="79992374"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69BD2788"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 xml:space="preserve">Total off-balance sheet items </w:t>
            </w:r>
          </w:p>
        </w:tc>
        <w:tc>
          <w:tcPr>
            <w:tcW w:w="1563" w:type="dxa"/>
            <w:noWrap/>
            <w:hideMark/>
          </w:tcPr>
          <w:p w14:paraId="18A26C64"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118329361424</w:t>
            </w:r>
          </w:p>
        </w:tc>
        <w:tc>
          <w:tcPr>
            <w:tcW w:w="1623" w:type="dxa"/>
            <w:noWrap/>
            <w:hideMark/>
          </w:tcPr>
          <w:p w14:paraId="2A2505F5"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95166095239</w:t>
            </w:r>
          </w:p>
        </w:tc>
        <w:tc>
          <w:tcPr>
            <w:tcW w:w="1682" w:type="dxa"/>
            <w:noWrap/>
            <w:hideMark/>
          </w:tcPr>
          <w:p w14:paraId="6962425F"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73D99DF7"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02F21D65" w14:textId="77777777" w:rsidR="00E956C2" w:rsidRPr="004620AB" w:rsidRDefault="00E956C2" w:rsidP="0036570C">
            <w:pPr>
              <w:rPr>
                <w:rFonts w:ascii="Times New Roman" w:eastAsia="Times New Roman" w:hAnsi="Times New Roman" w:cs="Times New Roman"/>
                <w:color w:val="000000" w:themeColor="text1"/>
                <w:sz w:val="24"/>
                <w:szCs w:val="24"/>
              </w:rPr>
            </w:pPr>
            <w:r w:rsidRPr="004620AB">
              <w:rPr>
                <w:rFonts w:ascii="Times New Roman" w:eastAsia="Times New Roman" w:hAnsi="Times New Roman" w:cs="Times New Roman"/>
                <w:color w:val="000000" w:themeColor="text1"/>
                <w:sz w:val="24"/>
                <w:szCs w:val="24"/>
              </w:rPr>
              <w:t>Income Statement Components:</w:t>
            </w:r>
          </w:p>
        </w:tc>
        <w:tc>
          <w:tcPr>
            <w:tcW w:w="1563" w:type="dxa"/>
            <w:noWrap/>
            <w:hideMark/>
          </w:tcPr>
          <w:p w14:paraId="1D5E4FBC"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 </w:t>
            </w:r>
          </w:p>
        </w:tc>
        <w:tc>
          <w:tcPr>
            <w:tcW w:w="1623" w:type="dxa"/>
            <w:noWrap/>
            <w:hideMark/>
          </w:tcPr>
          <w:p w14:paraId="4625A0F0"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 </w:t>
            </w:r>
          </w:p>
        </w:tc>
        <w:tc>
          <w:tcPr>
            <w:tcW w:w="1682" w:type="dxa"/>
            <w:noWrap/>
            <w:hideMark/>
          </w:tcPr>
          <w:p w14:paraId="2C9BE62A"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 </w:t>
            </w:r>
          </w:p>
        </w:tc>
      </w:tr>
      <w:tr w:rsidR="00E956C2" w:rsidRPr="001B159C" w14:paraId="3F0BD56D"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7E8DFC38" w14:textId="77777777" w:rsidR="00E956C2" w:rsidRPr="004620AB" w:rsidRDefault="00E956C2" w:rsidP="0036570C">
            <w:pPr>
              <w:rPr>
                <w:rFonts w:ascii="Times New Roman" w:eastAsia="Times New Roman" w:hAnsi="Times New Roman" w:cs="Times New Roman"/>
                <w:b w:val="0"/>
                <w:bCs w:val="0"/>
                <w:color w:val="000000" w:themeColor="text1"/>
                <w:sz w:val="24"/>
                <w:szCs w:val="24"/>
              </w:rPr>
            </w:pPr>
            <w:r w:rsidRPr="004620AB">
              <w:rPr>
                <w:rFonts w:ascii="Times New Roman" w:eastAsia="Times New Roman" w:hAnsi="Times New Roman" w:cs="Times New Roman"/>
                <w:b w:val="0"/>
                <w:bCs w:val="0"/>
                <w:color w:val="000000" w:themeColor="text1"/>
                <w:sz w:val="24"/>
                <w:szCs w:val="24"/>
              </w:rPr>
              <w:t>Net Interest Income</w:t>
            </w:r>
          </w:p>
        </w:tc>
        <w:tc>
          <w:tcPr>
            <w:tcW w:w="1563" w:type="dxa"/>
            <w:noWrap/>
            <w:hideMark/>
          </w:tcPr>
          <w:p w14:paraId="2811FB56"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10832003167</w:t>
            </w:r>
          </w:p>
        </w:tc>
        <w:tc>
          <w:tcPr>
            <w:tcW w:w="1623" w:type="dxa"/>
            <w:noWrap/>
            <w:hideMark/>
          </w:tcPr>
          <w:p w14:paraId="54E3E9FB"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8865955930</w:t>
            </w:r>
          </w:p>
        </w:tc>
        <w:tc>
          <w:tcPr>
            <w:tcW w:w="1682" w:type="dxa"/>
            <w:noWrap/>
            <w:hideMark/>
          </w:tcPr>
          <w:p w14:paraId="469436EC"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584BDC06"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44077A55"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Total Operating Income</w:t>
            </w:r>
          </w:p>
        </w:tc>
        <w:tc>
          <w:tcPr>
            <w:tcW w:w="1563" w:type="dxa"/>
            <w:noWrap/>
            <w:hideMark/>
          </w:tcPr>
          <w:p w14:paraId="6DECF082"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18284712150</w:t>
            </w:r>
          </w:p>
        </w:tc>
        <w:tc>
          <w:tcPr>
            <w:tcW w:w="1623" w:type="dxa"/>
            <w:noWrap/>
            <w:hideMark/>
          </w:tcPr>
          <w:p w14:paraId="35D39F11"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14978575417</w:t>
            </w:r>
          </w:p>
        </w:tc>
        <w:tc>
          <w:tcPr>
            <w:tcW w:w="1682" w:type="dxa"/>
            <w:noWrap/>
            <w:hideMark/>
          </w:tcPr>
          <w:p w14:paraId="128A2220"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00461B60"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7144A712"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Total Operating Expenses</w:t>
            </w:r>
          </w:p>
        </w:tc>
        <w:tc>
          <w:tcPr>
            <w:tcW w:w="1563" w:type="dxa"/>
            <w:noWrap/>
            <w:hideMark/>
          </w:tcPr>
          <w:p w14:paraId="71CA5605"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9997560162</w:t>
            </w:r>
          </w:p>
        </w:tc>
        <w:tc>
          <w:tcPr>
            <w:tcW w:w="1623" w:type="dxa"/>
            <w:noWrap/>
            <w:hideMark/>
          </w:tcPr>
          <w:p w14:paraId="7A530103"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14978575417</w:t>
            </w:r>
          </w:p>
        </w:tc>
        <w:tc>
          <w:tcPr>
            <w:tcW w:w="1682" w:type="dxa"/>
            <w:noWrap/>
            <w:hideMark/>
          </w:tcPr>
          <w:p w14:paraId="5D5AD264"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Below Average</w:t>
            </w:r>
          </w:p>
        </w:tc>
      </w:tr>
      <w:tr w:rsidR="00E956C2" w:rsidRPr="001B159C" w14:paraId="016001D0"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1C94EB93"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Total Provision</w:t>
            </w:r>
          </w:p>
        </w:tc>
        <w:tc>
          <w:tcPr>
            <w:tcW w:w="1563" w:type="dxa"/>
            <w:noWrap/>
            <w:hideMark/>
          </w:tcPr>
          <w:p w14:paraId="181E14A3"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(2,555,791,031)</w:t>
            </w:r>
          </w:p>
        </w:tc>
        <w:tc>
          <w:tcPr>
            <w:tcW w:w="1623" w:type="dxa"/>
            <w:noWrap/>
            <w:hideMark/>
          </w:tcPr>
          <w:p w14:paraId="550A75D9"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2605451340</w:t>
            </w:r>
          </w:p>
        </w:tc>
        <w:tc>
          <w:tcPr>
            <w:tcW w:w="1682" w:type="dxa"/>
            <w:noWrap/>
            <w:hideMark/>
          </w:tcPr>
          <w:p w14:paraId="0D57EE5C"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Below Average</w:t>
            </w:r>
          </w:p>
        </w:tc>
      </w:tr>
      <w:tr w:rsidR="00E956C2" w:rsidRPr="001B159C" w14:paraId="47780796"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5B32397D"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Total Provision for Tax</w:t>
            </w:r>
          </w:p>
        </w:tc>
        <w:tc>
          <w:tcPr>
            <w:tcW w:w="1563" w:type="dxa"/>
            <w:noWrap/>
            <w:hideMark/>
          </w:tcPr>
          <w:p w14:paraId="30D461B4"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-3259720999</w:t>
            </w:r>
          </w:p>
        </w:tc>
        <w:tc>
          <w:tcPr>
            <w:tcW w:w="1623" w:type="dxa"/>
            <w:noWrap/>
            <w:hideMark/>
          </w:tcPr>
          <w:p w14:paraId="5EB50DE8"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2090478023</w:t>
            </w:r>
          </w:p>
        </w:tc>
        <w:tc>
          <w:tcPr>
            <w:tcW w:w="1682" w:type="dxa"/>
            <w:noWrap/>
            <w:hideMark/>
          </w:tcPr>
          <w:p w14:paraId="62E35D1D"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Below Average</w:t>
            </w:r>
          </w:p>
        </w:tc>
      </w:tr>
      <w:tr w:rsidR="00E956C2" w:rsidRPr="001B159C" w14:paraId="7866C6A0"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62C7EE77"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Net Profit After Tax</w:t>
            </w:r>
          </w:p>
        </w:tc>
        <w:tc>
          <w:tcPr>
            <w:tcW w:w="1563" w:type="dxa"/>
            <w:noWrap/>
            <w:hideMark/>
          </w:tcPr>
          <w:p w14:paraId="2B14376E"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2471639958</w:t>
            </w:r>
          </w:p>
        </w:tc>
        <w:tc>
          <w:tcPr>
            <w:tcW w:w="1623" w:type="dxa"/>
            <w:noWrap/>
            <w:hideMark/>
          </w:tcPr>
          <w:p w14:paraId="419F3587"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2501058576</w:t>
            </w:r>
          </w:p>
        </w:tc>
        <w:tc>
          <w:tcPr>
            <w:tcW w:w="1682" w:type="dxa"/>
            <w:noWrap/>
            <w:hideMark/>
          </w:tcPr>
          <w:p w14:paraId="13D54939"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Below Average</w:t>
            </w:r>
          </w:p>
        </w:tc>
      </w:tr>
      <w:tr w:rsidR="00E956C2" w:rsidRPr="001B159C" w14:paraId="67273136"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19DEEDCD" w14:textId="77777777" w:rsidR="00E956C2" w:rsidRPr="004620AB" w:rsidRDefault="00E956C2" w:rsidP="0036570C">
            <w:pPr>
              <w:rPr>
                <w:rFonts w:ascii="Times New Roman" w:eastAsia="Times New Roman" w:hAnsi="Times New Roman" w:cs="Times New Roman"/>
                <w:color w:val="000000"/>
                <w:sz w:val="24"/>
                <w:szCs w:val="24"/>
              </w:rPr>
            </w:pPr>
            <w:r w:rsidRPr="004620AB">
              <w:rPr>
                <w:rFonts w:ascii="Times New Roman" w:eastAsia="Times New Roman" w:hAnsi="Times New Roman" w:cs="Times New Roman"/>
                <w:color w:val="000000"/>
                <w:sz w:val="24"/>
                <w:szCs w:val="24"/>
              </w:rPr>
              <w:t>Notes:</w:t>
            </w:r>
          </w:p>
        </w:tc>
        <w:tc>
          <w:tcPr>
            <w:tcW w:w="1563" w:type="dxa"/>
            <w:noWrap/>
            <w:hideMark/>
          </w:tcPr>
          <w:p w14:paraId="185586C0"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 </w:t>
            </w:r>
          </w:p>
        </w:tc>
        <w:tc>
          <w:tcPr>
            <w:tcW w:w="1623" w:type="dxa"/>
            <w:noWrap/>
            <w:hideMark/>
          </w:tcPr>
          <w:p w14:paraId="241F2CD9"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 </w:t>
            </w:r>
          </w:p>
        </w:tc>
        <w:tc>
          <w:tcPr>
            <w:tcW w:w="1682" w:type="dxa"/>
            <w:noWrap/>
            <w:hideMark/>
          </w:tcPr>
          <w:p w14:paraId="5B08440B"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 </w:t>
            </w:r>
          </w:p>
        </w:tc>
      </w:tr>
      <w:tr w:rsidR="00E956C2" w:rsidRPr="001B159C" w14:paraId="5230F465"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6597CEF0"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Cash Reserve Ratio (CRR)- Surplus</w:t>
            </w:r>
          </w:p>
        </w:tc>
        <w:tc>
          <w:tcPr>
            <w:tcW w:w="1563" w:type="dxa"/>
            <w:noWrap/>
            <w:hideMark/>
          </w:tcPr>
          <w:p w14:paraId="0BEAC3BA"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3232661107</w:t>
            </w:r>
          </w:p>
        </w:tc>
        <w:tc>
          <w:tcPr>
            <w:tcW w:w="1623" w:type="dxa"/>
            <w:noWrap/>
            <w:hideMark/>
          </w:tcPr>
          <w:p w14:paraId="486377AF"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2550844154</w:t>
            </w:r>
          </w:p>
        </w:tc>
        <w:tc>
          <w:tcPr>
            <w:tcW w:w="1682" w:type="dxa"/>
            <w:noWrap/>
            <w:hideMark/>
          </w:tcPr>
          <w:p w14:paraId="2AF3487F"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46F68478"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3B1CB2BD"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Statutory Liquidity Ratio (SLR)- Surplus</w:t>
            </w:r>
          </w:p>
        </w:tc>
        <w:tc>
          <w:tcPr>
            <w:tcW w:w="1563" w:type="dxa"/>
            <w:noWrap/>
            <w:hideMark/>
          </w:tcPr>
          <w:p w14:paraId="5701D3A7"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11722280056</w:t>
            </w:r>
          </w:p>
        </w:tc>
        <w:tc>
          <w:tcPr>
            <w:tcW w:w="1623" w:type="dxa"/>
            <w:noWrap/>
            <w:hideMark/>
          </w:tcPr>
          <w:p w14:paraId="7C218315"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13702897780</w:t>
            </w:r>
          </w:p>
        </w:tc>
        <w:tc>
          <w:tcPr>
            <w:tcW w:w="1682" w:type="dxa"/>
            <w:noWrap/>
            <w:hideMark/>
          </w:tcPr>
          <w:p w14:paraId="2CAEBF88"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Below Average</w:t>
            </w:r>
          </w:p>
        </w:tc>
      </w:tr>
      <w:tr w:rsidR="00E956C2" w:rsidRPr="001B159C" w14:paraId="5E913B67"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7A44D50B"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Capital Adequacy Ratio</w:t>
            </w:r>
          </w:p>
        </w:tc>
        <w:tc>
          <w:tcPr>
            <w:tcW w:w="1563" w:type="dxa"/>
            <w:noWrap/>
            <w:hideMark/>
          </w:tcPr>
          <w:p w14:paraId="3DAE04F3"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15.16%</w:t>
            </w:r>
          </w:p>
        </w:tc>
        <w:tc>
          <w:tcPr>
            <w:tcW w:w="1623" w:type="dxa"/>
            <w:noWrap/>
            <w:hideMark/>
          </w:tcPr>
          <w:p w14:paraId="5800C527"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13.84%</w:t>
            </w:r>
          </w:p>
        </w:tc>
        <w:tc>
          <w:tcPr>
            <w:tcW w:w="1682" w:type="dxa"/>
            <w:noWrap/>
            <w:hideMark/>
          </w:tcPr>
          <w:p w14:paraId="30985212"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2C78127D"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04A0C779"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Total Risk-Weighted Assets</w:t>
            </w:r>
          </w:p>
        </w:tc>
        <w:tc>
          <w:tcPr>
            <w:tcW w:w="1563" w:type="dxa"/>
            <w:noWrap/>
            <w:hideMark/>
          </w:tcPr>
          <w:p w14:paraId="27111366"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rPr>
            </w:pPr>
            <w:r w:rsidRPr="001B159C">
              <w:rPr>
                <w:rFonts w:ascii="Arial" w:eastAsia="Times New Roman" w:hAnsi="Arial" w:cs="Arial"/>
                <w:color w:val="000000"/>
                <w:sz w:val="20"/>
                <w:szCs w:val="20"/>
              </w:rPr>
              <w:t>244,924,700,000</w:t>
            </w:r>
          </w:p>
        </w:tc>
        <w:tc>
          <w:tcPr>
            <w:tcW w:w="1623" w:type="dxa"/>
            <w:noWrap/>
            <w:hideMark/>
          </w:tcPr>
          <w:p w14:paraId="5521EA7F"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216241973847</w:t>
            </w:r>
          </w:p>
        </w:tc>
        <w:tc>
          <w:tcPr>
            <w:tcW w:w="1682" w:type="dxa"/>
            <w:noWrap/>
            <w:hideMark/>
          </w:tcPr>
          <w:p w14:paraId="112DFE0E"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1BA0A16A"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156A101E"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Interest Income</w:t>
            </w:r>
          </w:p>
        </w:tc>
        <w:tc>
          <w:tcPr>
            <w:tcW w:w="1563" w:type="dxa"/>
            <w:noWrap/>
            <w:hideMark/>
          </w:tcPr>
          <w:p w14:paraId="20F9060C"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26819239518</w:t>
            </w:r>
          </w:p>
        </w:tc>
        <w:tc>
          <w:tcPr>
            <w:tcW w:w="1623" w:type="dxa"/>
            <w:noWrap/>
            <w:hideMark/>
          </w:tcPr>
          <w:p w14:paraId="0C69C837"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26200303257</w:t>
            </w:r>
          </w:p>
        </w:tc>
        <w:tc>
          <w:tcPr>
            <w:tcW w:w="1682" w:type="dxa"/>
            <w:noWrap/>
            <w:hideMark/>
          </w:tcPr>
          <w:p w14:paraId="51328EE4"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5014A8C9"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7C5D1826"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Commission, Exchange and Brokerage</w:t>
            </w:r>
          </w:p>
        </w:tc>
        <w:tc>
          <w:tcPr>
            <w:tcW w:w="1563" w:type="dxa"/>
            <w:noWrap/>
            <w:hideMark/>
          </w:tcPr>
          <w:p w14:paraId="1A74764C"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3380963967</w:t>
            </w:r>
          </w:p>
        </w:tc>
        <w:tc>
          <w:tcPr>
            <w:tcW w:w="1623" w:type="dxa"/>
            <w:noWrap/>
            <w:hideMark/>
          </w:tcPr>
          <w:p w14:paraId="00EB0B45"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2470834011</w:t>
            </w:r>
          </w:p>
        </w:tc>
        <w:tc>
          <w:tcPr>
            <w:tcW w:w="1682" w:type="dxa"/>
            <w:noWrap/>
            <w:hideMark/>
          </w:tcPr>
          <w:p w14:paraId="541BF862"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4018BAE8"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439BFC83"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Other Operating Income</w:t>
            </w:r>
          </w:p>
        </w:tc>
        <w:tc>
          <w:tcPr>
            <w:tcW w:w="1563" w:type="dxa"/>
            <w:noWrap/>
            <w:hideMark/>
          </w:tcPr>
          <w:p w14:paraId="52331118"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1985585042</w:t>
            </w:r>
          </w:p>
        </w:tc>
        <w:tc>
          <w:tcPr>
            <w:tcW w:w="1623" w:type="dxa"/>
            <w:noWrap/>
            <w:hideMark/>
          </w:tcPr>
          <w:p w14:paraId="0C23A7F4"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939205130</w:t>
            </w:r>
          </w:p>
        </w:tc>
        <w:tc>
          <w:tcPr>
            <w:tcW w:w="1682" w:type="dxa"/>
            <w:noWrap/>
            <w:hideMark/>
          </w:tcPr>
          <w:p w14:paraId="4EEEF423"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5C750C86"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0FC7281B"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Salaries and Allowances</w:t>
            </w:r>
          </w:p>
        </w:tc>
        <w:tc>
          <w:tcPr>
            <w:tcW w:w="1563" w:type="dxa"/>
            <w:noWrap/>
            <w:hideMark/>
          </w:tcPr>
          <w:p w14:paraId="665A54C5"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5247455559</w:t>
            </w:r>
          </w:p>
        </w:tc>
        <w:tc>
          <w:tcPr>
            <w:tcW w:w="1623" w:type="dxa"/>
            <w:noWrap/>
            <w:hideMark/>
          </w:tcPr>
          <w:p w14:paraId="3272F5EA"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3990777211</w:t>
            </w:r>
          </w:p>
        </w:tc>
        <w:tc>
          <w:tcPr>
            <w:tcW w:w="1682" w:type="dxa"/>
            <w:noWrap/>
            <w:hideMark/>
          </w:tcPr>
          <w:p w14:paraId="7F50DE82"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39A9C4F2"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116E4EB8"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CEO's Salary</w:t>
            </w:r>
          </w:p>
        </w:tc>
        <w:tc>
          <w:tcPr>
            <w:tcW w:w="1563" w:type="dxa"/>
            <w:noWrap/>
            <w:hideMark/>
          </w:tcPr>
          <w:p w14:paraId="4FCE9ABF"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18960006</w:t>
            </w:r>
          </w:p>
        </w:tc>
        <w:tc>
          <w:tcPr>
            <w:tcW w:w="1623" w:type="dxa"/>
            <w:noWrap/>
            <w:hideMark/>
          </w:tcPr>
          <w:p w14:paraId="44136A2D"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14812127</w:t>
            </w:r>
          </w:p>
        </w:tc>
        <w:tc>
          <w:tcPr>
            <w:tcW w:w="1682" w:type="dxa"/>
            <w:noWrap/>
            <w:hideMark/>
          </w:tcPr>
          <w:p w14:paraId="37DD238E"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39C36A3E"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40F540E5"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Earnings Per Share</w:t>
            </w:r>
          </w:p>
        </w:tc>
        <w:tc>
          <w:tcPr>
            <w:tcW w:w="1563" w:type="dxa"/>
            <w:noWrap/>
            <w:hideMark/>
          </w:tcPr>
          <w:p w14:paraId="1BC767E3"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2.43</w:t>
            </w:r>
          </w:p>
        </w:tc>
        <w:tc>
          <w:tcPr>
            <w:tcW w:w="1623" w:type="dxa"/>
            <w:noWrap/>
            <w:hideMark/>
          </w:tcPr>
          <w:p w14:paraId="4BE92902"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2.65</w:t>
            </w:r>
          </w:p>
        </w:tc>
        <w:tc>
          <w:tcPr>
            <w:tcW w:w="1682" w:type="dxa"/>
            <w:noWrap/>
            <w:hideMark/>
          </w:tcPr>
          <w:p w14:paraId="4AD71EBF"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Below Average</w:t>
            </w:r>
          </w:p>
        </w:tc>
      </w:tr>
      <w:tr w:rsidR="00E956C2" w:rsidRPr="001B159C" w14:paraId="575100D1" w14:textId="77777777" w:rsidTr="0036570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18CF92BC"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Net Operating Cash flow per share</w:t>
            </w:r>
          </w:p>
        </w:tc>
        <w:tc>
          <w:tcPr>
            <w:tcW w:w="1563" w:type="dxa"/>
            <w:noWrap/>
            <w:hideMark/>
          </w:tcPr>
          <w:p w14:paraId="6E3CF156"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1B159C">
              <w:rPr>
                <w:rFonts w:ascii="Times New Roman" w:eastAsia="Times New Roman" w:hAnsi="Times New Roman" w:cs="Times New Roman"/>
              </w:rPr>
              <w:t xml:space="preserve">               14.17 </w:t>
            </w:r>
          </w:p>
        </w:tc>
        <w:tc>
          <w:tcPr>
            <w:tcW w:w="1623" w:type="dxa"/>
            <w:noWrap/>
            <w:hideMark/>
          </w:tcPr>
          <w:p w14:paraId="3303758A" w14:textId="77777777" w:rsidR="00E956C2" w:rsidRPr="001B159C" w:rsidRDefault="00E956C2" w:rsidP="003657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10.90</w:t>
            </w:r>
          </w:p>
        </w:tc>
        <w:tc>
          <w:tcPr>
            <w:tcW w:w="1682" w:type="dxa"/>
            <w:noWrap/>
            <w:hideMark/>
          </w:tcPr>
          <w:p w14:paraId="26C10E5E" w14:textId="77777777" w:rsidR="00E956C2" w:rsidRPr="001B159C" w:rsidRDefault="00E956C2" w:rsidP="0036570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r w:rsidR="00E956C2" w:rsidRPr="001B159C" w14:paraId="7F2A43AE" w14:textId="77777777" w:rsidTr="0036570C">
        <w:trPr>
          <w:trHeight w:val="315"/>
        </w:trPr>
        <w:tc>
          <w:tcPr>
            <w:cnfStyle w:val="001000000000" w:firstRow="0" w:lastRow="0" w:firstColumn="1" w:lastColumn="0" w:oddVBand="0" w:evenVBand="0" w:oddHBand="0" w:evenHBand="0" w:firstRowFirstColumn="0" w:firstRowLastColumn="0" w:lastRowFirstColumn="0" w:lastRowLastColumn="0"/>
            <w:tcW w:w="4092" w:type="dxa"/>
            <w:noWrap/>
            <w:hideMark/>
          </w:tcPr>
          <w:p w14:paraId="59993581" w14:textId="77777777" w:rsidR="00E956C2" w:rsidRPr="004620AB" w:rsidRDefault="00E956C2" w:rsidP="0036570C">
            <w:pPr>
              <w:rPr>
                <w:rFonts w:ascii="Times New Roman" w:eastAsia="Times New Roman" w:hAnsi="Times New Roman" w:cs="Times New Roman"/>
                <w:b w:val="0"/>
                <w:bCs w:val="0"/>
                <w:color w:val="000000"/>
                <w:sz w:val="24"/>
                <w:szCs w:val="24"/>
              </w:rPr>
            </w:pPr>
            <w:r w:rsidRPr="004620AB">
              <w:rPr>
                <w:rFonts w:ascii="Times New Roman" w:eastAsia="Times New Roman" w:hAnsi="Times New Roman" w:cs="Times New Roman"/>
                <w:b w:val="0"/>
                <w:bCs w:val="0"/>
                <w:color w:val="000000"/>
                <w:sz w:val="24"/>
                <w:szCs w:val="24"/>
              </w:rPr>
              <w:t>Net Asset Value Per Share</w:t>
            </w:r>
          </w:p>
        </w:tc>
        <w:tc>
          <w:tcPr>
            <w:tcW w:w="1563" w:type="dxa"/>
            <w:noWrap/>
            <w:hideMark/>
          </w:tcPr>
          <w:p w14:paraId="65A67F10"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1B159C">
              <w:rPr>
                <w:rFonts w:ascii="Times New Roman" w:eastAsia="Times New Roman" w:hAnsi="Times New Roman" w:cs="Times New Roman"/>
              </w:rPr>
              <w:t>25.01</w:t>
            </w:r>
          </w:p>
        </w:tc>
        <w:tc>
          <w:tcPr>
            <w:tcW w:w="1623" w:type="dxa"/>
            <w:noWrap/>
            <w:hideMark/>
          </w:tcPr>
          <w:p w14:paraId="3F65638D" w14:textId="77777777" w:rsidR="00E956C2" w:rsidRPr="001B159C" w:rsidRDefault="00E956C2" w:rsidP="003657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24.94</w:t>
            </w:r>
          </w:p>
        </w:tc>
        <w:tc>
          <w:tcPr>
            <w:tcW w:w="1682" w:type="dxa"/>
            <w:noWrap/>
            <w:hideMark/>
          </w:tcPr>
          <w:p w14:paraId="2FA8F0CA" w14:textId="77777777" w:rsidR="00E956C2" w:rsidRPr="001B159C" w:rsidRDefault="00E956C2" w:rsidP="0036570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1B159C">
              <w:rPr>
                <w:rFonts w:ascii="Times New Roman" w:eastAsia="Times New Roman" w:hAnsi="Times New Roman" w:cs="Times New Roman"/>
                <w:color w:val="000000"/>
              </w:rPr>
              <w:t>Above Average</w:t>
            </w:r>
          </w:p>
        </w:tc>
      </w:tr>
    </w:tbl>
    <w:p w14:paraId="1373634C" w14:textId="77777777" w:rsidR="00E956C2" w:rsidRDefault="00E956C2" w:rsidP="00E956C2">
      <w:pPr>
        <w:spacing w:line="360" w:lineRule="auto"/>
        <w:jc w:val="center"/>
        <w:rPr>
          <w:rFonts w:ascii="Times New Roman" w:hAnsi="Times New Roman" w:cs="Times New Roman"/>
          <w:b/>
          <w:bCs/>
          <w:color w:val="4472C4" w:themeColor="accent1"/>
          <w:sz w:val="28"/>
          <w:szCs w:val="28"/>
          <w:u w:val="single"/>
        </w:rPr>
      </w:pPr>
    </w:p>
    <w:p w14:paraId="4CB52277" w14:textId="530A2B1F" w:rsidR="00E956C2" w:rsidRDefault="00E956C2" w:rsidP="00B52F29">
      <w:pPr>
        <w:spacing w:line="360" w:lineRule="auto"/>
        <w:jc w:val="center"/>
        <w:rPr>
          <w:rFonts w:ascii="Times New Roman" w:hAnsi="Times New Roman" w:cs="Times New Roman"/>
          <w:color w:val="7030A0"/>
          <w:sz w:val="28"/>
          <w:szCs w:val="28"/>
          <w:u w:val="single"/>
        </w:rPr>
      </w:pPr>
      <w:r w:rsidRPr="00474AB0">
        <w:rPr>
          <w:rFonts w:ascii="Times New Roman" w:hAnsi="Times New Roman" w:cs="Times New Roman"/>
          <w:color w:val="7030A0"/>
          <w:sz w:val="28"/>
          <w:szCs w:val="28"/>
          <w:u w:val="single"/>
        </w:rPr>
        <w:lastRenderedPageBreak/>
        <w:t>5.3.1 Findings from the Industry Analysis of 2019</w:t>
      </w:r>
    </w:p>
    <w:p w14:paraId="5BF8107C"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above table, I have done an industry analysis for the year 2019. First of all, I have picked important components from the balance sheet, income statement and notes. The first column in the above table is the important components which I have analyzed. The second column consists of the data of City Bank for the year ended 2019. The third column consists of the industry average of 2019. I have taken the data of 28 banks for each component and made average of each and every component. The fourth column consists of the City Bank’s status in each component. I have compared the industry average with the data of City Bank and tried to find whether City Bank performed above the industry average or below the industry average.</w:t>
      </w:r>
    </w:p>
    <w:p w14:paraId="569D5C68" w14:textId="77777777" w:rsidR="00E956C2" w:rsidRDefault="00E956C2" w:rsidP="00E956C2">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have analyzed 30 components or items from the balance sheet, income statement and notes. Among the 30 components, 17 out of 30 components were above the industry average, whereas 13 of the components were below the industry average.</w:t>
      </w:r>
    </w:p>
    <w:p w14:paraId="6DEEE92E" w14:textId="77777777" w:rsidR="00E956C2" w:rsidRDefault="00E956C2" w:rsidP="00E956C2">
      <w:pPr>
        <w:spacing w:line="36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From the balance sheet components- </w:t>
      </w:r>
      <w:r w:rsidRPr="002878A1">
        <w:rPr>
          <w:rFonts w:ascii="Times New Roman" w:eastAsia="Times New Roman" w:hAnsi="Times New Roman" w:cs="Times New Roman"/>
          <w:color w:val="000000" w:themeColor="text1"/>
          <w:sz w:val="24"/>
          <w:szCs w:val="24"/>
        </w:rPr>
        <w:t>Total Cash</w:t>
      </w:r>
      <w:r>
        <w:rPr>
          <w:rFonts w:ascii="Times New Roman" w:eastAsia="Times New Roman" w:hAnsi="Times New Roman" w:cs="Times New Roman"/>
          <w:color w:val="000000" w:themeColor="text1"/>
          <w:sz w:val="24"/>
          <w:szCs w:val="24"/>
        </w:rPr>
        <w:t>,</w:t>
      </w:r>
      <w:r w:rsidRPr="00C40DBB">
        <w:rPr>
          <w:rFonts w:ascii="Times New Roman" w:eastAsia="Times New Roman" w:hAnsi="Times New Roman" w:cs="Times New Roman"/>
          <w:color w:val="000000" w:themeColor="text1"/>
          <w:sz w:val="24"/>
          <w:szCs w:val="24"/>
        </w:rPr>
        <w:t xml:space="preserve"> Balance with other Banks and F</w:t>
      </w:r>
      <w:r>
        <w:rPr>
          <w:rFonts w:ascii="Times New Roman" w:eastAsia="Times New Roman" w:hAnsi="Times New Roman" w:cs="Times New Roman"/>
          <w:color w:val="000000" w:themeColor="text1"/>
          <w:sz w:val="24"/>
          <w:szCs w:val="24"/>
        </w:rPr>
        <w:t>inancial Institutions</w:t>
      </w:r>
      <w:r w:rsidRPr="00C40DBB">
        <w:rPr>
          <w:rFonts w:ascii="Times New Roman" w:eastAsia="Times New Roman" w:hAnsi="Times New Roman" w:cs="Times New Roman"/>
          <w:color w:val="000000" w:themeColor="text1"/>
          <w:sz w:val="24"/>
          <w:szCs w:val="24"/>
        </w:rPr>
        <w:t>, Fixed Assets including premises, Total shareholders' equity, Total off-balance sheet items</w:t>
      </w:r>
      <w:r>
        <w:rPr>
          <w:rFonts w:ascii="Times New Roman" w:eastAsia="Times New Roman" w:hAnsi="Times New Roman" w:cs="Times New Roman"/>
          <w:color w:val="000000" w:themeColor="text1"/>
          <w:sz w:val="24"/>
          <w:szCs w:val="24"/>
        </w:rPr>
        <w:t xml:space="preserve"> were above the industry average. Since all of these components scored above the industry average, we can say that City Bank performed well in these segments. While </w:t>
      </w:r>
      <w:r w:rsidRPr="00C40DBB">
        <w:rPr>
          <w:rFonts w:ascii="Times New Roman" w:eastAsia="Times New Roman" w:hAnsi="Times New Roman" w:cs="Times New Roman"/>
          <w:color w:val="000000" w:themeColor="text1"/>
          <w:sz w:val="24"/>
          <w:szCs w:val="24"/>
        </w:rPr>
        <w:t>Investments, Government Investments, Loans and advances, Total assets, Total Deposits, Balance Sheet Size</w:t>
      </w:r>
      <w:r>
        <w:rPr>
          <w:rFonts w:ascii="Times New Roman" w:eastAsia="Times New Roman" w:hAnsi="Times New Roman" w:cs="Times New Roman"/>
          <w:color w:val="000000" w:themeColor="text1"/>
          <w:sz w:val="24"/>
          <w:szCs w:val="24"/>
        </w:rPr>
        <w:t xml:space="preserve"> were below the industry average. All of these components are very important for banks. Since, City Bank performed below the industry average, they should definitely improve them.</w:t>
      </w:r>
    </w:p>
    <w:p w14:paraId="01747D08" w14:textId="77777777" w:rsidR="00E956C2" w:rsidRDefault="00E956C2" w:rsidP="00E956C2">
      <w:pPr>
        <w:spacing w:line="36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From the Income Statement items, 4 of the components were below average and 2 were above average. </w:t>
      </w:r>
      <w:r w:rsidRPr="00E14E7D">
        <w:rPr>
          <w:rFonts w:ascii="Times New Roman" w:eastAsia="Times New Roman" w:hAnsi="Times New Roman" w:cs="Times New Roman"/>
          <w:color w:val="000000" w:themeColor="text1"/>
          <w:sz w:val="24"/>
          <w:szCs w:val="24"/>
        </w:rPr>
        <w:t>Net Interest Income, Total Operating Income</w:t>
      </w:r>
      <w:r>
        <w:rPr>
          <w:rFonts w:ascii="Times New Roman" w:eastAsia="Times New Roman" w:hAnsi="Times New Roman" w:cs="Times New Roman"/>
          <w:color w:val="000000" w:themeColor="text1"/>
          <w:sz w:val="24"/>
          <w:szCs w:val="24"/>
        </w:rPr>
        <w:t xml:space="preserve"> were above the industry average which is a very good sign for the bank, whereas </w:t>
      </w:r>
      <w:r w:rsidRPr="00E14E7D">
        <w:rPr>
          <w:rFonts w:ascii="Times New Roman" w:eastAsia="Times New Roman" w:hAnsi="Times New Roman" w:cs="Times New Roman"/>
          <w:color w:val="000000" w:themeColor="text1"/>
          <w:sz w:val="24"/>
          <w:szCs w:val="24"/>
        </w:rPr>
        <w:t>Total Operating Expense</w:t>
      </w:r>
      <w:r>
        <w:rPr>
          <w:rFonts w:ascii="Times New Roman" w:eastAsia="Times New Roman" w:hAnsi="Times New Roman" w:cs="Times New Roman"/>
          <w:color w:val="000000" w:themeColor="text1"/>
          <w:sz w:val="24"/>
          <w:szCs w:val="24"/>
        </w:rPr>
        <w:t xml:space="preserve">, Provision for tax were below average which means they had kept their expenses in control. But the major concern in 2019 was the Net Profit after tax which was below the industry average. Among the components of the notes, every component was above the average except for two. City Bank’s </w:t>
      </w:r>
      <w:r w:rsidRPr="002F05A1">
        <w:rPr>
          <w:rFonts w:ascii="Times New Roman" w:eastAsia="Times New Roman" w:hAnsi="Times New Roman" w:cs="Times New Roman"/>
          <w:color w:val="000000" w:themeColor="text1"/>
          <w:sz w:val="24"/>
          <w:szCs w:val="24"/>
        </w:rPr>
        <w:t>Net Operating Cash Flow Per Share, Net Asset Value Per Share, Interest Income, Commission, Exchange and Brokerage</w:t>
      </w:r>
      <w:r>
        <w:rPr>
          <w:rFonts w:ascii="Times New Roman" w:eastAsia="Times New Roman" w:hAnsi="Times New Roman" w:cs="Times New Roman"/>
          <w:color w:val="000000" w:themeColor="text1"/>
          <w:sz w:val="24"/>
          <w:szCs w:val="24"/>
        </w:rPr>
        <w:t xml:space="preserve"> income, CAR were quite above the industry average which indicates City Bank’s strong performance in 2019. But the major concern in 2019 was the Earnings per share which was below the industry average and it could be due to less net profit during that year.</w:t>
      </w:r>
    </w:p>
    <w:p w14:paraId="6CED3DFF" w14:textId="77777777" w:rsidR="00E956C2" w:rsidRDefault="00E956C2" w:rsidP="00E956C2">
      <w:pPr>
        <w:spacing w:line="360" w:lineRule="auto"/>
        <w:jc w:val="both"/>
        <w:rPr>
          <w:rFonts w:ascii="Times New Roman" w:eastAsia="Times New Roman" w:hAnsi="Times New Roman" w:cs="Times New Roman"/>
          <w:color w:val="000000" w:themeColor="text1"/>
          <w:sz w:val="24"/>
          <w:szCs w:val="24"/>
        </w:rPr>
      </w:pPr>
    </w:p>
    <w:p w14:paraId="64705247" w14:textId="77777777" w:rsidR="00E956C2" w:rsidRDefault="00E956C2" w:rsidP="00E956C2">
      <w:pPr>
        <w:spacing w:line="360" w:lineRule="auto"/>
        <w:jc w:val="both"/>
        <w:rPr>
          <w:rFonts w:ascii="Times New Roman" w:eastAsia="Times New Roman" w:hAnsi="Times New Roman" w:cs="Times New Roman"/>
          <w:color w:val="000000" w:themeColor="text1"/>
          <w:sz w:val="24"/>
          <w:szCs w:val="24"/>
        </w:rPr>
      </w:pPr>
    </w:p>
    <w:p w14:paraId="44114FB9" w14:textId="77777777" w:rsidR="00E956C2" w:rsidRDefault="00E956C2" w:rsidP="00E956C2">
      <w:pPr>
        <w:spacing w:line="360" w:lineRule="auto"/>
        <w:jc w:val="both"/>
        <w:rPr>
          <w:rFonts w:ascii="Times New Roman" w:eastAsia="Times New Roman" w:hAnsi="Times New Roman" w:cs="Times New Roman"/>
          <w:color w:val="000000" w:themeColor="text1"/>
          <w:sz w:val="24"/>
          <w:szCs w:val="24"/>
        </w:rPr>
      </w:pPr>
    </w:p>
    <w:p w14:paraId="672C558E" w14:textId="77777777" w:rsidR="00E956C2" w:rsidRDefault="00E956C2" w:rsidP="00E956C2">
      <w:pPr>
        <w:spacing w:line="360" w:lineRule="auto"/>
        <w:jc w:val="both"/>
        <w:rPr>
          <w:rFonts w:ascii="Times New Roman" w:eastAsia="Times New Roman" w:hAnsi="Times New Roman" w:cs="Times New Roman"/>
          <w:color w:val="000000" w:themeColor="text1"/>
          <w:sz w:val="24"/>
          <w:szCs w:val="24"/>
        </w:rPr>
      </w:pPr>
    </w:p>
    <w:p w14:paraId="2ADB1143" w14:textId="77777777" w:rsidR="00E956C2" w:rsidRDefault="00E956C2" w:rsidP="00E956C2">
      <w:pPr>
        <w:spacing w:line="360" w:lineRule="auto"/>
        <w:jc w:val="both"/>
        <w:rPr>
          <w:rFonts w:ascii="Times New Roman" w:eastAsia="Times New Roman" w:hAnsi="Times New Roman" w:cs="Times New Roman"/>
          <w:color w:val="000000" w:themeColor="text1"/>
          <w:sz w:val="24"/>
          <w:szCs w:val="24"/>
        </w:rPr>
      </w:pPr>
    </w:p>
    <w:p w14:paraId="313207AA" w14:textId="77777777" w:rsidR="00E956C2" w:rsidRPr="00FA755D" w:rsidRDefault="00E956C2" w:rsidP="00E956C2">
      <w:pPr>
        <w:spacing w:line="240" w:lineRule="auto"/>
        <w:jc w:val="center"/>
        <w:rPr>
          <w:rFonts w:ascii="Times New Roman" w:eastAsia="Times New Roman" w:hAnsi="Times New Roman" w:cs="Times New Roman"/>
          <w:b/>
          <w:bCs/>
          <w:color w:val="4472C4" w:themeColor="accent1"/>
          <w:sz w:val="96"/>
          <w:szCs w:val="96"/>
        </w:rPr>
      </w:pPr>
      <w:r w:rsidRPr="00FA755D">
        <w:rPr>
          <w:rFonts w:ascii="Times New Roman" w:eastAsia="Times New Roman" w:hAnsi="Times New Roman" w:cs="Times New Roman"/>
          <w:b/>
          <w:bCs/>
          <w:color w:val="4472C4" w:themeColor="accent1"/>
          <w:sz w:val="96"/>
          <w:szCs w:val="96"/>
        </w:rPr>
        <w:t>6.0</w:t>
      </w:r>
    </w:p>
    <w:p w14:paraId="675CD3CE" w14:textId="77777777" w:rsidR="00E956C2" w:rsidRPr="00FA755D" w:rsidRDefault="00E956C2" w:rsidP="00E956C2">
      <w:pPr>
        <w:spacing w:line="240" w:lineRule="auto"/>
        <w:jc w:val="center"/>
        <w:rPr>
          <w:rFonts w:ascii="Times New Roman" w:eastAsia="Times New Roman" w:hAnsi="Times New Roman" w:cs="Times New Roman"/>
          <w:b/>
          <w:bCs/>
          <w:color w:val="4472C4" w:themeColor="accent1"/>
          <w:sz w:val="96"/>
          <w:szCs w:val="96"/>
        </w:rPr>
      </w:pPr>
      <w:r w:rsidRPr="00FA755D">
        <w:rPr>
          <w:rFonts w:ascii="Times New Roman" w:eastAsia="Times New Roman" w:hAnsi="Times New Roman" w:cs="Times New Roman"/>
          <w:b/>
          <w:bCs/>
          <w:color w:val="4472C4" w:themeColor="accent1"/>
          <w:sz w:val="96"/>
          <w:szCs w:val="96"/>
        </w:rPr>
        <w:t>Suggestion</w:t>
      </w:r>
    </w:p>
    <w:p w14:paraId="6F3677E0" w14:textId="77777777" w:rsidR="00E956C2" w:rsidRPr="00FA755D" w:rsidRDefault="00E956C2" w:rsidP="00E956C2">
      <w:pPr>
        <w:spacing w:line="240" w:lineRule="auto"/>
        <w:jc w:val="center"/>
        <w:rPr>
          <w:rFonts w:ascii="Times New Roman" w:eastAsia="Times New Roman" w:hAnsi="Times New Roman" w:cs="Times New Roman"/>
          <w:b/>
          <w:bCs/>
          <w:color w:val="4472C4" w:themeColor="accent1"/>
          <w:sz w:val="96"/>
          <w:szCs w:val="96"/>
        </w:rPr>
      </w:pPr>
      <w:r w:rsidRPr="00FA755D">
        <w:rPr>
          <w:rFonts w:ascii="Times New Roman" w:eastAsia="Times New Roman" w:hAnsi="Times New Roman" w:cs="Times New Roman"/>
          <w:b/>
          <w:bCs/>
          <w:color w:val="4472C4" w:themeColor="accent1"/>
          <w:sz w:val="96"/>
          <w:szCs w:val="96"/>
        </w:rPr>
        <w:t>&amp;</w:t>
      </w:r>
    </w:p>
    <w:p w14:paraId="17A1B7C0" w14:textId="77777777" w:rsidR="00E956C2" w:rsidRPr="00FA755D" w:rsidRDefault="00E956C2" w:rsidP="00E956C2">
      <w:pPr>
        <w:spacing w:line="240" w:lineRule="auto"/>
        <w:jc w:val="center"/>
        <w:rPr>
          <w:rFonts w:ascii="Times New Roman" w:eastAsia="Times New Roman" w:hAnsi="Times New Roman" w:cs="Times New Roman"/>
          <w:b/>
          <w:bCs/>
          <w:color w:val="4472C4" w:themeColor="accent1"/>
          <w:sz w:val="96"/>
          <w:szCs w:val="96"/>
        </w:rPr>
      </w:pPr>
      <w:r w:rsidRPr="00FA755D">
        <w:rPr>
          <w:rFonts w:ascii="Times New Roman" w:eastAsia="Times New Roman" w:hAnsi="Times New Roman" w:cs="Times New Roman"/>
          <w:b/>
          <w:bCs/>
          <w:color w:val="4472C4" w:themeColor="accent1"/>
          <w:sz w:val="96"/>
          <w:szCs w:val="96"/>
        </w:rPr>
        <w:t>Recommendation</w:t>
      </w:r>
    </w:p>
    <w:p w14:paraId="3212FF77" w14:textId="77777777" w:rsidR="00E956C2" w:rsidRPr="00AC3022" w:rsidRDefault="00E956C2" w:rsidP="00E956C2">
      <w:pPr>
        <w:spacing w:line="360" w:lineRule="auto"/>
        <w:jc w:val="both"/>
        <w:rPr>
          <w:rFonts w:ascii="Times New Roman" w:hAnsi="Times New Roman" w:cs="Times New Roman"/>
          <w:color w:val="000000" w:themeColor="text1"/>
          <w:sz w:val="24"/>
          <w:szCs w:val="24"/>
        </w:rPr>
      </w:pPr>
    </w:p>
    <w:p w14:paraId="1DDF5358" w14:textId="77777777" w:rsidR="00E956C2" w:rsidRDefault="00E956C2" w:rsidP="00E956C2">
      <w:pPr>
        <w:spacing w:line="360" w:lineRule="auto"/>
        <w:jc w:val="center"/>
        <w:rPr>
          <w:rFonts w:ascii="Times New Roman" w:hAnsi="Times New Roman" w:cs="Times New Roman"/>
          <w:b/>
          <w:bCs/>
          <w:color w:val="7030A0"/>
          <w:sz w:val="28"/>
          <w:szCs w:val="28"/>
          <w:u w:val="single"/>
        </w:rPr>
      </w:pPr>
    </w:p>
    <w:p w14:paraId="1B8D2C04" w14:textId="77777777" w:rsidR="00E956C2" w:rsidRDefault="00E956C2" w:rsidP="00E956C2">
      <w:pPr>
        <w:spacing w:line="360" w:lineRule="auto"/>
        <w:jc w:val="center"/>
        <w:rPr>
          <w:rFonts w:ascii="Times New Roman" w:hAnsi="Times New Roman" w:cs="Times New Roman"/>
          <w:b/>
          <w:bCs/>
          <w:color w:val="7030A0"/>
          <w:sz w:val="28"/>
          <w:szCs w:val="28"/>
          <w:u w:val="single"/>
        </w:rPr>
      </w:pPr>
    </w:p>
    <w:p w14:paraId="11DE4F27" w14:textId="77777777" w:rsidR="00E956C2" w:rsidRDefault="00E956C2" w:rsidP="00E956C2">
      <w:pPr>
        <w:spacing w:line="360" w:lineRule="auto"/>
        <w:jc w:val="center"/>
        <w:rPr>
          <w:rFonts w:ascii="Times New Roman" w:hAnsi="Times New Roman" w:cs="Times New Roman"/>
          <w:b/>
          <w:bCs/>
          <w:color w:val="7030A0"/>
          <w:sz w:val="28"/>
          <w:szCs w:val="28"/>
          <w:u w:val="single"/>
        </w:rPr>
      </w:pPr>
    </w:p>
    <w:p w14:paraId="188F3967" w14:textId="77777777" w:rsidR="00E956C2" w:rsidRDefault="00E956C2" w:rsidP="00E956C2">
      <w:pPr>
        <w:spacing w:line="360" w:lineRule="auto"/>
        <w:jc w:val="center"/>
        <w:rPr>
          <w:rFonts w:ascii="Times New Roman" w:hAnsi="Times New Roman" w:cs="Times New Roman"/>
          <w:b/>
          <w:bCs/>
          <w:color w:val="7030A0"/>
          <w:sz w:val="28"/>
          <w:szCs w:val="28"/>
          <w:u w:val="single"/>
        </w:rPr>
      </w:pPr>
    </w:p>
    <w:p w14:paraId="4999DAAA" w14:textId="77777777" w:rsidR="00E956C2" w:rsidRDefault="00E956C2" w:rsidP="00E956C2">
      <w:pPr>
        <w:spacing w:line="360" w:lineRule="auto"/>
        <w:jc w:val="center"/>
        <w:rPr>
          <w:rFonts w:ascii="Times New Roman" w:hAnsi="Times New Roman" w:cs="Times New Roman"/>
          <w:b/>
          <w:bCs/>
          <w:color w:val="7030A0"/>
          <w:sz w:val="28"/>
          <w:szCs w:val="28"/>
          <w:u w:val="single"/>
        </w:rPr>
      </w:pPr>
    </w:p>
    <w:p w14:paraId="2E669914" w14:textId="77777777" w:rsidR="00E956C2" w:rsidRDefault="00E956C2" w:rsidP="00E956C2">
      <w:pPr>
        <w:spacing w:line="360" w:lineRule="auto"/>
        <w:jc w:val="center"/>
        <w:rPr>
          <w:rFonts w:ascii="Times New Roman" w:hAnsi="Times New Roman" w:cs="Times New Roman"/>
          <w:b/>
          <w:bCs/>
          <w:color w:val="7030A0"/>
          <w:sz w:val="28"/>
          <w:szCs w:val="28"/>
          <w:u w:val="single"/>
        </w:rPr>
      </w:pPr>
    </w:p>
    <w:p w14:paraId="53E6A9C6" w14:textId="77777777" w:rsidR="00B52F29" w:rsidRDefault="00B52F29" w:rsidP="00B52F29">
      <w:pPr>
        <w:spacing w:line="276" w:lineRule="auto"/>
        <w:rPr>
          <w:rFonts w:ascii="Times New Roman" w:hAnsi="Times New Roman" w:cs="Times New Roman"/>
          <w:b/>
          <w:bCs/>
          <w:color w:val="7030A0"/>
          <w:sz w:val="28"/>
          <w:szCs w:val="28"/>
          <w:u w:val="single"/>
        </w:rPr>
      </w:pPr>
    </w:p>
    <w:p w14:paraId="1E9FF294" w14:textId="48252419" w:rsidR="00E956C2" w:rsidRPr="00FA755D" w:rsidRDefault="00E956C2" w:rsidP="00B52F29">
      <w:pPr>
        <w:spacing w:line="276" w:lineRule="auto"/>
        <w:jc w:val="center"/>
        <w:rPr>
          <w:rFonts w:ascii="Times New Roman" w:hAnsi="Times New Roman" w:cs="Times New Roman"/>
          <w:b/>
          <w:bCs/>
          <w:color w:val="4472C4" w:themeColor="accent1"/>
          <w:sz w:val="28"/>
          <w:szCs w:val="28"/>
          <w:u w:val="single"/>
        </w:rPr>
      </w:pPr>
      <w:r w:rsidRPr="00FA755D">
        <w:rPr>
          <w:rFonts w:ascii="Times New Roman" w:hAnsi="Times New Roman" w:cs="Times New Roman"/>
          <w:b/>
          <w:bCs/>
          <w:color w:val="4472C4" w:themeColor="accent1"/>
          <w:sz w:val="28"/>
          <w:szCs w:val="28"/>
          <w:u w:val="single"/>
        </w:rPr>
        <w:lastRenderedPageBreak/>
        <w:t xml:space="preserve">6.1 </w:t>
      </w:r>
      <w:r>
        <w:rPr>
          <w:rFonts w:ascii="Times New Roman" w:hAnsi="Times New Roman" w:cs="Times New Roman"/>
          <w:b/>
          <w:bCs/>
          <w:color w:val="4472C4" w:themeColor="accent1"/>
          <w:sz w:val="28"/>
          <w:szCs w:val="28"/>
          <w:u w:val="single"/>
        </w:rPr>
        <w:t xml:space="preserve">Suggestion &amp; </w:t>
      </w:r>
      <w:r w:rsidRPr="00FA755D">
        <w:rPr>
          <w:rFonts w:ascii="Times New Roman" w:hAnsi="Times New Roman" w:cs="Times New Roman"/>
          <w:b/>
          <w:bCs/>
          <w:color w:val="4472C4" w:themeColor="accent1"/>
          <w:sz w:val="28"/>
          <w:szCs w:val="28"/>
          <w:u w:val="single"/>
        </w:rPr>
        <w:t>Recommendation</w:t>
      </w:r>
    </w:p>
    <w:p w14:paraId="7929D44E" w14:textId="77777777" w:rsidR="00E956C2" w:rsidRPr="00FA755D" w:rsidRDefault="00E956C2" w:rsidP="00E956C2">
      <w:pPr>
        <w:spacing w:line="360" w:lineRule="auto"/>
        <w:jc w:val="both"/>
        <w:rPr>
          <w:rFonts w:ascii="Times New Roman" w:hAnsi="Times New Roman" w:cs="Times New Roman"/>
          <w:color w:val="000000" w:themeColor="text1"/>
          <w:sz w:val="24"/>
          <w:szCs w:val="24"/>
        </w:rPr>
      </w:pPr>
      <w:r w:rsidRPr="002279CA">
        <w:rPr>
          <w:rFonts w:ascii="Times New Roman" w:hAnsi="Times New Roman" w:cs="Times New Roman"/>
          <w:color w:val="000000" w:themeColor="text1"/>
          <w:sz w:val="24"/>
          <w:szCs w:val="24"/>
        </w:rPr>
        <w:t>According to the City Bank performance analysis presented above, I think the following suggestions could be beneficial for the bank</w:t>
      </w:r>
      <w:r w:rsidRPr="00FA755D">
        <w:rPr>
          <w:rFonts w:ascii="Times New Roman" w:hAnsi="Times New Roman" w:cs="Times New Roman"/>
          <w:color w:val="000000" w:themeColor="text1"/>
          <w:sz w:val="24"/>
          <w:szCs w:val="24"/>
        </w:rPr>
        <w:t xml:space="preserve">, which are: </w:t>
      </w:r>
    </w:p>
    <w:p w14:paraId="54C2AB8C" w14:textId="77777777" w:rsidR="00E956C2" w:rsidRDefault="00E956C2" w:rsidP="00E956C2">
      <w:pPr>
        <w:pStyle w:val="ListParagraph"/>
        <w:numPr>
          <w:ilvl w:val="0"/>
          <w:numId w:val="18"/>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Pr="002279CA">
        <w:rPr>
          <w:rFonts w:ascii="Times New Roman" w:hAnsi="Times New Roman" w:cs="Times New Roman"/>
          <w:color w:val="000000" w:themeColor="text1"/>
          <w:sz w:val="24"/>
          <w:szCs w:val="24"/>
        </w:rPr>
        <w:t xml:space="preserve">iguring out methods to reduce the bank's operating costs, as those costs have been rising steadily over the past five years. </w:t>
      </w:r>
    </w:p>
    <w:p w14:paraId="4B3BF366" w14:textId="77777777" w:rsidR="00E956C2" w:rsidRPr="00FA755D" w:rsidRDefault="00E956C2" w:rsidP="00E956C2">
      <w:pPr>
        <w:pStyle w:val="ListParagraph"/>
        <w:numPr>
          <w:ilvl w:val="0"/>
          <w:numId w:val="18"/>
        </w:numPr>
        <w:spacing w:after="0" w:line="360" w:lineRule="auto"/>
        <w:jc w:val="both"/>
        <w:rPr>
          <w:rFonts w:ascii="Times New Roman" w:hAnsi="Times New Roman" w:cs="Times New Roman"/>
          <w:color w:val="000000" w:themeColor="text1"/>
          <w:sz w:val="24"/>
          <w:szCs w:val="24"/>
        </w:rPr>
      </w:pPr>
      <w:r w:rsidRPr="002279CA">
        <w:rPr>
          <w:rFonts w:ascii="Times New Roman" w:hAnsi="Times New Roman" w:cs="Times New Roman"/>
          <w:color w:val="000000" w:themeColor="text1"/>
          <w:sz w:val="24"/>
          <w:szCs w:val="24"/>
        </w:rPr>
        <w:t>It would be difficult to reduce the N</w:t>
      </w:r>
      <w:r>
        <w:rPr>
          <w:rFonts w:ascii="Times New Roman" w:hAnsi="Times New Roman" w:cs="Times New Roman"/>
          <w:color w:val="000000" w:themeColor="text1"/>
          <w:sz w:val="24"/>
          <w:szCs w:val="24"/>
        </w:rPr>
        <w:t>on-Performing Loan</w:t>
      </w:r>
      <w:r w:rsidRPr="002279CA">
        <w:rPr>
          <w:rFonts w:ascii="Times New Roman" w:hAnsi="Times New Roman" w:cs="Times New Roman"/>
          <w:color w:val="000000" w:themeColor="text1"/>
          <w:sz w:val="24"/>
          <w:szCs w:val="24"/>
        </w:rPr>
        <w:t xml:space="preserve"> volumes in the years ahead or even just to keep them stable. Therefore, </w:t>
      </w:r>
      <w:r>
        <w:rPr>
          <w:rFonts w:ascii="Times New Roman" w:hAnsi="Times New Roman" w:cs="Times New Roman"/>
          <w:color w:val="000000" w:themeColor="text1"/>
          <w:sz w:val="24"/>
          <w:szCs w:val="24"/>
        </w:rPr>
        <w:t xml:space="preserve">City </w:t>
      </w:r>
      <w:r w:rsidRPr="002279CA">
        <w:rPr>
          <w:rFonts w:ascii="Times New Roman" w:hAnsi="Times New Roman" w:cs="Times New Roman"/>
          <w:color w:val="000000" w:themeColor="text1"/>
          <w:sz w:val="24"/>
          <w:szCs w:val="24"/>
        </w:rPr>
        <w:t>bank must develop concepts or initiatives to reduce the volume of</w:t>
      </w:r>
      <w:r>
        <w:rPr>
          <w:rFonts w:ascii="Times New Roman" w:hAnsi="Times New Roman" w:cs="Times New Roman"/>
          <w:color w:val="000000" w:themeColor="text1"/>
          <w:sz w:val="24"/>
          <w:szCs w:val="24"/>
        </w:rPr>
        <w:t xml:space="preserve"> non-performing loans</w:t>
      </w:r>
      <w:r w:rsidRPr="002279CA">
        <w:rPr>
          <w:rFonts w:ascii="Times New Roman" w:hAnsi="Times New Roman" w:cs="Times New Roman"/>
          <w:color w:val="000000" w:themeColor="text1"/>
          <w:sz w:val="24"/>
          <w:szCs w:val="24"/>
        </w:rPr>
        <w:t>.</w:t>
      </w:r>
    </w:p>
    <w:p w14:paraId="55F56C37" w14:textId="77777777" w:rsidR="00E956C2" w:rsidRDefault="00E956C2" w:rsidP="00E956C2">
      <w:pPr>
        <w:pStyle w:val="ListParagraph"/>
        <w:numPr>
          <w:ilvl w:val="0"/>
          <w:numId w:val="18"/>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My suggestion for City Bank i</w:t>
      </w:r>
      <w:r w:rsidRPr="002279CA">
        <w:rPr>
          <w:rFonts w:ascii="Times New Roman" w:hAnsi="Times New Roman" w:cs="Times New Roman"/>
          <w:color w:val="000000" w:themeColor="text1"/>
          <w:sz w:val="24"/>
          <w:szCs w:val="24"/>
        </w:rPr>
        <w:t>n the future</w:t>
      </w:r>
      <w:r>
        <w:rPr>
          <w:rFonts w:ascii="Times New Roman" w:hAnsi="Times New Roman" w:cs="Times New Roman"/>
          <w:color w:val="000000" w:themeColor="text1"/>
          <w:sz w:val="24"/>
          <w:szCs w:val="24"/>
        </w:rPr>
        <w:t xml:space="preserve"> would be to</w:t>
      </w:r>
      <w:r w:rsidRPr="002279CA">
        <w:rPr>
          <w:rFonts w:ascii="Times New Roman" w:hAnsi="Times New Roman" w:cs="Times New Roman"/>
          <w:color w:val="000000" w:themeColor="text1"/>
          <w:sz w:val="24"/>
          <w:szCs w:val="24"/>
        </w:rPr>
        <w:t xml:space="preserve"> distribute loans and advances more cautiously after reviewing each individual's file. </w:t>
      </w:r>
    </w:p>
    <w:p w14:paraId="434563DB" w14:textId="77777777" w:rsidR="00E956C2" w:rsidRDefault="00E956C2" w:rsidP="00E956C2">
      <w:pPr>
        <w:pStyle w:val="ListParagraph"/>
        <w:numPr>
          <w:ilvl w:val="0"/>
          <w:numId w:val="18"/>
        </w:numPr>
        <w:spacing w:after="0" w:line="360" w:lineRule="auto"/>
        <w:jc w:val="both"/>
        <w:rPr>
          <w:rFonts w:ascii="Times New Roman" w:hAnsi="Times New Roman" w:cs="Times New Roman"/>
          <w:color w:val="000000" w:themeColor="text1"/>
          <w:sz w:val="24"/>
          <w:szCs w:val="24"/>
        </w:rPr>
      </w:pPr>
      <w:r w:rsidRPr="005D1745">
        <w:rPr>
          <w:rFonts w:ascii="Times New Roman" w:hAnsi="Times New Roman" w:cs="Times New Roman"/>
          <w:color w:val="000000" w:themeColor="text1"/>
          <w:sz w:val="24"/>
          <w:szCs w:val="24"/>
        </w:rPr>
        <w:t>I firmly believe that City Bank needs to reduce its debt-to-equity ratio as much as they can.</w:t>
      </w:r>
    </w:p>
    <w:p w14:paraId="58149549" w14:textId="77777777" w:rsidR="00E956C2" w:rsidRDefault="00E956C2" w:rsidP="00E956C2">
      <w:pPr>
        <w:pStyle w:val="ListParagraph"/>
        <w:numPr>
          <w:ilvl w:val="0"/>
          <w:numId w:val="18"/>
        </w:numPr>
        <w:spacing w:after="0" w:line="360" w:lineRule="auto"/>
        <w:jc w:val="both"/>
        <w:rPr>
          <w:rFonts w:ascii="Times New Roman" w:hAnsi="Times New Roman" w:cs="Times New Roman"/>
          <w:color w:val="000000" w:themeColor="text1"/>
          <w:sz w:val="24"/>
          <w:szCs w:val="24"/>
        </w:rPr>
      </w:pPr>
      <w:r w:rsidRPr="005A53AD">
        <w:rPr>
          <w:rFonts w:ascii="Times New Roman" w:hAnsi="Times New Roman" w:cs="Times New Roman"/>
          <w:color w:val="000000" w:themeColor="text1"/>
          <w:sz w:val="24"/>
          <w:szCs w:val="24"/>
        </w:rPr>
        <w:t xml:space="preserve">It is extremely impressive that </w:t>
      </w:r>
      <w:r>
        <w:rPr>
          <w:rFonts w:ascii="Times New Roman" w:hAnsi="Times New Roman" w:cs="Times New Roman"/>
          <w:color w:val="000000" w:themeColor="text1"/>
          <w:sz w:val="24"/>
          <w:szCs w:val="24"/>
        </w:rPr>
        <w:t>City</w:t>
      </w:r>
      <w:r w:rsidRPr="005A53A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w:t>
      </w:r>
      <w:r w:rsidRPr="005A53AD">
        <w:rPr>
          <w:rFonts w:ascii="Times New Roman" w:hAnsi="Times New Roman" w:cs="Times New Roman"/>
          <w:color w:val="000000" w:themeColor="text1"/>
          <w:sz w:val="24"/>
          <w:szCs w:val="24"/>
        </w:rPr>
        <w:t xml:space="preserve">ank's cost-to-income ratio decreased within a year, and maintaining such results will be necessary for </w:t>
      </w:r>
      <w:r>
        <w:rPr>
          <w:rFonts w:ascii="Times New Roman" w:hAnsi="Times New Roman" w:cs="Times New Roman"/>
          <w:color w:val="000000" w:themeColor="text1"/>
          <w:sz w:val="24"/>
          <w:szCs w:val="24"/>
        </w:rPr>
        <w:t xml:space="preserve">CBL </w:t>
      </w:r>
      <w:r w:rsidRPr="005A53AD">
        <w:rPr>
          <w:rFonts w:ascii="Times New Roman" w:hAnsi="Times New Roman" w:cs="Times New Roman"/>
          <w:color w:val="000000" w:themeColor="text1"/>
          <w:sz w:val="24"/>
          <w:szCs w:val="24"/>
        </w:rPr>
        <w:t xml:space="preserve">to generate higher profits in the years to come. </w:t>
      </w:r>
    </w:p>
    <w:p w14:paraId="28AFEB5C" w14:textId="77777777" w:rsidR="00E956C2" w:rsidRDefault="00E956C2" w:rsidP="00E956C2">
      <w:pPr>
        <w:pStyle w:val="ListParagraph"/>
        <w:numPr>
          <w:ilvl w:val="0"/>
          <w:numId w:val="18"/>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would highly suggest City Bank to </w:t>
      </w:r>
      <w:r w:rsidRPr="00E365B3">
        <w:rPr>
          <w:rFonts w:ascii="Times New Roman" w:hAnsi="Times New Roman" w:cs="Times New Roman"/>
          <w:color w:val="000000" w:themeColor="text1"/>
          <w:sz w:val="24"/>
          <w:szCs w:val="24"/>
        </w:rPr>
        <w:t xml:space="preserve">develop tactics and </w:t>
      </w:r>
      <w:r>
        <w:rPr>
          <w:rFonts w:ascii="Times New Roman" w:hAnsi="Times New Roman" w:cs="Times New Roman"/>
          <w:color w:val="000000" w:themeColor="text1"/>
          <w:sz w:val="24"/>
          <w:szCs w:val="24"/>
        </w:rPr>
        <w:t>techniques</w:t>
      </w:r>
      <w:r w:rsidRPr="00E365B3">
        <w:rPr>
          <w:rFonts w:ascii="Times New Roman" w:hAnsi="Times New Roman" w:cs="Times New Roman"/>
          <w:color w:val="000000" w:themeColor="text1"/>
          <w:sz w:val="24"/>
          <w:szCs w:val="24"/>
        </w:rPr>
        <w:t xml:space="preserve"> to address those obstacles through comparing </w:t>
      </w:r>
      <w:r>
        <w:rPr>
          <w:rFonts w:ascii="Times New Roman" w:hAnsi="Times New Roman" w:cs="Times New Roman"/>
          <w:color w:val="000000" w:themeColor="text1"/>
          <w:sz w:val="24"/>
          <w:szCs w:val="24"/>
        </w:rPr>
        <w:t xml:space="preserve">with </w:t>
      </w:r>
      <w:r w:rsidRPr="00E365B3">
        <w:rPr>
          <w:rFonts w:ascii="Times New Roman" w:hAnsi="Times New Roman" w:cs="Times New Roman"/>
          <w:color w:val="000000" w:themeColor="text1"/>
          <w:sz w:val="24"/>
          <w:szCs w:val="24"/>
        </w:rPr>
        <w:t>all the data to that of other banks</w:t>
      </w:r>
      <w:r>
        <w:rPr>
          <w:rFonts w:ascii="Times New Roman" w:hAnsi="Times New Roman" w:cs="Times New Roman"/>
          <w:color w:val="000000" w:themeColor="text1"/>
          <w:sz w:val="24"/>
          <w:szCs w:val="24"/>
        </w:rPr>
        <w:t>.</w:t>
      </w:r>
    </w:p>
    <w:p w14:paraId="7FE4FA17" w14:textId="77777777" w:rsidR="00E956C2" w:rsidRDefault="00E956C2" w:rsidP="00E956C2">
      <w:pPr>
        <w:pStyle w:val="ListParagraph"/>
        <w:numPr>
          <w:ilvl w:val="0"/>
          <w:numId w:val="18"/>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industry analysis of 2021, 2020 and 2019, we have seen that the balance sheet components were performing very poor. City Bank has a problem with the asset side like loans and advances, total cash, investments, government investments as they were below the industry average. So, I would recommend City Bank to keep an eye on these components and introduce new ideas to improve the condition.</w:t>
      </w:r>
    </w:p>
    <w:p w14:paraId="0E5B441D" w14:textId="77777777" w:rsidR="00E956C2" w:rsidRPr="00FA755D" w:rsidRDefault="00E956C2" w:rsidP="00E956C2">
      <w:pPr>
        <w:pStyle w:val="ListParagraph"/>
        <w:numPr>
          <w:ilvl w:val="0"/>
          <w:numId w:val="18"/>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On the other hand, we have seen in the industry analysis that the Income Statement components were performing well except for the Operating Expenses and Tax expenses. So, I would recommend City Bank to monitor the costs and try to control this in the upcoming years.</w:t>
      </w:r>
    </w:p>
    <w:p w14:paraId="5E50B478" w14:textId="77777777" w:rsidR="00E956C2" w:rsidRPr="00FA755D" w:rsidRDefault="00E956C2" w:rsidP="00E956C2">
      <w:pPr>
        <w:spacing w:line="276" w:lineRule="auto"/>
        <w:jc w:val="both"/>
        <w:rPr>
          <w:rFonts w:ascii="Times New Roman" w:hAnsi="Times New Roman" w:cs="Times New Roman"/>
          <w:color w:val="000000" w:themeColor="text1"/>
          <w:sz w:val="24"/>
          <w:szCs w:val="24"/>
        </w:rPr>
      </w:pPr>
    </w:p>
    <w:p w14:paraId="592858AD" w14:textId="77777777" w:rsidR="00E956C2" w:rsidRPr="00FA755D" w:rsidRDefault="00E956C2" w:rsidP="00E956C2">
      <w:pPr>
        <w:spacing w:line="276" w:lineRule="auto"/>
        <w:jc w:val="both"/>
        <w:rPr>
          <w:rFonts w:ascii="Times New Roman" w:hAnsi="Times New Roman" w:cs="Times New Roman"/>
          <w:color w:val="000000" w:themeColor="text1"/>
          <w:sz w:val="24"/>
          <w:szCs w:val="24"/>
        </w:rPr>
      </w:pPr>
    </w:p>
    <w:p w14:paraId="7BDED310" w14:textId="77777777" w:rsidR="00E956C2" w:rsidRPr="00FA755D" w:rsidRDefault="00E956C2" w:rsidP="00E956C2">
      <w:pPr>
        <w:spacing w:line="276" w:lineRule="auto"/>
        <w:jc w:val="both"/>
        <w:rPr>
          <w:rFonts w:ascii="Times New Roman" w:hAnsi="Times New Roman" w:cs="Times New Roman"/>
          <w:color w:val="000000" w:themeColor="text1"/>
          <w:sz w:val="24"/>
          <w:szCs w:val="24"/>
        </w:rPr>
      </w:pPr>
    </w:p>
    <w:p w14:paraId="2E54146F" w14:textId="77777777" w:rsidR="00E956C2" w:rsidRDefault="00E956C2" w:rsidP="00E956C2">
      <w:pPr>
        <w:spacing w:line="360" w:lineRule="auto"/>
        <w:rPr>
          <w:rFonts w:ascii="Times New Roman" w:hAnsi="Times New Roman" w:cs="Times New Roman"/>
          <w:b/>
          <w:bCs/>
          <w:color w:val="4472C4" w:themeColor="accent1"/>
          <w:sz w:val="28"/>
          <w:szCs w:val="28"/>
          <w:u w:val="single"/>
        </w:rPr>
      </w:pPr>
    </w:p>
    <w:p w14:paraId="6AA0B778" w14:textId="75590460" w:rsidR="00E956C2" w:rsidRPr="001756CB" w:rsidRDefault="00E956C2" w:rsidP="00B52F29">
      <w:pPr>
        <w:spacing w:line="360" w:lineRule="auto"/>
        <w:jc w:val="center"/>
        <w:rPr>
          <w:rFonts w:ascii="Times New Roman" w:hAnsi="Times New Roman" w:cs="Times New Roman"/>
          <w:b/>
          <w:bCs/>
          <w:color w:val="4472C4" w:themeColor="accent1"/>
          <w:sz w:val="28"/>
          <w:szCs w:val="28"/>
          <w:u w:val="single"/>
        </w:rPr>
      </w:pPr>
      <w:r w:rsidRPr="001756CB">
        <w:rPr>
          <w:rFonts w:ascii="Times New Roman" w:hAnsi="Times New Roman" w:cs="Times New Roman"/>
          <w:b/>
          <w:bCs/>
          <w:color w:val="4472C4" w:themeColor="accent1"/>
          <w:sz w:val="28"/>
          <w:szCs w:val="28"/>
          <w:u w:val="single"/>
        </w:rPr>
        <w:lastRenderedPageBreak/>
        <w:t>6.2 Conclusion</w:t>
      </w:r>
    </w:p>
    <w:p w14:paraId="453875C4" w14:textId="0E8D80D2" w:rsidR="00C91B66" w:rsidRDefault="00E956C2" w:rsidP="00E956C2">
      <w:pPr>
        <w:spacing w:line="360" w:lineRule="auto"/>
        <w:jc w:val="both"/>
        <w:rPr>
          <w:rFonts w:ascii="Times New Roman" w:hAnsi="Times New Roman" w:cs="Times New Roman"/>
          <w:color w:val="000000" w:themeColor="text1"/>
          <w:sz w:val="24"/>
          <w:szCs w:val="24"/>
        </w:rPr>
      </w:pPr>
      <w:r w:rsidRPr="00B80D0C">
        <w:rPr>
          <w:rFonts w:ascii="Times New Roman" w:hAnsi="Times New Roman" w:cs="Times New Roman"/>
          <w:color w:val="000000" w:themeColor="text1"/>
          <w:sz w:val="24"/>
          <w:szCs w:val="24"/>
        </w:rPr>
        <w:t>In the last few years, Bangladesh has seen a large growth in the number of commercial banks. Since banks are now more focused on providing their best performance due to intense rivalry in the banking industry, modern consumers are now looking for banks that feel more reliable, of superior quality, and provide prompt service. City Bank currently holds a strong position in the market, but in order to keep it, they constantly need to put in extra effort to meet the demands of consumers. The most difficult aspect for banks in today's highly competitive marketplace is keeping customers happy. The CBL needs to be mindful of the chances for growth presented by the banking industry's exclusiveness and distinctiveness in this cutthroat market.</w:t>
      </w:r>
      <w:r>
        <w:rPr>
          <w:rFonts w:ascii="Times New Roman" w:hAnsi="Times New Roman" w:cs="Times New Roman"/>
          <w:color w:val="000000" w:themeColor="text1"/>
          <w:sz w:val="24"/>
          <w:szCs w:val="24"/>
        </w:rPr>
        <w:t xml:space="preserve"> </w:t>
      </w:r>
      <w:r w:rsidRPr="00B9736E">
        <w:rPr>
          <w:rFonts w:ascii="Times New Roman" w:hAnsi="Times New Roman" w:cs="Times New Roman"/>
          <w:color w:val="000000" w:themeColor="text1"/>
          <w:sz w:val="24"/>
          <w:szCs w:val="24"/>
        </w:rPr>
        <w:t>Customers now have more alternatives, so the bank needs to focus more on them. Numerous sizable businesses offer top-notch customer service. Customer feedback is extremely important for providing proper services. It could create a motivator to increase customer satisfaction, loyalty, and trust as well as create a strong bond with them. The CBL should come up with a strategy to guarantee conti</w:t>
      </w:r>
      <w:bookmarkStart w:id="1" w:name="_GoBack"/>
      <w:bookmarkEnd w:id="1"/>
      <w:r w:rsidRPr="00B9736E">
        <w:rPr>
          <w:rFonts w:ascii="Times New Roman" w:hAnsi="Times New Roman" w:cs="Times New Roman"/>
          <w:color w:val="000000" w:themeColor="text1"/>
          <w:sz w:val="24"/>
          <w:szCs w:val="24"/>
        </w:rPr>
        <w:t>nuous customer support</w:t>
      </w:r>
      <w:r w:rsidR="00B52F29">
        <w:rPr>
          <w:rFonts w:ascii="Times New Roman" w:hAnsi="Times New Roman" w:cs="Times New Roman"/>
          <w:color w:val="000000" w:themeColor="text1"/>
          <w:sz w:val="24"/>
          <w:szCs w:val="24"/>
        </w:rPr>
        <w:t>.</w:t>
      </w:r>
    </w:p>
    <w:p w14:paraId="6593B414" w14:textId="77777777" w:rsidR="00C91B66" w:rsidRDefault="00C91B66" w:rsidP="00E956C2">
      <w:pPr>
        <w:spacing w:line="360" w:lineRule="auto"/>
        <w:jc w:val="both"/>
        <w:rPr>
          <w:rFonts w:ascii="Times New Roman" w:hAnsi="Times New Roman" w:cs="Times New Roman"/>
          <w:color w:val="000000" w:themeColor="text1"/>
          <w:sz w:val="24"/>
          <w:szCs w:val="24"/>
        </w:rPr>
        <w:sectPr w:rsidR="00C91B66" w:rsidSect="00BD4067">
          <w:pgSz w:w="12240" w:h="15840"/>
          <w:pgMar w:top="1440" w:right="1440" w:bottom="1440" w:left="1440" w:header="720" w:footer="720" w:gutter="0"/>
          <w:pgNumType w:start="1"/>
          <w:cols w:space="720"/>
          <w:docGrid w:linePitch="360"/>
        </w:sectPr>
      </w:pPr>
    </w:p>
    <w:p w14:paraId="01A2C949" w14:textId="77777777" w:rsidR="00E956C2" w:rsidRPr="002D0B5C" w:rsidRDefault="00E956C2" w:rsidP="00B52F29">
      <w:pPr>
        <w:spacing w:line="276" w:lineRule="auto"/>
        <w:jc w:val="center"/>
        <w:rPr>
          <w:rFonts w:ascii="Times New Roman" w:hAnsi="Times New Roman" w:cs="Times New Roman"/>
          <w:b/>
          <w:bCs/>
          <w:color w:val="4472C4" w:themeColor="accent1"/>
          <w:sz w:val="28"/>
          <w:szCs w:val="28"/>
          <w:u w:val="single"/>
        </w:rPr>
      </w:pPr>
      <w:r w:rsidRPr="002D0B5C">
        <w:rPr>
          <w:rFonts w:ascii="Times New Roman" w:hAnsi="Times New Roman" w:cs="Times New Roman"/>
          <w:b/>
          <w:bCs/>
          <w:color w:val="4472C4" w:themeColor="accent1"/>
          <w:sz w:val="28"/>
          <w:szCs w:val="28"/>
          <w:u w:val="single"/>
        </w:rPr>
        <w:lastRenderedPageBreak/>
        <w:t>References</w:t>
      </w:r>
    </w:p>
    <w:p w14:paraId="5D10B236" w14:textId="77777777" w:rsidR="00E956C2" w:rsidRDefault="00E956C2" w:rsidP="00E956C2">
      <w:pPr>
        <w:pStyle w:val="NormalWeb"/>
        <w:numPr>
          <w:ilvl w:val="0"/>
          <w:numId w:val="21"/>
        </w:numPr>
        <w:spacing w:line="480" w:lineRule="auto"/>
      </w:pPr>
      <w:r>
        <w:t xml:space="preserve">“Not a Great Year, but Not a Bad One Either for Banking.” </w:t>
      </w:r>
      <w:r>
        <w:rPr>
          <w:i/>
          <w:iCs/>
        </w:rPr>
        <w:t>Not a Great Year, but Not a Bad One Either for Banking</w:t>
      </w:r>
      <w:r>
        <w:t xml:space="preserve">, 30 Dec. 2021, </w:t>
      </w:r>
      <w:hyperlink r:id="rId36" w:history="1">
        <w:r w:rsidRPr="00C055D9">
          <w:rPr>
            <w:rStyle w:val="Hyperlink"/>
          </w:rPr>
          <w:t>www.dhakatribune.com/business/banks/2021/12/30/not-a-great-year-but-not-a-bad-one-either-for-banking</w:t>
        </w:r>
      </w:hyperlink>
      <w:r>
        <w:t>.</w:t>
      </w:r>
    </w:p>
    <w:p w14:paraId="6491A067" w14:textId="77777777" w:rsidR="00E956C2" w:rsidRDefault="00E956C2" w:rsidP="00E956C2">
      <w:pPr>
        <w:pStyle w:val="NormalWeb"/>
        <w:numPr>
          <w:ilvl w:val="0"/>
          <w:numId w:val="21"/>
        </w:numPr>
        <w:spacing w:line="480" w:lineRule="auto"/>
      </w:pPr>
      <w:r>
        <w:t xml:space="preserve">“Overview.” </w:t>
      </w:r>
      <w:r w:rsidRPr="002D0B5C">
        <w:rPr>
          <w:i/>
          <w:iCs/>
        </w:rPr>
        <w:t>World Bank</w:t>
      </w:r>
      <w:r>
        <w:t>, www.worldbank.org/en/country/bangladesh/overview. Accessed 13th April 2023.</w:t>
      </w:r>
    </w:p>
    <w:p w14:paraId="41C36C1B" w14:textId="77777777" w:rsidR="00E956C2" w:rsidRDefault="00E956C2" w:rsidP="00E956C2">
      <w:pPr>
        <w:pStyle w:val="NormalWeb"/>
        <w:numPr>
          <w:ilvl w:val="0"/>
          <w:numId w:val="21"/>
        </w:numPr>
        <w:spacing w:line="480" w:lineRule="auto"/>
      </w:pPr>
      <w:r>
        <w:t xml:space="preserve">“NON-PERFORMING LOANS BANKING SECTOR: COMBATING AMIDST MACRO CHALLENGES.” </w:t>
      </w:r>
      <w:r w:rsidRPr="002D0B5C">
        <w:rPr>
          <w:i/>
          <w:iCs/>
        </w:rPr>
        <w:t>IDLC Monthly Business Review</w:t>
      </w:r>
      <w:r>
        <w:t>, idlc.com/</w:t>
      </w:r>
      <w:proofErr w:type="spellStart"/>
      <w:r>
        <w:t>mbr</w:t>
      </w:r>
      <w:proofErr w:type="spellEnd"/>
      <w:r>
        <w:t>/</w:t>
      </w:r>
      <w:proofErr w:type="spellStart"/>
      <w:r>
        <w:t>article.php?id</w:t>
      </w:r>
      <w:proofErr w:type="spellEnd"/>
      <w:r>
        <w:t>=314. Accessed 15 April 2023.</w:t>
      </w:r>
    </w:p>
    <w:p w14:paraId="011715BD" w14:textId="77777777" w:rsidR="00E956C2" w:rsidRDefault="00E956C2" w:rsidP="00E956C2">
      <w:pPr>
        <w:pStyle w:val="NormalWeb"/>
        <w:numPr>
          <w:ilvl w:val="0"/>
          <w:numId w:val="21"/>
        </w:numPr>
        <w:spacing w:line="480" w:lineRule="auto"/>
      </w:pPr>
      <w:r>
        <w:rPr>
          <w:i/>
          <w:iCs/>
        </w:rPr>
        <w:t>Annual Reports of City Bank</w:t>
      </w:r>
      <w:r>
        <w:t xml:space="preserve">. (2022, August 15). City Bank. Retrieved April 30, 2023, from </w:t>
      </w:r>
      <w:hyperlink r:id="rId37" w:history="1">
        <w:r w:rsidRPr="00DC087F">
          <w:rPr>
            <w:rStyle w:val="Hyperlink"/>
          </w:rPr>
          <w:t>https://www.thecitybank.com/report/annualreports</w:t>
        </w:r>
      </w:hyperlink>
    </w:p>
    <w:p w14:paraId="6DA9A389" w14:textId="77777777" w:rsidR="00E956C2" w:rsidRDefault="00E956C2" w:rsidP="00E956C2">
      <w:pPr>
        <w:pStyle w:val="NormalWeb"/>
        <w:numPr>
          <w:ilvl w:val="0"/>
          <w:numId w:val="21"/>
        </w:numPr>
        <w:spacing w:line="480" w:lineRule="auto"/>
      </w:pPr>
      <w:r>
        <w:rPr>
          <w:i/>
          <w:iCs/>
        </w:rPr>
        <w:t>Definition of the Important Terms</w:t>
      </w:r>
      <w:r>
        <w:t>. (n.d.). Investopedia. Retrieved April 25, 2023, from https://www.investopedia.com</w:t>
      </w:r>
    </w:p>
    <w:p w14:paraId="1FF3C199" w14:textId="77777777" w:rsidR="00E956C2" w:rsidRDefault="00E956C2" w:rsidP="00E956C2">
      <w:pPr>
        <w:pStyle w:val="NormalWeb"/>
        <w:numPr>
          <w:ilvl w:val="0"/>
          <w:numId w:val="21"/>
        </w:numPr>
        <w:spacing w:line="480" w:lineRule="auto"/>
      </w:pPr>
      <w:r>
        <w:rPr>
          <w:i/>
          <w:iCs/>
        </w:rPr>
        <w:t>Bangladesh Bank</w:t>
      </w:r>
      <w:r>
        <w:t>. (n.d.). Bangladesh Bank. Retrieved April 30, 2023, from https://www.bb.org.bd/en/index.php</w:t>
      </w:r>
    </w:p>
    <w:p w14:paraId="6556CF24" w14:textId="77777777" w:rsidR="00E956C2" w:rsidRPr="004328D2" w:rsidRDefault="00E956C2" w:rsidP="00E956C2">
      <w:pPr>
        <w:pStyle w:val="NormalWeb"/>
        <w:numPr>
          <w:ilvl w:val="0"/>
          <w:numId w:val="21"/>
        </w:numPr>
        <w:spacing w:line="480" w:lineRule="auto"/>
      </w:pPr>
      <w:r>
        <w:rPr>
          <w:i/>
          <w:iCs/>
        </w:rPr>
        <w:t>City Bank</w:t>
      </w:r>
      <w:r>
        <w:t xml:space="preserve">. (n.d.). Wikipedia. Retrieved April 15, 2023, from </w:t>
      </w:r>
      <w:hyperlink r:id="rId38" w:history="1">
        <w:r w:rsidRPr="00DC087F">
          <w:rPr>
            <w:rStyle w:val="Hyperlink"/>
          </w:rPr>
          <w:t>https://en.wikipedia.org/wiki/The_City_Bank</w:t>
        </w:r>
      </w:hyperlink>
    </w:p>
    <w:p w14:paraId="4E5579A2" w14:textId="77777777" w:rsidR="00E956C2" w:rsidRDefault="00E956C2" w:rsidP="00E956C2">
      <w:pPr>
        <w:pStyle w:val="NormalWeb"/>
        <w:spacing w:line="360" w:lineRule="auto"/>
        <w:ind w:left="720"/>
      </w:pPr>
    </w:p>
    <w:p w14:paraId="402828B9" w14:textId="77777777" w:rsidR="00E956C2" w:rsidRDefault="00E956C2" w:rsidP="00E956C2">
      <w:pPr>
        <w:pStyle w:val="NormalWeb"/>
        <w:ind w:left="720"/>
      </w:pPr>
    </w:p>
    <w:p w14:paraId="5FAF181F" w14:textId="77777777" w:rsidR="00E956C2" w:rsidRPr="00B118CF" w:rsidRDefault="00E956C2" w:rsidP="00E956C2">
      <w:pPr>
        <w:spacing w:line="276" w:lineRule="auto"/>
        <w:jc w:val="both"/>
        <w:rPr>
          <w:rFonts w:ascii="Times New Roman" w:hAnsi="Times New Roman" w:cs="Times New Roman"/>
          <w:color w:val="000000" w:themeColor="text1"/>
        </w:rPr>
      </w:pPr>
    </w:p>
    <w:p w14:paraId="5B3D5213" w14:textId="77777777" w:rsidR="00E956C2" w:rsidRDefault="00E956C2" w:rsidP="00E956C2"/>
    <w:p w14:paraId="2E6F2E0B" w14:textId="77777777" w:rsidR="00E956C2" w:rsidRDefault="00E956C2"/>
    <w:p w14:paraId="00461ABD" w14:textId="77777777" w:rsidR="00E956C2" w:rsidRDefault="00E956C2" w:rsidP="00E956C2">
      <w:pPr>
        <w:pStyle w:val="NormalWeb"/>
        <w:spacing w:line="360" w:lineRule="auto"/>
        <w:jc w:val="center"/>
        <w:rPr>
          <w:b/>
          <w:bCs/>
          <w:color w:val="4472C4" w:themeColor="accent1"/>
          <w:sz w:val="28"/>
          <w:szCs w:val="28"/>
          <w:u w:val="single"/>
        </w:rPr>
      </w:pPr>
      <w:r w:rsidRPr="005A6187">
        <w:rPr>
          <w:b/>
          <w:bCs/>
          <w:color w:val="4472C4" w:themeColor="accent1"/>
          <w:sz w:val="28"/>
          <w:szCs w:val="28"/>
          <w:u w:val="single"/>
        </w:rPr>
        <w:lastRenderedPageBreak/>
        <w:t>Glossary</w:t>
      </w:r>
    </w:p>
    <w:p w14:paraId="1C7C706C" w14:textId="77777777" w:rsidR="00E956C2" w:rsidRDefault="00E956C2" w:rsidP="00E956C2">
      <w:pPr>
        <w:pStyle w:val="NormalWeb"/>
        <w:numPr>
          <w:ilvl w:val="0"/>
          <w:numId w:val="21"/>
        </w:numPr>
        <w:spacing w:line="480" w:lineRule="auto"/>
        <w:jc w:val="both"/>
        <w:rPr>
          <w:color w:val="000000" w:themeColor="text1"/>
        </w:rPr>
      </w:pPr>
      <w:r w:rsidRPr="00894E1C">
        <w:rPr>
          <w:color w:val="000000" w:themeColor="text1"/>
        </w:rPr>
        <w:t>Undergraduate</w:t>
      </w:r>
      <w:r>
        <w:rPr>
          <w:color w:val="000000" w:themeColor="text1"/>
        </w:rPr>
        <w:t>: a</w:t>
      </w:r>
      <w:r w:rsidRPr="00894E1C">
        <w:rPr>
          <w:color w:val="000000" w:themeColor="text1"/>
        </w:rPr>
        <w:t xml:space="preserve"> student at university who is not yet enrolled in their first degree</w:t>
      </w:r>
    </w:p>
    <w:p w14:paraId="6CF195B5" w14:textId="77777777" w:rsidR="00E956C2" w:rsidRDefault="00E956C2" w:rsidP="00E956C2">
      <w:pPr>
        <w:pStyle w:val="NormalWeb"/>
        <w:numPr>
          <w:ilvl w:val="0"/>
          <w:numId w:val="21"/>
        </w:numPr>
        <w:spacing w:line="480" w:lineRule="auto"/>
        <w:jc w:val="both"/>
        <w:rPr>
          <w:color w:val="000000" w:themeColor="text1"/>
        </w:rPr>
      </w:pPr>
      <w:r>
        <w:rPr>
          <w:color w:val="000000" w:themeColor="text1"/>
        </w:rPr>
        <w:t xml:space="preserve">Solely: </w:t>
      </w:r>
      <w:r w:rsidRPr="00894E1C">
        <w:rPr>
          <w:color w:val="000000" w:themeColor="text1"/>
        </w:rPr>
        <w:t>without reference to anyone or anything else</w:t>
      </w:r>
    </w:p>
    <w:p w14:paraId="0B092B01" w14:textId="77777777" w:rsidR="00E956C2" w:rsidRDefault="00E956C2" w:rsidP="00E956C2">
      <w:pPr>
        <w:pStyle w:val="NormalWeb"/>
        <w:numPr>
          <w:ilvl w:val="0"/>
          <w:numId w:val="21"/>
        </w:numPr>
        <w:spacing w:line="480" w:lineRule="auto"/>
        <w:jc w:val="both"/>
        <w:rPr>
          <w:color w:val="000000" w:themeColor="text1"/>
        </w:rPr>
      </w:pPr>
      <w:r>
        <w:rPr>
          <w:color w:val="000000" w:themeColor="text1"/>
        </w:rPr>
        <w:t xml:space="preserve">Specialized: </w:t>
      </w:r>
      <w:r w:rsidRPr="00894E1C">
        <w:rPr>
          <w:color w:val="000000" w:themeColor="text1"/>
        </w:rPr>
        <w:t>involving or requiring detailed and specific training</w:t>
      </w:r>
    </w:p>
    <w:p w14:paraId="79C38EB7" w14:textId="77777777" w:rsidR="00E956C2" w:rsidRDefault="00E956C2" w:rsidP="00E956C2">
      <w:pPr>
        <w:pStyle w:val="NormalWeb"/>
        <w:numPr>
          <w:ilvl w:val="0"/>
          <w:numId w:val="21"/>
        </w:numPr>
        <w:spacing w:line="480" w:lineRule="auto"/>
        <w:jc w:val="both"/>
        <w:rPr>
          <w:color w:val="000000" w:themeColor="text1"/>
        </w:rPr>
      </w:pPr>
      <w:r>
        <w:rPr>
          <w:color w:val="000000" w:themeColor="text1"/>
        </w:rPr>
        <w:t>Demonstrate:</w:t>
      </w:r>
      <w:r w:rsidRPr="00894E1C">
        <w:t xml:space="preserve"> </w:t>
      </w:r>
      <w:r w:rsidRPr="00894E1C">
        <w:rPr>
          <w:color w:val="000000" w:themeColor="text1"/>
        </w:rPr>
        <w:t>show and clarify in practice how something works</w:t>
      </w:r>
    </w:p>
    <w:p w14:paraId="5E46FC03" w14:textId="77777777" w:rsidR="00E956C2" w:rsidRDefault="00E956C2" w:rsidP="00E956C2">
      <w:pPr>
        <w:pStyle w:val="NormalWeb"/>
        <w:numPr>
          <w:ilvl w:val="0"/>
          <w:numId w:val="21"/>
        </w:numPr>
        <w:spacing w:line="480" w:lineRule="auto"/>
        <w:jc w:val="both"/>
        <w:rPr>
          <w:color w:val="000000" w:themeColor="text1"/>
        </w:rPr>
      </w:pPr>
      <w:r>
        <w:rPr>
          <w:color w:val="000000" w:themeColor="text1"/>
        </w:rPr>
        <w:t>Non-Performing Loans:</w:t>
      </w:r>
      <w:r w:rsidRPr="00894E1C">
        <w:t xml:space="preserve"> </w:t>
      </w:r>
      <w:r>
        <w:rPr>
          <w:color w:val="000000" w:themeColor="text1"/>
        </w:rPr>
        <w:t>a</w:t>
      </w:r>
      <w:r w:rsidRPr="00894E1C">
        <w:rPr>
          <w:color w:val="000000" w:themeColor="text1"/>
        </w:rPr>
        <w:t>n amount of borrowed funds on which the borrower has missed one or more of the scheduled payments for an extended period of time, typically 90 or 180 days</w:t>
      </w:r>
    </w:p>
    <w:p w14:paraId="643EF0E7" w14:textId="77777777" w:rsidR="00E956C2" w:rsidRDefault="00E956C2" w:rsidP="00E956C2">
      <w:pPr>
        <w:pStyle w:val="NormalWeb"/>
        <w:numPr>
          <w:ilvl w:val="0"/>
          <w:numId w:val="21"/>
        </w:numPr>
        <w:spacing w:line="480" w:lineRule="auto"/>
        <w:jc w:val="both"/>
        <w:rPr>
          <w:color w:val="000000" w:themeColor="text1"/>
        </w:rPr>
      </w:pPr>
      <w:r>
        <w:rPr>
          <w:color w:val="000000" w:themeColor="text1"/>
        </w:rPr>
        <w:t xml:space="preserve">Utilization: </w:t>
      </w:r>
      <w:r w:rsidRPr="00894E1C">
        <w:rPr>
          <w:color w:val="000000" w:themeColor="text1"/>
        </w:rPr>
        <w:t>the act of using something in a useful and efficient manner</w:t>
      </w:r>
    </w:p>
    <w:p w14:paraId="5DACCABF" w14:textId="77777777" w:rsidR="00E956C2" w:rsidRDefault="00E956C2" w:rsidP="00E956C2">
      <w:pPr>
        <w:pStyle w:val="NormalWeb"/>
        <w:numPr>
          <w:ilvl w:val="0"/>
          <w:numId w:val="21"/>
        </w:numPr>
        <w:spacing w:line="480" w:lineRule="auto"/>
        <w:jc w:val="both"/>
        <w:rPr>
          <w:color w:val="000000" w:themeColor="text1"/>
        </w:rPr>
      </w:pPr>
      <w:r>
        <w:rPr>
          <w:color w:val="000000" w:themeColor="text1"/>
        </w:rPr>
        <w:t xml:space="preserve">Resilient: </w:t>
      </w:r>
      <w:r w:rsidRPr="00894E1C">
        <w:rPr>
          <w:color w:val="000000" w:themeColor="text1"/>
        </w:rPr>
        <w:t>capable of enduring or quickly recovering from challenging circumstances</w:t>
      </w:r>
    </w:p>
    <w:p w14:paraId="48EAF2C1" w14:textId="77777777" w:rsidR="00E956C2" w:rsidRDefault="00E956C2" w:rsidP="00E956C2">
      <w:pPr>
        <w:pStyle w:val="NormalWeb"/>
        <w:numPr>
          <w:ilvl w:val="0"/>
          <w:numId w:val="21"/>
        </w:numPr>
        <w:spacing w:line="480" w:lineRule="auto"/>
        <w:jc w:val="both"/>
        <w:rPr>
          <w:color w:val="000000" w:themeColor="text1"/>
        </w:rPr>
      </w:pPr>
      <w:r>
        <w:rPr>
          <w:color w:val="000000" w:themeColor="text1"/>
        </w:rPr>
        <w:t>Bankrupt:</w:t>
      </w:r>
      <w:r w:rsidRPr="00894E1C">
        <w:t xml:space="preserve"> </w:t>
      </w:r>
      <w:r w:rsidRPr="00894E1C">
        <w:rPr>
          <w:color w:val="000000" w:themeColor="text1"/>
        </w:rPr>
        <w:t>a person or group that has been legally declared unable to pay their debts</w:t>
      </w:r>
    </w:p>
    <w:p w14:paraId="786FA921" w14:textId="77777777" w:rsidR="00E956C2" w:rsidRDefault="00E956C2" w:rsidP="00E956C2">
      <w:pPr>
        <w:pStyle w:val="NormalWeb"/>
        <w:numPr>
          <w:ilvl w:val="0"/>
          <w:numId w:val="21"/>
        </w:numPr>
        <w:spacing w:line="480" w:lineRule="auto"/>
        <w:jc w:val="both"/>
        <w:rPr>
          <w:color w:val="000000" w:themeColor="text1"/>
        </w:rPr>
      </w:pPr>
      <w:r>
        <w:rPr>
          <w:color w:val="000000" w:themeColor="text1"/>
        </w:rPr>
        <w:t>Installment: a</w:t>
      </w:r>
      <w:r w:rsidRPr="00894E1C">
        <w:rPr>
          <w:color w:val="000000" w:themeColor="text1"/>
        </w:rPr>
        <w:t>n amount of money that must be paid as one of many equal installments spread over a specified period of time</w:t>
      </w:r>
    </w:p>
    <w:p w14:paraId="6EB86114" w14:textId="77777777" w:rsidR="00E956C2" w:rsidRDefault="00E956C2" w:rsidP="00E956C2">
      <w:pPr>
        <w:pStyle w:val="NormalWeb"/>
        <w:numPr>
          <w:ilvl w:val="0"/>
          <w:numId w:val="21"/>
        </w:numPr>
        <w:spacing w:line="480" w:lineRule="auto"/>
        <w:jc w:val="both"/>
        <w:rPr>
          <w:color w:val="000000" w:themeColor="text1"/>
        </w:rPr>
      </w:pPr>
      <w:r>
        <w:rPr>
          <w:color w:val="000000" w:themeColor="text1"/>
        </w:rPr>
        <w:t xml:space="preserve">Component: </w:t>
      </w:r>
      <w:r w:rsidRPr="00894E1C">
        <w:rPr>
          <w:color w:val="000000" w:themeColor="text1"/>
        </w:rPr>
        <w:t>An element or part of a wider whole</w:t>
      </w:r>
    </w:p>
    <w:p w14:paraId="3271337A" w14:textId="77777777" w:rsidR="00E956C2" w:rsidRDefault="00E956C2" w:rsidP="00E956C2">
      <w:pPr>
        <w:pStyle w:val="NormalWeb"/>
        <w:numPr>
          <w:ilvl w:val="0"/>
          <w:numId w:val="21"/>
        </w:numPr>
        <w:spacing w:line="480" w:lineRule="auto"/>
        <w:jc w:val="both"/>
        <w:rPr>
          <w:color w:val="000000" w:themeColor="text1"/>
        </w:rPr>
      </w:pPr>
      <w:r>
        <w:rPr>
          <w:color w:val="000000" w:themeColor="text1"/>
        </w:rPr>
        <w:t xml:space="preserve">Insolvency: </w:t>
      </w:r>
      <w:r w:rsidRPr="00894E1C">
        <w:rPr>
          <w:color w:val="000000" w:themeColor="text1"/>
        </w:rPr>
        <w:t>the condition of being bankrupt</w:t>
      </w:r>
    </w:p>
    <w:p w14:paraId="3BD0A8DC" w14:textId="77777777" w:rsidR="00E956C2" w:rsidRDefault="00E956C2" w:rsidP="00E956C2">
      <w:pPr>
        <w:pStyle w:val="NormalWeb"/>
        <w:numPr>
          <w:ilvl w:val="0"/>
          <w:numId w:val="21"/>
        </w:numPr>
        <w:spacing w:line="480" w:lineRule="auto"/>
        <w:jc w:val="both"/>
        <w:rPr>
          <w:color w:val="000000" w:themeColor="text1"/>
        </w:rPr>
      </w:pPr>
      <w:r>
        <w:rPr>
          <w:color w:val="000000" w:themeColor="text1"/>
        </w:rPr>
        <w:t xml:space="preserve">Convincingly: </w:t>
      </w:r>
      <w:r w:rsidRPr="00894E1C">
        <w:rPr>
          <w:color w:val="000000" w:themeColor="text1"/>
        </w:rPr>
        <w:t>in a way that makes somebody think something is real or true.</w:t>
      </w:r>
    </w:p>
    <w:p w14:paraId="4EEADC15" w14:textId="77777777" w:rsidR="00E956C2" w:rsidRPr="005A6187" w:rsidRDefault="00E956C2" w:rsidP="00E956C2">
      <w:pPr>
        <w:pStyle w:val="NormalWeb"/>
        <w:numPr>
          <w:ilvl w:val="0"/>
          <w:numId w:val="21"/>
        </w:numPr>
        <w:spacing w:line="480" w:lineRule="auto"/>
        <w:jc w:val="both"/>
        <w:rPr>
          <w:color w:val="000000" w:themeColor="text1"/>
        </w:rPr>
      </w:pPr>
      <w:r>
        <w:rPr>
          <w:color w:val="000000" w:themeColor="text1"/>
        </w:rPr>
        <w:t xml:space="preserve">Deterioration: </w:t>
      </w:r>
      <w:r w:rsidRPr="007D7F35">
        <w:rPr>
          <w:color w:val="000000" w:themeColor="text1"/>
        </w:rPr>
        <w:t>the process of getting worse over time.</w:t>
      </w:r>
    </w:p>
    <w:p w14:paraId="2309FB81" w14:textId="77777777" w:rsidR="00E956C2" w:rsidRDefault="00E956C2" w:rsidP="00E956C2"/>
    <w:p w14:paraId="0FE3C767" w14:textId="25C438F9" w:rsidR="00E956C2" w:rsidRDefault="00DD6CE4">
      <w:r>
        <w:t xml:space="preserve"> </w:t>
      </w:r>
    </w:p>
    <w:sectPr w:rsidR="00E956C2" w:rsidSect="00B52F29">
      <w:pgSz w:w="12240" w:h="15840"/>
      <w:pgMar w:top="1440" w:right="1440" w:bottom="1440" w:left="1440" w:header="720" w:footer="720" w:gutter="0"/>
      <w:pgNumType w:fmt="upperLetter"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2D4C4" w14:textId="77777777" w:rsidR="00C45DA0" w:rsidRDefault="00C45DA0" w:rsidP="00BD4067">
      <w:pPr>
        <w:spacing w:after="0" w:line="240" w:lineRule="auto"/>
      </w:pPr>
      <w:r>
        <w:separator/>
      </w:r>
    </w:p>
  </w:endnote>
  <w:endnote w:type="continuationSeparator" w:id="0">
    <w:p w14:paraId="243915CE" w14:textId="77777777" w:rsidR="00C45DA0" w:rsidRDefault="00C45DA0" w:rsidP="00BD4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205165"/>
      <w:docPartObj>
        <w:docPartGallery w:val="Page Numbers (Bottom of Page)"/>
        <w:docPartUnique/>
      </w:docPartObj>
    </w:sdtPr>
    <w:sdtEndPr>
      <w:rPr>
        <w:noProof/>
      </w:rPr>
    </w:sdtEndPr>
    <w:sdtContent>
      <w:p w14:paraId="21BA9968" w14:textId="03F4EE73" w:rsidR="0036570C" w:rsidRDefault="0036570C">
        <w:pPr>
          <w:pStyle w:val="Footer"/>
          <w:jc w:val="right"/>
        </w:pPr>
        <w:r>
          <w:fldChar w:fldCharType="begin"/>
        </w:r>
        <w:r>
          <w:instrText xml:space="preserve"> PAGE   \* MERGEFORMAT </w:instrText>
        </w:r>
        <w:r>
          <w:fldChar w:fldCharType="separate"/>
        </w:r>
        <w:r w:rsidR="00C91B66">
          <w:rPr>
            <w:noProof/>
          </w:rPr>
          <w:t>B</w:t>
        </w:r>
        <w:r>
          <w:rPr>
            <w:noProof/>
          </w:rPr>
          <w:fldChar w:fldCharType="end"/>
        </w:r>
      </w:p>
    </w:sdtContent>
  </w:sdt>
  <w:p w14:paraId="19D41E71" w14:textId="77777777" w:rsidR="0036570C" w:rsidRDefault="003657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ABAF4" w14:textId="77777777" w:rsidR="00C45DA0" w:rsidRDefault="00C45DA0" w:rsidP="00BD4067">
      <w:pPr>
        <w:spacing w:after="0" w:line="240" w:lineRule="auto"/>
      </w:pPr>
      <w:r>
        <w:separator/>
      </w:r>
    </w:p>
  </w:footnote>
  <w:footnote w:type="continuationSeparator" w:id="0">
    <w:p w14:paraId="59EF3C26" w14:textId="77777777" w:rsidR="00C45DA0" w:rsidRDefault="00C45DA0" w:rsidP="00BD40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15093"/>
    <w:multiLevelType w:val="hybridMultilevel"/>
    <w:tmpl w:val="E97AA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3256B2"/>
    <w:multiLevelType w:val="hybridMultilevel"/>
    <w:tmpl w:val="876A9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993011"/>
    <w:multiLevelType w:val="hybridMultilevel"/>
    <w:tmpl w:val="58E2364E"/>
    <w:lvl w:ilvl="0" w:tplc="08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0EF20258"/>
    <w:multiLevelType w:val="hybridMultilevel"/>
    <w:tmpl w:val="E00E1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D91F49"/>
    <w:multiLevelType w:val="hybridMultilevel"/>
    <w:tmpl w:val="DC20762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680BA8"/>
    <w:multiLevelType w:val="hybridMultilevel"/>
    <w:tmpl w:val="AC247B7E"/>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DCF35AB"/>
    <w:multiLevelType w:val="hybridMultilevel"/>
    <w:tmpl w:val="1B10890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F406D5"/>
    <w:multiLevelType w:val="hybridMultilevel"/>
    <w:tmpl w:val="A608E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4C7218D"/>
    <w:multiLevelType w:val="hybridMultilevel"/>
    <w:tmpl w:val="BCEEA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2E5589"/>
    <w:multiLevelType w:val="hybridMultilevel"/>
    <w:tmpl w:val="71401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5F37636"/>
    <w:multiLevelType w:val="hybridMultilevel"/>
    <w:tmpl w:val="89CA8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592717"/>
    <w:multiLevelType w:val="hybridMultilevel"/>
    <w:tmpl w:val="915E6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9860C27"/>
    <w:multiLevelType w:val="hybridMultilevel"/>
    <w:tmpl w:val="AD96E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0F1970"/>
    <w:multiLevelType w:val="hybridMultilevel"/>
    <w:tmpl w:val="1A0452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2B03D7"/>
    <w:multiLevelType w:val="hybridMultilevel"/>
    <w:tmpl w:val="E3F86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C3555F5"/>
    <w:multiLevelType w:val="hybridMultilevel"/>
    <w:tmpl w:val="B83C6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593ED2"/>
    <w:multiLevelType w:val="hybridMultilevel"/>
    <w:tmpl w:val="73F4E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7C02CF"/>
    <w:multiLevelType w:val="hybridMultilevel"/>
    <w:tmpl w:val="CC9E8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5A553E"/>
    <w:multiLevelType w:val="hybridMultilevel"/>
    <w:tmpl w:val="E32CA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8674EA3"/>
    <w:multiLevelType w:val="hybridMultilevel"/>
    <w:tmpl w:val="1BD88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3F407A"/>
    <w:multiLevelType w:val="hybridMultilevel"/>
    <w:tmpl w:val="9E70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1"/>
  </w:num>
  <w:num w:numId="4">
    <w:abstractNumId w:val="2"/>
  </w:num>
  <w:num w:numId="5">
    <w:abstractNumId w:val="4"/>
  </w:num>
  <w:num w:numId="6">
    <w:abstractNumId w:val="5"/>
  </w:num>
  <w:num w:numId="7">
    <w:abstractNumId w:val="6"/>
  </w:num>
  <w:num w:numId="8">
    <w:abstractNumId w:val="10"/>
  </w:num>
  <w:num w:numId="9">
    <w:abstractNumId w:val="17"/>
  </w:num>
  <w:num w:numId="10">
    <w:abstractNumId w:val="0"/>
  </w:num>
  <w:num w:numId="11">
    <w:abstractNumId w:val="8"/>
  </w:num>
  <w:num w:numId="12">
    <w:abstractNumId w:val="1"/>
  </w:num>
  <w:num w:numId="13">
    <w:abstractNumId w:val="18"/>
  </w:num>
  <w:num w:numId="14">
    <w:abstractNumId w:val="16"/>
  </w:num>
  <w:num w:numId="15">
    <w:abstractNumId w:val="13"/>
  </w:num>
  <w:num w:numId="16">
    <w:abstractNumId w:val="20"/>
  </w:num>
  <w:num w:numId="17">
    <w:abstractNumId w:val="15"/>
  </w:num>
  <w:num w:numId="18">
    <w:abstractNumId w:val="9"/>
  </w:num>
  <w:num w:numId="19">
    <w:abstractNumId w:val="14"/>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70C"/>
    <w:rsid w:val="00270EFB"/>
    <w:rsid w:val="002F4FE1"/>
    <w:rsid w:val="0036570C"/>
    <w:rsid w:val="005F4AF4"/>
    <w:rsid w:val="0088370C"/>
    <w:rsid w:val="008D2BA6"/>
    <w:rsid w:val="00B52F29"/>
    <w:rsid w:val="00B933E5"/>
    <w:rsid w:val="00BD4067"/>
    <w:rsid w:val="00C44204"/>
    <w:rsid w:val="00C45DA0"/>
    <w:rsid w:val="00C91B66"/>
    <w:rsid w:val="00DD6CE4"/>
    <w:rsid w:val="00E306DD"/>
    <w:rsid w:val="00E95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E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EFB"/>
    <w:rPr>
      <w:kern w:val="0"/>
      <w14:ligatures w14:val="none"/>
    </w:rPr>
  </w:style>
  <w:style w:type="paragraph" w:styleId="Heading1">
    <w:name w:val="heading 1"/>
    <w:basedOn w:val="Normal"/>
    <w:next w:val="Normal"/>
    <w:link w:val="Heading1Char"/>
    <w:uiPriority w:val="9"/>
    <w:qFormat/>
    <w:rsid w:val="002F4F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
    <w:name w:val="Grid Table 4"/>
    <w:basedOn w:val="TableNormal"/>
    <w:uiPriority w:val="49"/>
    <w:rsid w:val="008D2BA6"/>
    <w:pPr>
      <w:spacing w:after="0" w:line="240" w:lineRule="auto"/>
    </w:pPr>
    <w:rPr>
      <w:kern w:val="0"/>
      <w14:ligatures w14:val="none"/>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2F4F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F4FE1"/>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2F4FE1"/>
    <w:pPr>
      <w:outlineLvl w:val="9"/>
    </w:pPr>
  </w:style>
  <w:style w:type="paragraph" w:styleId="TOC2">
    <w:name w:val="toc 2"/>
    <w:basedOn w:val="Normal"/>
    <w:next w:val="Normal"/>
    <w:autoRedefine/>
    <w:uiPriority w:val="39"/>
    <w:unhideWhenUsed/>
    <w:rsid w:val="002F4FE1"/>
    <w:pPr>
      <w:spacing w:after="100"/>
      <w:ind w:left="220"/>
    </w:pPr>
    <w:rPr>
      <w:rFonts w:eastAsiaTheme="minorEastAsia" w:cs="Times New Roman"/>
    </w:rPr>
  </w:style>
  <w:style w:type="paragraph" w:styleId="TOC1">
    <w:name w:val="toc 1"/>
    <w:basedOn w:val="Normal"/>
    <w:next w:val="Normal"/>
    <w:autoRedefine/>
    <w:uiPriority w:val="39"/>
    <w:unhideWhenUsed/>
    <w:rsid w:val="002F4FE1"/>
    <w:pPr>
      <w:spacing w:after="100"/>
    </w:pPr>
    <w:rPr>
      <w:rFonts w:eastAsiaTheme="minorEastAsia" w:cs="Times New Roman"/>
    </w:rPr>
  </w:style>
  <w:style w:type="paragraph" w:styleId="ListParagraph">
    <w:name w:val="List Paragraph"/>
    <w:basedOn w:val="Normal"/>
    <w:uiPriority w:val="34"/>
    <w:qFormat/>
    <w:rsid w:val="00E956C2"/>
    <w:pPr>
      <w:ind w:left="720"/>
      <w:contextualSpacing/>
    </w:pPr>
  </w:style>
  <w:style w:type="paragraph" w:styleId="Header">
    <w:name w:val="header"/>
    <w:basedOn w:val="Normal"/>
    <w:link w:val="HeaderChar"/>
    <w:uiPriority w:val="99"/>
    <w:unhideWhenUsed/>
    <w:rsid w:val="00E95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6C2"/>
    <w:rPr>
      <w:kern w:val="0"/>
      <w14:ligatures w14:val="none"/>
    </w:rPr>
  </w:style>
  <w:style w:type="paragraph" w:styleId="Footer">
    <w:name w:val="footer"/>
    <w:basedOn w:val="Normal"/>
    <w:link w:val="FooterChar"/>
    <w:uiPriority w:val="99"/>
    <w:unhideWhenUsed/>
    <w:rsid w:val="00E95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6C2"/>
    <w:rPr>
      <w:kern w:val="0"/>
      <w14:ligatures w14:val="none"/>
    </w:rPr>
  </w:style>
  <w:style w:type="table" w:styleId="TableGrid">
    <w:name w:val="Table Grid"/>
    <w:basedOn w:val="TableNormal"/>
    <w:uiPriority w:val="39"/>
    <w:rsid w:val="00E956C2"/>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E956C2"/>
    <w:pPr>
      <w:spacing w:after="0" w:line="240" w:lineRule="auto"/>
    </w:pPr>
    <w:rPr>
      <w:kern w:val="0"/>
      <w14:ligatures w14:val="none"/>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1">
    <w:name w:val="Grid Table 5 Dark Accent 1"/>
    <w:basedOn w:val="TableNormal"/>
    <w:uiPriority w:val="50"/>
    <w:rsid w:val="00E956C2"/>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3">
    <w:name w:val="Grid Table 5 Dark Accent 3"/>
    <w:basedOn w:val="TableNormal"/>
    <w:uiPriority w:val="50"/>
    <w:rsid w:val="00E956C2"/>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6Colorful">
    <w:name w:val="Grid Table 6 Colorful"/>
    <w:basedOn w:val="TableNormal"/>
    <w:uiPriority w:val="51"/>
    <w:rsid w:val="00E956C2"/>
    <w:pPr>
      <w:spacing w:after="0" w:line="240" w:lineRule="auto"/>
    </w:pPr>
    <w:rPr>
      <w:color w:val="000000" w:themeColor="text1"/>
      <w:kern w:val="0"/>
      <w14:ligatures w14:val="none"/>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6">
    <w:name w:val="Grid Table 5 Dark Accent 6"/>
    <w:basedOn w:val="TableNormal"/>
    <w:uiPriority w:val="50"/>
    <w:rsid w:val="00E956C2"/>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
    <w:name w:val="Grid Table 5 Dark"/>
    <w:basedOn w:val="TableNormal"/>
    <w:uiPriority w:val="50"/>
    <w:rsid w:val="00E956C2"/>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5">
    <w:name w:val="Grid Table 5 Dark Accent 5"/>
    <w:basedOn w:val="TableNormal"/>
    <w:uiPriority w:val="50"/>
    <w:rsid w:val="00E956C2"/>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Hyperlink">
    <w:name w:val="Hyperlink"/>
    <w:basedOn w:val="DefaultParagraphFont"/>
    <w:uiPriority w:val="99"/>
    <w:unhideWhenUsed/>
    <w:rsid w:val="00E956C2"/>
    <w:rPr>
      <w:color w:val="0000FF"/>
      <w:u w:val="single"/>
    </w:rPr>
  </w:style>
  <w:style w:type="paragraph" w:styleId="BalloonText">
    <w:name w:val="Balloon Text"/>
    <w:basedOn w:val="Normal"/>
    <w:link w:val="BalloonTextChar"/>
    <w:uiPriority w:val="99"/>
    <w:semiHidden/>
    <w:unhideWhenUsed/>
    <w:rsid w:val="003657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570C"/>
    <w:rPr>
      <w:rFonts w:ascii="Tahoma"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EFB"/>
    <w:rPr>
      <w:kern w:val="0"/>
      <w14:ligatures w14:val="none"/>
    </w:rPr>
  </w:style>
  <w:style w:type="paragraph" w:styleId="Heading1">
    <w:name w:val="heading 1"/>
    <w:basedOn w:val="Normal"/>
    <w:next w:val="Normal"/>
    <w:link w:val="Heading1Char"/>
    <w:uiPriority w:val="9"/>
    <w:qFormat/>
    <w:rsid w:val="002F4F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
    <w:name w:val="Grid Table 4"/>
    <w:basedOn w:val="TableNormal"/>
    <w:uiPriority w:val="49"/>
    <w:rsid w:val="008D2BA6"/>
    <w:pPr>
      <w:spacing w:after="0" w:line="240" w:lineRule="auto"/>
    </w:pPr>
    <w:rPr>
      <w:kern w:val="0"/>
      <w14:ligatures w14:val="none"/>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2F4F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F4FE1"/>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2F4FE1"/>
    <w:pPr>
      <w:outlineLvl w:val="9"/>
    </w:pPr>
  </w:style>
  <w:style w:type="paragraph" w:styleId="TOC2">
    <w:name w:val="toc 2"/>
    <w:basedOn w:val="Normal"/>
    <w:next w:val="Normal"/>
    <w:autoRedefine/>
    <w:uiPriority w:val="39"/>
    <w:unhideWhenUsed/>
    <w:rsid w:val="002F4FE1"/>
    <w:pPr>
      <w:spacing w:after="100"/>
      <w:ind w:left="220"/>
    </w:pPr>
    <w:rPr>
      <w:rFonts w:eastAsiaTheme="minorEastAsia" w:cs="Times New Roman"/>
    </w:rPr>
  </w:style>
  <w:style w:type="paragraph" w:styleId="TOC1">
    <w:name w:val="toc 1"/>
    <w:basedOn w:val="Normal"/>
    <w:next w:val="Normal"/>
    <w:autoRedefine/>
    <w:uiPriority w:val="39"/>
    <w:unhideWhenUsed/>
    <w:rsid w:val="002F4FE1"/>
    <w:pPr>
      <w:spacing w:after="100"/>
    </w:pPr>
    <w:rPr>
      <w:rFonts w:eastAsiaTheme="minorEastAsia" w:cs="Times New Roman"/>
    </w:rPr>
  </w:style>
  <w:style w:type="paragraph" w:styleId="ListParagraph">
    <w:name w:val="List Paragraph"/>
    <w:basedOn w:val="Normal"/>
    <w:uiPriority w:val="34"/>
    <w:qFormat/>
    <w:rsid w:val="00E956C2"/>
    <w:pPr>
      <w:ind w:left="720"/>
      <w:contextualSpacing/>
    </w:pPr>
  </w:style>
  <w:style w:type="paragraph" w:styleId="Header">
    <w:name w:val="header"/>
    <w:basedOn w:val="Normal"/>
    <w:link w:val="HeaderChar"/>
    <w:uiPriority w:val="99"/>
    <w:unhideWhenUsed/>
    <w:rsid w:val="00E956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6C2"/>
    <w:rPr>
      <w:kern w:val="0"/>
      <w14:ligatures w14:val="none"/>
    </w:rPr>
  </w:style>
  <w:style w:type="paragraph" w:styleId="Footer">
    <w:name w:val="footer"/>
    <w:basedOn w:val="Normal"/>
    <w:link w:val="FooterChar"/>
    <w:uiPriority w:val="99"/>
    <w:unhideWhenUsed/>
    <w:rsid w:val="00E956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6C2"/>
    <w:rPr>
      <w:kern w:val="0"/>
      <w14:ligatures w14:val="none"/>
    </w:rPr>
  </w:style>
  <w:style w:type="table" w:styleId="TableGrid">
    <w:name w:val="Table Grid"/>
    <w:basedOn w:val="TableNormal"/>
    <w:uiPriority w:val="39"/>
    <w:rsid w:val="00E956C2"/>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Normal"/>
    <w:uiPriority w:val="41"/>
    <w:rsid w:val="00E956C2"/>
    <w:pPr>
      <w:spacing w:after="0" w:line="240" w:lineRule="auto"/>
    </w:pPr>
    <w:rPr>
      <w:kern w:val="0"/>
      <w14:ligatures w14:val="none"/>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1">
    <w:name w:val="Grid Table 5 Dark Accent 1"/>
    <w:basedOn w:val="TableNormal"/>
    <w:uiPriority w:val="50"/>
    <w:rsid w:val="00E956C2"/>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3">
    <w:name w:val="Grid Table 5 Dark Accent 3"/>
    <w:basedOn w:val="TableNormal"/>
    <w:uiPriority w:val="50"/>
    <w:rsid w:val="00E956C2"/>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6Colorful">
    <w:name w:val="Grid Table 6 Colorful"/>
    <w:basedOn w:val="TableNormal"/>
    <w:uiPriority w:val="51"/>
    <w:rsid w:val="00E956C2"/>
    <w:pPr>
      <w:spacing w:after="0" w:line="240" w:lineRule="auto"/>
    </w:pPr>
    <w:rPr>
      <w:color w:val="000000" w:themeColor="text1"/>
      <w:kern w:val="0"/>
      <w14:ligatures w14:val="none"/>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6">
    <w:name w:val="Grid Table 5 Dark Accent 6"/>
    <w:basedOn w:val="TableNormal"/>
    <w:uiPriority w:val="50"/>
    <w:rsid w:val="00E956C2"/>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
    <w:name w:val="Grid Table 5 Dark"/>
    <w:basedOn w:val="TableNormal"/>
    <w:uiPriority w:val="50"/>
    <w:rsid w:val="00E956C2"/>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5">
    <w:name w:val="Grid Table 5 Dark Accent 5"/>
    <w:basedOn w:val="TableNormal"/>
    <w:uiPriority w:val="50"/>
    <w:rsid w:val="00E956C2"/>
    <w:pPr>
      <w:spacing w:after="0" w:line="240" w:lineRule="auto"/>
    </w:pPr>
    <w:rPr>
      <w:kern w:val="0"/>
      <w14:ligatures w14:val="none"/>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Hyperlink">
    <w:name w:val="Hyperlink"/>
    <w:basedOn w:val="DefaultParagraphFont"/>
    <w:uiPriority w:val="99"/>
    <w:unhideWhenUsed/>
    <w:rsid w:val="00E956C2"/>
    <w:rPr>
      <w:color w:val="0000FF"/>
      <w:u w:val="single"/>
    </w:rPr>
  </w:style>
  <w:style w:type="paragraph" w:styleId="BalloonText">
    <w:name w:val="Balloon Text"/>
    <w:basedOn w:val="Normal"/>
    <w:link w:val="BalloonTextChar"/>
    <w:uiPriority w:val="99"/>
    <w:semiHidden/>
    <w:unhideWhenUsed/>
    <w:rsid w:val="003657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570C"/>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23.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hyperlink" Target="https://en.wikipedia.org/wiki/The_City_Bank"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hyperlink" Target="https://www.thecitybank.com/report/annualreports"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hyperlink" Target="http://www.dhakatribune.com/business/banks/2021/12/30/not-a-great-year-but-not-a-bad-one-either-for-banking" TargetMode="External"/><Relationship Id="rId10" Type="http://schemas.openxmlformats.org/officeDocument/2006/relationships/image" Target="media/image2.png"/><Relationship Id="rId19" Type="http://schemas.openxmlformats.org/officeDocument/2006/relationships/chart" Target="charts/chart8.xml"/><Relationship Id="rId31" Type="http://schemas.openxmlformats.org/officeDocument/2006/relationships/chart" Target="charts/chart20.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Internship%20Report\Historical%20Performance%20of%20CB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Graphs!$A$54</c:f>
              <c:strCache>
                <c:ptCount val="1"/>
                <c:pt idx="0">
                  <c:v>Deposits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1.0379290823941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4FE-405A-95F0-62A30C89D2B4}"/>
                </c:ext>
              </c:extLst>
            </c:dLbl>
            <c:dLbl>
              <c:idx val="1"/>
              <c:layout>
                <c:manualLayout>
                  <c:x val="0"/>
                  <c:y val="5.1505326540064369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4FE-405A-95F0-62A30C89D2B4}"/>
                </c:ext>
              </c:extLst>
            </c:dLbl>
            <c:dLbl>
              <c:idx val="2"/>
              <c:layout>
                <c:manualLayout>
                  <c:x val="5.658370848008886E-17"/>
                  <c:y val="-5.3069836858627966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4FE-405A-95F0-62A30C89D2B4}"/>
                </c:ext>
              </c:extLst>
            </c:dLbl>
            <c:dLbl>
              <c:idx val="3"/>
              <c:layout>
                <c:manualLayout>
                  <c:x val="0"/>
                  <c:y val="1.037929082394107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4FE-405A-95F0-62A30C89D2B4}"/>
                </c:ext>
              </c:extLst>
            </c:dLbl>
            <c:dLbl>
              <c:idx val="4"/>
              <c:layout>
                <c:manualLayout>
                  <c:x val="-1.1316741696017772E-16"/>
                  <c:y val="2.606556533374499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4FE-405A-95F0-62A30C89D2B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Graphs!$B$53:$F$53</c:f>
              <c:numCache>
                <c:formatCode>General</c:formatCode>
                <c:ptCount val="5"/>
                <c:pt idx="0">
                  <c:v>2021</c:v>
                </c:pt>
                <c:pt idx="1">
                  <c:v>2020</c:v>
                </c:pt>
                <c:pt idx="2">
                  <c:v>2019</c:v>
                </c:pt>
                <c:pt idx="3">
                  <c:v>2018</c:v>
                </c:pt>
                <c:pt idx="4">
                  <c:v>2017</c:v>
                </c:pt>
              </c:numCache>
            </c:numRef>
          </c:cat>
          <c:val>
            <c:numRef>
              <c:f>Graphs!$B$54:$F$54</c:f>
              <c:numCache>
                <c:formatCode>#,##0</c:formatCode>
                <c:ptCount val="5"/>
                <c:pt idx="0">
                  <c:v>282064</c:v>
                </c:pt>
                <c:pt idx="1">
                  <c:v>254781</c:v>
                </c:pt>
                <c:pt idx="2">
                  <c:v>246704</c:v>
                </c:pt>
                <c:pt idx="3">
                  <c:v>205170</c:v>
                </c:pt>
                <c:pt idx="4">
                  <c:v>183493</c:v>
                </c:pt>
              </c:numCache>
            </c:numRef>
          </c:val>
          <c:extLst xmlns:c16r2="http://schemas.microsoft.com/office/drawing/2015/06/chart">
            <c:ext xmlns:c16="http://schemas.microsoft.com/office/drawing/2014/chart" uri="{C3380CC4-5D6E-409C-BE32-E72D297353CC}">
              <c16:uniqueId val="{00000005-84FE-405A-95F0-62A30C89D2B4}"/>
            </c:ext>
          </c:extLst>
        </c:ser>
        <c:dLbls>
          <c:dLblPos val="inEnd"/>
          <c:showLegendKey val="0"/>
          <c:showVal val="1"/>
          <c:showCatName val="0"/>
          <c:showSerName val="0"/>
          <c:showPercent val="0"/>
          <c:showBubbleSize val="0"/>
        </c:dLbls>
        <c:gapWidth val="100"/>
        <c:overlap val="-24"/>
        <c:axId val="62570880"/>
        <c:axId val="62573568"/>
      </c:barChart>
      <c:catAx>
        <c:axId val="625708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62573568"/>
        <c:crosses val="autoZero"/>
        <c:auto val="1"/>
        <c:lblAlgn val="ctr"/>
        <c:lblOffset val="100"/>
        <c:noMultiLvlLbl val="0"/>
      </c:catAx>
      <c:valAx>
        <c:axId val="62573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70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Graphs!$A$67</c:f>
              <c:strCache>
                <c:ptCount val="1"/>
                <c:pt idx="0">
                  <c:v>Profit After Tax</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Graphs!$B$66:$F$66</c:f>
              <c:numCache>
                <c:formatCode>General</c:formatCode>
                <c:ptCount val="5"/>
                <c:pt idx="0">
                  <c:v>2021</c:v>
                </c:pt>
                <c:pt idx="1">
                  <c:v>2020</c:v>
                </c:pt>
                <c:pt idx="2">
                  <c:v>2019</c:v>
                </c:pt>
                <c:pt idx="3">
                  <c:v>2018</c:v>
                </c:pt>
                <c:pt idx="4">
                  <c:v>2017</c:v>
                </c:pt>
              </c:numCache>
            </c:numRef>
          </c:cat>
          <c:val>
            <c:numRef>
              <c:f>Graphs!$B$67:$F$67</c:f>
              <c:numCache>
                <c:formatCode>#,##0</c:formatCode>
                <c:ptCount val="5"/>
                <c:pt idx="0">
                  <c:v>4743</c:v>
                </c:pt>
                <c:pt idx="1">
                  <c:v>4012</c:v>
                </c:pt>
                <c:pt idx="2">
                  <c:v>2472</c:v>
                </c:pt>
                <c:pt idx="3">
                  <c:v>2018</c:v>
                </c:pt>
                <c:pt idx="4">
                  <c:v>3628</c:v>
                </c:pt>
              </c:numCache>
            </c:numRef>
          </c:val>
          <c:extLst xmlns:c16r2="http://schemas.microsoft.com/office/drawing/2015/06/chart">
            <c:ext xmlns:c16="http://schemas.microsoft.com/office/drawing/2014/chart" uri="{C3380CC4-5D6E-409C-BE32-E72D297353CC}">
              <c16:uniqueId val="{00000000-4CAA-4FA4-BFB3-7C4A929F7F27}"/>
            </c:ext>
          </c:extLst>
        </c:ser>
        <c:dLbls>
          <c:dLblPos val="outEnd"/>
          <c:showLegendKey val="0"/>
          <c:showVal val="1"/>
          <c:showCatName val="0"/>
          <c:showSerName val="0"/>
          <c:showPercent val="0"/>
          <c:showBubbleSize val="0"/>
        </c:dLbls>
        <c:gapWidth val="100"/>
        <c:overlap val="-24"/>
        <c:axId val="151008000"/>
        <c:axId val="151010688"/>
      </c:barChart>
      <c:catAx>
        <c:axId val="1510080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51010688"/>
        <c:crosses val="autoZero"/>
        <c:auto val="1"/>
        <c:lblAlgn val="ctr"/>
        <c:lblOffset val="100"/>
        <c:noMultiLvlLbl val="0"/>
      </c:catAx>
      <c:valAx>
        <c:axId val="151010688"/>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1008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Graphs!$A$12</c:f>
              <c:strCache>
                <c:ptCount val="1"/>
                <c:pt idx="0">
                  <c:v>Total Capital Adequacy Ratio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Graphs!$B$11:$F$11</c:f>
              <c:numCache>
                <c:formatCode>General</c:formatCode>
                <c:ptCount val="5"/>
                <c:pt idx="0">
                  <c:v>2021</c:v>
                </c:pt>
                <c:pt idx="1">
                  <c:v>2020</c:v>
                </c:pt>
                <c:pt idx="2">
                  <c:v>2019</c:v>
                </c:pt>
                <c:pt idx="3">
                  <c:v>2018</c:v>
                </c:pt>
                <c:pt idx="4">
                  <c:v>2017</c:v>
                </c:pt>
              </c:numCache>
            </c:numRef>
          </c:cat>
          <c:val>
            <c:numRef>
              <c:f>Graphs!$B$12:$F$12</c:f>
              <c:numCache>
                <c:formatCode>0.00%</c:formatCode>
                <c:ptCount val="5"/>
                <c:pt idx="0">
                  <c:v>0.14199999999999999</c:v>
                </c:pt>
                <c:pt idx="1">
                  <c:v>0.155</c:v>
                </c:pt>
                <c:pt idx="2">
                  <c:v>0.152</c:v>
                </c:pt>
                <c:pt idx="3">
                  <c:v>0.13400000000000001</c:v>
                </c:pt>
                <c:pt idx="4">
                  <c:v>0.14699999999999999</c:v>
                </c:pt>
              </c:numCache>
            </c:numRef>
          </c:val>
          <c:extLst xmlns:c16r2="http://schemas.microsoft.com/office/drawing/2015/06/chart">
            <c:ext xmlns:c16="http://schemas.microsoft.com/office/drawing/2014/chart" uri="{C3380CC4-5D6E-409C-BE32-E72D297353CC}">
              <c16:uniqueId val="{00000000-30E9-4672-8C2A-41B219ADA9C7}"/>
            </c:ext>
          </c:extLst>
        </c:ser>
        <c:dLbls>
          <c:dLblPos val="outEnd"/>
          <c:showLegendKey val="0"/>
          <c:showVal val="1"/>
          <c:showCatName val="0"/>
          <c:showSerName val="0"/>
          <c:showPercent val="0"/>
          <c:showBubbleSize val="0"/>
        </c:dLbls>
        <c:gapWidth val="100"/>
        <c:overlap val="-24"/>
        <c:axId val="151038592"/>
        <c:axId val="151049728"/>
      </c:barChart>
      <c:catAx>
        <c:axId val="15103859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51049728"/>
        <c:crosses val="autoZero"/>
        <c:auto val="1"/>
        <c:lblAlgn val="ctr"/>
        <c:lblOffset val="100"/>
        <c:noMultiLvlLbl val="0"/>
      </c:catAx>
      <c:valAx>
        <c:axId val="151049728"/>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1038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Graphs!$A$69</c:f>
              <c:strCache>
                <c:ptCount val="1"/>
                <c:pt idx="0">
                  <c:v>Risk Weighted Assets (RWA)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Graphs!$B$68:$F$68</c:f>
              <c:numCache>
                <c:formatCode>General</c:formatCode>
                <c:ptCount val="5"/>
                <c:pt idx="0">
                  <c:v>2021</c:v>
                </c:pt>
                <c:pt idx="1">
                  <c:v>2020</c:v>
                </c:pt>
                <c:pt idx="2">
                  <c:v>2019</c:v>
                </c:pt>
                <c:pt idx="3">
                  <c:v>2018</c:v>
                </c:pt>
                <c:pt idx="4">
                  <c:v>2017</c:v>
                </c:pt>
              </c:numCache>
            </c:numRef>
          </c:cat>
          <c:val>
            <c:numRef>
              <c:f>Graphs!$B$69:$F$69</c:f>
              <c:numCache>
                <c:formatCode>#,##0</c:formatCode>
                <c:ptCount val="5"/>
                <c:pt idx="0">
                  <c:v>305194</c:v>
                </c:pt>
                <c:pt idx="1">
                  <c:v>269322</c:v>
                </c:pt>
                <c:pt idx="2">
                  <c:v>244925</c:v>
                </c:pt>
                <c:pt idx="3">
                  <c:v>259413</c:v>
                </c:pt>
                <c:pt idx="4">
                  <c:v>202210</c:v>
                </c:pt>
              </c:numCache>
            </c:numRef>
          </c:val>
          <c:extLst xmlns:c16r2="http://schemas.microsoft.com/office/drawing/2015/06/chart">
            <c:ext xmlns:c16="http://schemas.microsoft.com/office/drawing/2014/chart" uri="{C3380CC4-5D6E-409C-BE32-E72D297353CC}">
              <c16:uniqueId val="{00000000-1297-475C-B8B8-619FC36D37DE}"/>
            </c:ext>
          </c:extLst>
        </c:ser>
        <c:dLbls>
          <c:dLblPos val="outEnd"/>
          <c:showLegendKey val="0"/>
          <c:showVal val="1"/>
          <c:showCatName val="0"/>
          <c:showSerName val="0"/>
          <c:showPercent val="0"/>
          <c:showBubbleSize val="0"/>
        </c:dLbls>
        <c:gapWidth val="100"/>
        <c:overlap val="-24"/>
        <c:axId val="151466752"/>
        <c:axId val="151469440"/>
      </c:barChart>
      <c:catAx>
        <c:axId val="1514667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51469440"/>
        <c:crosses val="autoZero"/>
        <c:auto val="1"/>
        <c:lblAlgn val="ctr"/>
        <c:lblOffset val="100"/>
        <c:noMultiLvlLbl val="0"/>
      </c:catAx>
      <c:valAx>
        <c:axId val="151469440"/>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1466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Graphs!$A$14</c:f>
              <c:strCache>
                <c:ptCount val="1"/>
                <c:pt idx="0">
                  <c:v>NPL Volume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Graphs!$B$13:$F$13</c:f>
              <c:numCache>
                <c:formatCode>General</c:formatCode>
                <c:ptCount val="5"/>
                <c:pt idx="0">
                  <c:v>2021</c:v>
                </c:pt>
                <c:pt idx="1">
                  <c:v>2020</c:v>
                </c:pt>
                <c:pt idx="2">
                  <c:v>2019</c:v>
                </c:pt>
                <c:pt idx="3">
                  <c:v>2018</c:v>
                </c:pt>
                <c:pt idx="4">
                  <c:v>2017</c:v>
                </c:pt>
              </c:numCache>
            </c:numRef>
          </c:cat>
          <c:val>
            <c:numRef>
              <c:f>Graphs!$B$14:$F$14</c:f>
              <c:numCache>
                <c:formatCode>#,##0</c:formatCode>
                <c:ptCount val="5"/>
                <c:pt idx="0">
                  <c:v>13906</c:v>
                </c:pt>
                <c:pt idx="1">
                  <c:v>10850</c:v>
                </c:pt>
                <c:pt idx="2">
                  <c:v>14244</c:v>
                </c:pt>
                <c:pt idx="3">
                  <c:v>12326</c:v>
                </c:pt>
                <c:pt idx="4">
                  <c:v>10678</c:v>
                </c:pt>
              </c:numCache>
            </c:numRef>
          </c:val>
          <c:extLst xmlns:c16r2="http://schemas.microsoft.com/office/drawing/2015/06/chart">
            <c:ext xmlns:c16="http://schemas.microsoft.com/office/drawing/2014/chart" uri="{C3380CC4-5D6E-409C-BE32-E72D297353CC}">
              <c16:uniqueId val="{00000000-D777-4500-9D5D-9C2B323176E1}"/>
            </c:ext>
          </c:extLst>
        </c:ser>
        <c:dLbls>
          <c:dLblPos val="outEnd"/>
          <c:showLegendKey val="0"/>
          <c:showVal val="1"/>
          <c:showCatName val="0"/>
          <c:showSerName val="0"/>
          <c:showPercent val="0"/>
          <c:showBubbleSize val="0"/>
        </c:dLbls>
        <c:gapWidth val="100"/>
        <c:overlap val="-24"/>
        <c:axId val="151481728"/>
        <c:axId val="167970304"/>
      </c:barChart>
      <c:catAx>
        <c:axId val="1514817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67970304"/>
        <c:crosses val="autoZero"/>
        <c:auto val="1"/>
        <c:lblAlgn val="ctr"/>
        <c:lblOffset val="100"/>
        <c:noMultiLvlLbl val="0"/>
      </c:catAx>
      <c:valAx>
        <c:axId val="167970304"/>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1481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Percentage of NPL </a:t>
            </a:r>
          </a:p>
        </c:rich>
      </c:tx>
      <c:overlay val="0"/>
      <c:spPr>
        <a:noFill/>
        <a:ln>
          <a:noFill/>
        </a:ln>
        <a:effectLst/>
      </c:spPr>
    </c:title>
    <c:autoTitleDeleted val="0"/>
    <c:plotArea>
      <c:layout/>
      <c:barChart>
        <c:barDir val="col"/>
        <c:grouping val="clustered"/>
        <c:varyColors val="0"/>
        <c:ser>
          <c:idx val="0"/>
          <c:order val="0"/>
          <c:tx>
            <c:strRef>
              <c:f>Graphs!$A$16</c:f>
              <c:strCache>
                <c:ptCount val="1"/>
                <c:pt idx="0">
                  <c:v>Percentage of NPL over Total Loans and Advances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Graphs!$B$15:$F$15</c:f>
              <c:numCache>
                <c:formatCode>General</c:formatCode>
                <c:ptCount val="5"/>
                <c:pt idx="0">
                  <c:v>2021</c:v>
                </c:pt>
                <c:pt idx="1">
                  <c:v>2020</c:v>
                </c:pt>
                <c:pt idx="2">
                  <c:v>2019</c:v>
                </c:pt>
                <c:pt idx="3">
                  <c:v>2018</c:v>
                </c:pt>
                <c:pt idx="4">
                  <c:v>2017</c:v>
                </c:pt>
              </c:numCache>
            </c:numRef>
          </c:cat>
          <c:val>
            <c:numRef>
              <c:f>Graphs!$B$16:$F$16</c:f>
              <c:numCache>
                <c:formatCode>0.00%</c:formatCode>
                <c:ptCount val="5"/>
                <c:pt idx="0">
                  <c:v>4.9000000000000002E-2</c:v>
                </c:pt>
                <c:pt idx="1">
                  <c:v>0.04</c:v>
                </c:pt>
                <c:pt idx="2">
                  <c:v>5.8000000000000003E-2</c:v>
                </c:pt>
                <c:pt idx="3">
                  <c:v>5.2999999999999999E-2</c:v>
                </c:pt>
                <c:pt idx="4">
                  <c:v>5.3999999999999999E-2</c:v>
                </c:pt>
              </c:numCache>
            </c:numRef>
          </c:val>
          <c:extLst xmlns:c16r2="http://schemas.microsoft.com/office/drawing/2015/06/chart">
            <c:ext xmlns:c16="http://schemas.microsoft.com/office/drawing/2014/chart" uri="{C3380CC4-5D6E-409C-BE32-E72D297353CC}">
              <c16:uniqueId val="{00000000-96FE-449A-8082-DE078295430B}"/>
            </c:ext>
          </c:extLst>
        </c:ser>
        <c:dLbls>
          <c:dLblPos val="outEnd"/>
          <c:showLegendKey val="0"/>
          <c:showVal val="1"/>
          <c:showCatName val="0"/>
          <c:showSerName val="0"/>
          <c:showPercent val="0"/>
          <c:showBubbleSize val="0"/>
        </c:dLbls>
        <c:gapWidth val="100"/>
        <c:overlap val="-24"/>
        <c:axId val="167974400"/>
        <c:axId val="168000896"/>
      </c:barChart>
      <c:catAx>
        <c:axId val="1679744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68000896"/>
        <c:crosses val="autoZero"/>
        <c:auto val="1"/>
        <c:lblAlgn val="ctr"/>
        <c:lblOffset val="100"/>
        <c:noMultiLvlLbl val="0"/>
      </c:catAx>
      <c:valAx>
        <c:axId val="168000896"/>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7974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Graphs!$A$18</c:f>
              <c:strCache>
                <c:ptCount val="1"/>
                <c:pt idx="0">
                  <c:v>Return on Equity (ROE)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Graphs!$B$17:$F$17</c:f>
              <c:numCache>
                <c:formatCode>General</c:formatCode>
                <c:ptCount val="5"/>
                <c:pt idx="0">
                  <c:v>2021</c:v>
                </c:pt>
                <c:pt idx="1">
                  <c:v>2020</c:v>
                </c:pt>
                <c:pt idx="2">
                  <c:v>2019</c:v>
                </c:pt>
                <c:pt idx="3">
                  <c:v>2018</c:v>
                </c:pt>
                <c:pt idx="4">
                  <c:v>2017</c:v>
                </c:pt>
              </c:numCache>
            </c:numRef>
          </c:cat>
          <c:val>
            <c:numRef>
              <c:f>Graphs!$B$18:$F$18</c:f>
              <c:numCache>
                <c:formatCode>0.00%</c:formatCode>
                <c:ptCount val="5"/>
                <c:pt idx="0">
                  <c:v>0.158</c:v>
                </c:pt>
                <c:pt idx="1">
                  <c:v>0.14799999999999999</c:v>
                </c:pt>
                <c:pt idx="2">
                  <c:v>9.9000000000000005E-2</c:v>
                </c:pt>
                <c:pt idx="3">
                  <c:v>8.2000000000000003E-2</c:v>
                </c:pt>
                <c:pt idx="4">
                  <c:v>0.159</c:v>
                </c:pt>
              </c:numCache>
            </c:numRef>
          </c:val>
          <c:extLst xmlns:c16r2="http://schemas.microsoft.com/office/drawing/2015/06/chart">
            <c:ext xmlns:c16="http://schemas.microsoft.com/office/drawing/2014/chart" uri="{C3380CC4-5D6E-409C-BE32-E72D297353CC}">
              <c16:uniqueId val="{00000000-B9F9-4DC7-838A-8321DF64703D}"/>
            </c:ext>
          </c:extLst>
        </c:ser>
        <c:dLbls>
          <c:dLblPos val="outEnd"/>
          <c:showLegendKey val="0"/>
          <c:showVal val="1"/>
          <c:showCatName val="0"/>
          <c:showSerName val="0"/>
          <c:showPercent val="0"/>
          <c:showBubbleSize val="0"/>
        </c:dLbls>
        <c:gapWidth val="100"/>
        <c:overlap val="-24"/>
        <c:axId val="168024704"/>
        <c:axId val="168027648"/>
      </c:barChart>
      <c:catAx>
        <c:axId val="1680247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68027648"/>
        <c:crosses val="autoZero"/>
        <c:auto val="1"/>
        <c:lblAlgn val="ctr"/>
        <c:lblOffset val="100"/>
        <c:noMultiLvlLbl val="0"/>
      </c:catAx>
      <c:valAx>
        <c:axId val="168027648"/>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8024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Graphs!$A$20</c:f>
              <c:strCache>
                <c:ptCount val="1"/>
                <c:pt idx="0">
                  <c:v>Return on Assets (ROA)</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Graphs!$B$17:$F$17</c:f>
              <c:numCache>
                <c:formatCode>General</c:formatCode>
                <c:ptCount val="5"/>
                <c:pt idx="0">
                  <c:v>2021</c:v>
                </c:pt>
                <c:pt idx="1">
                  <c:v>2020</c:v>
                </c:pt>
                <c:pt idx="2">
                  <c:v>2019</c:v>
                </c:pt>
                <c:pt idx="3">
                  <c:v>2018</c:v>
                </c:pt>
                <c:pt idx="4">
                  <c:v>2017</c:v>
                </c:pt>
              </c:numCache>
            </c:numRef>
          </c:cat>
          <c:val>
            <c:numRef>
              <c:f>Graphs!$B$20:$F$20</c:f>
              <c:numCache>
                <c:formatCode>0.00%</c:formatCode>
                <c:ptCount val="5"/>
                <c:pt idx="0">
                  <c:v>1.2E-2</c:v>
                </c:pt>
                <c:pt idx="1">
                  <c:v>1.0999999999999999E-2</c:v>
                </c:pt>
                <c:pt idx="2">
                  <c:v>7.0000000000000001E-3</c:v>
                </c:pt>
                <c:pt idx="3">
                  <c:v>7.0000000000000001E-3</c:v>
                </c:pt>
                <c:pt idx="4">
                  <c:v>1.4E-2</c:v>
                </c:pt>
              </c:numCache>
            </c:numRef>
          </c:val>
          <c:extLst xmlns:c16r2="http://schemas.microsoft.com/office/drawing/2015/06/chart">
            <c:ext xmlns:c16="http://schemas.microsoft.com/office/drawing/2014/chart" uri="{C3380CC4-5D6E-409C-BE32-E72D297353CC}">
              <c16:uniqueId val="{00000000-A3E1-4F8E-9746-18CE236C08C5}"/>
            </c:ext>
          </c:extLst>
        </c:ser>
        <c:dLbls>
          <c:dLblPos val="outEnd"/>
          <c:showLegendKey val="0"/>
          <c:showVal val="1"/>
          <c:showCatName val="0"/>
          <c:showSerName val="0"/>
          <c:showPercent val="0"/>
          <c:showBubbleSize val="0"/>
        </c:dLbls>
        <c:gapWidth val="100"/>
        <c:overlap val="-24"/>
        <c:axId val="168121088"/>
        <c:axId val="168123776"/>
      </c:barChart>
      <c:catAx>
        <c:axId val="1681210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68123776"/>
        <c:crosses val="autoZero"/>
        <c:auto val="1"/>
        <c:lblAlgn val="ctr"/>
        <c:lblOffset val="100"/>
        <c:noMultiLvlLbl val="0"/>
      </c:catAx>
      <c:valAx>
        <c:axId val="168123776"/>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8121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Graphs!$A$22</c:f>
              <c:strCache>
                <c:ptCount val="1"/>
                <c:pt idx="0">
                  <c:v>Cost to Income Ratio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Graphs!$B$21:$F$21</c:f>
              <c:numCache>
                <c:formatCode>General</c:formatCode>
                <c:ptCount val="5"/>
                <c:pt idx="0">
                  <c:v>2021</c:v>
                </c:pt>
                <c:pt idx="1">
                  <c:v>2020</c:v>
                </c:pt>
                <c:pt idx="2">
                  <c:v>2019</c:v>
                </c:pt>
                <c:pt idx="3">
                  <c:v>2018</c:v>
                </c:pt>
                <c:pt idx="4">
                  <c:v>2017</c:v>
                </c:pt>
              </c:numCache>
            </c:numRef>
          </c:cat>
          <c:val>
            <c:numRef>
              <c:f>Graphs!$B$22:$F$22</c:f>
              <c:numCache>
                <c:formatCode>0.00%</c:formatCode>
                <c:ptCount val="5"/>
                <c:pt idx="0">
                  <c:v>0.48599999999999999</c:v>
                </c:pt>
                <c:pt idx="1">
                  <c:v>0.57899999999999996</c:v>
                </c:pt>
                <c:pt idx="2">
                  <c:v>0.54700000000000004</c:v>
                </c:pt>
                <c:pt idx="3">
                  <c:v>0.57999999999999996</c:v>
                </c:pt>
                <c:pt idx="4">
                  <c:v>0.53900000000000003</c:v>
                </c:pt>
              </c:numCache>
            </c:numRef>
          </c:val>
          <c:extLst xmlns:c16r2="http://schemas.microsoft.com/office/drawing/2015/06/chart">
            <c:ext xmlns:c16="http://schemas.microsoft.com/office/drawing/2014/chart" uri="{C3380CC4-5D6E-409C-BE32-E72D297353CC}">
              <c16:uniqueId val="{00000000-7425-495B-B0B5-5DD4348C4955}"/>
            </c:ext>
          </c:extLst>
        </c:ser>
        <c:dLbls>
          <c:dLblPos val="outEnd"/>
          <c:showLegendKey val="0"/>
          <c:showVal val="1"/>
          <c:showCatName val="0"/>
          <c:showSerName val="0"/>
          <c:showPercent val="0"/>
          <c:showBubbleSize val="0"/>
        </c:dLbls>
        <c:gapWidth val="100"/>
        <c:overlap val="-24"/>
        <c:axId val="168168064"/>
        <c:axId val="168183296"/>
      </c:barChart>
      <c:catAx>
        <c:axId val="16816806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68183296"/>
        <c:crosses val="autoZero"/>
        <c:auto val="1"/>
        <c:lblAlgn val="ctr"/>
        <c:lblOffset val="100"/>
        <c:noMultiLvlLbl val="0"/>
      </c:catAx>
      <c:valAx>
        <c:axId val="168183296"/>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8168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2009492563429572"/>
          <c:y val="0.17634259259259263"/>
          <c:w val="0.86601618547681536"/>
          <c:h val="0.72088764946048411"/>
        </c:manualLayout>
      </c:layout>
      <c:barChart>
        <c:barDir val="col"/>
        <c:grouping val="clustered"/>
        <c:varyColors val="0"/>
        <c:ser>
          <c:idx val="0"/>
          <c:order val="0"/>
          <c:tx>
            <c:strRef>
              <c:f>Graphs!$A$28</c:f>
              <c:strCache>
                <c:ptCount val="1"/>
                <c:pt idx="0">
                  <c:v>Net Interest Margin Ratio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Graphs!$B$27:$F$27</c:f>
              <c:numCache>
                <c:formatCode>General</c:formatCode>
                <c:ptCount val="5"/>
                <c:pt idx="0">
                  <c:v>2021</c:v>
                </c:pt>
                <c:pt idx="1">
                  <c:v>2020</c:v>
                </c:pt>
                <c:pt idx="2">
                  <c:v>2019</c:v>
                </c:pt>
                <c:pt idx="3">
                  <c:v>2018</c:v>
                </c:pt>
                <c:pt idx="4">
                  <c:v>2017</c:v>
                </c:pt>
              </c:numCache>
            </c:numRef>
          </c:cat>
          <c:val>
            <c:numRef>
              <c:f>Graphs!$B$28:$F$28</c:f>
              <c:numCache>
                <c:formatCode>0.00%</c:formatCode>
                <c:ptCount val="5"/>
                <c:pt idx="0">
                  <c:v>4.5999999999999999E-2</c:v>
                </c:pt>
                <c:pt idx="1">
                  <c:v>3.7999999999999999E-2</c:v>
                </c:pt>
                <c:pt idx="2">
                  <c:v>0.05</c:v>
                </c:pt>
                <c:pt idx="3">
                  <c:v>4.1000000000000002E-2</c:v>
                </c:pt>
                <c:pt idx="4">
                  <c:v>4.2999999999999997E-2</c:v>
                </c:pt>
              </c:numCache>
            </c:numRef>
          </c:val>
          <c:extLst xmlns:c16r2="http://schemas.microsoft.com/office/drawing/2015/06/chart">
            <c:ext xmlns:c16="http://schemas.microsoft.com/office/drawing/2014/chart" uri="{C3380CC4-5D6E-409C-BE32-E72D297353CC}">
              <c16:uniqueId val="{00000000-191F-4F87-8B6B-FE65FB22EBE2}"/>
            </c:ext>
          </c:extLst>
        </c:ser>
        <c:dLbls>
          <c:dLblPos val="outEnd"/>
          <c:showLegendKey val="0"/>
          <c:showVal val="1"/>
          <c:showCatName val="0"/>
          <c:showSerName val="0"/>
          <c:showPercent val="0"/>
          <c:showBubbleSize val="0"/>
        </c:dLbls>
        <c:gapWidth val="100"/>
        <c:overlap val="-24"/>
        <c:axId val="168227584"/>
        <c:axId val="168230272"/>
      </c:barChart>
      <c:catAx>
        <c:axId val="1682275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68230272"/>
        <c:crosses val="autoZero"/>
        <c:auto val="1"/>
        <c:lblAlgn val="ctr"/>
        <c:lblOffset val="100"/>
        <c:noMultiLvlLbl val="0"/>
      </c:catAx>
      <c:valAx>
        <c:axId val="168230272"/>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8227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Graphs!$A$30</c:f>
              <c:strCache>
                <c:ptCount val="1"/>
                <c:pt idx="0">
                  <c:v>Statutory Liquidity Ratio (SLR)</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Graphs!$B$29:$F$29</c:f>
              <c:numCache>
                <c:formatCode>General</c:formatCode>
                <c:ptCount val="5"/>
                <c:pt idx="0">
                  <c:v>2021</c:v>
                </c:pt>
                <c:pt idx="1">
                  <c:v>2020</c:v>
                </c:pt>
                <c:pt idx="2">
                  <c:v>2019</c:v>
                </c:pt>
                <c:pt idx="3">
                  <c:v>2018</c:v>
                </c:pt>
                <c:pt idx="4">
                  <c:v>2017</c:v>
                </c:pt>
              </c:numCache>
            </c:numRef>
          </c:cat>
          <c:val>
            <c:numRef>
              <c:f>Graphs!$B$30:$F$30</c:f>
              <c:numCache>
                <c:formatCode>0.00%</c:formatCode>
                <c:ptCount val="5"/>
                <c:pt idx="0">
                  <c:v>0.21199999999999999</c:v>
                </c:pt>
                <c:pt idx="1">
                  <c:v>0.17199999999999999</c:v>
                </c:pt>
                <c:pt idx="2">
                  <c:v>0.17499999999999999</c:v>
                </c:pt>
                <c:pt idx="3">
                  <c:v>0.14599999999999999</c:v>
                </c:pt>
                <c:pt idx="4">
                  <c:v>0.158</c:v>
                </c:pt>
              </c:numCache>
            </c:numRef>
          </c:val>
          <c:extLst xmlns:c16r2="http://schemas.microsoft.com/office/drawing/2015/06/chart">
            <c:ext xmlns:c16="http://schemas.microsoft.com/office/drawing/2014/chart" uri="{C3380CC4-5D6E-409C-BE32-E72D297353CC}">
              <c16:uniqueId val="{00000000-8A6E-4CE5-B456-F5E6BC936953}"/>
            </c:ext>
          </c:extLst>
        </c:ser>
        <c:dLbls>
          <c:dLblPos val="outEnd"/>
          <c:showLegendKey val="0"/>
          <c:showVal val="1"/>
          <c:showCatName val="0"/>
          <c:showSerName val="0"/>
          <c:showPercent val="0"/>
          <c:showBubbleSize val="0"/>
        </c:dLbls>
        <c:gapWidth val="100"/>
        <c:overlap val="-24"/>
        <c:axId val="168245888"/>
        <c:axId val="168265216"/>
      </c:barChart>
      <c:catAx>
        <c:axId val="1682458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68265216"/>
        <c:crosses val="autoZero"/>
        <c:auto val="1"/>
        <c:lblAlgn val="ctr"/>
        <c:lblOffset val="100"/>
        <c:noMultiLvlLbl val="0"/>
      </c:catAx>
      <c:valAx>
        <c:axId val="168265216"/>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8245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'Financial Highlights'!$A$37</c:f>
              <c:strCache>
                <c:ptCount val="1"/>
                <c:pt idx="0">
                  <c:v>Loans and Advances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'Financial Highlights'!$B$36:$F$36</c:f>
              <c:numCache>
                <c:formatCode>General</c:formatCode>
                <c:ptCount val="5"/>
                <c:pt idx="0">
                  <c:v>2021</c:v>
                </c:pt>
                <c:pt idx="1">
                  <c:v>2020</c:v>
                </c:pt>
                <c:pt idx="2">
                  <c:v>2019</c:v>
                </c:pt>
                <c:pt idx="3">
                  <c:v>2018</c:v>
                </c:pt>
                <c:pt idx="4">
                  <c:v>2017</c:v>
                </c:pt>
              </c:numCache>
            </c:numRef>
          </c:cat>
          <c:val>
            <c:numRef>
              <c:f>'Financial Highlights'!$B$37:$F$37</c:f>
              <c:numCache>
                <c:formatCode>#,##0</c:formatCode>
                <c:ptCount val="5"/>
                <c:pt idx="0">
                  <c:v>286380</c:v>
                </c:pt>
                <c:pt idx="1">
                  <c:v>268202</c:v>
                </c:pt>
                <c:pt idx="2">
                  <c:v>246944</c:v>
                </c:pt>
                <c:pt idx="3">
                  <c:v>231391</c:v>
                </c:pt>
                <c:pt idx="4">
                  <c:v>196596</c:v>
                </c:pt>
              </c:numCache>
            </c:numRef>
          </c:val>
          <c:extLst xmlns:c16r2="http://schemas.microsoft.com/office/drawing/2015/06/chart">
            <c:ext xmlns:c16="http://schemas.microsoft.com/office/drawing/2014/chart" uri="{C3380CC4-5D6E-409C-BE32-E72D297353CC}">
              <c16:uniqueId val="{00000000-4CE9-4900-B16D-BB74839ACED7}"/>
            </c:ext>
          </c:extLst>
        </c:ser>
        <c:dLbls>
          <c:dLblPos val="outEnd"/>
          <c:showLegendKey val="0"/>
          <c:showVal val="1"/>
          <c:showCatName val="0"/>
          <c:showSerName val="0"/>
          <c:showPercent val="0"/>
          <c:showBubbleSize val="0"/>
        </c:dLbls>
        <c:gapWidth val="100"/>
        <c:overlap val="-24"/>
        <c:axId val="111241472"/>
        <c:axId val="146384000"/>
      </c:barChart>
      <c:catAx>
        <c:axId val="1112414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46384000"/>
        <c:crosses val="autoZero"/>
        <c:auto val="1"/>
        <c:lblAlgn val="ctr"/>
        <c:lblOffset val="100"/>
        <c:noMultiLvlLbl val="0"/>
      </c:catAx>
      <c:valAx>
        <c:axId val="146384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241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Graphs!$A$32</c:f>
              <c:strCache>
                <c:ptCount val="1"/>
                <c:pt idx="0">
                  <c:v>Cash Reserve Ratio (CRR)</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Graphs!$B$31:$F$31</c:f>
              <c:numCache>
                <c:formatCode>General</c:formatCode>
                <c:ptCount val="5"/>
                <c:pt idx="0">
                  <c:v>2021</c:v>
                </c:pt>
                <c:pt idx="1">
                  <c:v>2020</c:v>
                </c:pt>
                <c:pt idx="2">
                  <c:v>2019</c:v>
                </c:pt>
                <c:pt idx="3">
                  <c:v>2018</c:v>
                </c:pt>
                <c:pt idx="4">
                  <c:v>2017</c:v>
                </c:pt>
              </c:numCache>
            </c:numRef>
          </c:cat>
          <c:val>
            <c:numRef>
              <c:f>Graphs!$B$32:$F$32</c:f>
              <c:numCache>
                <c:formatCode>0.00%</c:formatCode>
                <c:ptCount val="5"/>
                <c:pt idx="0">
                  <c:v>6.2E-2</c:v>
                </c:pt>
                <c:pt idx="1">
                  <c:v>4.9000000000000002E-2</c:v>
                </c:pt>
                <c:pt idx="2">
                  <c:v>6.7000000000000004E-2</c:v>
                </c:pt>
                <c:pt idx="3">
                  <c:v>6.9000000000000006E-2</c:v>
                </c:pt>
                <c:pt idx="4">
                  <c:v>7.3999999999999996E-2</c:v>
                </c:pt>
              </c:numCache>
            </c:numRef>
          </c:val>
          <c:extLst xmlns:c16r2="http://schemas.microsoft.com/office/drawing/2015/06/chart">
            <c:ext xmlns:c16="http://schemas.microsoft.com/office/drawing/2014/chart" uri="{C3380CC4-5D6E-409C-BE32-E72D297353CC}">
              <c16:uniqueId val="{00000000-7F4B-4696-BA24-329B5D93FF21}"/>
            </c:ext>
          </c:extLst>
        </c:ser>
        <c:dLbls>
          <c:dLblPos val="outEnd"/>
          <c:showLegendKey val="0"/>
          <c:showVal val="1"/>
          <c:showCatName val="0"/>
          <c:showSerName val="0"/>
          <c:showPercent val="0"/>
          <c:showBubbleSize val="0"/>
        </c:dLbls>
        <c:gapWidth val="100"/>
        <c:overlap val="-24"/>
        <c:axId val="168313600"/>
        <c:axId val="168316288"/>
      </c:barChart>
      <c:catAx>
        <c:axId val="1683136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68316288"/>
        <c:crosses val="autoZero"/>
        <c:auto val="1"/>
        <c:lblAlgn val="ctr"/>
        <c:lblOffset val="100"/>
        <c:noMultiLvlLbl val="0"/>
      </c:catAx>
      <c:valAx>
        <c:axId val="168316288"/>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8313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Graphs!$A$42</c:f>
              <c:strCache>
                <c:ptCount val="1"/>
                <c:pt idx="0">
                  <c:v>Earnings Per Share (BDT)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Graphs!$B$41:$F$41</c:f>
              <c:numCache>
                <c:formatCode>General</c:formatCode>
                <c:ptCount val="5"/>
                <c:pt idx="0">
                  <c:v>2021</c:v>
                </c:pt>
                <c:pt idx="1">
                  <c:v>2020</c:v>
                </c:pt>
                <c:pt idx="2">
                  <c:v>2019</c:v>
                </c:pt>
                <c:pt idx="3">
                  <c:v>2018</c:v>
                </c:pt>
                <c:pt idx="4">
                  <c:v>2017</c:v>
                </c:pt>
              </c:numCache>
            </c:numRef>
          </c:cat>
          <c:val>
            <c:numRef>
              <c:f>Graphs!$B$42:$F$42</c:f>
              <c:numCache>
                <c:formatCode>0.00</c:formatCode>
                <c:ptCount val="5"/>
                <c:pt idx="0">
                  <c:v>4.4000000000000004</c:v>
                </c:pt>
                <c:pt idx="1">
                  <c:v>3.9</c:v>
                </c:pt>
                <c:pt idx="2">
                  <c:v>2.4</c:v>
                </c:pt>
                <c:pt idx="3">
                  <c:v>2.1</c:v>
                </c:pt>
                <c:pt idx="4">
                  <c:v>4.0999999999999996</c:v>
                </c:pt>
              </c:numCache>
            </c:numRef>
          </c:val>
          <c:extLst xmlns:c16r2="http://schemas.microsoft.com/office/drawing/2015/06/chart">
            <c:ext xmlns:c16="http://schemas.microsoft.com/office/drawing/2014/chart" uri="{C3380CC4-5D6E-409C-BE32-E72D297353CC}">
              <c16:uniqueId val="{00000000-A809-4D95-A9B4-02F089F94627}"/>
            </c:ext>
          </c:extLst>
        </c:ser>
        <c:dLbls>
          <c:dLblPos val="outEnd"/>
          <c:showLegendKey val="0"/>
          <c:showVal val="1"/>
          <c:showCatName val="0"/>
          <c:showSerName val="0"/>
          <c:showPercent val="0"/>
          <c:showBubbleSize val="0"/>
        </c:dLbls>
        <c:gapWidth val="100"/>
        <c:overlap val="-24"/>
        <c:axId val="168349056"/>
        <c:axId val="175916544"/>
      </c:barChart>
      <c:catAx>
        <c:axId val="1683490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75916544"/>
        <c:crosses val="autoZero"/>
        <c:auto val="1"/>
        <c:lblAlgn val="ctr"/>
        <c:lblOffset val="100"/>
        <c:noMultiLvlLbl val="0"/>
      </c:catAx>
      <c:valAx>
        <c:axId val="175916544"/>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68349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Graphs!$A$48</c:f>
              <c:strCache>
                <c:ptCount val="1"/>
                <c:pt idx="0">
                  <c:v>Net Assets Value Per Share (BDT)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Graphs!$B$47:$F$47</c:f>
              <c:numCache>
                <c:formatCode>General</c:formatCode>
                <c:ptCount val="5"/>
                <c:pt idx="0">
                  <c:v>2021</c:v>
                </c:pt>
                <c:pt idx="1">
                  <c:v>2020</c:v>
                </c:pt>
                <c:pt idx="2">
                  <c:v>2019</c:v>
                </c:pt>
                <c:pt idx="3">
                  <c:v>2018</c:v>
                </c:pt>
                <c:pt idx="4">
                  <c:v>2017</c:v>
                </c:pt>
              </c:numCache>
            </c:numRef>
          </c:cat>
          <c:val>
            <c:numRef>
              <c:f>Graphs!$B$48:$F$48</c:f>
              <c:numCache>
                <c:formatCode>0.00</c:formatCode>
                <c:ptCount val="5"/>
                <c:pt idx="0">
                  <c:v>29.3</c:v>
                </c:pt>
                <c:pt idx="1">
                  <c:v>28.4</c:v>
                </c:pt>
                <c:pt idx="2">
                  <c:v>25</c:v>
                </c:pt>
                <c:pt idx="3">
                  <c:v>25.2</c:v>
                </c:pt>
                <c:pt idx="4">
                  <c:v>27</c:v>
                </c:pt>
              </c:numCache>
            </c:numRef>
          </c:val>
          <c:extLst xmlns:c16r2="http://schemas.microsoft.com/office/drawing/2015/06/chart">
            <c:ext xmlns:c16="http://schemas.microsoft.com/office/drawing/2014/chart" uri="{C3380CC4-5D6E-409C-BE32-E72D297353CC}">
              <c16:uniqueId val="{00000000-9975-423E-A2A4-4E5DD0AA917A}"/>
            </c:ext>
          </c:extLst>
        </c:ser>
        <c:dLbls>
          <c:dLblPos val="outEnd"/>
          <c:showLegendKey val="0"/>
          <c:showVal val="1"/>
          <c:showCatName val="0"/>
          <c:showSerName val="0"/>
          <c:showPercent val="0"/>
          <c:showBubbleSize val="0"/>
        </c:dLbls>
        <c:gapWidth val="100"/>
        <c:overlap val="-24"/>
        <c:axId val="175928832"/>
        <c:axId val="175938944"/>
      </c:barChart>
      <c:catAx>
        <c:axId val="1759288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75938944"/>
        <c:crosses val="autoZero"/>
        <c:auto val="1"/>
        <c:lblAlgn val="ctr"/>
        <c:lblOffset val="100"/>
        <c:noMultiLvlLbl val="0"/>
      </c:catAx>
      <c:valAx>
        <c:axId val="175938944"/>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75928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Graphs!$A$52</c:f>
              <c:strCache>
                <c:ptCount val="1"/>
                <c:pt idx="0">
                  <c:v>Total Dividend</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Graphs!$B$51:$F$51</c:f>
              <c:numCache>
                <c:formatCode>General</c:formatCode>
                <c:ptCount val="5"/>
                <c:pt idx="0">
                  <c:v>2021</c:v>
                </c:pt>
                <c:pt idx="1">
                  <c:v>2020</c:v>
                </c:pt>
                <c:pt idx="2">
                  <c:v>2019</c:v>
                </c:pt>
                <c:pt idx="3">
                  <c:v>2018</c:v>
                </c:pt>
                <c:pt idx="4">
                  <c:v>2017</c:v>
                </c:pt>
              </c:numCache>
            </c:numRef>
          </c:cat>
          <c:val>
            <c:numRef>
              <c:f>Graphs!$B$52:$F$52</c:f>
              <c:numCache>
                <c:formatCode>0.00%</c:formatCode>
                <c:ptCount val="5"/>
                <c:pt idx="0">
                  <c:v>0.25</c:v>
                </c:pt>
                <c:pt idx="1">
                  <c:v>0.22500000000000001</c:v>
                </c:pt>
                <c:pt idx="2">
                  <c:v>0.15</c:v>
                </c:pt>
                <c:pt idx="3">
                  <c:v>0.11</c:v>
                </c:pt>
                <c:pt idx="4">
                  <c:v>0.24</c:v>
                </c:pt>
              </c:numCache>
            </c:numRef>
          </c:val>
          <c:extLst xmlns:c16r2="http://schemas.microsoft.com/office/drawing/2015/06/chart">
            <c:ext xmlns:c16="http://schemas.microsoft.com/office/drawing/2014/chart" uri="{C3380CC4-5D6E-409C-BE32-E72D297353CC}">
              <c16:uniqueId val="{00000000-3228-4C5C-9E0B-2A6EAF292808}"/>
            </c:ext>
          </c:extLst>
        </c:ser>
        <c:dLbls>
          <c:dLblPos val="outEnd"/>
          <c:showLegendKey val="0"/>
          <c:showVal val="1"/>
          <c:showCatName val="0"/>
          <c:showSerName val="0"/>
          <c:showPercent val="0"/>
          <c:showBubbleSize val="0"/>
        </c:dLbls>
        <c:gapWidth val="100"/>
        <c:overlap val="-24"/>
        <c:axId val="188041856"/>
        <c:axId val="188044800"/>
      </c:barChart>
      <c:catAx>
        <c:axId val="1880418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88044800"/>
        <c:crosses val="autoZero"/>
        <c:auto val="1"/>
        <c:lblAlgn val="ctr"/>
        <c:lblOffset val="100"/>
        <c:noMultiLvlLbl val="0"/>
      </c:catAx>
      <c:valAx>
        <c:axId val="188044800"/>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8041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Graphs!$A$50</c:f>
              <c:strCache>
                <c:ptCount val="1"/>
                <c:pt idx="0">
                  <c:v>Net Operating Cash Flow Per Share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Graphs!$B$49:$F$49</c:f>
              <c:numCache>
                <c:formatCode>General</c:formatCode>
                <c:ptCount val="5"/>
                <c:pt idx="0">
                  <c:v>2021</c:v>
                </c:pt>
                <c:pt idx="1">
                  <c:v>2020</c:v>
                </c:pt>
                <c:pt idx="2">
                  <c:v>2019</c:v>
                </c:pt>
                <c:pt idx="3">
                  <c:v>2018</c:v>
                </c:pt>
                <c:pt idx="4">
                  <c:v>2017</c:v>
                </c:pt>
              </c:numCache>
            </c:numRef>
          </c:cat>
          <c:val>
            <c:numRef>
              <c:f>Graphs!$B$50:$F$50</c:f>
              <c:numCache>
                <c:formatCode>_(* #,##0.00_);_(* \(#,##0.00\);_(* "-"??_);_(@_)</c:formatCode>
                <c:ptCount val="5"/>
                <c:pt idx="0">
                  <c:v>12.970755330109212</c:v>
                </c:pt>
                <c:pt idx="1">
                  <c:v>5.01</c:v>
                </c:pt>
                <c:pt idx="2" formatCode="0.00">
                  <c:v>14.17</c:v>
                </c:pt>
                <c:pt idx="3" formatCode="0.00">
                  <c:v>13.71</c:v>
                </c:pt>
                <c:pt idx="4" formatCode="0.00">
                  <c:v>-6.33</c:v>
                </c:pt>
              </c:numCache>
            </c:numRef>
          </c:val>
          <c:extLst xmlns:c16r2="http://schemas.microsoft.com/office/drawing/2015/06/chart">
            <c:ext xmlns:c16="http://schemas.microsoft.com/office/drawing/2014/chart" uri="{C3380CC4-5D6E-409C-BE32-E72D297353CC}">
              <c16:uniqueId val="{00000000-BCF2-4AAA-AFCB-8CC71A5D6A22}"/>
            </c:ext>
          </c:extLst>
        </c:ser>
        <c:dLbls>
          <c:dLblPos val="outEnd"/>
          <c:showLegendKey val="0"/>
          <c:showVal val="1"/>
          <c:showCatName val="0"/>
          <c:showSerName val="0"/>
          <c:showPercent val="0"/>
          <c:showBubbleSize val="0"/>
        </c:dLbls>
        <c:gapWidth val="100"/>
        <c:overlap val="-24"/>
        <c:axId val="188068608"/>
        <c:axId val="188071296"/>
      </c:barChart>
      <c:catAx>
        <c:axId val="18806860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crossAx val="188071296"/>
        <c:crosses val="autoZero"/>
        <c:auto val="1"/>
        <c:lblAlgn val="ctr"/>
        <c:lblOffset val="100"/>
        <c:noMultiLvlLbl val="0"/>
      </c:catAx>
      <c:valAx>
        <c:axId val="188071296"/>
        <c:scaling>
          <c:orientation val="minMax"/>
        </c:scaling>
        <c:delete val="0"/>
        <c:axPos val="l"/>
        <c:majorGridlines>
          <c:spPr>
            <a:ln w="9525" cap="flat" cmpd="sng" algn="ctr">
              <a:solidFill>
                <a:schemeClr val="tx2">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88068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Graphs!$A$2</c:f>
              <c:strCache>
                <c:ptCount val="1"/>
                <c:pt idx="0">
                  <c:v>Credit to Deposit Ratio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2.136752136752137E-3"/>
                  <c:y val="5.360758476618994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365-4D28-8008-30A72D3D9CDF}"/>
                </c:ext>
              </c:extLst>
            </c:dLbl>
            <c:dLbl>
              <c:idx val="1"/>
              <c:layout>
                <c:manualLayout>
                  <c:x val="0"/>
                  <c:y val="1.080293534736729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365-4D28-8008-30A72D3D9CDF}"/>
                </c:ext>
              </c:extLst>
            </c:dLbl>
            <c:dLbl>
              <c:idx val="2"/>
              <c:layout>
                <c:manualLayout>
                  <c:x val="0"/>
                  <c:y val="1.080293534736729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365-4D28-8008-30A72D3D9CDF}"/>
                </c:ext>
              </c:extLst>
            </c:dLbl>
            <c:dLbl>
              <c:idx val="3"/>
              <c:layout>
                <c:manualLayout>
                  <c:x val="2.136752136752137E-3"/>
                  <c:y val="1.080293534736729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365-4D28-8008-30A72D3D9CDF}"/>
                </c:ext>
              </c:extLst>
            </c:dLbl>
            <c:dLbl>
              <c:idx val="4"/>
              <c:layout>
                <c:manualLayout>
                  <c:x val="-1.5669334656024605E-16"/>
                  <c:y val="1.080293534736729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365-4D28-8008-30A72D3D9CD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Graphs!$B$1:$F$1</c:f>
              <c:numCache>
                <c:formatCode>General</c:formatCode>
                <c:ptCount val="5"/>
                <c:pt idx="0">
                  <c:v>2021</c:v>
                </c:pt>
                <c:pt idx="1">
                  <c:v>2020</c:v>
                </c:pt>
                <c:pt idx="2">
                  <c:v>2019</c:v>
                </c:pt>
                <c:pt idx="3">
                  <c:v>2018</c:v>
                </c:pt>
                <c:pt idx="4">
                  <c:v>2017</c:v>
                </c:pt>
              </c:numCache>
            </c:numRef>
          </c:cat>
          <c:val>
            <c:numRef>
              <c:f>Graphs!$B$2:$F$2</c:f>
              <c:numCache>
                <c:formatCode>0.00%</c:formatCode>
                <c:ptCount val="5"/>
                <c:pt idx="0">
                  <c:v>0.81299999999999994</c:v>
                </c:pt>
                <c:pt idx="1">
                  <c:v>0.747</c:v>
                </c:pt>
                <c:pt idx="2">
                  <c:v>0.79100000000000004</c:v>
                </c:pt>
                <c:pt idx="3">
                  <c:v>0.82499999999999996</c:v>
                </c:pt>
                <c:pt idx="4">
                  <c:v>0.84899999999999998</c:v>
                </c:pt>
              </c:numCache>
            </c:numRef>
          </c:val>
          <c:extLst xmlns:c16r2="http://schemas.microsoft.com/office/drawing/2015/06/chart">
            <c:ext xmlns:c16="http://schemas.microsoft.com/office/drawing/2014/chart" uri="{C3380CC4-5D6E-409C-BE32-E72D297353CC}">
              <c16:uniqueId val="{00000005-2365-4D28-8008-30A72D3D9CDF}"/>
            </c:ext>
          </c:extLst>
        </c:ser>
        <c:dLbls>
          <c:dLblPos val="inEnd"/>
          <c:showLegendKey val="0"/>
          <c:showVal val="1"/>
          <c:showCatName val="0"/>
          <c:showSerName val="0"/>
          <c:showPercent val="0"/>
          <c:showBubbleSize val="0"/>
        </c:dLbls>
        <c:gapWidth val="100"/>
        <c:overlap val="-24"/>
        <c:axId val="146503936"/>
        <c:axId val="146515072"/>
      </c:barChart>
      <c:catAx>
        <c:axId val="1465039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46515072"/>
        <c:crosses val="autoZero"/>
        <c:auto val="1"/>
        <c:lblAlgn val="ctr"/>
        <c:lblOffset val="100"/>
        <c:noMultiLvlLbl val="0"/>
      </c:catAx>
      <c:valAx>
        <c:axId val="1465150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503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Graphs!$A$4</c:f>
              <c:strCache>
                <c:ptCount val="1"/>
                <c:pt idx="0">
                  <c:v>Investment to Deposit Ratio (IDR)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Graphs!$B$3:$F$3</c:f>
              <c:numCache>
                <c:formatCode>General</c:formatCode>
                <c:ptCount val="5"/>
                <c:pt idx="0">
                  <c:v>2021</c:v>
                </c:pt>
                <c:pt idx="1">
                  <c:v>2020</c:v>
                </c:pt>
                <c:pt idx="2">
                  <c:v>2019</c:v>
                </c:pt>
                <c:pt idx="3">
                  <c:v>2018</c:v>
                </c:pt>
                <c:pt idx="4">
                  <c:v>2017</c:v>
                </c:pt>
              </c:numCache>
            </c:numRef>
          </c:cat>
          <c:val>
            <c:numRef>
              <c:f>Graphs!$B$4:$F$4</c:f>
              <c:numCache>
                <c:formatCode>0.00%</c:formatCode>
                <c:ptCount val="5"/>
                <c:pt idx="0">
                  <c:v>0.64700000000000002</c:v>
                </c:pt>
                <c:pt idx="1">
                  <c:v>0.309</c:v>
                </c:pt>
                <c:pt idx="2">
                  <c:v>0.67500000000000004</c:v>
                </c:pt>
                <c:pt idx="3">
                  <c:v>0.29599999999999999</c:v>
                </c:pt>
                <c:pt idx="4">
                  <c:v>0.35099999999999998</c:v>
                </c:pt>
              </c:numCache>
            </c:numRef>
          </c:val>
          <c:extLst xmlns:c16r2="http://schemas.microsoft.com/office/drawing/2015/06/chart">
            <c:ext xmlns:c16="http://schemas.microsoft.com/office/drawing/2014/chart" uri="{C3380CC4-5D6E-409C-BE32-E72D297353CC}">
              <c16:uniqueId val="{00000000-01C4-40E4-9CC0-6FD35FD5F510}"/>
            </c:ext>
          </c:extLst>
        </c:ser>
        <c:dLbls>
          <c:dLblPos val="outEnd"/>
          <c:showLegendKey val="0"/>
          <c:showVal val="1"/>
          <c:showCatName val="0"/>
          <c:showSerName val="0"/>
          <c:showPercent val="0"/>
          <c:showBubbleSize val="0"/>
        </c:dLbls>
        <c:gapWidth val="100"/>
        <c:overlap val="-24"/>
        <c:axId val="147202432"/>
        <c:axId val="147205120"/>
      </c:barChart>
      <c:catAx>
        <c:axId val="1472024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47205120"/>
        <c:crosses val="autoZero"/>
        <c:auto val="1"/>
        <c:lblAlgn val="ctr"/>
        <c:lblOffset val="100"/>
        <c:noMultiLvlLbl val="0"/>
      </c:catAx>
      <c:valAx>
        <c:axId val="1472051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202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Graphs!$A$6</c:f>
              <c:strCache>
                <c:ptCount val="1"/>
                <c:pt idx="0">
                  <c:v>Debt - Equity Ratio (times)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Graphs!$B$5:$F$5</c:f>
              <c:numCache>
                <c:formatCode>General</c:formatCode>
                <c:ptCount val="5"/>
                <c:pt idx="0">
                  <c:v>2021</c:v>
                </c:pt>
                <c:pt idx="1">
                  <c:v>2020</c:v>
                </c:pt>
                <c:pt idx="2">
                  <c:v>2019</c:v>
                </c:pt>
                <c:pt idx="3">
                  <c:v>2018</c:v>
                </c:pt>
                <c:pt idx="4">
                  <c:v>2017</c:v>
                </c:pt>
              </c:numCache>
            </c:numRef>
          </c:cat>
          <c:val>
            <c:numRef>
              <c:f>Graphs!$B$6:$F$6</c:f>
              <c:numCache>
                <c:formatCode>0.00</c:formatCode>
                <c:ptCount val="5"/>
                <c:pt idx="0">
                  <c:v>12.4</c:v>
                </c:pt>
                <c:pt idx="1">
                  <c:v>12.3</c:v>
                </c:pt>
                <c:pt idx="2">
                  <c:v>13</c:v>
                </c:pt>
                <c:pt idx="3">
                  <c:v>12.3</c:v>
                </c:pt>
                <c:pt idx="4">
                  <c:v>10.1</c:v>
                </c:pt>
              </c:numCache>
            </c:numRef>
          </c:val>
          <c:extLst xmlns:c16r2="http://schemas.microsoft.com/office/drawing/2015/06/chart">
            <c:ext xmlns:c16="http://schemas.microsoft.com/office/drawing/2014/chart" uri="{C3380CC4-5D6E-409C-BE32-E72D297353CC}">
              <c16:uniqueId val="{00000000-CFB0-4E02-A059-1D654AA24A04}"/>
            </c:ext>
          </c:extLst>
        </c:ser>
        <c:dLbls>
          <c:dLblPos val="outEnd"/>
          <c:showLegendKey val="0"/>
          <c:showVal val="1"/>
          <c:showCatName val="0"/>
          <c:showSerName val="0"/>
          <c:showPercent val="0"/>
          <c:showBubbleSize val="0"/>
        </c:dLbls>
        <c:gapWidth val="100"/>
        <c:overlap val="-24"/>
        <c:axId val="147343616"/>
        <c:axId val="147346560"/>
      </c:barChart>
      <c:catAx>
        <c:axId val="1473436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47346560"/>
        <c:crosses val="autoZero"/>
        <c:auto val="1"/>
        <c:lblAlgn val="ctr"/>
        <c:lblOffset val="100"/>
        <c:noMultiLvlLbl val="0"/>
      </c:catAx>
      <c:valAx>
        <c:axId val="1473465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343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Graphs!$A$56</c:f>
              <c:strCache>
                <c:ptCount val="1"/>
                <c:pt idx="0">
                  <c:v>Investments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Graphs!$B$55:$F$55</c:f>
              <c:numCache>
                <c:formatCode>General</c:formatCode>
                <c:ptCount val="5"/>
                <c:pt idx="0">
                  <c:v>2021</c:v>
                </c:pt>
                <c:pt idx="1">
                  <c:v>2020</c:v>
                </c:pt>
                <c:pt idx="2">
                  <c:v>2019</c:v>
                </c:pt>
                <c:pt idx="3">
                  <c:v>2018</c:v>
                </c:pt>
                <c:pt idx="4">
                  <c:v>2017</c:v>
                </c:pt>
              </c:numCache>
            </c:numRef>
          </c:cat>
          <c:val>
            <c:numRef>
              <c:f>Graphs!$B$56:$F$56</c:f>
              <c:numCache>
                <c:formatCode>#,##0</c:formatCode>
                <c:ptCount val="5"/>
                <c:pt idx="0">
                  <c:v>54920</c:v>
                </c:pt>
                <c:pt idx="1">
                  <c:v>46251</c:v>
                </c:pt>
                <c:pt idx="2">
                  <c:v>39452</c:v>
                </c:pt>
                <c:pt idx="3">
                  <c:v>27882</c:v>
                </c:pt>
                <c:pt idx="4">
                  <c:v>25508</c:v>
                </c:pt>
              </c:numCache>
            </c:numRef>
          </c:val>
          <c:extLst xmlns:c16r2="http://schemas.microsoft.com/office/drawing/2015/06/chart">
            <c:ext xmlns:c16="http://schemas.microsoft.com/office/drawing/2014/chart" uri="{C3380CC4-5D6E-409C-BE32-E72D297353CC}">
              <c16:uniqueId val="{00000000-8E9E-4CBE-BE34-463386306499}"/>
            </c:ext>
          </c:extLst>
        </c:ser>
        <c:dLbls>
          <c:dLblPos val="outEnd"/>
          <c:showLegendKey val="0"/>
          <c:showVal val="1"/>
          <c:showCatName val="0"/>
          <c:showSerName val="0"/>
          <c:showPercent val="0"/>
          <c:showBubbleSize val="0"/>
        </c:dLbls>
        <c:gapWidth val="100"/>
        <c:overlap val="-24"/>
        <c:axId val="147350656"/>
        <c:axId val="147364864"/>
      </c:barChart>
      <c:catAx>
        <c:axId val="1473506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47364864"/>
        <c:crosses val="autoZero"/>
        <c:auto val="1"/>
        <c:lblAlgn val="ctr"/>
        <c:lblOffset val="100"/>
        <c:noMultiLvlLbl val="0"/>
      </c:catAx>
      <c:valAx>
        <c:axId val="147364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350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Graphs!$A$59</c:f>
              <c:strCache>
                <c:ptCount val="1"/>
                <c:pt idx="0">
                  <c:v>Total Assets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Graphs!$B$58:$F$58</c:f>
              <c:numCache>
                <c:formatCode>General</c:formatCode>
                <c:ptCount val="5"/>
                <c:pt idx="0">
                  <c:v>2021</c:v>
                </c:pt>
                <c:pt idx="1">
                  <c:v>2020</c:v>
                </c:pt>
                <c:pt idx="2">
                  <c:v>2019</c:v>
                </c:pt>
                <c:pt idx="3">
                  <c:v>2018</c:v>
                </c:pt>
                <c:pt idx="4">
                  <c:v>2017</c:v>
                </c:pt>
              </c:numCache>
            </c:numRef>
          </c:cat>
          <c:val>
            <c:numRef>
              <c:f>Graphs!$B$59:$F$59</c:f>
              <c:numCache>
                <c:formatCode>#,##0</c:formatCode>
                <c:ptCount val="5"/>
                <c:pt idx="0">
                  <c:v>416902</c:v>
                </c:pt>
                <c:pt idx="1">
                  <c:v>382926</c:v>
                </c:pt>
                <c:pt idx="2">
                  <c:v>354689</c:v>
                </c:pt>
                <c:pt idx="3">
                  <c:v>324780</c:v>
                </c:pt>
                <c:pt idx="4">
                  <c:v>275531</c:v>
                </c:pt>
              </c:numCache>
            </c:numRef>
          </c:val>
          <c:extLst xmlns:c16r2="http://schemas.microsoft.com/office/drawing/2015/06/chart">
            <c:ext xmlns:c16="http://schemas.microsoft.com/office/drawing/2014/chart" uri="{C3380CC4-5D6E-409C-BE32-E72D297353CC}">
              <c16:uniqueId val="{00000000-CEF0-48C7-949A-20CBF4AE290C}"/>
            </c:ext>
          </c:extLst>
        </c:ser>
        <c:dLbls>
          <c:dLblPos val="outEnd"/>
          <c:showLegendKey val="0"/>
          <c:showVal val="1"/>
          <c:showCatName val="0"/>
          <c:showSerName val="0"/>
          <c:showPercent val="0"/>
          <c:showBubbleSize val="0"/>
        </c:dLbls>
        <c:gapWidth val="100"/>
        <c:overlap val="-24"/>
        <c:axId val="147373056"/>
        <c:axId val="149107840"/>
      </c:barChart>
      <c:catAx>
        <c:axId val="1473730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49107840"/>
        <c:crosses val="autoZero"/>
        <c:auto val="1"/>
        <c:lblAlgn val="ctr"/>
        <c:lblOffset val="100"/>
        <c:noMultiLvlLbl val="0"/>
      </c:catAx>
      <c:valAx>
        <c:axId val="149107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373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Graphs!$A$62</c:f>
              <c:strCache>
                <c:ptCount val="1"/>
                <c:pt idx="0">
                  <c:v>Net Interest Income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Graphs!$B$61:$F$61</c:f>
              <c:numCache>
                <c:formatCode>General</c:formatCode>
                <c:ptCount val="5"/>
                <c:pt idx="0">
                  <c:v>2021</c:v>
                </c:pt>
                <c:pt idx="1">
                  <c:v>2020</c:v>
                </c:pt>
                <c:pt idx="2">
                  <c:v>2019</c:v>
                </c:pt>
                <c:pt idx="3">
                  <c:v>2018</c:v>
                </c:pt>
                <c:pt idx="4">
                  <c:v>2017</c:v>
                </c:pt>
              </c:numCache>
            </c:numRef>
          </c:cat>
          <c:val>
            <c:numRef>
              <c:f>Graphs!$B$62:$F$62</c:f>
              <c:numCache>
                <c:formatCode>#,##0</c:formatCode>
                <c:ptCount val="5"/>
                <c:pt idx="0">
                  <c:v>12048</c:v>
                </c:pt>
                <c:pt idx="1">
                  <c:v>8363</c:v>
                </c:pt>
                <c:pt idx="2">
                  <c:v>10832</c:v>
                </c:pt>
                <c:pt idx="3">
                  <c:v>9201</c:v>
                </c:pt>
                <c:pt idx="4">
                  <c:v>7495</c:v>
                </c:pt>
              </c:numCache>
            </c:numRef>
          </c:val>
          <c:extLst xmlns:c16r2="http://schemas.microsoft.com/office/drawing/2015/06/chart">
            <c:ext xmlns:c16="http://schemas.microsoft.com/office/drawing/2014/chart" uri="{C3380CC4-5D6E-409C-BE32-E72D297353CC}">
              <c16:uniqueId val="{00000000-8889-4A68-8FC0-A38886B873DC}"/>
            </c:ext>
          </c:extLst>
        </c:ser>
        <c:dLbls>
          <c:dLblPos val="outEnd"/>
          <c:showLegendKey val="0"/>
          <c:showVal val="1"/>
          <c:showCatName val="0"/>
          <c:showSerName val="0"/>
          <c:showPercent val="0"/>
          <c:showBubbleSize val="0"/>
        </c:dLbls>
        <c:gapWidth val="100"/>
        <c:overlap val="-24"/>
        <c:axId val="149291392"/>
        <c:axId val="149294080"/>
      </c:barChart>
      <c:catAx>
        <c:axId val="1492913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49294080"/>
        <c:crosses val="autoZero"/>
        <c:auto val="1"/>
        <c:lblAlgn val="ctr"/>
        <c:lblOffset val="100"/>
        <c:noMultiLvlLbl val="0"/>
      </c:catAx>
      <c:valAx>
        <c:axId val="149294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Graphs!$A$65</c:f>
              <c:strCache>
                <c:ptCount val="1"/>
                <c:pt idx="0">
                  <c:v>Operating Expenses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Graphs!$B$64:$F$64</c:f>
              <c:numCache>
                <c:formatCode>General</c:formatCode>
                <c:ptCount val="5"/>
                <c:pt idx="0">
                  <c:v>2021</c:v>
                </c:pt>
                <c:pt idx="1">
                  <c:v>2020</c:v>
                </c:pt>
                <c:pt idx="2">
                  <c:v>2019</c:v>
                </c:pt>
                <c:pt idx="3">
                  <c:v>2018</c:v>
                </c:pt>
                <c:pt idx="4">
                  <c:v>2017</c:v>
                </c:pt>
              </c:numCache>
            </c:numRef>
          </c:cat>
          <c:val>
            <c:numRef>
              <c:f>Graphs!$B$65:$F$65</c:f>
              <c:numCache>
                <c:formatCode>#,##0</c:formatCode>
                <c:ptCount val="5"/>
                <c:pt idx="0">
                  <c:v>10403</c:v>
                </c:pt>
                <c:pt idx="1">
                  <c:v>9697</c:v>
                </c:pt>
                <c:pt idx="2">
                  <c:v>9998</c:v>
                </c:pt>
                <c:pt idx="3">
                  <c:v>9223</c:v>
                </c:pt>
                <c:pt idx="4">
                  <c:v>8047</c:v>
                </c:pt>
              </c:numCache>
            </c:numRef>
          </c:val>
          <c:extLst xmlns:c16r2="http://schemas.microsoft.com/office/drawing/2015/06/chart">
            <c:ext xmlns:c16="http://schemas.microsoft.com/office/drawing/2014/chart" uri="{C3380CC4-5D6E-409C-BE32-E72D297353CC}">
              <c16:uniqueId val="{00000000-8BB7-46AF-A950-A0F713106CBA}"/>
            </c:ext>
          </c:extLst>
        </c:ser>
        <c:dLbls>
          <c:dLblPos val="outEnd"/>
          <c:showLegendKey val="0"/>
          <c:showVal val="1"/>
          <c:showCatName val="0"/>
          <c:showSerName val="0"/>
          <c:showPercent val="0"/>
          <c:showBubbleSize val="0"/>
        </c:dLbls>
        <c:gapWidth val="100"/>
        <c:overlap val="-24"/>
        <c:axId val="149330560"/>
        <c:axId val="149333504"/>
      </c:barChart>
      <c:catAx>
        <c:axId val="1493305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49333504"/>
        <c:crosses val="autoZero"/>
        <c:auto val="1"/>
        <c:lblAlgn val="ctr"/>
        <c:lblOffset val="100"/>
        <c:noMultiLvlLbl val="0"/>
      </c:catAx>
      <c:valAx>
        <c:axId val="149333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330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226B0-4C60-42D8-962E-8CC30D99B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57</Pages>
  <Words>11135</Words>
  <Characters>63473</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Mosabbir Ahmed</cp:lastModifiedBy>
  <cp:revision>5</cp:revision>
  <dcterms:created xsi:type="dcterms:W3CDTF">2023-05-27T18:20:00Z</dcterms:created>
  <dcterms:modified xsi:type="dcterms:W3CDTF">2023-05-28T09:59:00Z</dcterms:modified>
</cp:coreProperties>
</file>