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charts/chart3.xml" ContentType="application/vnd.openxmlformats-officedocument.drawingml.chart+xml"/>
  <Override PartName="/word/theme/themeOverride2.xml" ContentType="application/vnd.openxmlformats-officedocument.themeOverride+xml"/>
  <Override PartName="/word/charts/chart4.xml" ContentType="application/vnd.openxmlformats-officedocument.drawingml.chart+xml"/>
  <Override PartName="/word/theme/themeOverride3.xml" ContentType="application/vnd.openxmlformats-officedocument.themeOverride+xml"/>
  <Override PartName="/word/charts/chart5.xml" ContentType="application/vnd.openxmlformats-officedocument.drawingml.chart+xml"/>
  <Override PartName="/word/theme/themeOverride4.xml" ContentType="application/vnd.openxmlformats-officedocument.themeOverride+xml"/>
  <Override PartName="/word/charts/chart6.xml" ContentType="application/vnd.openxmlformats-officedocument.drawingml.chart+xml"/>
  <Override PartName="/word/theme/themeOverride5.xml" ContentType="application/vnd.openxmlformats-officedocument.themeOverride+xml"/>
  <Override PartName="/word/charts/chart7.xml" ContentType="application/vnd.openxmlformats-officedocument.drawingml.chart+xml"/>
  <Override PartName="/word/theme/themeOverride6.xml" ContentType="application/vnd.openxmlformats-officedocument.themeOverride+xml"/>
  <Override PartName="/word/charts/chart8.xml" ContentType="application/vnd.openxmlformats-officedocument.drawingml.chart+xml"/>
  <Override PartName="/word/theme/themeOverride7.xml" ContentType="application/vnd.openxmlformats-officedocument.themeOverride+xml"/>
  <Override PartName="/word/charts/chart9.xml" ContentType="application/vnd.openxmlformats-officedocument.drawingml.chart+xml"/>
  <Override PartName="/word/theme/themeOverride8.xml" ContentType="application/vnd.openxmlformats-officedocument.themeOverride+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1F0A49" w14:textId="77777777" w:rsidR="00C22FCC" w:rsidRPr="00010B33" w:rsidRDefault="00C22FCC" w:rsidP="005C25E2">
      <w:pPr>
        <w:spacing w:line="360" w:lineRule="auto"/>
        <w:jc w:val="both"/>
        <w:rPr>
          <w:rFonts w:cs="Times New Roman"/>
          <w:szCs w:val="24"/>
        </w:rPr>
      </w:pPr>
    </w:p>
    <w:p w14:paraId="05DA4EC4" w14:textId="77777777" w:rsidR="00C22FCC" w:rsidRPr="00010B33" w:rsidRDefault="00C22FCC" w:rsidP="005C25E2">
      <w:pPr>
        <w:spacing w:line="360" w:lineRule="auto"/>
        <w:jc w:val="both"/>
        <w:rPr>
          <w:rFonts w:cs="Times New Roman"/>
          <w:szCs w:val="24"/>
        </w:rPr>
      </w:pPr>
      <w:r w:rsidRPr="00010B33">
        <w:rPr>
          <w:rFonts w:cs="Times New Roman"/>
          <w:noProof/>
          <w:szCs w:val="24"/>
        </w:rPr>
        <w:drawing>
          <wp:anchor distT="0" distB="0" distL="114300" distR="114300" simplePos="0" relativeHeight="251645952" behindDoc="0" locked="0" layoutInCell="1" allowOverlap="1" wp14:anchorId="436404D5" wp14:editId="2E0D5A4B">
            <wp:simplePos x="0" y="0"/>
            <wp:positionH relativeFrom="margin">
              <wp:posOffset>1408430</wp:posOffset>
            </wp:positionH>
            <wp:positionV relativeFrom="margin">
              <wp:posOffset>440055</wp:posOffset>
            </wp:positionV>
            <wp:extent cx="2787650" cy="1847850"/>
            <wp:effectExtent l="0" t="0" r="0" b="0"/>
            <wp:wrapSquare wrapText="bothSides"/>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lum bright="-20000" contrast="40000"/>
                      <a:extLst>
                        <a:ext uri="{28A0092B-C50C-407E-A947-70E740481C1C}">
                          <a14:useLocalDpi xmlns:a14="http://schemas.microsoft.com/office/drawing/2010/main" val="0"/>
                        </a:ext>
                      </a:extLst>
                    </a:blip>
                    <a:srcRect/>
                    <a:stretch>
                      <a:fillRect/>
                    </a:stretch>
                  </pic:blipFill>
                  <pic:spPr bwMode="auto">
                    <a:xfrm>
                      <a:off x="0" y="0"/>
                      <a:ext cx="2787650" cy="1847850"/>
                    </a:xfrm>
                    <a:prstGeom prst="rect">
                      <a:avLst/>
                    </a:prstGeom>
                    <a:noFill/>
                  </pic:spPr>
                </pic:pic>
              </a:graphicData>
            </a:graphic>
            <wp14:sizeRelH relativeFrom="page">
              <wp14:pctWidth>0</wp14:pctWidth>
            </wp14:sizeRelH>
            <wp14:sizeRelV relativeFrom="page">
              <wp14:pctHeight>0</wp14:pctHeight>
            </wp14:sizeRelV>
          </wp:anchor>
        </w:drawing>
      </w:r>
    </w:p>
    <w:p w14:paraId="230C6A2E" w14:textId="77777777" w:rsidR="00C22FCC" w:rsidRPr="00010B33" w:rsidRDefault="00C22FCC" w:rsidP="005C25E2">
      <w:pPr>
        <w:spacing w:after="0" w:line="360" w:lineRule="auto"/>
        <w:jc w:val="both"/>
        <w:rPr>
          <w:rFonts w:cs="Times New Roman"/>
          <w:color w:val="000000" w:themeColor="text1"/>
          <w:szCs w:val="24"/>
        </w:rPr>
      </w:pPr>
    </w:p>
    <w:p w14:paraId="2E522A4C" w14:textId="77777777" w:rsidR="00C22FCC" w:rsidRPr="00010B33" w:rsidRDefault="00C22FCC" w:rsidP="005C25E2">
      <w:pPr>
        <w:spacing w:after="0" w:line="360" w:lineRule="auto"/>
        <w:jc w:val="both"/>
        <w:rPr>
          <w:rFonts w:cs="Times New Roman"/>
          <w:color w:val="000000" w:themeColor="text1"/>
          <w:szCs w:val="24"/>
        </w:rPr>
      </w:pPr>
    </w:p>
    <w:p w14:paraId="212D794E" w14:textId="77777777" w:rsidR="00C22FCC" w:rsidRPr="00010B33" w:rsidRDefault="00C22FCC" w:rsidP="005C25E2">
      <w:pPr>
        <w:spacing w:after="0" w:line="360" w:lineRule="auto"/>
        <w:jc w:val="both"/>
        <w:rPr>
          <w:rFonts w:cs="Times New Roman"/>
          <w:color w:val="000000" w:themeColor="text1"/>
          <w:szCs w:val="24"/>
        </w:rPr>
      </w:pPr>
    </w:p>
    <w:p w14:paraId="68937B0D" w14:textId="77777777" w:rsidR="00C22FCC" w:rsidRPr="00010B33" w:rsidRDefault="00C22FCC" w:rsidP="005C25E2">
      <w:pPr>
        <w:spacing w:after="0" w:line="360" w:lineRule="auto"/>
        <w:jc w:val="both"/>
        <w:rPr>
          <w:rFonts w:cs="Times New Roman"/>
          <w:color w:val="000000" w:themeColor="text1"/>
          <w:szCs w:val="24"/>
        </w:rPr>
      </w:pPr>
    </w:p>
    <w:p w14:paraId="7CE49A21" w14:textId="77777777" w:rsidR="00C22FCC" w:rsidRPr="00010B33" w:rsidRDefault="00C22FCC" w:rsidP="005C25E2">
      <w:pPr>
        <w:spacing w:after="0" w:line="360" w:lineRule="auto"/>
        <w:jc w:val="both"/>
        <w:rPr>
          <w:rFonts w:cs="Times New Roman"/>
          <w:color w:val="000000" w:themeColor="text1"/>
          <w:szCs w:val="24"/>
        </w:rPr>
      </w:pPr>
    </w:p>
    <w:p w14:paraId="68F9E038" w14:textId="77777777" w:rsidR="00C22FCC" w:rsidRPr="00010B33" w:rsidRDefault="00C22FCC" w:rsidP="005C25E2">
      <w:pPr>
        <w:spacing w:after="0" w:line="360" w:lineRule="auto"/>
        <w:jc w:val="both"/>
        <w:rPr>
          <w:rFonts w:cs="Times New Roman"/>
          <w:color w:val="000000" w:themeColor="text1"/>
          <w:szCs w:val="24"/>
        </w:rPr>
      </w:pPr>
    </w:p>
    <w:p w14:paraId="551BA47A" w14:textId="77777777" w:rsidR="00C22FCC" w:rsidRPr="00010B33" w:rsidRDefault="00C22FCC" w:rsidP="005C25E2">
      <w:pPr>
        <w:spacing w:line="360" w:lineRule="auto"/>
        <w:jc w:val="both"/>
        <w:rPr>
          <w:rFonts w:cs="Times New Roman"/>
          <w:szCs w:val="24"/>
        </w:rPr>
      </w:pPr>
    </w:p>
    <w:p w14:paraId="2081B7E3" w14:textId="77777777" w:rsidR="00C22FCC" w:rsidRPr="00010B33" w:rsidRDefault="00C22FCC" w:rsidP="005C25E2">
      <w:pPr>
        <w:pStyle w:val="Default"/>
        <w:spacing w:line="276" w:lineRule="auto"/>
        <w:jc w:val="center"/>
        <w:rPr>
          <w:b/>
          <w:bCs/>
        </w:rPr>
      </w:pPr>
    </w:p>
    <w:p w14:paraId="2B783198" w14:textId="3111AC27" w:rsidR="00C22FCC" w:rsidRPr="00010B33" w:rsidRDefault="00C22FCC" w:rsidP="005C25E2">
      <w:pPr>
        <w:pStyle w:val="Default"/>
        <w:spacing w:line="276" w:lineRule="auto"/>
        <w:jc w:val="center"/>
        <w:rPr>
          <w:bCs/>
        </w:rPr>
      </w:pPr>
      <w:r w:rsidRPr="00010B33">
        <w:rPr>
          <w:bCs/>
        </w:rPr>
        <w:t>The Islamic Banking Industry of Bangladesh &amp; Social Islami Bank</w:t>
      </w:r>
      <w:r w:rsidR="005C4462">
        <w:rPr>
          <w:bCs/>
        </w:rPr>
        <w:t xml:space="preserve"> Limited</w:t>
      </w:r>
      <w:r w:rsidR="001B1EFE">
        <w:rPr>
          <w:bCs/>
        </w:rPr>
        <w:t>:</w:t>
      </w:r>
      <w:r w:rsidR="00D41B4B">
        <w:rPr>
          <w:bCs/>
        </w:rPr>
        <w:t xml:space="preserve"> </w:t>
      </w:r>
      <w:r w:rsidR="001B1EFE">
        <w:rPr>
          <w:bCs/>
        </w:rPr>
        <w:t>An</w:t>
      </w:r>
      <w:r w:rsidRPr="00010B33">
        <w:rPr>
          <w:bCs/>
        </w:rPr>
        <w:t xml:space="preserve"> Internship </w:t>
      </w:r>
      <w:r w:rsidR="00D41B4B">
        <w:rPr>
          <w:bCs/>
        </w:rPr>
        <w:t xml:space="preserve">Experience </w:t>
      </w:r>
      <w:r w:rsidR="001B1EFE">
        <w:rPr>
          <w:bCs/>
        </w:rPr>
        <w:t>Perspective</w:t>
      </w:r>
    </w:p>
    <w:p w14:paraId="3D135B8D" w14:textId="77777777" w:rsidR="00C22FCC" w:rsidRPr="00010B33" w:rsidRDefault="00C22FCC" w:rsidP="005C25E2">
      <w:pPr>
        <w:pStyle w:val="Default"/>
        <w:spacing w:line="276" w:lineRule="auto"/>
        <w:jc w:val="center"/>
      </w:pPr>
    </w:p>
    <w:p w14:paraId="2AAC0711" w14:textId="77777777" w:rsidR="00C22FCC" w:rsidRPr="00010B33" w:rsidRDefault="00C22FCC" w:rsidP="005C25E2">
      <w:pPr>
        <w:pStyle w:val="Default"/>
        <w:spacing w:line="276" w:lineRule="auto"/>
        <w:jc w:val="center"/>
        <w:rPr>
          <w:b/>
          <w:bCs/>
          <w:color w:val="001F5F"/>
        </w:rPr>
      </w:pPr>
      <w:r w:rsidRPr="00010B33">
        <w:rPr>
          <w:b/>
          <w:bCs/>
          <w:color w:val="001F5F"/>
        </w:rPr>
        <w:t>Supervised by:</w:t>
      </w:r>
    </w:p>
    <w:p w14:paraId="2497DEA9" w14:textId="77777777" w:rsidR="00C22FCC" w:rsidRPr="00010B33" w:rsidRDefault="00C22FCC" w:rsidP="005C25E2">
      <w:pPr>
        <w:pStyle w:val="Default"/>
        <w:spacing w:line="276" w:lineRule="auto"/>
        <w:jc w:val="center"/>
        <w:rPr>
          <w:bCs/>
          <w:color w:val="000000" w:themeColor="text1"/>
        </w:rPr>
      </w:pPr>
      <w:r w:rsidRPr="00010B33">
        <w:rPr>
          <w:bCs/>
          <w:color w:val="000000" w:themeColor="text1"/>
        </w:rPr>
        <w:t>Md Mohan Uddin, Ph.D.</w:t>
      </w:r>
    </w:p>
    <w:p w14:paraId="7145B7CF" w14:textId="77777777" w:rsidR="00C22FCC" w:rsidRPr="00010B33" w:rsidRDefault="00C22FCC" w:rsidP="005C25E2">
      <w:pPr>
        <w:pStyle w:val="Default"/>
        <w:spacing w:line="276" w:lineRule="auto"/>
        <w:jc w:val="center"/>
        <w:rPr>
          <w:bCs/>
          <w:color w:val="000000" w:themeColor="text1"/>
        </w:rPr>
      </w:pPr>
      <w:r w:rsidRPr="00010B33">
        <w:rPr>
          <w:bCs/>
          <w:color w:val="000000" w:themeColor="text1"/>
        </w:rPr>
        <w:t>Professor</w:t>
      </w:r>
    </w:p>
    <w:p w14:paraId="1AA965CE" w14:textId="77777777" w:rsidR="00C22FCC" w:rsidRPr="00010B33" w:rsidRDefault="00C22FCC" w:rsidP="005C25E2">
      <w:pPr>
        <w:pStyle w:val="Default"/>
        <w:spacing w:line="276" w:lineRule="auto"/>
        <w:jc w:val="center"/>
        <w:rPr>
          <w:bCs/>
          <w:color w:val="000000" w:themeColor="text1"/>
        </w:rPr>
      </w:pPr>
      <w:r w:rsidRPr="00010B33">
        <w:t xml:space="preserve">School of Business &amp; Economics </w:t>
      </w:r>
      <w:r w:rsidRPr="00010B33">
        <w:br/>
        <w:t>United International University</w:t>
      </w:r>
    </w:p>
    <w:p w14:paraId="6FB34EFF" w14:textId="77777777" w:rsidR="00C22FCC" w:rsidRPr="00010B33" w:rsidRDefault="00C22FCC" w:rsidP="005C25E2">
      <w:pPr>
        <w:pStyle w:val="Default"/>
        <w:spacing w:line="276" w:lineRule="auto"/>
        <w:jc w:val="center"/>
        <w:rPr>
          <w:bCs/>
          <w:color w:val="000000" w:themeColor="text1"/>
        </w:rPr>
      </w:pPr>
    </w:p>
    <w:p w14:paraId="4CEA918F" w14:textId="77777777" w:rsidR="00C22FCC" w:rsidRPr="00010B33" w:rsidRDefault="00C22FCC" w:rsidP="005C25E2">
      <w:pPr>
        <w:jc w:val="center"/>
        <w:rPr>
          <w:rFonts w:cs="Times New Roman"/>
          <w:b/>
          <w:bCs/>
          <w:color w:val="001F5F"/>
          <w:szCs w:val="24"/>
        </w:rPr>
      </w:pPr>
      <w:r w:rsidRPr="00010B33">
        <w:rPr>
          <w:rFonts w:cs="Times New Roman"/>
          <w:b/>
          <w:bCs/>
          <w:color w:val="001F5F"/>
          <w:szCs w:val="24"/>
        </w:rPr>
        <w:t>Submitted by:</w:t>
      </w:r>
    </w:p>
    <w:p w14:paraId="5DDEFDC7" w14:textId="77777777" w:rsidR="00C22FCC" w:rsidRPr="00010B33" w:rsidRDefault="00C22FCC" w:rsidP="005C25E2">
      <w:pPr>
        <w:jc w:val="center"/>
        <w:rPr>
          <w:rFonts w:cs="Times New Roman"/>
          <w:b/>
          <w:bCs/>
          <w:color w:val="001F5F"/>
          <w:szCs w:val="24"/>
        </w:rPr>
      </w:pPr>
      <w:proofErr w:type="spellStart"/>
      <w:r w:rsidRPr="00010B33">
        <w:rPr>
          <w:rFonts w:cs="Times New Roman"/>
          <w:bCs/>
          <w:color w:val="000000" w:themeColor="text1"/>
          <w:szCs w:val="24"/>
        </w:rPr>
        <w:t>Junayed</w:t>
      </w:r>
      <w:proofErr w:type="spellEnd"/>
      <w:r w:rsidRPr="00010B33">
        <w:rPr>
          <w:rFonts w:cs="Times New Roman"/>
          <w:bCs/>
          <w:color w:val="000000" w:themeColor="text1"/>
          <w:szCs w:val="24"/>
        </w:rPr>
        <w:t xml:space="preserve"> </w:t>
      </w:r>
      <w:proofErr w:type="spellStart"/>
      <w:r w:rsidRPr="00010B33">
        <w:rPr>
          <w:rFonts w:cs="Times New Roman"/>
          <w:bCs/>
          <w:color w:val="000000" w:themeColor="text1"/>
          <w:szCs w:val="24"/>
        </w:rPr>
        <w:t>Ahamed</w:t>
      </w:r>
      <w:proofErr w:type="spellEnd"/>
      <w:r w:rsidRPr="00010B33">
        <w:rPr>
          <w:rFonts w:cs="Times New Roman"/>
          <w:bCs/>
          <w:color w:val="000000" w:themeColor="text1"/>
          <w:szCs w:val="24"/>
        </w:rPr>
        <w:t xml:space="preserve"> </w:t>
      </w:r>
      <w:proofErr w:type="spellStart"/>
      <w:r w:rsidRPr="00010B33">
        <w:rPr>
          <w:rFonts w:cs="Times New Roman"/>
          <w:bCs/>
          <w:color w:val="000000" w:themeColor="text1"/>
          <w:szCs w:val="24"/>
        </w:rPr>
        <w:t>Soumik</w:t>
      </w:r>
      <w:proofErr w:type="spellEnd"/>
    </w:p>
    <w:p w14:paraId="4EBAAB89" w14:textId="77777777" w:rsidR="00C22FCC" w:rsidRPr="00010B33" w:rsidRDefault="00C22FCC" w:rsidP="005C25E2">
      <w:pPr>
        <w:jc w:val="center"/>
        <w:rPr>
          <w:rFonts w:cs="Times New Roman"/>
          <w:bCs/>
          <w:color w:val="000000" w:themeColor="text1"/>
          <w:szCs w:val="24"/>
        </w:rPr>
      </w:pPr>
      <w:r w:rsidRPr="00010B33">
        <w:rPr>
          <w:rFonts w:cs="Times New Roman"/>
          <w:b/>
          <w:bCs/>
          <w:color w:val="001F5F"/>
          <w:szCs w:val="24"/>
        </w:rPr>
        <w:t>ID</w:t>
      </w:r>
      <w:r w:rsidRPr="00010B33">
        <w:rPr>
          <w:rFonts w:cs="Times New Roman"/>
          <w:szCs w:val="24"/>
        </w:rPr>
        <w:t>:  111-163-139</w:t>
      </w:r>
    </w:p>
    <w:p w14:paraId="6A53845A" w14:textId="77777777" w:rsidR="00C22FCC" w:rsidRDefault="00C22FCC" w:rsidP="005C25E2">
      <w:pPr>
        <w:jc w:val="center"/>
        <w:rPr>
          <w:rFonts w:cs="Times New Roman"/>
          <w:szCs w:val="24"/>
        </w:rPr>
      </w:pPr>
      <w:r w:rsidRPr="00010B33">
        <w:rPr>
          <w:rFonts w:cs="Times New Roman"/>
          <w:szCs w:val="24"/>
        </w:rPr>
        <w:t>Bachelor of Business Administration (BBA)</w:t>
      </w:r>
    </w:p>
    <w:p w14:paraId="21096BE1" w14:textId="77777777" w:rsidR="001B1EFE" w:rsidRPr="00010B33" w:rsidRDefault="001B1EFE" w:rsidP="005C25E2">
      <w:pPr>
        <w:jc w:val="center"/>
        <w:rPr>
          <w:rFonts w:cs="Times New Roman"/>
          <w:szCs w:val="24"/>
        </w:rPr>
      </w:pPr>
      <w:r>
        <w:rPr>
          <w:rFonts w:cs="Times New Roman"/>
          <w:szCs w:val="24"/>
        </w:rPr>
        <w:t>School of Business and Economics (</w:t>
      </w:r>
      <w:r w:rsidR="00684289">
        <w:rPr>
          <w:rFonts w:cs="Times New Roman"/>
          <w:szCs w:val="24"/>
        </w:rPr>
        <w:t>SoBE)</w:t>
      </w:r>
    </w:p>
    <w:p w14:paraId="017C61E5" w14:textId="77777777" w:rsidR="00C22FCC" w:rsidRPr="00010B33" w:rsidRDefault="00C22FCC" w:rsidP="005C25E2">
      <w:pPr>
        <w:jc w:val="center"/>
        <w:rPr>
          <w:rFonts w:cs="Times New Roman"/>
          <w:b/>
          <w:bCs/>
          <w:color w:val="001F5F"/>
          <w:szCs w:val="24"/>
        </w:rPr>
      </w:pPr>
      <w:r w:rsidRPr="00010B33">
        <w:rPr>
          <w:rFonts w:cs="Times New Roman"/>
          <w:szCs w:val="24"/>
        </w:rPr>
        <w:t>United International University</w:t>
      </w:r>
    </w:p>
    <w:p w14:paraId="1BC448CA" w14:textId="77777777" w:rsidR="00C22FCC" w:rsidRPr="00010B33" w:rsidRDefault="00C22FCC" w:rsidP="005C25E2">
      <w:pPr>
        <w:jc w:val="center"/>
        <w:rPr>
          <w:rFonts w:cs="Times New Roman"/>
          <w:b/>
          <w:bCs/>
          <w:color w:val="001F5F"/>
          <w:szCs w:val="24"/>
        </w:rPr>
      </w:pPr>
    </w:p>
    <w:p w14:paraId="54292282" w14:textId="77777777" w:rsidR="00C22FCC" w:rsidRPr="00010B33" w:rsidRDefault="00C22FCC" w:rsidP="005C25E2">
      <w:pPr>
        <w:rPr>
          <w:rFonts w:cs="Times New Roman"/>
          <w:b/>
          <w:bCs/>
          <w:color w:val="001F5F"/>
          <w:szCs w:val="24"/>
        </w:rPr>
      </w:pPr>
    </w:p>
    <w:p w14:paraId="491DB240" w14:textId="0E26D193" w:rsidR="00C22FCC" w:rsidRPr="00010B33" w:rsidRDefault="00C22FCC" w:rsidP="005C25E2">
      <w:pPr>
        <w:jc w:val="center"/>
        <w:rPr>
          <w:rFonts w:cs="Times New Roman"/>
          <w:b/>
          <w:bCs/>
          <w:szCs w:val="24"/>
        </w:rPr>
      </w:pPr>
      <w:r w:rsidRPr="00010B33">
        <w:rPr>
          <w:rFonts w:cs="Times New Roman"/>
          <w:b/>
          <w:bCs/>
          <w:color w:val="001F5F"/>
          <w:szCs w:val="24"/>
        </w:rPr>
        <w:t>Date of Submission</w:t>
      </w:r>
      <w:r w:rsidRPr="00010B33">
        <w:rPr>
          <w:rFonts w:cs="Times New Roman"/>
          <w:b/>
          <w:bCs/>
          <w:szCs w:val="24"/>
        </w:rPr>
        <w:t>:</w:t>
      </w:r>
      <w:r w:rsidR="005C4462">
        <w:rPr>
          <w:rFonts w:cs="Times New Roman"/>
          <w:b/>
          <w:bCs/>
          <w:szCs w:val="24"/>
        </w:rPr>
        <w:t xml:space="preserve"> </w:t>
      </w:r>
      <w:r w:rsidR="00AB542A">
        <w:rPr>
          <w:rFonts w:cs="Times New Roman"/>
          <w:b/>
          <w:bCs/>
          <w:szCs w:val="24"/>
        </w:rPr>
        <w:t>1</w:t>
      </w:r>
      <w:r w:rsidR="00AB542A" w:rsidRPr="00AB542A">
        <w:rPr>
          <w:rFonts w:cs="Times New Roman"/>
          <w:b/>
          <w:bCs/>
          <w:szCs w:val="24"/>
          <w:vertAlign w:val="superscript"/>
        </w:rPr>
        <w:t>st</w:t>
      </w:r>
      <w:r w:rsidR="00AB542A">
        <w:rPr>
          <w:rFonts w:cs="Times New Roman"/>
          <w:b/>
          <w:bCs/>
          <w:szCs w:val="24"/>
        </w:rPr>
        <w:t xml:space="preserve"> May, </w:t>
      </w:r>
      <w:r w:rsidR="0054117E">
        <w:rPr>
          <w:rFonts w:cs="Times New Roman"/>
          <w:b/>
          <w:bCs/>
          <w:szCs w:val="24"/>
        </w:rPr>
        <w:t>2021</w:t>
      </w:r>
    </w:p>
    <w:p w14:paraId="134C1B51" w14:textId="77777777" w:rsidR="00C22FCC" w:rsidRPr="00010B33" w:rsidRDefault="00C22FCC" w:rsidP="005C25E2">
      <w:pPr>
        <w:spacing w:line="360" w:lineRule="auto"/>
        <w:jc w:val="both"/>
        <w:rPr>
          <w:rFonts w:cs="Times New Roman"/>
          <w:b/>
          <w:szCs w:val="24"/>
          <w:u w:val="single"/>
        </w:rPr>
      </w:pPr>
    </w:p>
    <w:p w14:paraId="69C0B2A3" w14:textId="77777777" w:rsidR="00C22FCC" w:rsidRPr="00010B33" w:rsidRDefault="00C22FCC" w:rsidP="009C20D1">
      <w:pPr>
        <w:pStyle w:val="Heading1"/>
      </w:pPr>
      <w:r w:rsidRPr="00010B33">
        <w:lastRenderedPageBreak/>
        <w:t>ACKNOWLEDGEMENT</w:t>
      </w:r>
    </w:p>
    <w:p w14:paraId="1DADABA9" w14:textId="77777777" w:rsidR="00C22FCC" w:rsidRPr="00010B33" w:rsidRDefault="00C22FCC" w:rsidP="005C25E2">
      <w:pPr>
        <w:spacing w:line="360" w:lineRule="auto"/>
        <w:jc w:val="both"/>
        <w:rPr>
          <w:rFonts w:cs="Times New Roman"/>
          <w:szCs w:val="24"/>
        </w:rPr>
      </w:pPr>
      <w:r w:rsidRPr="00010B33">
        <w:rPr>
          <w:rFonts w:cs="Times New Roman"/>
          <w:szCs w:val="24"/>
        </w:rPr>
        <w:t>All praises to the Almighty Creator, who has conferred his kindness upon me by giving me the chance, time, courage, and strength to carry out and finish the task within the time limit. I would like to express thanks to those who have contributed to it a lot.</w:t>
      </w:r>
    </w:p>
    <w:p w14:paraId="2A9F3395" w14:textId="5F0FEAC8" w:rsidR="00C22FCC" w:rsidRPr="00010B33" w:rsidRDefault="00C22FCC" w:rsidP="005C25E2">
      <w:pPr>
        <w:spacing w:line="360" w:lineRule="auto"/>
        <w:jc w:val="both"/>
        <w:rPr>
          <w:rFonts w:cs="Times New Roman"/>
          <w:szCs w:val="24"/>
        </w:rPr>
      </w:pPr>
      <w:r w:rsidRPr="00010B33">
        <w:rPr>
          <w:rFonts w:cs="Times New Roman"/>
          <w:szCs w:val="24"/>
        </w:rPr>
        <w:t xml:space="preserve">I sincerely acknowledge my debt and special gratitude to the instructor, Md Mohan Uddin, Ph.D.  Professor, School of Business &amp; Economics (SoBE), United International University, for his careful supervision and eccentric guidelines for the Internship report throughout several consultations as my supervisor. The continuous discussion between me and my supervisor has let me put a heartfelt effort to produce this report. He has indebted us with his flawless advice and support and of course to allow us to work on such an exceptional project from where we have learned abundant things. </w:t>
      </w:r>
      <w:r w:rsidR="000562DD">
        <w:rPr>
          <w:rFonts w:cs="Times New Roman"/>
          <w:szCs w:val="24"/>
        </w:rPr>
        <w:t xml:space="preserve">His consistent accessibility for discussing problems and ideas and encouragement with support </w:t>
      </w:r>
      <w:r w:rsidR="005C4462">
        <w:rPr>
          <w:rFonts w:cs="Times New Roman"/>
          <w:szCs w:val="24"/>
        </w:rPr>
        <w:t>ha</w:t>
      </w:r>
      <w:r w:rsidR="00431D2E">
        <w:rPr>
          <w:rFonts w:cs="Times New Roman"/>
          <w:szCs w:val="24"/>
        </w:rPr>
        <w:t>ve</w:t>
      </w:r>
      <w:r w:rsidR="000562DD">
        <w:rPr>
          <w:rFonts w:cs="Times New Roman"/>
          <w:szCs w:val="24"/>
        </w:rPr>
        <w:t xml:space="preserve"> contributed much to the report.</w:t>
      </w:r>
    </w:p>
    <w:p w14:paraId="388AB605" w14:textId="77777777" w:rsidR="00C22FCC" w:rsidRPr="00010B33" w:rsidRDefault="00C22FCC" w:rsidP="005C25E2">
      <w:pPr>
        <w:spacing w:line="360" w:lineRule="auto"/>
        <w:jc w:val="both"/>
        <w:rPr>
          <w:rFonts w:cs="Times New Roman"/>
          <w:szCs w:val="24"/>
        </w:rPr>
      </w:pPr>
      <w:r w:rsidRPr="00010B33">
        <w:rPr>
          <w:rFonts w:cs="Times New Roman"/>
          <w:szCs w:val="24"/>
        </w:rPr>
        <w:t>I am also grat</w:t>
      </w:r>
      <w:r w:rsidR="000562DD">
        <w:rPr>
          <w:rFonts w:cs="Times New Roman"/>
          <w:szCs w:val="24"/>
        </w:rPr>
        <w:t>eful</w:t>
      </w:r>
      <w:r w:rsidRPr="00010B33">
        <w:rPr>
          <w:rFonts w:cs="Times New Roman"/>
          <w:szCs w:val="24"/>
        </w:rPr>
        <w:t xml:space="preserve"> to Shaheen Mahmood (my organizational supervisor), Mr. </w:t>
      </w:r>
      <w:proofErr w:type="spellStart"/>
      <w:r w:rsidRPr="00010B33">
        <w:rPr>
          <w:rFonts w:cs="Times New Roman"/>
          <w:szCs w:val="24"/>
        </w:rPr>
        <w:t>Istiak</w:t>
      </w:r>
      <w:proofErr w:type="spellEnd"/>
      <w:r w:rsidRPr="00010B33">
        <w:rPr>
          <w:rFonts w:cs="Times New Roman"/>
          <w:szCs w:val="24"/>
        </w:rPr>
        <w:t xml:space="preserve"> Mahmud (FAVP and Trade </w:t>
      </w:r>
      <w:r w:rsidR="004D0339" w:rsidRPr="00010B33">
        <w:rPr>
          <w:rFonts w:cs="Times New Roman"/>
          <w:szCs w:val="24"/>
        </w:rPr>
        <w:t>In</w:t>
      </w:r>
      <w:r w:rsidR="000562DD">
        <w:rPr>
          <w:rFonts w:cs="Times New Roman"/>
          <w:szCs w:val="24"/>
        </w:rPr>
        <w:t>-</w:t>
      </w:r>
      <w:r w:rsidR="004D0339" w:rsidRPr="00010B33">
        <w:rPr>
          <w:rFonts w:cs="Times New Roman"/>
          <w:szCs w:val="24"/>
        </w:rPr>
        <w:t>charge</w:t>
      </w:r>
      <w:r w:rsidRPr="00010B33">
        <w:rPr>
          <w:rFonts w:cs="Times New Roman"/>
          <w:szCs w:val="24"/>
        </w:rPr>
        <w:t xml:space="preserve">), </w:t>
      </w:r>
      <w:r w:rsidR="004D0339" w:rsidRPr="00010B33">
        <w:rPr>
          <w:rFonts w:cs="Times New Roman"/>
          <w:szCs w:val="24"/>
        </w:rPr>
        <w:t xml:space="preserve">Mr. </w:t>
      </w:r>
      <w:proofErr w:type="spellStart"/>
      <w:r w:rsidR="004D0339" w:rsidRPr="00010B33">
        <w:rPr>
          <w:rFonts w:cs="Times New Roman"/>
          <w:szCs w:val="24"/>
        </w:rPr>
        <w:t>Showeb</w:t>
      </w:r>
      <w:proofErr w:type="spellEnd"/>
      <w:r w:rsidRPr="00010B33">
        <w:rPr>
          <w:rFonts w:cs="Times New Roman"/>
          <w:szCs w:val="24"/>
        </w:rPr>
        <w:t xml:space="preserve"> Mohammad (Officer)</w:t>
      </w:r>
      <w:r w:rsidR="000562DD">
        <w:rPr>
          <w:rFonts w:cs="Times New Roman"/>
          <w:szCs w:val="24"/>
        </w:rPr>
        <w:t>,</w:t>
      </w:r>
      <w:r w:rsidRPr="00010B33">
        <w:rPr>
          <w:rFonts w:cs="Times New Roman"/>
          <w:szCs w:val="24"/>
        </w:rPr>
        <w:t xml:space="preserve"> and also other bank officers for offering me the relevant information for my report and their useful cooperation, guidelines, advice and continued support throughout the internship period. During my internship period, I was closely associated with them. They made my internship delightful and convenient. To end with, I must not miss the chance of articulating my earnest appreciation to some of my friends, who shared and inspired me all the time.</w:t>
      </w:r>
    </w:p>
    <w:p w14:paraId="3C759DF5" w14:textId="77777777" w:rsidR="00C22FCC" w:rsidRPr="00010B33" w:rsidRDefault="00C22FCC" w:rsidP="005C25E2">
      <w:pPr>
        <w:spacing w:line="360" w:lineRule="auto"/>
        <w:jc w:val="both"/>
        <w:rPr>
          <w:rFonts w:cs="Times New Roman"/>
          <w:szCs w:val="24"/>
        </w:rPr>
      </w:pPr>
    </w:p>
    <w:p w14:paraId="07398611" w14:textId="77777777" w:rsidR="00C22FCC" w:rsidRPr="00010B33" w:rsidRDefault="00C22FCC" w:rsidP="005C25E2">
      <w:pPr>
        <w:spacing w:line="360" w:lineRule="auto"/>
        <w:jc w:val="both"/>
        <w:rPr>
          <w:rFonts w:cs="Times New Roman"/>
          <w:szCs w:val="24"/>
        </w:rPr>
      </w:pPr>
    </w:p>
    <w:p w14:paraId="44D8E748" w14:textId="77777777" w:rsidR="00C22FCC" w:rsidRPr="00010B33" w:rsidRDefault="00C22FCC" w:rsidP="005C25E2">
      <w:pPr>
        <w:spacing w:line="360" w:lineRule="auto"/>
        <w:jc w:val="both"/>
        <w:rPr>
          <w:rFonts w:cs="Times New Roman"/>
          <w:szCs w:val="24"/>
        </w:rPr>
      </w:pPr>
    </w:p>
    <w:p w14:paraId="502D9C55" w14:textId="77777777" w:rsidR="00C22FCC" w:rsidRPr="00010B33" w:rsidRDefault="00C22FCC" w:rsidP="005C25E2">
      <w:pPr>
        <w:spacing w:line="360" w:lineRule="auto"/>
        <w:jc w:val="both"/>
        <w:rPr>
          <w:rFonts w:cs="Times New Roman"/>
          <w:szCs w:val="24"/>
        </w:rPr>
      </w:pPr>
    </w:p>
    <w:p w14:paraId="00D3474B" w14:textId="77777777" w:rsidR="00C22FCC" w:rsidRDefault="00C22FCC" w:rsidP="005C25E2">
      <w:pPr>
        <w:spacing w:line="360" w:lineRule="auto"/>
        <w:jc w:val="both"/>
        <w:rPr>
          <w:rFonts w:cs="Times New Roman"/>
          <w:szCs w:val="24"/>
        </w:rPr>
      </w:pPr>
    </w:p>
    <w:p w14:paraId="1B6C7EAF" w14:textId="77777777" w:rsidR="009C20D1" w:rsidRDefault="009C20D1" w:rsidP="005C25E2">
      <w:pPr>
        <w:spacing w:line="360" w:lineRule="auto"/>
        <w:jc w:val="both"/>
        <w:rPr>
          <w:rFonts w:cs="Times New Roman"/>
          <w:szCs w:val="24"/>
        </w:rPr>
      </w:pPr>
    </w:p>
    <w:p w14:paraId="2C44B0A7" w14:textId="77777777" w:rsidR="009C20D1" w:rsidRPr="00010B33" w:rsidRDefault="009C20D1" w:rsidP="005C25E2">
      <w:pPr>
        <w:spacing w:line="360" w:lineRule="auto"/>
        <w:jc w:val="both"/>
        <w:rPr>
          <w:rFonts w:cs="Times New Roman"/>
          <w:szCs w:val="24"/>
        </w:rPr>
      </w:pPr>
    </w:p>
    <w:p w14:paraId="4462B6A0" w14:textId="77777777" w:rsidR="00C22FCC" w:rsidRPr="00010B33" w:rsidRDefault="00C22FCC" w:rsidP="005C25E2">
      <w:pPr>
        <w:spacing w:line="360" w:lineRule="auto"/>
        <w:jc w:val="both"/>
        <w:rPr>
          <w:rFonts w:cs="Times New Roman"/>
          <w:b/>
          <w:szCs w:val="24"/>
          <w:u w:val="single"/>
        </w:rPr>
      </w:pPr>
    </w:p>
    <w:p w14:paraId="6C72040B" w14:textId="329B8961" w:rsidR="00AB542A" w:rsidRDefault="00C22FCC" w:rsidP="009C20D1">
      <w:pPr>
        <w:pStyle w:val="Heading1"/>
      </w:pPr>
      <w:r w:rsidRPr="00BD69DD">
        <w:lastRenderedPageBreak/>
        <w:t>LETTER OF TRANSMITTAL</w:t>
      </w:r>
    </w:p>
    <w:p w14:paraId="55B0ECA3" w14:textId="0496F4B5" w:rsidR="00C22FCC" w:rsidRPr="00010B33" w:rsidRDefault="00AB542A" w:rsidP="005C25E2">
      <w:pPr>
        <w:spacing w:line="360" w:lineRule="auto"/>
        <w:jc w:val="both"/>
        <w:rPr>
          <w:rFonts w:cs="Times New Roman"/>
          <w:szCs w:val="24"/>
        </w:rPr>
      </w:pPr>
      <w:r>
        <w:rPr>
          <w:rFonts w:cs="Times New Roman"/>
          <w:szCs w:val="24"/>
        </w:rPr>
        <w:t>1st May</w:t>
      </w:r>
      <w:r w:rsidR="00C22FCC" w:rsidRPr="00010B33">
        <w:rPr>
          <w:rFonts w:cs="Times New Roman"/>
          <w:szCs w:val="24"/>
        </w:rPr>
        <w:t xml:space="preserve"> 2021</w:t>
      </w:r>
    </w:p>
    <w:p w14:paraId="7F7313E9" w14:textId="77777777" w:rsidR="00C22FCC" w:rsidRPr="00010B33" w:rsidRDefault="00C22FCC" w:rsidP="005C25E2">
      <w:pPr>
        <w:spacing w:line="360" w:lineRule="auto"/>
        <w:jc w:val="both"/>
        <w:rPr>
          <w:rFonts w:cs="Times New Roman"/>
          <w:szCs w:val="24"/>
        </w:rPr>
      </w:pPr>
      <w:r w:rsidRPr="00010B33">
        <w:rPr>
          <w:rFonts w:cs="Times New Roman"/>
          <w:szCs w:val="24"/>
        </w:rPr>
        <w:t>To,</w:t>
      </w:r>
    </w:p>
    <w:p w14:paraId="21410A4B" w14:textId="77777777" w:rsidR="00AB542A" w:rsidRDefault="00C22FCC" w:rsidP="005C25E2">
      <w:pPr>
        <w:spacing w:line="360" w:lineRule="auto"/>
        <w:jc w:val="both"/>
        <w:rPr>
          <w:rFonts w:cs="Times New Roman"/>
          <w:szCs w:val="24"/>
        </w:rPr>
      </w:pPr>
      <w:r w:rsidRPr="00010B33">
        <w:rPr>
          <w:rFonts w:cs="Times New Roman"/>
          <w:szCs w:val="24"/>
        </w:rPr>
        <w:t xml:space="preserve">Md Mohan Uddin, Ph.D.  </w:t>
      </w:r>
    </w:p>
    <w:p w14:paraId="7CCFC4A8" w14:textId="1C097A0A" w:rsidR="00C22FCC" w:rsidRDefault="00C22FCC" w:rsidP="005C25E2">
      <w:pPr>
        <w:spacing w:line="360" w:lineRule="auto"/>
        <w:jc w:val="both"/>
        <w:rPr>
          <w:rFonts w:cs="Times New Roman"/>
          <w:szCs w:val="24"/>
        </w:rPr>
      </w:pPr>
      <w:r w:rsidRPr="00010B33">
        <w:rPr>
          <w:rFonts w:cs="Times New Roman"/>
          <w:szCs w:val="24"/>
        </w:rPr>
        <w:t>Professor</w:t>
      </w:r>
      <w:r w:rsidR="00AB542A">
        <w:rPr>
          <w:rFonts w:cs="Times New Roman"/>
          <w:szCs w:val="24"/>
        </w:rPr>
        <w:t>,</w:t>
      </w:r>
    </w:p>
    <w:p w14:paraId="2E3670CA" w14:textId="0FFF5FEE" w:rsidR="00AB542A" w:rsidRPr="00010B33" w:rsidRDefault="00AB542A" w:rsidP="005C25E2">
      <w:pPr>
        <w:spacing w:line="360" w:lineRule="auto"/>
        <w:jc w:val="both"/>
        <w:rPr>
          <w:rFonts w:cs="Times New Roman"/>
          <w:szCs w:val="24"/>
        </w:rPr>
      </w:pPr>
      <w:r>
        <w:rPr>
          <w:rFonts w:cs="Times New Roman"/>
          <w:szCs w:val="24"/>
        </w:rPr>
        <w:t>School of Business and Economics</w:t>
      </w:r>
    </w:p>
    <w:p w14:paraId="49B85A57" w14:textId="77777777" w:rsidR="00C22FCC" w:rsidRPr="00010B33" w:rsidRDefault="00C22FCC" w:rsidP="005C25E2">
      <w:pPr>
        <w:spacing w:line="360" w:lineRule="auto"/>
        <w:jc w:val="both"/>
        <w:rPr>
          <w:rFonts w:cs="Times New Roman"/>
          <w:szCs w:val="24"/>
        </w:rPr>
      </w:pPr>
      <w:r w:rsidRPr="00010B33">
        <w:rPr>
          <w:rFonts w:cs="Times New Roman"/>
          <w:szCs w:val="24"/>
        </w:rPr>
        <w:t>United International University</w:t>
      </w:r>
    </w:p>
    <w:p w14:paraId="406E9871" w14:textId="3388A3C1" w:rsidR="00684289" w:rsidRDefault="00C22FCC" w:rsidP="005C25E2">
      <w:pPr>
        <w:spacing w:line="360" w:lineRule="auto"/>
        <w:jc w:val="both"/>
        <w:rPr>
          <w:rFonts w:cs="Times New Roman"/>
          <w:szCs w:val="24"/>
        </w:rPr>
      </w:pPr>
      <w:r w:rsidRPr="00010B33">
        <w:rPr>
          <w:rFonts w:cs="Times New Roman"/>
          <w:szCs w:val="24"/>
        </w:rPr>
        <w:t>Subject: Submission of Internship Report</w:t>
      </w:r>
    </w:p>
    <w:p w14:paraId="6DDB02E9" w14:textId="77777777" w:rsidR="00C22FCC" w:rsidRPr="00010B33" w:rsidRDefault="00C22FCC" w:rsidP="005C25E2">
      <w:pPr>
        <w:spacing w:line="360" w:lineRule="auto"/>
        <w:jc w:val="both"/>
        <w:rPr>
          <w:rFonts w:cs="Times New Roman"/>
          <w:szCs w:val="24"/>
        </w:rPr>
      </w:pPr>
      <w:r w:rsidRPr="00010B33">
        <w:rPr>
          <w:rFonts w:cs="Times New Roman"/>
          <w:szCs w:val="24"/>
        </w:rPr>
        <w:t>Dear Sir,</w:t>
      </w:r>
    </w:p>
    <w:p w14:paraId="060B9903" w14:textId="7E575605" w:rsidR="00C22FCC" w:rsidRPr="00010B33" w:rsidRDefault="00C22FCC" w:rsidP="005C25E2">
      <w:pPr>
        <w:spacing w:line="360" w:lineRule="auto"/>
        <w:jc w:val="both"/>
        <w:rPr>
          <w:rFonts w:cs="Times New Roman"/>
          <w:szCs w:val="24"/>
        </w:rPr>
      </w:pPr>
      <w:r w:rsidRPr="00010B33">
        <w:rPr>
          <w:rFonts w:cs="Times New Roman"/>
          <w:szCs w:val="24"/>
        </w:rPr>
        <w:t xml:space="preserve">I am delighted to present my Internship report regarded as” </w:t>
      </w:r>
      <w:r w:rsidR="00684289" w:rsidRPr="00010B33">
        <w:rPr>
          <w:bCs/>
        </w:rPr>
        <w:t>The Islamic Banking Industry of Bangladesh &amp; Social Islami Bank</w:t>
      </w:r>
      <w:r w:rsidR="005C4462">
        <w:rPr>
          <w:bCs/>
        </w:rPr>
        <w:t xml:space="preserve"> Limited</w:t>
      </w:r>
      <w:r w:rsidR="00684289">
        <w:rPr>
          <w:bCs/>
        </w:rPr>
        <w:t>:</w:t>
      </w:r>
      <w:r w:rsidR="005C4462">
        <w:rPr>
          <w:bCs/>
        </w:rPr>
        <w:t xml:space="preserve"> </w:t>
      </w:r>
      <w:r w:rsidR="00684289">
        <w:rPr>
          <w:bCs/>
        </w:rPr>
        <w:t>An</w:t>
      </w:r>
      <w:r w:rsidR="00684289" w:rsidRPr="00010B33">
        <w:rPr>
          <w:bCs/>
        </w:rPr>
        <w:t xml:space="preserve"> Internship</w:t>
      </w:r>
      <w:r w:rsidR="005C4462">
        <w:rPr>
          <w:bCs/>
        </w:rPr>
        <w:t xml:space="preserve"> Experience</w:t>
      </w:r>
      <w:r w:rsidR="00684289" w:rsidRPr="00010B33">
        <w:rPr>
          <w:bCs/>
        </w:rPr>
        <w:t xml:space="preserve"> </w:t>
      </w:r>
      <w:r w:rsidR="00684289">
        <w:rPr>
          <w:bCs/>
        </w:rPr>
        <w:t>Perspective</w:t>
      </w:r>
      <w:r w:rsidRPr="00010B33">
        <w:rPr>
          <w:rFonts w:cs="Times New Roman"/>
          <w:szCs w:val="24"/>
        </w:rPr>
        <w:t xml:space="preserve">” to you, my supervisor for the Internship as assigned by the university authority. I have given my absolute best to form this report with the necessary details, figures, and suggested proposition. In writing this report, I have charted the guidelines that you have specified to me and I have also applied related concepts that I have learned throughout my under graduation phase. Moreover, I also collected information from the selected organization to find a resemblance to theoretical learning. However, some information and references have been taken from different sources to facilitate my report. I attempted all possible steps to complete the report in due time and I wholeheartedly desire that this report will meet the expectations. My honest effort was put into giving this report a neat shape to make it as revealing and detailed as possible. If you face any problem </w:t>
      </w:r>
      <w:r w:rsidR="000562DD">
        <w:rPr>
          <w:rFonts w:cs="Times New Roman"/>
          <w:szCs w:val="24"/>
        </w:rPr>
        <w:t>reading</w:t>
      </w:r>
      <w:r w:rsidRPr="00010B33">
        <w:rPr>
          <w:rFonts w:cs="Times New Roman"/>
          <w:szCs w:val="24"/>
        </w:rPr>
        <w:t xml:space="preserve"> any part of my report or need any assistance, feel free to contact me (Email: jsoumik163139@bba.uiu.ac.bd, Cell no. 01674645987). Finally, I would love to express once again my gratitude for your compassionate thoughts and kind consideration.</w:t>
      </w:r>
    </w:p>
    <w:p w14:paraId="05F9BF04" w14:textId="77777777" w:rsidR="00C22FCC" w:rsidRPr="00010B33" w:rsidRDefault="00C22FCC" w:rsidP="005C25E2">
      <w:pPr>
        <w:spacing w:line="360" w:lineRule="auto"/>
        <w:jc w:val="both"/>
        <w:rPr>
          <w:rFonts w:cs="Times New Roman"/>
          <w:szCs w:val="24"/>
        </w:rPr>
      </w:pPr>
      <w:r w:rsidRPr="00010B33">
        <w:rPr>
          <w:rFonts w:cs="Times New Roman"/>
          <w:szCs w:val="24"/>
        </w:rPr>
        <w:t>Sincerely Yours,</w:t>
      </w:r>
    </w:p>
    <w:p w14:paraId="5921B566" w14:textId="77777777" w:rsidR="00C22FCC" w:rsidRPr="00010B33" w:rsidRDefault="00C22FCC" w:rsidP="005C25E2">
      <w:pPr>
        <w:spacing w:line="360" w:lineRule="auto"/>
        <w:jc w:val="both"/>
        <w:rPr>
          <w:rFonts w:cs="Times New Roman"/>
          <w:szCs w:val="24"/>
        </w:rPr>
      </w:pPr>
      <w:proofErr w:type="spellStart"/>
      <w:r w:rsidRPr="00010B33">
        <w:rPr>
          <w:rFonts w:cs="Times New Roman"/>
          <w:szCs w:val="24"/>
        </w:rPr>
        <w:t>Junayed</w:t>
      </w:r>
      <w:proofErr w:type="spellEnd"/>
      <w:r w:rsidRPr="00010B33">
        <w:rPr>
          <w:rFonts w:cs="Times New Roman"/>
          <w:szCs w:val="24"/>
        </w:rPr>
        <w:t xml:space="preserve"> </w:t>
      </w:r>
      <w:proofErr w:type="spellStart"/>
      <w:r w:rsidRPr="00010B33">
        <w:rPr>
          <w:rFonts w:cs="Times New Roman"/>
          <w:szCs w:val="24"/>
        </w:rPr>
        <w:t>Ahamed</w:t>
      </w:r>
      <w:proofErr w:type="spellEnd"/>
      <w:r w:rsidRPr="00010B33">
        <w:rPr>
          <w:rFonts w:cs="Times New Roman"/>
          <w:szCs w:val="24"/>
        </w:rPr>
        <w:t xml:space="preserve"> </w:t>
      </w:r>
      <w:proofErr w:type="spellStart"/>
      <w:r w:rsidRPr="00010B33">
        <w:rPr>
          <w:rFonts w:cs="Times New Roman"/>
          <w:szCs w:val="24"/>
        </w:rPr>
        <w:t>Soumik</w:t>
      </w:r>
      <w:proofErr w:type="spellEnd"/>
    </w:p>
    <w:p w14:paraId="7D38E5B0" w14:textId="77777777" w:rsidR="00C22FCC" w:rsidRPr="00010B33" w:rsidRDefault="00C22FCC" w:rsidP="005C25E2">
      <w:pPr>
        <w:spacing w:line="360" w:lineRule="auto"/>
        <w:jc w:val="both"/>
        <w:rPr>
          <w:rFonts w:cs="Times New Roman"/>
          <w:szCs w:val="24"/>
        </w:rPr>
      </w:pPr>
      <w:r w:rsidRPr="00010B33">
        <w:rPr>
          <w:rFonts w:cs="Times New Roman"/>
          <w:szCs w:val="24"/>
        </w:rPr>
        <w:t xml:space="preserve"> ID:  111-163-139</w:t>
      </w:r>
    </w:p>
    <w:p w14:paraId="0AD096C3" w14:textId="77777777" w:rsidR="00C22FCC" w:rsidRPr="00010B33" w:rsidRDefault="00C22FCC" w:rsidP="009C20D1">
      <w:pPr>
        <w:pStyle w:val="Heading1"/>
      </w:pPr>
      <w:r w:rsidRPr="00010B33">
        <w:lastRenderedPageBreak/>
        <w:t xml:space="preserve">EXECUTIVE </w:t>
      </w:r>
      <w:r w:rsidRPr="009C20D1">
        <w:t>SUMMARY</w:t>
      </w:r>
    </w:p>
    <w:p w14:paraId="7F347A32" w14:textId="778BFC71" w:rsidR="000562DD" w:rsidRDefault="000562DD" w:rsidP="005C25E2">
      <w:pPr>
        <w:spacing w:line="480" w:lineRule="auto"/>
      </w:pPr>
      <w:r>
        <w:t>This report is based on a three-month internship experience which was a partial requirement for the completion of Bachelor of Business Administration (</w:t>
      </w:r>
      <w:smartTag w:uri="urn:schemas-microsoft-com:office:smarttags" w:element="stockticker">
        <w:r>
          <w:t>BBA</w:t>
        </w:r>
      </w:smartTag>
      <w:r>
        <w:t>) from United International University</w:t>
      </w:r>
      <w:r w:rsidR="005C4462">
        <w:t xml:space="preserve"> </w:t>
      </w:r>
      <w:r>
        <w:t>(UIU). The purpose of the report is to give a clear idea about the Islamic Banking Industry of Bangladesh</w:t>
      </w:r>
      <w:r w:rsidR="00175DB0">
        <w:t xml:space="preserve">. </w:t>
      </w:r>
      <w:r>
        <w:t>This report will depict the corporate structure of SIBL from an intern perspective.</w:t>
      </w:r>
      <w:r w:rsidRPr="00065EF2">
        <w:t xml:space="preserve"> </w:t>
      </w:r>
      <w:r>
        <w:t xml:space="preserve"> SIBL was incorporated on 5 July 1995 and from 22 November to provide its customer with elite service facilities and thus meet the demand for banking services started its operation throughout Bangladesh. It will show how SIBL in a very short period became an industrial conglomerate following its operation based on </w:t>
      </w:r>
      <w:r w:rsidR="00175DB0">
        <w:t>the Sharia</w:t>
      </w:r>
      <w:r>
        <w:t>-based principle.</w:t>
      </w:r>
    </w:p>
    <w:p w14:paraId="1B40DBAF" w14:textId="6EF87D52" w:rsidR="00116515" w:rsidRDefault="000562DD" w:rsidP="005C25E2">
      <w:pPr>
        <w:spacing w:line="480" w:lineRule="auto"/>
      </w:pPr>
      <w:r>
        <w:t>The first chapter enhances the evolution of Islamic Banking industries and it</w:t>
      </w:r>
      <w:r w:rsidR="003235E3">
        <w:t xml:space="preserve"> </w:t>
      </w:r>
      <w:r w:rsidR="00175DB0">
        <w:t>facilitates</w:t>
      </w:r>
      <w:r w:rsidR="003235E3">
        <w:t xml:space="preserve"> the background of the report which convey</w:t>
      </w:r>
      <w:r w:rsidR="00431D2E">
        <w:t>s</w:t>
      </w:r>
      <w:r w:rsidR="003235E3">
        <w:t xml:space="preserve"> the key differences between Islamic banking</w:t>
      </w:r>
      <w:r w:rsidR="00431D2E">
        <w:t xml:space="preserve"> and</w:t>
      </w:r>
      <w:r w:rsidR="003235E3">
        <w:t xml:space="preserve"> conventional </w:t>
      </w:r>
      <w:r w:rsidR="00431D2E">
        <w:t>banks</w:t>
      </w:r>
      <w:r w:rsidR="003235E3">
        <w:t xml:space="preserve">. It also </w:t>
      </w:r>
      <w:r>
        <w:t xml:space="preserve">shows some key features such as the objective, significance of the report to initiate the reader to understand more thoroughly. </w:t>
      </w:r>
    </w:p>
    <w:p w14:paraId="22388472" w14:textId="75D0A778" w:rsidR="00D41B4B" w:rsidRDefault="000562DD" w:rsidP="005C25E2">
      <w:pPr>
        <w:spacing w:line="480" w:lineRule="auto"/>
      </w:pPr>
      <w:r>
        <w:t xml:space="preserve">The second chapter is </w:t>
      </w:r>
      <w:r w:rsidR="00F97A4B">
        <w:t xml:space="preserve">an </w:t>
      </w:r>
      <w:r>
        <w:t>in-depth analysis of the Islamic Banking Institution of Bangladesh.</w:t>
      </w:r>
      <w:r w:rsidRPr="00065EF2">
        <w:rPr>
          <w:rFonts w:cs="Times New Roman"/>
          <w:szCs w:val="24"/>
        </w:rPr>
        <w:t xml:space="preserve"> </w:t>
      </w:r>
      <w:r w:rsidRPr="00010B33">
        <w:rPr>
          <w:rFonts w:cs="Times New Roman"/>
          <w:szCs w:val="24"/>
        </w:rPr>
        <w:t xml:space="preserve">If we get a fixed amount of interest in the conventional bank, which is also known as RIBA, we get a certain share of total profits in the Islamic bank. </w:t>
      </w:r>
      <w:r w:rsidR="006B07E0">
        <w:rPr>
          <w:rFonts w:cs="Times New Roman"/>
          <w:szCs w:val="24"/>
        </w:rPr>
        <w:t>After evaluating the size, trend, m</w:t>
      </w:r>
      <w:r w:rsidR="00417497">
        <w:rPr>
          <w:rFonts w:cs="Times New Roman"/>
          <w:szCs w:val="24"/>
        </w:rPr>
        <w:t>aturity</w:t>
      </w:r>
      <w:r w:rsidR="00431D2E">
        <w:rPr>
          <w:rFonts w:cs="Times New Roman"/>
          <w:szCs w:val="24"/>
        </w:rPr>
        <w:t>,</w:t>
      </w:r>
      <w:r w:rsidR="00417497">
        <w:rPr>
          <w:rFonts w:cs="Times New Roman"/>
          <w:szCs w:val="24"/>
        </w:rPr>
        <w:t xml:space="preserve"> and number of banks</w:t>
      </w:r>
      <w:r w:rsidR="006B07E0">
        <w:rPr>
          <w:rFonts w:cs="Times New Roman"/>
          <w:szCs w:val="24"/>
        </w:rPr>
        <w:t xml:space="preserve"> it classif</w:t>
      </w:r>
      <w:r w:rsidR="00431D2E">
        <w:rPr>
          <w:rFonts w:cs="Times New Roman"/>
          <w:szCs w:val="24"/>
        </w:rPr>
        <w:t>ies</w:t>
      </w:r>
      <w:r w:rsidR="006B07E0">
        <w:rPr>
          <w:rFonts w:cs="Times New Roman"/>
          <w:szCs w:val="24"/>
        </w:rPr>
        <w:t xml:space="preserve"> the growing nature of the Islamic Banking industries in Bangladesh.</w:t>
      </w:r>
      <w:r>
        <w:t xml:space="preserve"> Porter’s Five Sources </w:t>
      </w:r>
      <w:r w:rsidR="00175DB0">
        <w:t>model suggests</w:t>
      </w:r>
      <w:r w:rsidR="006B07E0">
        <w:t xml:space="preserve"> the vitality of the economical factor for this particular industry.</w:t>
      </w:r>
      <w:r w:rsidR="006E2640">
        <w:t xml:space="preserve"> </w:t>
      </w:r>
      <w:r w:rsidR="006B07E0">
        <w:t>C</w:t>
      </w:r>
      <w:r>
        <w:t xml:space="preserve">omparative </w:t>
      </w:r>
      <w:r w:rsidR="006B07E0">
        <w:t>analys</w:t>
      </w:r>
      <w:r>
        <w:t>i</w:t>
      </w:r>
      <w:r w:rsidR="006B07E0">
        <w:t>s</w:t>
      </w:r>
      <w:r w:rsidR="006E2640">
        <w:t xml:space="preserve"> shows the strength of the buyer and supplier power present in the industry. The intensity among the rivals </w:t>
      </w:r>
      <w:r w:rsidR="00431D2E">
        <w:t>is</w:t>
      </w:r>
      <w:r w:rsidR="006E2640">
        <w:t xml:space="preserve"> increasing as the industry is emerging with </w:t>
      </w:r>
      <w:r w:rsidR="00431D2E">
        <w:t xml:space="preserve">a </w:t>
      </w:r>
      <w:r w:rsidR="006E2640">
        <w:t>high exit barrier.</w:t>
      </w:r>
      <w:r w:rsidR="006B07E0">
        <w:t xml:space="preserve"> </w:t>
      </w:r>
      <w:r w:rsidR="006E2640">
        <w:t>It also suggest</w:t>
      </w:r>
      <w:r w:rsidR="00431D2E">
        <w:t>s</w:t>
      </w:r>
      <w:r w:rsidR="006E2640">
        <w:t xml:space="preserve"> some</w:t>
      </w:r>
      <w:r>
        <w:t xml:space="preserve"> challenges and opportunities that the industry likely to face in near future. </w:t>
      </w:r>
    </w:p>
    <w:p w14:paraId="43959E7C" w14:textId="5409D211" w:rsidR="00CC3F5B" w:rsidRDefault="000562DD" w:rsidP="005C25E2">
      <w:pPr>
        <w:spacing w:line="480" w:lineRule="auto"/>
      </w:pPr>
      <w:r>
        <w:t xml:space="preserve">The third chapter is to break </w:t>
      </w:r>
      <w:r w:rsidR="00175DB0">
        <w:t>down SIBL</w:t>
      </w:r>
      <w:r>
        <w:t xml:space="preserve"> into different pieces. This chapter will particularly highlight the current situation, the product offering, and customers' perspectives of SIBL.</w:t>
      </w:r>
      <w:r w:rsidR="006E2640">
        <w:t xml:space="preserve"> </w:t>
      </w:r>
      <w:r w:rsidR="006E2640">
        <w:lastRenderedPageBreak/>
        <w:t>After analyzing its annual report this chapter will focus</w:t>
      </w:r>
      <w:r w:rsidR="00EB0828">
        <w:t xml:space="preserve"> </w:t>
      </w:r>
      <w:r w:rsidR="00431D2E">
        <w:t xml:space="preserve">on </w:t>
      </w:r>
      <w:r w:rsidR="00EB0828">
        <w:t>the rising trend of it</w:t>
      </w:r>
      <w:r w:rsidR="00431D2E">
        <w:t>s</w:t>
      </w:r>
      <w:r w:rsidR="00EB0828">
        <w:t xml:space="preserve"> business growth. It assure</w:t>
      </w:r>
      <w:r w:rsidR="00431D2E">
        <w:t>s</w:t>
      </w:r>
      <w:r w:rsidR="00EB0828">
        <w:t xml:space="preserve"> the increasing number of deposit</w:t>
      </w:r>
      <w:r w:rsidR="00431D2E">
        <w:t>s</w:t>
      </w:r>
      <w:r w:rsidR="00EB0828">
        <w:t>, investment service</w:t>
      </w:r>
      <w:r w:rsidR="00431D2E">
        <w:t>s</w:t>
      </w:r>
      <w:r w:rsidR="00EB0828">
        <w:t>, total capital</w:t>
      </w:r>
      <w:r w:rsidR="00431D2E">
        <w:t>,</w:t>
      </w:r>
      <w:r w:rsidR="00EB0828">
        <w:t xml:space="preserve"> and total asset</w:t>
      </w:r>
      <w:r w:rsidR="00431D2E">
        <w:t>s</w:t>
      </w:r>
      <w:r w:rsidR="00EB0828">
        <w:t xml:space="preserve"> SIBL has </w:t>
      </w:r>
      <w:r w:rsidR="00BC5289">
        <w:t xml:space="preserve">achieved </w:t>
      </w:r>
      <w:r w:rsidR="00EB0828">
        <w:t xml:space="preserve">over the period. </w:t>
      </w:r>
      <w:r w:rsidR="00175DB0">
        <w:t>These chapters also focus</w:t>
      </w:r>
      <w:r w:rsidR="00EB0828">
        <w:t xml:space="preserve"> </w:t>
      </w:r>
      <w:r w:rsidR="00431D2E">
        <w:t xml:space="preserve">on </w:t>
      </w:r>
      <w:r w:rsidR="00EB0828">
        <w:t>the availability of the SIBL product and the function of its operation to meet its objective.</w:t>
      </w:r>
      <w:r>
        <w:t xml:space="preserve"> After doing SWOT analysis it</w:t>
      </w:r>
      <w:r w:rsidR="00EB0828">
        <w:t xml:space="preserve"> figures out as the honesty of the employees, </w:t>
      </w:r>
      <w:r w:rsidR="00431D2E">
        <w:t xml:space="preserve">the </w:t>
      </w:r>
      <w:r w:rsidR="00EB0828">
        <w:t>religious sentiment of people</w:t>
      </w:r>
      <w:r w:rsidR="00431D2E">
        <w:t>,</w:t>
      </w:r>
      <w:r w:rsidR="00EB0828">
        <w:t xml:space="preserve"> and adequate fund</w:t>
      </w:r>
      <w:r w:rsidR="00431D2E">
        <w:t>s</w:t>
      </w:r>
      <w:r w:rsidR="00EB0828">
        <w:t xml:space="preserve"> are the key factor behind their strength. </w:t>
      </w:r>
      <w:r w:rsidR="00175DB0">
        <w:t>Weakness suggests</w:t>
      </w:r>
      <w:r w:rsidR="00CC3F5B">
        <w:t xml:space="preserve"> SIBL requires more employees and up-to-date equipment for its </w:t>
      </w:r>
      <w:proofErr w:type="spellStart"/>
      <w:r w:rsidR="00CC3F5B">
        <w:t>operation.SIBL</w:t>
      </w:r>
      <w:proofErr w:type="spellEnd"/>
      <w:r w:rsidR="00CC3F5B">
        <w:t xml:space="preserve"> has </w:t>
      </w:r>
      <w:r w:rsidR="00431D2E">
        <w:t xml:space="preserve">a </w:t>
      </w:r>
      <w:r w:rsidR="00CC3F5B">
        <w:t xml:space="preserve">huge opportunity to grow by retaining </w:t>
      </w:r>
      <w:r w:rsidR="00431D2E">
        <w:t>its</w:t>
      </w:r>
      <w:r w:rsidR="00CC3F5B">
        <w:t xml:space="preserve"> massive customer and providing them with efficient services. Implementation of Islamic banking structure from the conventional one is the major threat in coming years.</w:t>
      </w:r>
      <w:r w:rsidR="00175DB0">
        <w:t xml:space="preserve"> These chapters also include</w:t>
      </w:r>
      <w:r>
        <w:t xml:space="preserve"> some strategies from the intern point of view that SIBL might adapt to become the market leader of the industry.</w:t>
      </w:r>
    </w:p>
    <w:p w14:paraId="6D3DC1E8" w14:textId="21D72325" w:rsidR="000562DD" w:rsidRDefault="000562DD" w:rsidP="005C25E2">
      <w:pPr>
        <w:spacing w:line="480" w:lineRule="auto"/>
      </w:pPr>
      <w:r w:rsidRPr="00065EF2">
        <w:t xml:space="preserve"> </w:t>
      </w:r>
      <w:r w:rsidR="00CC3F5B">
        <w:t>Also, Chapter four</w:t>
      </w:r>
      <w:r>
        <w:t xml:space="preserve"> includes my entire experience as an intern, which was very f</w:t>
      </w:r>
      <w:r w:rsidR="00CC3F5B">
        <w:t>ascinating. It briefly describe</w:t>
      </w:r>
      <w:r w:rsidR="00431D2E">
        <w:t>s</w:t>
      </w:r>
      <w:r w:rsidR="00CC3F5B">
        <w:t xml:space="preserve"> my job responsibilities and how I enhanced my competencies at </w:t>
      </w:r>
      <w:r>
        <w:t xml:space="preserve">Social Islami Bank Ltd. </w:t>
      </w:r>
    </w:p>
    <w:p w14:paraId="0576D39A" w14:textId="556C0ECB" w:rsidR="00417497" w:rsidRDefault="000562DD" w:rsidP="005C25E2">
      <w:pPr>
        <w:spacing w:line="480" w:lineRule="auto"/>
      </w:pPr>
      <w:r>
        <w:t>Finally, chapter five will demonstrate the recommendation based on my evaluation of the performance of the bank from a different dimension</w:t>
      </w:r>
      <w:r w:rsidR="00417497">
        <w:t xml:space="preserve">. It also mentioned some </w:t>
      </w:r>
      <w:r w:rsidR="00175DB0">
        <w:t>recommendation</w:t>
      </w:r>
      <w:r w:rsidR="00431D2E">
        <w:t>s</w:t>
      </w:r>
      <w:r w:rsidR="00417497">
        <w:t xml:space="preserve"> for my self-development.</w:t>
      </w:r>
    </w:p>
    <w:p w14:paraId="545DCB1C" w14:textId="20E0EF10" w:rsidR="00C22FCC" w:rsidRDefault="00417497" w:rsidP="00BC5289">
      <w:pPr>
        <w:spacing w:line="480" w:lineRule="auto"/>
      </w:pPr>
      <w:r>
        <w:t>This report is modulate</w:t>
      </w:r>
      <w:r w:rsidR="00431D2E">
        <w:t>d</w:t>
      </w:r>
      <w:r>
        <w:t xml:space="preserve"> to discover the present scenario of </w:t>
      </w:r>
      <w:r w:rsidR="00431D2E">
        <w:t xml:space="preserve">the </w:t>
      </w:r>
      <w:r>
        <w:t>Islamic Banking industry in Bangladesh</w:t>
      </w:r>
      <w:r w:rsidR="00BC5289">
        <w:t xml:space="preserve">. </w:t>
      </w:r>
      <w:r>
        <w:t>Considering SIBL as the model of the report enhances the challenges and opportunities this particular indu</w:t>
      </w:r>
      <w:r w:rsidR="00BC5289">
        <w:t>stry faces in the current market.</w:t>
      </w:r>
    </w:p>
    <w:p w14:paraId="6239CF88" w14:textId="77777777" w:rsidR="009C20D1" w:rsidRDefault="009C20D1" w:rsidP="00BC5289">
      <w:pPr>
        <w:spacing w:line="480" w:lineRule="auto"/>
      </w:pPr>
    </w:p>
    <w:p w14:paraId="5EDB7E94" w14:textId="77777777" w:rsidR="009C20D1" w:rsidRPr="00BC5289" w:rsidRDefault="009C20D1" w:rsidP="00BC5289">
      <w:pPr>
        <w:spacing w:line="480" w:lineRule="auto"/>
      </w:pPr>
    </w:p>
    <w:sdt>
      <w:sdtPr>
        <w:rPr>
          <w:rFonts w:ascii="Times New Roman" w:eastAsiaTheme="minorHAnsi" w:hAnsi="Times New Roman" w:cs="Times New Roman"/>
          <w:bCs w:val="0"/>
          <w:color w:val="auto"/>
          <w:szCs w:val="24"/>
          <w:shd w:val="clear" w:color="auto" w:fill="auto"/>
          <w:lang w:eastAsia="en-US"/>
        </w:rPr>
        <w:id w:val="-1889717899"/>
        <w:docPartObj>
          <w:docPartGallery w:val="Table of Contents"/>
          <w:docPartUnique/>
        </w:docPartObj>
      </w:sdtPr>
      <w:sdtEndPr>
        <w:rPr>
          <w:b w:val="0"/>
          <w:noProof/>
        </w:rPr>
      </w:sdtEndPr>
      <w:sdtContent>
        <w:p w14:paraId="2D45D9A0" w14:textId="77777777" w:rsidR="00C22FCC" w:rsidRPr="009C20D1" w:rsidRDefault="00C22FCC" w:rsidP="005C25E2">
          <w:pPr>
            <w:pStyle w:val="TOCHeading"/>
            <w:spacing w:line="360" w:lineRule="auto"/>
            <w:jc w:val="both"/>
            <w:rPr>
              <w:rFonts w:ascii="Times New Roman" w:eastAsiaTheme="minorHAnsi" w:hAnsi="Times New Roman" w:cs="Times New Roman"/>
              <w:bCs w:val="0"/>
              <w:color w:val="auto"/>
              <w:szCs w:val="24"/>
              <w:shd w:val="clear" w:color="auto" w:fill="auto"/>
              <w:lang w:eastAsia="en-US"/>
            </w:rPr>
          </w:pPr>
          <w:r w:rsidRPr="009C20D1">
            <w:rPr>
              <w:rFonts w:ascii="Times New Roman" w:hAnsi="Times New Roman" w:cs="Times New Roman"/>
              <w:szCs w:val="24"/>
            </w:rPr>
            <w:t>Table of Contents</w:t>
          </w:r>
        </w:p>
        <w:p w14:paraId="1A48456B" w14:textId="77777777" w:rsidR="009C20D1" w:rsidRDefault="00C22FCC">
          <w:pPr>
            <w:pStyle w:val="TOC1"/>
            <w:tabs>
              <w:tab w:val="right" w:leader="dot" w:pos="9350"/>
            </w:tabs>
            <w:rPr>
              <w:rFonts w:asciiTheme="minorHAnsi" w:eastAsiaTheme="minorEastAsia" w:hAnsiTheme="minorHAnsi"/>
              <w:noProof/>
              <w:sz w:val="22"/>
            </w:rPr>
          </w:pPr>
          <w:r w:rsidRPr="00010B33">
            <w:rPr>
              <w:rFonts w:cs="Times New Roman"/>
              <w:szCs w:val="24"/>
            </w:rPr>
            <w:fldChar w:fldCharType="begin"/>
          </w:r>
          <w:r w:rsidRPr="00010B33">
            <w:rPr>
              <w:rFonts w:cs="Times New Roman"/>
              <w:szCs w:val="24"/>
            </w:rPr>
            <w:instrText xml:space="preserve"> TOC \o "1-3" \h \z \u </w:instrText>
          </w:r>
          <w:r w:rsidRPr="00010B33">
            <w:rPr>
              <w:rFonts w:cs="Times New Roman"/>
              <w:szCs w:val="24"/>
            </w:rPr>
            <w:fldChar w:fldCharType="separate"/>
          </w:r>
          <w:hyperlink w:anchor="_Toc70725915" w:history="1">
            <w:r w:rsidR="009C20D1" w:rsidRPr="007B0703">
              <w:rPr>
                <w:rStyle w:val="Hyperlink"/>
                <w:noProof/>
              </w:rPr>
              <w:t>CHAPTER-1| INTRODUCTION</w:t>
            </w:r>
            <w:r w:rsidR="009C20D1">
              <w:rPr>
                <w:noProof/>
                <w:webHidden/>
              </w:rPr>
              <w:tab/>
            </w:r>
            <w:r w:rsidR="009C20D1">
              <w:rPr>
                <w:noProof/>
                <w:webHidden/>
              </w:rPr>
              <w:fldChar w:fldCharType="begin"/>
            </w:r>
            <w:r w:rsidR="009C20D1">
              <w:rPr>
                <w:noProof/>
                <w:webHidden/>
              </w:rPr>
              <w:instrText xml:space="preserve"> PAGEREF _Toc70725915 \h </w:instrText>
            </w:r>
            <w:r w:rsidR="009C20D1">
              <w:rPr>
                <w:noProof/>
                <w:webHidden/>
              </w:rPr>
            </w:r>
            <w:r w:rsidR="009C20D1">
              <w:rPr>
                <w:noProof/>
                <w:webHidden/>
              </w:rPr>
              <w:fldChar w:fldCharType="separate"/>
            </w:r>
            <w:r w:rsidR="009C20D1">
              <w:rPr>
                <w:noProof/>
                <w:webHidden/>
              </w:rPr>
              <w:t>2</w:t>
            </w:r>
            <w:r w:rsidR="009C20D1">
              <w:rPr>
                <w:noProof/>
                <w:webHidden/>
              </w:rPr>
              <w:fldChar w:fldCharType="end"/>
            </w:r>
          </w:hyperlink>
        </w:p>
        <w:p w14:paraId="619BDEE1" w14:textId="77777777" w:rsidR="009C20D1" w:rsidRDefault="009C20D1">
          <w:pPr>
            <w:pStyle w:val="TOC2"/>
            <w:tabs>
              <w:tab w:val="left" w:pos="880"/>
              <w:tab w:val="right" w:leader="dot" w:pos="9350"/>
            </w:tabs>
            <w:rPr>
              <w:rFonts w:asciiTheme="minorHAnsi" w:eastAsiaTheme="minorEastAsia" w:hAnsiTheme="minorHAnsi"/>
              <w:noProof/>
              <w:sz w:val="22"/>
            </w:rPr>
          </w:pPr>
          <w:hyperlink w:anchor="_Toc70725916" w:history="1">
            <w:r w:rsidRPr="007B0703">
              <w:rPr>
                <w:rStyle w:val="Hyperlink"/>
                <w:noProof/>
              </w:rPr>
              <w:t>1.1.</w:t>
            </w:r>
            <w:r>
              <w:rPr>
                <w:rFonts w:asciiTheme="minorHAnsi" w:eastAsiaTheme="minorEastAsia" w:hAnsiTheme="minorHAnsi"/>
                <w:noProof/>
                <w:sz w:val="22"/>
              </w:rPr>
              <w:tab/>
            </w:r>
            <w:r w:rsidRPr="007B0703">
              <w:rPr>
                <w:rStyle w:val="Hyperlink"/>
                <w:noProof/>
              </w:rPr>
              <w:t>BACKGROUND</w:t>
            </w:r>
            <w:r>
              <w:rPr>
                <w:noProof/>
                <w:webHidden/>
              </w:rPr>
              <w:tab/>
            </w:r>
            <w:r>
              <w:rPr>
                <w:noProof/>
                <w:webHidden/>
              </w:rPr>
              <w:fldChar w:fldCharType="begin"/>
            </w:r>
            <w:r>
              <w:rPr>
                <w:noProof/>
                <w:webHidden/>
              </w:rPr>
              <w:instrText xml:space="preserve"> PAGEREF _Toc70725916 \h </w:instrText>
            </w:r>
            <w:r>
              <w:rPr>
                <w:noProof/>
                <w:webHidden/>
              </w:rPr>
            </w:r>
            <w:r>
              <w:rPr>
                <w:noProof/>
                <w:webHidden/>
              </w:rPr>
              <w:fldChar w:fldCharType="separate"/>
            </w:r>
            <w:r>
              <w:rPr>
                <w:noProof/>
                <w:webHidden/>
              </w:rPr>
              <w:t>2</w:t>
            </w:r>
            <w:r>
              <w:rPr>
                <w:noProof/>
                <w:webHidden/>
              </w:rPr>
              <w:fldChar w:fldCharType="end"/>
            </w:r>
          </w:hyperlink>
        </w:p>
        <w:p w14:paraId="33C242BE" w14:textId="77777777" w:rsidR="009C20D1" w:rsidRDefault="009C20D1">
          <w:pPr>
            <w:pStyle w:val="TOC2"/>
            <w:tabs>
              <w:tab w:val="left" w:pos="880"/>
              <w:tab w:val="right" w:leader="dot" w:pos="9350"/>
            </w:tabs>
            <w:rPr>
              <w:rFonts w:asciiTheme="minorHAnsi" w:eastAsiaTheme="minorEastAsia" w:hAnsiTheme="minorHAnsi"/>
              <w:noProof/>
              <w:sz w:val="22"/>
            </w:rPr>
          </w:pPr>
          <w:hyperlink w:anchor="_Toc70725917" w:history="1">
            <w:r w:rsidRPr="007B0703">
              <w:rPr>
                <w:rStyle w:val="Hyperlink"/>
                <w:noProof/>
              </w:rPr>
              <w:t>1.2.</w:t>
            </w:r>
            <w:r>
              <w:rPr>
                <w:rFonts w:asciiTheme="minorHAnsi" w:eastAsiaTheme="minorEastAsia" w:hAnsiTheme="minorHAnsi"/>
                <w:noProof/>
                <w:sz w:val="22"/>
              </w:rPr>
              <w:tab/>
            </w:r>
            <w:r w:rsidRPr="007B0703">
              <w:rPr>
                <w:rStyle w:val="Hyperlink"/>
                <w:noProof/>
              </w:rPr>
              <w:t>OBJECTIVES OF THE STUDY</w:t>
            </w:r>
            <w:r>
              <w:rPr>
                <w:noProof/>
                <w:webHidden/>
              </w:rPr>
              <w:tab/>
            </w:r>
            <w:r>
              <w:rPr>
                <w:noProof/>
                <w:webHidden/>
              </w:rPr>
              <w:fldChar w:fldCharType="begin"/>
            </w:r>
            <w:r>
              <w:rPr>
                <w:noProof/>
                <w:webHidden/>
              </w:rPr>
              <w:instrText xml:space="preserve"> PAGEREF _Toc70725917 \h </w:instrText>
            </w:r>
            <w:r>
              <w:rPr>
                <w:noProof/>
                <w:webHidden/>
              </w:rPr>
            </w:r>
            <w:r>
              <w:rPr>
                <w:noProof/>
                <w:webHidden/>
              </w:rPr>
              <w:fldChar w:fldCharType="separate"/>
            </w:r>
            <w:r>
              <w:rPr>
                <w:noProof/>
                <w:webHidden/>
              </w:rPr>
              <w:t>6</w:t>
            </w:r>
            <w:r>
              <w:rPr>
                <w:noProof/>
                <w:webHidden/>
              </w:rPr>
              <w:fldChar w:fldCharType="end"/>
            </w:r>
          </w:hyperlink>
        </w:p>
        <w:p w14:paraId="3E87472B" w14:textId="77777777" w:rsidR="009C20D1" w:rsidRDefault="009C20D1">
          <w:pPr>
            <w:pStyle w:val="TOC2"/>
            <w:tabs>
              <w:tab w:val="left" w:pos="880"/>
              <w:tab w:val="right" w:leader="dot" w:pos="9350"/>
            </w:tabs>
            <w:rPr>
              <w:rFonts w:asciiTheme="minorHAnsi" w:eastAsiaTheme="minorEastAsia" w:hAnsiTheme="minorHAnsi"/>
              <w:noProof/>
              <w:sz w:val="22"/>
            </w:rPr>
          </w:pPr>
          <w:hyperlink w:anchor="_Toc70725918" w:history="1">
            <w:r w:rsidRPr="007B0703">
              <w:rPr>
                <w:rStyle w:val="Hyperlink"/>
                <w:noProof/>
              </w:rPr>
              <w:t>1.3.</w:t>
            </w:r>
            <w:r>
              <w:rPr>
                <w:rFonts w:asciiTheme="minorHAnsi" w:eastAsiaTheme="minorEastAsia" w:hAnsiTheme="minorHAnsi"/>
                <w:noProof/>
                <w:sz w:val="22"/>
              </w:rPr>
              <w:tab/>
            </w:r>
            <w:r w:rsidRPr="007B0703">
              <w:rPr>
                <w:rStyle w:val="Hyperlink"/>
                <w:noProof/>
              </w:rPr>
              <w:t>SIGNIFICANCE OF THE STUDY</w:t>
            </w:r>
            <w:r>
              <w:rPr>
                <w:noProof/>
                <w:webHidden/>
              </w:rPr>
              <w:tab/>
            </w:r>
            <w:r>
              <w:rPr>
                <w:noProof/>
                <w:webHidden/>
              </w:rPr>
              <w:fldChar w:fldCharType="begin"/>
            </w:r>
            <w:r>
              <w:rPr>
                <w:noProof/>
                <w:webHidden/>
              </w:rPr>
              <w:instrText xml:space="preserve"> PAGEREF _Toc70725918 \h </w:instrText>
            </w:r>
            <w:r>
              <w:rPr>
                <w:noProof/>
                <w:webHidden/>
              </w:rPr>
            </w:r>
            <w:r>
              <w:rPr>
                <w:noProof/>
                <w:webHidden/>
              </w:rPr>
              <w:fldChar w:fldCharType="separate"/>
            </w:r>
            <w:r>
              <w:rPr>
                <w:noProof/>
                <w:webHidden/>
              </w:rPr>
              <w:t>7</w:t>
            </w:r>
            <w:r>
              <w:rPr>
                <w:noProof/>
                <w:webHidden/>
              </w:rPr>
              <w:fldChar w:fldCharType="end"/>
            </w:r>
          </w:hyperlink>
        </w:p>
        <w:p w14:paraId="66C215C9" w14:textId="77777777" w:rsidR="009C20D1" w:rsidRDefault="009C20D1">
          <w:pPr>
            <w:pStyle w:val="TOC1"/>
            <w:tabs>
              <w:tab w:val="right" w:leader="dot" w:pos="9350"/>
            </w:tabs>
            <w:rPr>
              <w:rFonts w:asciiTheme="minorHAnsi" w:eastAsiaTheme="minorEastAsia" w:hAnsiTheme="minorHAnsi"/>
              <w:noProof/>
              <w:sz w:val="22"/>
            </w:rPr>
          </w:pPr>
          <w:hyperlink w:anchor="_Toc70725919" w:history="1">
            <w:r w:rsidRPr="007B0703">
              <w:rPr>
                <w:rStyle w:val="Hyperlink"/>
                <w:noProof/>
              </w:rPr>
              <w:t>CHAPTER-2 | ANALYSIS OF THE INDUSTRY</w:t>
            </w:r>
            <w:r>
              <w:rPr>
                <w:noProof/>
                <w:webHidden/>
              </w:rPr>
              <w:tab/>
            </w:r>
            <w:r>
              <w:rPr>
                <w:noProof/>
                <w:webHidden/>
              </w:rPr>
              <w:fldChar w:fldCharType="begin"/>
            </w:r>
            <w:r>
              <w:rPr>
                <w:noProof/>
                <w:webHidden/>
              </w:rPr>
              <w:instrText xml:space="preserve"> PAGEREF _Toc70725919 \h </w:instrText>
            </w:r>
            <w:r>
              <w:rPr>
                <w:noProof/>
                <w:webHidden/>
              </w:rPr>
            </w:r>
            <w:r>
              <w:rPr>
                <w:noProof/>
                <w:webHidden/>
              </w:rPr>
              <w:fldChar w:fldCharType="separate"/>
            </w:r>
            <w:r>
              <w:rPr>
                <w:noProof/>
                <w:webHidden/>
              </w:rPr>
              <w:t>10</w:t>
            </w:r>
            <w:r>
              <w:rPr>
                <w:noProof/>
                <w:webHidden/>
              </w:rPr>
              <w:fldChar w:fldCharType="end"/>
            </w:r>
          </w:hyperlink>
        </w:p>
        <w:p w14:paraId="3ECA9FB4" w14:textId="77777777" w:rsidR="009C20D1" w:rsidRDefault="009C20D1">
          <w:pPr>
            <w:pStyle w:val="TOC2"/>
            <w:tabs>
              <w:tab w:val="right" w:leader="dot" w:pos="9350"/>
            </w:tabs>
            <w:rPr>
              <w:rFonts w:asciiTheme="minorHAnsi" w:eastAsiaTheme="minorEastAsia" w:hAnsiTheme="minorHAnsi"/>
              <w:noProof/>
              <w:sz w:val="22"/>
            </w:rPr>
          </w:pPr>
          <w:hyperlink w:anchor="_Toc70725920" w:history="1">
            <w:r w:rsidRPr="007B0703">
              <w:rPr>
                <w:rStyle w:val="Hyperlink"/>
                <w:noProof/>
              </w:rPr>
              <w:t>2.1. SPECIFICATION OF THE INDUSTRY</w:t>
            </w:r>
            <w:r>
              <w:rPr>
                <w:noProof/>
                <w:webHidden/>
              </w:rPr>
              <w:tab/>
            </w:r>
            <w:r>
              <w:rPr>
                <w:noProof/>
                <w:webHidden/>
              </w:rPr>
              <w:fldChar w:fldCharType="begin"/>
            </w:r>
            <w:r>
              <w:rPr>
                <w:noProof/>
                <w:webHidden/>
              </w:rPr>
              <w:instrText xml:space="preserve"> PAGEREF _Toc70725920 \h </w:instrText>
            </w:r>
            <w:r>
              <w:rPr>
                <w:noProof/>
                <w:webHidden/>
              </w:rPr>
            </w:r>
            <w:r>
              <w:rPr>
                <w:noProof/>
                <w:webHidden/>
              </w:rPr>
              <w:fldChar w:fldCharType="separate"/>
            </w:r>
            <w:r>
              <w:rPr>
                <w:noProof/>
                <w:webHidden/>
              </w:rPr>
              <w:t>10</w:t>
            </w:r>
            <w:r>
              <w:rPr>
                <w:noProof/>
                <w:webHidden/>
              </w:rPr>
              <w:fldChar w:fldCharType="end"/>
            </w:r>
          </w:hyperlink>
        </w:p>
        <w:p w14:paraId="7E5D9481" w14:textId="77777777" w:rsidR="009C20D1" w:rsidRDefault="009C20D1">
          <w:pPr>
            <w:pStyle w:val="TOC2"/>
            <w:tabs>
              <w:tab w:val="left" w:pos="880"/>
              <w:tab w:val="right" w:leader="dot" w:pos="9350"/>
            </w:tabs>
            <w:rPr>
              <w:rFonts w:asciiTheme="minorHAnsi" w:eastAsiaTheme="minorEastAsia" w:hAnsiTheme="minorHAnsi"/>
              <w:noProof/>
              <w:sz w:val="22"/>
            </w:rPr>
          </w:pPr>
          <w:hyperlink w:anchor="_Toc70725921" w:history="1">
            <w:r w:rsidRPr="007B0703">
              <w:rPr>
                <w:rStyle w:val="Hyperlink"/>
                <w:noProof/>
              </w:rPr>
              <w:t>2.2.</w:t>
            </w:r>
            <w:r>
              <w:rPr>
                <w:rFonts w:asciiTheme="minorHAnsi" w:eastAsiaTheme="minorEastAsia" w:hAnsiTheme="minorHAnsi"/>
                <w:noProof/>
                <w:sz w:val="22"/>
              </w:rPr>
              <w:tab/>
            </w:r>
            <w:r w:rsidRPr="007B0703">
              <w:rPr>
                <w:rStyle w:val="Hyperlink"/>
                <w:noProof/>
              </w:rPr>
              <w:t>SIZE, TREND, AND MATURITY OF THE INDUSTRY</w:t>
            </w:r>
            <w:r>
              <w:rPr>
                <w:noProof/>
                <w:webHidden/>
              </w:rPr>
              <w:tab/>
            </w:r>
            <w:r>
              <w:rPr>
                <w:noProof/>
                <w:webHidden/>
              </w:rPr>
              <w:fldChar w:fldCharType="begin"/>
            </w:r>
            <w:r>
              <w:rPr>
                <w:noProof/>
                <w:webHidden/>
              </w:rPr>
              <w:instrText xml:space="preserve"> PAGEREF _Toc70725921 \h </w:instrText>
            </w:r>
            <w:r>
              <w:rPr>
                <w:noProof/>
                <w:webHidden/>
              </w:rPr>
            </w:r>
            <w:r>
              <w:rPr>
                <w:noProof/>
                <w:webHidden/>
              </w:rPr>
              <w:fldChar w:fldCharType="separate"/>
            </w:r>
            <w:r>
              <w:rPr>
                <w:noProof/>
                <w:webHidden/>
              </w:rPr>
              <w:t>11</w:t>
            </w:r>
            <w:r>
              <w:rPr>
                <w:noProof/>
                <w:webHidden/>
              </w:rPr>
              <w:fldChar w:fldCharType="end"/>
            </w:r>
          </w:hyperlink>
        </w:p>
        <w:p w14:paraId="67170A14" w14:textId="77777777" w:rsidR="009C20D1" w:rsidRDefault="009C20D1">
          <w:pPr>
            <w:pStyle w:val="TOC2"/>
            <w:tabs>
              <w:tab w:val="left" w:pos="880"/>
              <w:tab w:val="right" w:leader="dot" w:pos="9350"/>
            </w:tabs>
            <w:rPr>
              <w:rFonts w:asciiTheme="minorHAnsi" w:eastAsiaTheme="minorEastAsia" w:hAnsiTheme="minorHAnsi"/>
              <w:noProof/>
              <w:sz w:val="22"/>
            </w:rPr>
          </w:pPr>
          <w:hyperlink w:anchor="_Toc70725922" w:history="1">
            <w:r w:rsidRPr="007B0703">
              <w:rPr>
                <w:rStyle w:val="Hyperlink"/>
                <w:noProof/>
              </w:rPr>
              <w:t>2.3.</w:t>
            </w:r>
            <w:r>
              <w:rPr>
                <w:rFonts w:asciiTheme="minorHAnsi" w:eastAsiaTheme="minorEastAsia" w:hAnsiTheme="minorHAnsi"/>
                <w:noProof/>
                <w:sz w:val="22"/>
              </w:rPr>
              <w:tab/>
            </w:r>
            <w:r w:rsidRPr="007B0703">
              <w:rPr>
                <w:rStyle w:val="Hyperlink"/>
                <w:noProof/>
              </w:rPr>
              <w:t>SEASONALITY</w:t>
            </w:r>
            <w:r>
              <w:rPr>
                <w:noProof/>
                <w:webHidden/>
              </w:rPr>
              <w:tab/>
            </w:r>
            <w:r>
              <w:rPr>
                <w:noProof/>
                <w:webHidden/>
              </w:rPr>
              <w:fldChar w:fldCharType="begin"/>
            </w:r>
            <w:r>
              <w:rPr>
                <w:noProof/>
                <w:webHidden/>
              </w:rPr>
              <w:instrText xml:space="preserve"> PAGEREF _Toc70725922 \h </w:instrText>
            </w:r>
            <w:r>
              <w:rPr>
                <w:noProof/>
                <w:webHidden/>
              </w:rPr>
            </w:r>
            <w:r>
              <w:rPr>
                <w:noProof/>
                <w:webHidden/>
              </w:rPr>
              <w:fldChar w:fldCharType="separate"/>
            </w:r>
            <w:r>
              <w:rPr>
                <w:noProof/>
                <w:webHidden/>
              </w:rPr>
              <w:t>21</w:t>
            </w:r>
            <w:r>
              <w:rPr>
                <w:noProof/>
                <w:webHidden/>
              </w:rPr>
              <w:fldChar w:fldCharType="end"/>
            </w:r>
          </w:hyperlink>
        </w:p>
        <w:p w14:paraId="79EA8CC9" w14:textId="77777777" w:rsidR="009C20D1" w:rsidRDefault="009C20D1">
          <w:pPr>
            <w:pStyle w:val="TOC2"/>
            <w:tabs>
              <w:tab w:val="left" w:pos="880"/>
              <w:tab w:val="right" w:leader="dot" w:pos="9350"/>
            </w:tabs>
            <w:rPr>
              <w:rFonts w:asciiTheme="minorHAnsi" w:eastAsiaTheme="minorEastAsia" w:hAnsiTheme="minorHAnsi"/>
              <w:noProof/>
              <w:sz w:val="22"/>
            </w:rPr>
          </w:pPr>
          <w:hyperlink w:anchor="_Toc70725923" w:history="1">
            <w:r w:rsidRPr="007B0703">
              <w:rPr>
                <w:rStyle w:val="Hyperlink"/>
                <w:noProof/>
              </w:rPr>
              <w:t>2.4.</w:t>
            </w:r>
            <w:r>
              <w:rPr>
                <w:rFonts w:asciiTheme="minorHAnsi" w:eastAsiaTheme="minorEastAsia" w:hAnsiTheme="minorHAnsi"/>
                <w:noProof/>
                <w:sz w:val="22"/>
              </w:rPr>
              <w:tab/>
            </w:r>
            <w:r w:rsidRPr="007B0703">
              <w:rPr>
                <w:rStyle w:val="Hyperlink"/>
                <w:noProof/>
              </w:rPr>
              <w:t>EXTERNAL ECONOMIC FACTORS</w:t>
            </w:r>
            <w:r>
              <w:rPr>
                <w:noProof/>
                <w:webHidden/>
              </w:rPr>
              <w:tab/>
            </w:r>
            <w:r>
              <w:rPr>
                <w:noProof/>
                <w:webHidden/>
              </w:rPr>
              <w:fldChar w:fldCharType="begin"/>
            </w:r>
            <w:r>
              <w:rPr>
                <w:noProof/>
                <w:webHidden/>
              </w:rPr>
              <w:instrText xml:space="preserve"> PAGEREF _Toc70725923 \h </w:instrText>
            </w:r>
            <w:r>
              <w:rPr>
                <w:noProof/>
                <w:webHidden/>
              </w:rPr>
            </w:r>
            <w:r>
              <w:rPr>
                <w:noProof/>
                <w:webHidden/>
              </w:rPr>
              <w:fldChar w:fldCharType="separate"/>
            </w:r>
            <w:r>
              <w:rPr>
                <w:noProof/>
                <w:webHidden/>
              </w:rPr>
              <w:t>21</w:t>
            </w:r>
            <w:r>
              <w:rPr>
                <w:noProof/>
                <w:webHidden/>
              </w:rPr>
              <w:fldChar w:fldCharType="end"/>
            </w:r>
          </w:hyperlink>
        </w:p>
        <w:p w14:paraId="3627EDF6" w14:textId="77777777" w:rsidR="009C20D1" w:rsidRDefault="009C20D1">
          <w:pPr>
            <w:pStyle w:val="TOC2"/>
            <w:tabs>
              <w:tab w:val="left" w:pos="880"/>
              <w:tab w:val="right" w:leader="dot" w:pos="9350"/>
            </w:tabs>
            <w:rPr>
              <w:rFonts w:asciiTheme="minorHAnsi" w:eastAsiaTheme="minorEastAsia" w:hAnsiTheme="minorHAnsi"/>
              <w:noProof/>
              <w:sz w:val="22"/>
            </w:rPr>
          </w:pPr>
          <w:hyperlink w:anchor="_Toc70725924" w:history="1">
            <w:r w:rsidRPr="007B0703">
              <w:rPr>
                <w:rStyle w:val="Hyperlink"/>
                <w:noProof/>
              </w:rPr>
              <w:t>2.5.</w:t>
            </w:r>
            <w:r>
              <w:rPr>
                <w:rFonts w:asciiTheme="minorHAnsi" w:eastAsiaTheme="minorEastAsia" w:hAnsiTheme="minorHAnsi"/>
                <w:noProof/>
                <w:sz w:val="22"/>
              </w:rPr>
              <w:tab/>
            </w:r>
            <w:r w:rsidRPr="007B0703">
              <w:rPr>
                <w:rStyle w:val="Hyperlink"/>
                <w:noProof/>
              </w:rPr>
              <w:t>TECHNOLOGICAL FACTORS</w:t>
            </w:r>
            <w:r>
              <w:rPr>
                <w:noProof/>
                <w:webHidden/>
              </w:rPr>
              <w:tab/>
            </w:r>
            <w:r>
              <w:rPr>
                <w:noProof/>
                <w:webHidden/>
              </w:rPr>
              <w:fldChar w:fldCharType="begin"/>
            </w:r>
            <w:r>
              <w:rPr>
                <w:noProof/>
                <w:webHidden/>
              </w:rPr>
              <w:instrText xml:space="preserve"> PAGEREF _Toc70725924 \h </w:instrText>
            </w:r>
            <w:r>
              <w:rPr>
                <w:noProof/>
                <w:webHidden/>
              </w:rPr>
            </w:r>
            <w:r>
              <w:rPr>
                <w:noProof/>
                <w:webHidden/>
              </w:rPr>
              <w:fldChar w:fldCharType="separate"/>
            </w:r>
            <w:r>
              <w:rPr>
                <w:noProof/>
                <w:webHidden/>
              </w:rPr>
              <w:t>22</w:t>
            </w:r>
            <w:r>
              <w:rPr>
                <w:noProof/>
                <w:webHidden/>
              </w:rPr>
              <w:fldChar w:fldCharType="end"/>
            </w:r>
          </w:hyperlink>
        </w:p>
        <w:p w14:paraId="34E0C245" w14:textId="77777777" w:rsidR="009C20D1" w:rsidRDefault="009C20D1">
          <w:pPr>
            <w:pStyle w:val="TOC2"/>
            <w:tabs>
              <w:tab w:val="left" w:pos="880"/>
              <w:tab w:val="right" w:leader="dot" w:pos="9350"/>
            </w:tabs>
            <w:rPr>
              <w:rFonts w:asciiTheme="minorHAnsi" w:eastAsiaTheme="minorEastAsia" w:hAnsiTheme="minorHAnsi"/>
              <w:noProof/>
              <w:sz w:val="22"/>
            </w:rPr>
          </w:pPr>
          <w:hyperlink w:anchor="_Toc70725925" w:history="1">
            <w:r w:rsidRPr="007B0703">
              <w:rPr>
                <w:rStyle w:val="Hyperlink"/>
                <w:noProof/>
              </w:rPr>
              <w:t>2.6.</w:t>
            </w:r>
            <w:r>
              <w:rPr>
                <w:rFonts w:asciiTheme="minorHAnsi" w:eastAsiaTheme="minorEastAsia" w:hAnsiTheme="minorHAnsi"/>
                <w:noProof/>
                <w:sz w:val="22"/>
              </w:rPr>
              <w:tab/>
            </w:r>
            <w:r w:rsidRPr="007B0703">
              <w:rPr>
                <w:rStyle w:val="Hyperlink"/>
                <w:noProof/>
              </w:rPr>
              <w:t>POLITICAL, LEGAL, AND REGULATORY FACTORS</w:t>
            </w:r>
            <w:r>
              <w:rPr>
                <w:noProof/>
                <w:webHidden/>
              </w:rPr>
              <w:tab/>
            </w:r>
            <w:r>
              <w:rPr>
                <w:noProof/>
                <w:webHidden/>
              </w:rPr>
              <w:fldChar w:fldCharType="begin"/>
            </w:r>
            <w:r>
              <w:rPr>
                <w:noProof/>
                <w:webHidden/>
              </w:rPr>
              <w:instrText xml:space="preserve"> PAGEREF _Toc70725925 \h </w:instrText>
            </w:r>
            <w:r>
              <w:rPr>
                <w:noProof/>
                <w:webHidden/>
              </w:rPr>
            </w:r>
            <w:r>
              <w:rPr>
                <w:noProof/>
                <w:webHidden/>
              </w:rPr>
              <w:fldChar w:fldCharType="separate"/>
            </w:r>
            <w:r>
              <w:rPr>
                <w:noProof/>
                <w:webHidden/>
              </w:rPr>
              <w:t>23</w:t>
            </w:r>
            <w:r>
              <w:rPr>
                <w:noProof/>
                <w:webHidden/>
              </w:rPr>
              <w:fldChar w:fldCharType="end"/>
            </w:r>
          </w:hyperlink>
        </w:p>
        <w:p w14:paraId="2D89AAFB" w14:textId="77777777" w:rsidR="009C20D1" w:rsidRDefault="009C20D1">
          <w:pPr>
            <w:pStyle w:val="TOC2"/>
            <w:tabs>
              <w:tab w:val="left" w:pos="880"/>
              <w:tab w:val="right" w:leader="dot" w:pos="9350"/>
            </w:tabs>
            <w:rPr>
              <w:rFonts w:asciiTheme="minorHAnsi" w:eastAsiaTheme="minorEastAsia" w:hAnsiTheme="minorHAnsi"/>
              <w:noProof/>
              <w:sz w:val="22"/>
            </w:rPr>
          </w:pPr>
          <w:hyperlink w:anchor="_Toc70725926" w:history="1">
            <w:r w:rsidRPr="007B0703">
              <w:rPr>
                <w:rStyle w:val="Hyperlink"/>
                <w:noProof/>
              </w:rPr>
              <w:t>2.7.</w:t>
            </w:r>
            <w:r>
              <w:rPr>
                <w:rFonts w:asciiTheme="minorHAnsi" w:eastAsiaTheme="minorEastAsia" w:hAnsiTheme="minorHAnsi"/>
                <w:noProof/>
                <w:sz w:val="22"/>
              </w:rPr>
              <w:tab/>
            </w:r>
            <w:r w:rsidRPr="007B0703">
              <w:rPr>
                <w:rStyle w:val="Hyperlink"/>
                <w:noProof/>
              </w:rPr>
              <w:t>BARRIERS TO ENTRY</w:t>
            </w:r>
            <w:r>
              <w:rPr>
                <w:noProof/>
                <w:webHidden/>
              </w:rPr>
              <w:tab/>
            </w:r>
            <w:r>
              <w:rPr>
                <w:noProof/>
                <w:webHidden/>
              </w:rPr>
              <w:fldChar w:fldCharType="begin"/>
            </w:r>
            <w:r>
              <w:rPr>
                <w:noProof/>
                <w:webHidden/>
              </w:rPr>
              <w:instrText xml:space="preserve"> PAGEREF _Toc70725926 \h </w:instrText>
            </w:r>
            <w:r>
              <w:rPr>
                <w:noProof/>
                <w:webHidden/>
              </w:rPr>
            </w:r>
            <w:r>
              <w:rPr>
                <w:noProof/>
                <w:webHidden/>
              </w:rPr>
              <w:fldChar w:fldCharType="separate"/>
            </w:r>
            <w:r>
              <w:rPr>
                <w:noProof/>
                <w:webHidden/>
              </w:rPr>
              <w:t>23</w:t>
            </w:r>
            <w:r>
              <w:rPr>
                <w:noProof/>
                <w:webHidden/>
              </w:rPr>
              <w:fldChar w:fldCharType="end"/>
            </w:r>
          </w:hyperlink>
        </w:p>
        <w:p w14:paraId="157137D4" w14:textId="77777777" w:rsidR="009C20D1" w:rsidRDefault="009C20D1">
          <w:pPr>
            <w:pStyle w:val="TOC2"/>
            <w:tabs>
              <w:tab w:val="left" w:pos="880"/>
              <w:tab w:val="right" w:leader="dot" w:pos="9350"/>
            </w:tabs>
            <w:rPr>
              <w:rFonts w:asciiTheme="minorHAnsi" w:eastAsiaTheme="minorEastAsia" w:hAnsiTheme="minorHAnsi"/>
              <w:noProof/>
              <w:sz w:val="22"/>
            </w:rPr>
          </w:pPr>
          <w:hyperlink w:anchor="_Toc70725927" w:history="1">
            <w:r w:rsidRPr="007B0703">
              <w:rPr>
                <w:rStyle w:val="Hyperlink"/>
                <w:noProof/>
              </w:rPr>
              <w:t>2.8.</w:t>
            </w:r>
            <w:r>
              <w:rPr>
                <w:rFonts w:asciiTheme="minorHAnsi" w:eastAsiaTheme="minorEastAsia" w:hAnsiTheme="minorHAnsi"/>
                <w:noProof/>
                <w:sz w:val="22"/>
              </w:rPr>
              <w:tab/>
            </w:r>
            <w:r w:rsidRPr="007B0703">
              <w:rPr>
                <w:rStyle w:val="Hyperlink"/>
                <w:noProof/>
              </w:rPr>
              <w:t>SUPPLIER POWER</w:t>
            </w:r>
            <w:r>
              <w:rPr>
                <w:noProof/>
                <w:webHidden/>
              </w:rPr>
              <w:tab/>
            </w:r>
            <w:r>
              <w:rPr>
                <w:noProof/>
                <w:webHidden/>
              </w:rPr>
              <w:fldChar w:fldCharType="begin"/>
            </w:r>
            <w:r>
              <w:rPr>
                <w:noProof/>
                <w:webHidden/>
              </w:rPr>
              <w:instrText xml:space="preserve"> PAGEREF _Toc70725927 \h </w:instrText>
            </w:r>
            <w:r>
              <w:rPr>
                <w:noProof/>
                <w:webHidden/>
              </w:rPr>
            </w:r>
            <w:r>
              <w:rPr>
                <w:noProof/>
                <w:webHidden/>
              </w:rPr>
              <w:fldChar w:fldCharType="separate"/>
            </w:r>
            <w:r>
              <w:rPr>
                <w:noProof/>
                <w:webHidden/>
              </w:rPr>
              <w:t>24</w:t>
            </w:r>
            <w:r>
              <w:rPr>
                <w:noProof/>
                <w:webHidden/>
              </w:rPr>
              <w:fldChar w:fldCharType="end"/>
            </w:r>
          </w:hyperlink>
        </w:p>
        <w:p w14:paraId="33776EEC" w14:textId="77777777" w:rsidR="009C20D1" w:rsidRDefault="009C20D1">
          <w:pPr>
            <w:pStyle w:val="TOC2"/>
            <w:tabs>
              <w:tab w:val="left" w:pos="880"/>
              <w:tab w:val="right" w:leader="dot" w:pos="9350"/>
            </w:tabs>
            <w:rPr>
              <w:rFonts w:asciiTheme="minorHAnsi" w:eastAsiaTheme="minorEastAsia" w:hAnsiTheme="minorHAnsi"/>
              <w:noProof/>
              <w:sz w:val="22"/>
            </w:rPr>
          </w:pPr>
          <w:hyperlink w:anchor="_Toc70725928" w:history="1">
            <w:r w:rsidRPr="007B0703">
              <w:rPr>
                <w:rStyle w:val="Hyperlink"/>
                <w:noProof/>
              </w:rPr>
              <w:t>2.9.</w:t>
            </w:r>
            <w:r>
              <w:rPr>
                <w:rFonts w:asciiTheme="minorHAnsi" w:eastAsiaTheme="minorEastAsia" w:hAnsiTheme="minorHAnsi"/>
                <w:noProof/>
                <w:sz w:val="22"/>
              </w:rPr>
              <w:tab/>
            </w:r>
            <w:r w:rsidRPr="007B0703">
              <w:rPr>
                <w:rStyle w:val="Hyperlink"/>
                <w:noProof/>
              </w:rPr>
              <w:t>BUYER POWER</w:t>
            </w:r>
            <w:r>
              <w:rPr>
                <w:noProof/>
                <w:webHidden/>
              </w:rPr>
              <w:tab/>
            </w:r>
            <w:r>
              <w:rPr>
                <w:noProof/>
                <w:webHidden/>
              </w:rPr>
              <w:fldChar w:fldCharType="begin"/>
            </w:r>
            <w:r>
              <w:rPr>
                <w:noProof/>
                <w:webHidden/>
              </w:rPr>
              <w:instrText xml:space="preserve"> PAGEREF _Toc70725928 \h </w:instrText>
            </w:r>
            <w:r>
              <w:rPr>
                <w:noProof/>
                <w:webHidden/>
              </w:rPr>
            </w:r>
            <w:r>
              <w:rPr>
                <w:noProof/>
                <w:webHidden/>
              </w:rPr>
              <w:fldChar w:fldCharType="separate"/>
            </w:r>
            <w:r>
              <w:rPr>
                <w:noProof/>
                <w:webHidden/>
              </w:rPr>
              <w:t>24</w:t>
            </w:r>
            <w:r>
              <w:rPr>
                <w:noProof/>
                <w:webHidden/>
              </w:rPr>
              <w:fldChar w:fldCharType="end"/>
            </w:r>
          </w:hyperlink>
        </w:p>
        <w:p w14:paraId="07E72257" w14:textId="77777777" w:rsidR="009C20D1" w:rsidRDefault="009C20D1">
          <w:pPr>
            <w:pStyle w:val="TOC2"/>
            <w:tabs>
              <w:tab w:val="left" w:pos="1100"/>
              <w:tab w:val="right" w:leader="dot" w:pos="9350"/>
            </w:tabs>
            <w:rPr>
              <w:rFonts w:asciiTheme="minorHAnsi" w:eastAsiaTheme="minorEastAsia" w:hAnsiTheme="minorHAnsi"/>
              <w:noProof/>
              <w:sz w:val="22"/>
            </w:rPr>
          </w:pPr>
          <w:hyperlink w:anchor="_Toc70725929" w:history="1">
            <w:r w:rsidRPr="007B0703">
              <w:rPr>
                <w:rStyle w:val="Hyperlink"/>
                <w:noProof/>
              </w:rPr>
              <w:t>2.10.</w:t>
            </w:r>
            <w:r>
              <w:rPr>
                <w:rFonts w:asciiTheme="minorHAnsi" w:eastAsiaTheme="minorEastAsia" w:hAnsiTheme="minorHAnsi"/>
                <w:noProof/>
                <w:sz w:val="22"/>
              </w:rPr>
              <w:tab/>
            </w:r>
            <w:r w:rsidRPr="007B0703">
              <w:rPr>
                <w:rStyle w:val="Hyperlink"/>
                <w:noProof/>
              </w:rPr>
              <w:t>THREAT OF SUBSTITUTES</w:t>
            </w:r>
            <w:r>
              <w:rPr>
                <w:noProof/>
                <w:webHidden/>
              </w:rPr>
              <w:tab/>
            </w:r>
            <w:r>
              <w:rPr>
                <w:noProof/>
                <w:webHidden/>
              </w:rPr>
              <w:fldChar w:fldCharType="begin"/>
            </w:r>
            <w:r>
              <w:rPr>
                <w:noProof/>
                <w:webHidden/>
              </w:rPr>
              <w:instrText xml:space="preserve"> PAGEREF _Toc70725929 \h </w:instrText>
            </w:r>
            <w:r>
              <w:rPr>
                <w:noProof/>
                <w:webHidden/>
              </w:rPr>
            </w:r>
            <w:r>
              <w:rPr>
                <w:noProof/>
                <w:webHidden/>
              </w:rPr>
              <w:fldChar w:fldCharType="separate"/>
            </w:r>
            <w:r>
              <w:rPr>
                <w:noProof/>
                <w:webHidden/>
              </w:rPr>
              <w:t>25</w:t>
            </w:r>
            <w:r>
              <w:rPr>
                <w:noProof/>
                <w:webHidden/>
              </w:rPr>
              <w:fldChar w:fldCharType="end"/>
            </w:r>
          </w:hyperlink>
        </w:p>
        <w:p w14:paraId="491D0579" w14:textId="77777777" w:rsidR="009C20D1" w:rsidRDefault="009C20D1">
          <w:pPr>
            <w:pStyle w:val="TOC2"/>
            <w:tabs>
              <w:tab w:val="left" w:pos="1100"/>
              <w:tab w:val="right" w:leader="dot" w:pos="9350"/>
            </w:tabs>
            <w:rPr>
              <w:rFonts w:asciiTheme="minorHAnsi" w:eastAsiaTheme="minorEastAsia" w:hAnsiTheme="minorHAnsi"/>
              <w:noProof/>
              <w:sz w:val="22"/>
            </w:rPr>
          </w:pPr>
          <w:hyperlink w:anchor="_Toc70725930" w:history="1">
            <w:r w:rsidRPr="007B0703">
              <w:rPr>
                <w:rStyle w:val="Hyperlink"/>
                <w:noProof/>
              </w:rPr>
              <w:t>2.11.</w:t>
            </w:r>
            <w:r>
              <w:rPr>
                <w:rFonts w:asciiTheme="minorHAnsi" w:eastAsiaTheme="minorEastAsia" w:hAnsiTheme="minorHAnsi"/>
                <w:noProof/>
                <w:sz w:val="22"/>
              </w:rPr>
              <w:tab/>
            </w:r>
            <w:r w:rsidRPr="007B0703">
              <w:rPr>
                <w:rStyle w:val="Hyperlink"/>
                <w:noProof/>
              </w:rPr>
              <w:t>INDUSTRY RIVALRY</w:t>
            </w:r>
            <w:r>
              <w:rPr>
                <w:noProof/>
                <w:webHidden/>
              </w:rPr>
              <w:tab/>
            </w:r>
            <w:r>
              <w:rPr>
                <w:noProof/>
                <w:webHidden/>
              </w:rPr>
              <w:fldChar w:fldCharType="begin"/>
            </w:r>
            <w:r>
              <w:rPr>
                <w:noProof/>
                <w:webHidden/>
              </w:rPr>
              <w:instrText xml:space="preserve"> PAGEREF _Toc70725930 \h </w:instrText>
            </w:r>
            <w:r>
              <w:rPr>
                <w:noProof/>
                <w:webHidden/>
              </w:rPr>
            </w:r>
            <w:r>
              <w:rPr>
                <w:noProof/>
                <w:webHidden/>
              </w:rPr>
              <w:fldChar w:fldCharType="separate"/>
            </w:r>
            <w:r>
              <w:rPr>
                <w:noProof/>
                <w:webHidden/>
              </w:rPr>
              <w:t>25</w:t>
            </w:r>
            <w:r>
              <w:rPr>
                <w:noProof/>
                <w:webHidden/>
              </w:rPr>
              <w:fldChar w:fldCharType="end"/>
            </w:r>
          </w:hyperlink>
        </w:p>
        <w:p w14:paraId="7967D0B0" w14:textId="77777777" w:rsidR="009C20D1" w:rsidRDefault="009C20D1">
          <w:pPr>
            <w:pStyle w:val="TOC2"/>
            <w:tabs>
              <w:tab w:val="left" w:pos="1100"/>
              <w:tab w:val="right" w:leader="dot" w:pos="9350"/>
            </w:tabs>
            <w:rPr>
              <w:rFonts w:asciiTheme="minorHAnsi" w:eastAsiaTheme="minorEastAsia" w:hAnsiTheme="minorHAnsi"/>
              <w:noProof/>
              <w:sz w:val="22"/>
            </w:rPr>
          </w:pPr>
          <w:hyperlink w:anchor="_Toc70725931" w:history="1">
            <w:r w:rsidRPr="007B0703">
              <w:rPr>
                <w:rStyle w:val="Hyperlink"/>
                <w:noProof/>
              </w:rPr>
              <w:t>2.12.</w:t>
            </w:r>
            <w:r>
              <w:rPr>
                <w:rFonts w:asciiTheme="minorHAnsi" w:eastAsiaTheme="minorEastAsia" w:hAnsiTheme="minorHAnsi"/>
                <w:noProof/>
                <w:sz w:val="22"/>
              </w:rPr>
              <w:tab/>
            </w:r>
            <w:r w:rsidRPr="007B0703">
              <w:rPr>
                <w:rStyle w:val="Hyperlink"/>
                <w:noProof/>
              </w:rPr>
              <w:t>CHALLENGES AND OPPORTUNITIES</w:t>
            </w:r>
            <w:r>
              <w:rPr>
                <w:noProof/>
                <w:webHidden/>
              </w:rPr>
              <w:tab/>
            </w:r>
            <w:r>
              <w:rPr>
                <w:noProof/>
                <w:webHidden/>
              </w:rPr>
              <w:fldChar w:fldCharType="begin"/>
            </w:r>
            <w:r>
              <w:rPr>
                <w:noProof/>
                <w:webHidden/>
              </w:rPr>
              <w:instrText xml:space="preserve"> PAGEREF _Toc70725931 \h </w:instrText>
            </w:r>
            <w:r>
              <w:rPr>
                <w:noProof/>
                <w:webHidden/>
              </w:rPr>
            </w:r>
            <w:r>
              <w:rPr>
                <w:noProof/>
                <w:webHidden/>
              </w:rPr>
              <w:fldChar w:fldCharType="separate"/>
            </w:r>
            <w:r>
              <w:rPr>
                <w:noProof/>
                <w:webHidden/>
              </w:rPr>
              <w:t>26</w:t>
            </w:r>
            <w:r>
              <w:rPr>
                <w:noProof/>
                <w:webHidden/>
              </w:rPr>
              <w:fldChar w:fldCharType="end"/>
            </w:r>
          </w:hyperlink>
        </w:p>
        <w:p w14:paraId="1EBDF90F" w14:textId="77777777" w:rsidR="009C20D1" w:rsidRDefault="009C20D1">
          <w:pPr>
            <w:pStyle w:val="TOC1"/>
            <w:tabs>
              <w:tab w:val="right" w:leader="dot" w:pos="9350"/>
            </w:tabs>
            <w:rPr>
              <w:rFonts w:asciiTheme="minorHAnsi" w:eastAsiaTheme="minorEastAsia" w:hAnsiTheme="minorHAnsi"/>
              <w:noProof/>
              <w:sz w:val="22"/>
            </w:rPr>
          </w:pPr>
          <w:hyperlink w:anchor="_Toc70725932" w:history="1">
            <w:r w:rsidRPr="007B0703">
              <w:rPr>
                <w:rStyle w:val="Hyperlink"/>
                <w:noProof/>
              </w:rPr>
              <w:t>CHAPTER-3 |ANALYSIS OF THE ORGANIZATION</w:t>
            </w:r>
            <w:r>
              <w:rPr>
                <w:noProof/>
                <w:webHidden/>
              </w:rPr>
              <w:tab/>
            </w:r>
            <w:r>
              <w:rPr>
                <w:noProof/>
                <w:webHidden/>
              </w:rPr>
              <w:fldChar w:fldCharType="begin"/>
            </w:r>
            <w:r>
              <w:rPr>
                <w:noProof/>
                <w:webHidden/>
              </w:rPr>
              <w:instrText xml:space="preserve"> PAGEREF _Toc70725932 \h </w:instrText>
            </w:r>
            <w:r>
              <w:rPr>
                <w:noProof/>
                <w:webHidden/>
              </w:rPr>
            </w:r>
            <w:r>
              <w:rPr>
                <w:noProof/>
                <w:webHidden/>
              </w:rPr>
              <w:fldChar w:fldCharType="separate"/>
            </w:r>
            <w:r>
              <w:rPr>
                <w:noProof/>
                <w:webHidden/>
              </w:rPr>
              <w:t>30</w:t>
            </w:r>
            <w:r>
              <w:rPr>
                <w:noProof/>
                <w:webHidden/>
              </w:rPr>
              <w:fldChar w:fldCharType="end"/>
            </w:r>
          </w:hyperlink>
        </w:p>
        <w:p w14:paraId="7908775B" w14:textId="77777777" w:rsidR="009C20D1" w:rsidRDefault="009C20D1">
          <w:pPr>
            <w:pStyle w:val="TOC2"/>
            <w:tabs>
              <w:tab w:val="left" w:pos="880"/>
              <w:tab w:val="right" w:leader="dot" w:pos="9350"/>
            </w:tabs>
            <w:rPr>
              <w:rFonts w:asciiTheme="minorHAnsi" w:eastAsiaTheme="minorEastAsia" w:hAnsiTheme="minorHAnsi"/>
              <w:noProof/>
              <w:sz w:val="22"/>
            </w:rPr>
          </w:pPr>
          <w:hyperlink w:anchor="_Toc70725933" w:history="1">
            <w:r w:rsidRPr="007B0703">
              <w:rPr>
                <w:rStyle w:val="Hyperlink"/>
                <w:noProof/>
              </w:rPr>
              <w:t>3.1.</w:t>
            </w:r>
            <w:r>
              <w:rPr>
                <w:rFonts w:asciiTheme="minorHAnsi" w:eastAsiaTheme="minorEastAsia" w:hAnsiTheme="minorHAnsi"/>
                <w:noProof/>
                <w:sz w:val="22"/>
              </w:rPr>
              <w:tab/>
            </w:r>
            <w:r w:rsidRPr="007B0703">
              <w:rPr>
                <w:rStyle w:val="Hyperlink"/>
                <w:noProof/>
              </w:rPr>
              <w:t>OVERVIEW AND HISTORY</w:t>
            </w:r>
            <w:r>
              <w:rPr>
                <w:noProof/>
                <w:webHidden/>
              </w:rPr>
              <w:tab/>
            </w:r>
            <w:r>
              <w:rPr>
                <w:noProof/>
                <w:webHidden/>
              </w:rPr>
              <w:fldChar w:fldCharType="begin"/>
            </w:r>
            <w:r>
              <w:rPr>
                <w:noProof/>
                <w:webHidden/>
              </w:rPr>
              <w:instrText xml:space="preserve"> PAGEREF _Toc70725933 \h </w:instrText>
            </w:r>
            <w:r>
              <w:rPr>
                <w:noProof/>
                <w:webHidden/>
              </w:rPr>
            </w:r>
            <w:r>
              <w:rPr>
                <w:noProof/>
                <w:webHidden/>
              </w:rPr>
              <w:fldChar w:fldCharType="separate"/>
            </w:r>
            <w:r>
              <w:rPr>
                <w:noProof/>
                <w:webHidden/>
              </w:rPr>
              <w:t>30</w:t>
            </w:r>
            <w:r>
              <w:rPr>
                <w:noProof/>
                <w:webHidden/>
              </w:rPr>
              <w:fldChar w:fldCharType="end"/>
            </w:r>
          </w:hyperlink>
        </w:p>
        <w:p w14:paraId="54D7E621" w14:textId="77777777" w:rsidR="009C20D1" w:rsidRDefault="009C20D1">
          <w:pPr>
            <w:pStyle w:val="TOC2"/>
            <w:tabs>
              <w:tab w:val="left" w:pos="880"/>
              <w:tab w:val="right" w:leader="dot" w:pos="9350"/>
            </w:tabs>
            <w:rPr>
              <w:rFonts w:asciiTheme="minorHAnsi" w:eastAsiaTheme="minorEastAsia" w:hAnsiTheme="minorHAnsi"/>
              <w:noProof/>
              <w:sz w:val="22"/>
            </w:rPr>
          </w:pPr>
          <w:hyperlink w:anchor="_Toc70725934" w:history="1">
            <w:r w:rsidRPr="007B0703">
              <w:rPr>
                <w:rStyle w:val="Hyperlink"/>
                <w:noProof/>
              </w:rPr>
              <w:t>3.2.</w:t>
            </w:r>
            <w:r>
              <w:rPr>
                <w:rFonts w:asciiTheme="minorHAnsi" w:eastAsiaTheme="minorEastAsia" w:hAnsiTheme="minorHAnsi"/>
                <w:noProof/>
                <w:sz w:val="22"/>
              </w:rPr>
              <w:tab/>
            </w:r>
            <w:r w:rsidRPr="007B0703">
              <w:rPr>
                <w:rStyle w:val="Hyperlink"/>
                <w:noProof/>
              </w:rPr>
              <w:t>TREND AND GROWTH</w:t>
            </w:r>
            <w:r>
              <w:rPr>
                <w:noProof/>
                <w:webHidden/>
              </w:rPr>
              <w:tab/>
            </w:r>
            <w:r>
              <w:rPr>
                <w:noProof/>
                <w:webHidden/>
              </w:rPr>
              <w:fldChar w:fldCharType="begin"/>
            </w:r>
            <w:r>
              <w:rPr>
                <w:noProof/>
                <w:webHidden/>
              </w:rPr>
              <w:instrText xml:space="preserve"> PAGEREF _Toc70725934 \h </w:instrText>
            </w:r>
            <w:r>
              <w:rPr>
                <w:noProof/>
                <w:webHidden/>
              </w:rPr>
            </w:r>
            <w:r>
              <w:rPr>
                <w:noProof/>
                <w:webHidden/>
              </w:rPr>
              <w:fldChar w:fldCharType="separate"/>
            </w:r>
            <w:r>
              <w:rPr>
                <w:noProof/>
                <w:webHidden/>
              </w:rPr>
              <w:t>34</w:t>
            </w:r>
            <w:r>
              <w:rPr>
                <w:noProof/>
                <w:webHidden/>
              </w:rPr>
              <w:fldChar w:fldCharType="end"/>
            </w:r>
          </w:hyperlink>
        </w:p>
        <w:p w14:paraId="79A4546E" w14:textId="77777777" w:rsidR="009C20D1" w:rsidRDefault="009C20D1">
          <w:pPr>
            <w:pStyle w:val="TOC2"/>
            <w:tabs>
              <w:tab w:val="left" w:pos="880"/>
              <w:tab w:val="right" w:leader="dot" w:pos="9350"/>
            </w:tabs>
            <w:rPr>
              <w:rFonts w:asciiTheme="minorHAnsi" w:eastAsiaTheme="minorEastAsia" w:hAnsiTheme="minorHAnsi"/>
              <w:noProof/>
              <w:sz w:val="22"/>
            </w:rPr>
          </w:pPr>
          <w:hyperlink w:anchor="_Toc70725935" w:history="1">
            <w:r w:rsidRPr="007B0703">
              <w:rPr>
                <w:rStyle w:val="Hyperlink"/>
                <w:noProof/>
              </w:rPr>
              <w:t>3.3.</w:t>
            </w:r>
            <w:r>
              <w:rPr>
                <w:rFonts w:asciiTheme="minorHAnsi" w:eastAsiaTheme="minorEastAsia" w:hAnsiTheme="minorHAnsi"/>
                <w:noProof/>
                <w:sz w:val="22"/>
              </w:rPr>
              <w:tab/>
            </w:r>
            <w:r w:rsidRPr="007B0703">
              <w:rPr>
                <w:rStyle w:val="Hyperlink"/>
                <w:noProof/>
              </w:rPr>
              <w:t>CUSTOMER MIX</w:t>
            </w:r>
            <w:r>
              <w:rPr>
                <w:noProof/>
                <w:webHidden/>
              </w:rPr>
              <w:tab/>
            </w:r>
            <w:r>
              <w:rPr>
                <w:noProof/>
                <w:webHidden/>
              </w:rPr>
              <w:fldChar w:fldCharType="begin"/>
            </w:r>
            <w:r>
              <w:rPr>
                <w:noProof/>
                <w:webHidden/>
              </w:rPr>
              <w:instrText xml:space="preserve"> PAGEREF _Toc70725935 \h </w:instrText>
            </w:r>
            <w:r>
              <w:rPr>
                <w:noProof/>
                <w:webHidden/>
              </w:rPr>
            </w:r>
            <w:r>
              <w:rPr>
                <w:noProof/>
                <w:webHidden/>
              </w:rPr>
              <w:fldChar w:fldCharType="separate"/>
            </w:r>
            <w:r>
              <w:rPr>
                <w:noProof/>
                <w:webHidden/>
              </w:rPr>
              <w:t>39</w:t>
            </w:r>
            <w:r>
              <w:rPr>
                <w:noProof/>
                <w:webHidden/>
              </w:rPr>
              <w:fldChar w:fldCharType="end"/>
            </w:r>
          </w:hyperlink>
        </w:p>
        <w:p w14:paraId="3047F500" w14:textId="77777777" w:rsidR="009C20D1" w:rsidRDefault="009C20D1">
          <w:pPr>
            <w:pStyle w:val="TOC2"/>
            <w:tabs>
              <w:tab w:val="left" w:pos="880"/>
              <w:tab w:val="right" w:leader="dot" w:pos="9350"/>
            </w:tabs>
            <w:rPr>
              <w:rFonts w:asciiTheme="minorHAnsi" w:eastAsiaTheme="minorEastAsia" w:hAnsiTheme="minorHAnsi"/>
              <w:noProof/>
              <w:sz w:val="22"/>
            </w:rPr>
          </w:pPr>
          <w:hyperlink w:anchor="_Toc70725936" w:history="1">
            <w:r w:rsidRPr="007B0703">
              <w:rPr>
                <w:rStyle w:val="Hyperlink"/>
                <w:noProof/>
              </w:rPr>
              <w:t>3.4.</w:t>
            </w:r>
            <w:r>
              <w:rPr>
                <w:rFonts w:asciiTheme="minorHAnsi" w:eastAsiaTheme="minorEastAsia" w:hAnsiTheme="minorHAnsi"/>
                <w:noProof/>
                <w:sz w:val="22"/>
              </w:rPr>
              <w:tab/>
            </w:r>
            <w:r w:rsidRPr="007B0703">
              <w:rPr>
                <w:rStyle w:val="Hyperlink"/>
                <w:noProof/>
              </w:rPr>
              <w:t>PRODUCT AND SERVICE</w:t>
            </w:r>
            <w:r>
              <w:rPr>
                <w:noProof/>
                <w:webHidden/>
              </w:rPr>
              <w:tab/>
            </w:r>
            <w:r>
              <w:rPr>
                <w:noProof/>
                <w:webHidden/>
              </w:rPr>
              <w:fldChar w:fldCharType="begin"/>
            </w:r>
            <w:r>
              <w:rPr>
                <w:noProof/>
                <w:webHidden/>
              </w:rPr>
              <w:instrText xml:space="preserve"> PAGEREF _Toc70725936 \h </w:instrText>
            </w:r>
            <w:r>
              <w:rPr>
                <w:noProof/>
                <w:webHidden/>
              </w:rPr>
            </w:r>
            <w:r>
              <w:rPr>
                <w:noProof/>
                <w:webHidden/>
              </w:rPr>
              <w:fldChar w:fldCharType="separate"/>
            </w:r>
            <w:r>
              <w:rPr>
                <w:noProof/>
                <w:webHidden/>
              </w:rPr>
              <w:t>40</w:t>
            </w:r>
            <w:r>
              <w:rPr>
                <w:noProof/>
                <w:webHidden/>
              </w:rPr>
              <w:fldChar w:fldCharType="end"/>
            </w:r>
          </w:hyperlink>
        </w:p>
        <w:p w14:paraId="538ED033" w14:textId="77777777" w:rsidR="009C20D1" w:rsidRDefault="009C20D1">
          <w:pPr>
            <w:pStyle w:val="TOC2"/>
            <w:tabs>
              <w:tab w:val="left" w:pos="880"/>
              <w:tab w:val="right" w:leader="dot" w:pos="9350"/>
            </w:tabs>
            <w:rPr>
              <w:rFonts w:asciiTheme="minorHAnsi" w:eastAsiaTheme="minorEastAsia" w:hAnsiTheme="minorHAnsi"/>
              <w:noProof/>
              <w:sz w:val="22"/>
            </w:rPr>
          </w:pPr>
          <w:hyperlink w:anchor="_Toc70725937" w:history="1">
            <w:r w:rsidRPr="007B0703">
              <w:rPr>
                <w:rStyle w:val="Hyperlink"/>
                <w:noProof/>
              </w:rPr>
              <w:t>3.5.</w:t>
            </w:r>
            <w:r>
              <w:rPr>
                <w:rFonts w:asciiTheme="minorHAnsi" w:eastAsiaTheme="minorEastAsia" w:hAnsiTheme="minorHAnsi"/>
                <w:noProof/>
                <w:sz w:val="22"/>
              </w:rPr>
              <w:tab/>
            </w:r>
            <w:r w:rsidRPr="007B0703">
              <w:rPr>
                <w:rStyle w:val="Hyperlink"/>
                <w:noProof/>
              </w:rPr>
              <w:t>OPERATION</w:t>
            </w:r>
            <w:r>
              <w:rPr>
                <w:noProof/>
                <w:webHidden/>
              </w:rPr>
              <w:tab/>
            </w:r>
            <w:r>
              <w:rPr>
                <w:noProof/>
                <w:webHidden/>
              </w:rPr>
              <w:fldChar w:fldCharType="begin"/>
            </w:r>
            <w:r>
              <w:rPr>
                <w:noProof/>
                <w:webHidden/>
              </w:rPr>
              <w:instrText xml:space="preserve"> PAGEREF _Toc70725937 \h </w:instrText>
            </w:r>
            <w:r>
              <w:rPr>
                <w:noProof/>
                <w:webHidden/>
              </w:rPr>
            </w:r>
            <w:r>
              <w:rPr>
                <w:noProof/>
                <w:webHidden/>
              </w:rPr>
              <w:fldChar w:fldCharType="separate"/>
            </w:r>
            <w:r>
              <w:rPr>
                <w:noProof/>
                <w:webHidden/>
              </w:rPr>
              <w:t>43</w:t>
            </w:r>
            <w:r>
              <w:rPr>
                <w:noProof/>
                <w:webHidden/>
              </w:rPr>
              <w:fldChar w:fldCharType="end"/>
            </w:r>
          </w:hyperlink>
        </w:p>
        <w:p w14:paraId="28D60E25" w14:textId="77777777" w:rsidR="009C20D1" w:rsidRDefault="009C20D1">
          <w:pPr>
            <w:pStyle w:val="TOC2"/>
            <w:tabs>
              <w:tab w:val="left" w:pos="880"/>
              <w:tab w:val="right" w:leader="dot" w:pos="9350"/>
            </w:tabs>
            <w:rPr>
              <w:rFonts w:asciiTheme="minorHAnsi" w:eastAsiaTheme="minorEastAsia" w:hAnsiTheme="minorHAnsi"/>
              <w:noProof/>
              <w:sz w:val="22"/>
            </w:rPr>
          </w:pPr>
          <w:hyperlink w:anchor="_Toc70725938" w:history="1">
            <w:r w:rsidRPr="007B0703">
              <w:rPr>
                <w:rStyle w:val="Hyperlink"/>
                <w:noProof/>
              </w:rPr>
              <w:t>3.6.</w:t>
            </w:r>
            <w:r>
              <w:rPr>
                <w:rFonts w:asciiTheme="minorHAnsi" w:eastAsiaTheme="minorEastAsia" w:hAnsiTheme="minorHAnsi"/>
                <w:noProof/>
                <w:sz w:val="22"/>
              </w:rPr>
              <w:tab/>
            </w:r>
            <w:r w:rsidRPr="007B0703">
              <w:rPr>
                <w:rStyle w:val="Hyperlink"/>
                <w:noProof/>
              </w:rPr>
              <w:t>SWOT ANALYSIS</w:t>
            </w:r>
            <w:r>
              <w:rPr>
                <w:noProof/>
                <w:webHidden/>
              </w:rPr>
              <w:tab/>
            </w:r>
            <w:r>
              <w:rPr>
                <w:noProof/>
                <w:webHidden/>
              </w:rPr>
              <w:fldChar w:fldCharType="begin"/>
            </w:r>
            <w:r>
              <w:rPr>
                <w:noProof/>
                <w:webHidden/>
              </w:rPr>
              <w:instrText xml:space="preserve"> PAGEREF _Toc70725938 \h </w:instrText>
            </w:r>
            <w:r>
              <w:rPr>
                <w:noProof/>
                <w:webHidden/>
              </w:rPr>
            </w:r>
            <w:r>
              <w:rPr>
                <w:noProof/>
                <w:webHidden/>
              </w:rPr>
              <w:fldChar w:fldCharType="separate"/>
            </w:r>
            <w:r>
              <w:rPr>
                <w:noProof/>
                <w:webHidden/>
              </w:rPr>
              <w:t>44</w:t>
            </w:r>
            <w:r>
              <w:rPr>
                <w:noProof/>
                <w:webHidden/>
              </w:rPr>
              <w:fldChar w:fldCharType="end"/>
            </w:r>
          </w:hyperlink>
        </w:p>
        <w:p w14:paraId="36E95E36" w14:textId="77777777" w:rsidR="009C20D1" w:rsidRDefault="009C20D1">
          <w:pPr>
            <w:pStyle w:val="TOC2"/>
            <w:tabs>
              <w:tab w:val="left" w:pos="880"/>
              <w:tab w:val="right" w:leader="dot" w:pos="9350"/>
            </w:tabs>
            <w:rPr>
              <w:rFonts w:asciiTheme="minorHAnsi" w:eastAsiaTheme="minorEastAsia" w:hAnsiTheme="minorHAnsi"/>
              <w:noProof/>
              <w:sz w:val="22"/>
            </w:rPr>
          </w:pPr>
          <w:hyperlink w:anchor="_Toc70725939" w:history="1">
            <w:r w:rsidRPr="007B0703">
              <w:rPr>
                <w:rStyle w:val="Hyperlink"/>
                <w:noProof/>
              </w:rPr>
              <w:t>3.7.</w:t>
            </w:r>
            <w:r>
              <w:rPr>
                <w:rFonts w:asciiTheme="minorHAnsi" w:eastAsiaTheme="minorEastAsia" w:hAnsiTheme="minorHAnsi"/>
                <w:noProof/>
                <w:sz w:val="22"/>
              </w:rPr>
              <w:tab/>
            </w:r>
            <w:r w:rsidRPr="007B0703">
              <w:rPr>
                <w:rStyle w:val="Hyperlink"/>
                <w:noProof/>
              </w:rPr>
              <w:t>STEPS/STRATEGIES TO MEET THE CHALLENGES AND OPPORTUNITIES</w:t>
            </w:r>
            <w:r>
              <w:rPr>
                <w:noProof/>
                <w:webHidden/>
              </w:rPr>
              <w:tab/>
            </w:r>
            <w:r>
              <w:rPr>
                <w:noProof/>
                <w:webHidden/>
              </w:rPr>
              <w:fldChar w:fldCharType="begin"/>
            </w:r>
            <w:r>
              <w:rPr>
                <w:noProof/>
                <w:webHidden/>
              </w:rPr>
              <w:instrText xml:space="preserve"> PAGEREF _Toc70725939 \h </w:instrText>
            </w:r>
            <w:r>
              <w:rPr>
                <w:noProof/>
                <w:webHidden/>
              </w:rPr>
            </w:r>
            <w:r>
              <w:rPr>
                <w:noProof/>
                <w:webHidden/>
              </w:rPr>
              <w:fldChar w:fldCharType="separate"/>
            </w:r>
            <w:r>
              <w:rPr>
                <w:noProof/>
                <w:webHidden/>
              </w:rPr>
              <w:t>46</w:t>
            </w:r>
            <w:r>
              <w:rPr>
                <w:noProof/>
                <w:webHidden/>
              </w:rPr>
              <w:fldChar w:fldCharType="end"/>
            </w:r>
          </w:hyperlink>
        </w:p>
        <w:p w14:paraId="31CFFD02" w14:textId="77777777" w:rsidR="009C20D1" w:rsidRDefault="009C20D1">
          <w:pPr>
            <w:pStyle w:val="TOC1"/>
            <w:tabs>
              <w:tab w:val="right" w:leader="dot" w:pos="9350"/>
            </w:tabs>
            <w:rPr>
              <w:rFonts w:asciiTheme="minorHAnsi" w:eastAsiaTheme="minorEastAsia" w:hAnsiTheme="minorHAnsi"/>
              <w:noProof/>
              <w:sz w:val="22"/>
            </w:rPr>
          </w:pPr>
          <w:hyperlink w:anchor="_Toc70725940" w:history="1">
            <w:r w:rsidRPr="007B0703">
              <w:rPr>
                <w:rStyle w:val="Hyperlink"/>
                <w:noProof/>
              </w:rPr>
              <w:t>CHAPTER-4| INTERNSHIP EXPERIENCE</w:t>
            </w:r>
            <w:r>
              <w:rPr>
                <w:noProof/>
                <w:webHidden/>
              </w:rPr>
              <w:tab/>
            </w:r>
            <w:r>
              <w:rPr>
                <w:noProof/>
                <w:webHidden/>
              </w:rPr>
              <w:fldChar w:fldCharType="begin"/>
            </w:r>
            <w:r>
              <w:rPr>
                <w:noProof/>
                <w:webHidden/>
              </w:rPr>
              <w:instrText xml:space="preserve"> PAGEREF _Toc70725940 \h </w:instrText>
            </w:r>
            <w:r>
              <w:rPr>
                <w:noProof/>
                <w:webHidden/>
              </w:rPr>
            </w:r>
            <w:r>
              <w:rPr>
                <w:noProof/>
                <w:webHidden/>
              </w:rPr>
              <w:fldChar w:fldCharType="separate"/>
            </w:r>
            <w:r>
              <w:rPr>
                <w:noProof/>
                <w:webHidden/>
              </w:rPr>
              <w:t>48</w:t>
            </w:r>
            <w:r>
              <w:rPr>
                <w:noProof/>
                <w:webHidden/>
              </w:rPr>
              <w:fldChar w:fldCharType="end"/>
            </w:r>
          </w:hyperlink>
        </w:p>
        <w:p w14:paraId="132A02D5" w14:textId="77777777" w:rsidR="009C20D1" w:rsidRDefault="009C20D1">
          <w:pPr>
            <w:pStyle w:val="TOC2"/>
            <w:tabs>
              <w:tab w:val="left" w:pos="880"/>
              <w:tab w:val="right" w:leader="dot" w:pos="9350"/>
            </w:tabs>
            <w:rPr>
              <w:rFonts w:asciiTheme="minorHAnsi" w:eastAsiaTheme="minorEastAsia" w:hAnsiTheme="minorHAnsi"/>
              <w:noProof/>
              <w:sz w:val="22"/>
            </w:rPr>
          </w:pPr>
          <w:hyperlink w:anchor="_Toc70725941" w:history="1">
            <w:r w:rsidRPr="007B0703">
              <w:rPr>
                <w:rStyle w:val="Hyperlink"/>
                <w:rFonts w:eastAsiaTheme="majorEastAsia" w:cs="Times New Roman"/>
                <w:bCs/>
                <w:noProof/>
              </w:rPr>
              <w:t>4.1.</w:t>
            </w:r>
            <w:r>
              <w:rPr>
                <w:rFonts w:asciiTheme="minorHAnsi" w:eastAsiaTheme="minorEastAsia" w:hAnsiTheme="minorHAnsi"/>
                <w:noProof/>
                <w:sz w:val="22"/>
              </w:rPr>
              <w:tab/>
            </w:r>
            <w:r w:rsidRPr="007B0703">
              <w:rPr>
                <w:rStyle w:val="Hyperlink"/>
                <w:rFonts w:eastAsiaTheme="majorEastAsia" w:cs="Times New Roman"/>
                <w:bCs/>
                <w:noProof/>
              </w:rPr>
              <w:t>POSITION, DUTIES, AND RESPONSIBILITIES</w:t>
            </w:r>
            <w:r>
              <w:rPr>
                <w:noProof/>
                <w:webHidden/>
              </w:rPr>
              <w:tab/>
            </w:r>
            <w:r>
              <w:rPr>
                <w:noProof/>
                <w:webHidden/>
              </w:rPr>
              <w:fldChar w:fldCharType="begin"/>
            </w:r>
            <w:r>
              <w:rPr>
                <w:noProof/>
                <w:webHidden/>
              </w:rPr>
              <w:instrText xml:space="preserve"> PAGEREF _Toc70725941 \h </w:instrText>
            </w:r>
            <w:r>
              <w:rPr>
                <w:noProof/>
                <w:webHidden/>
              </w:rPr>
            </w:r>
            <w:r>
              <w:rPr>
                <w:noProof/>
                <w:webHidden/>
              </w:rPr>
              <w:fldChar w:fldCharType="separate"/>
            </w:r>
            <w:r>
              <w:rPr>
                <w:noProof/>
                <w:webHidden/>
              </w:rPr>
              <w:t>48</w:t>
            </w:r>
            <w:r>
              <w:rPr>
                <w:noProof/>
                <w:webHidden/>
              </w:rPr>
              <w:fldChar w:fldCharType="end"/>
            </w:r>
          </w:hyperlink>
        </w:p>
        <w:p w14:paraId="4DBB5555" w14:textId="77777777" w:rsidR="009C20D1" w:rsidRDefault="009C20D1">
          <w:pPr>
            <w:pStyle w:val="TOC2"/>
            <w:tabs>
              <w:tab w:val="left" w:pos="880"/>
              <w:tab w:val="right" w:leader="dot" w:pos="9350"/>
            </w:tabs>
            <w:rPr>
              <w:rFonts w:asciiTheme="minorHAnsi" w:eastAsiaTheme="minorEastAsia" w:hAnsiTheme="minorHAnsi"/>
              <w:noProof/>
              <w:sz w:val="22"/>
            </w:rPr>
          </w:pPr>
          <w:hyperlink w:anchor="_Toc70725942" w:history="1">
            <w:r w:rsidRPr="007B0703">
              <w:rPr>
                <w:rStyle w:val="Hyperlink"/>
                <w:noProof/>
              </w:rPr>
              <w:t>4.2.</w:t>
            </w:r>
            <w:r>
              <w:rPr>
                <w:rFonts w:asciiTheme="minorHAnsi" w:eastAsiaTheme="minorEastAsia" w:hAnsiTheme="minorHAnsi"/>
                <w:noProof/>
                <w:sz w:val="22"/>
              </w:rPr>
              <w:tab/>
            </w:r>
            <w:r w:rsidRPr="007B0703">
              <w:rPr>
                <w:rStyle w:val="Hyperlink"/>
                <w:noProof/>
              </w:rPr>
              <w:t>TRAINING</w:t>
            </w:r>
            <w:r>
              <w:rPr>
                <w:noProof/>
                <w:webHidden/>
              </w:rPr>
              <w:tab/>
            </w:r>
            <w:r>
              <w:rPr>
                <w:noProof/>
                <w:webHidden/>
              </w:rPr>
              <w:fldChar w:fldCharType="begin"/>
            </w:r>
            <w:r>
              <w:rPr>
                <w:noProof/>
                <w:webHidden/>
              </w:rPr>
              <w:instrText xml:space="preserve"> PAGEREF _Toc70725942 \h </w:instrText>
            </w:r>
            <w:r>
              <w:rPr>
                <w:noProof/>
                <w:webHidden/>
              </w:rPr>
            </w:r>
            <w:r>
              <w:rPr>
                <w:noProof/>
                <w:webHidden/>
              </w:rPr>
              <w:fldChar w:fldCharType="separate"/>
            </w:r>
            <w:r>
              <w:rPr>
                <w:noProof/>
                <w:webHidden/>
              </w:rPr>
              <w:t>48</w:t>
            </w:r>
            <w:r>
              <w:rPr>
                <w:noProof/>
                <w:webHidden/>
              </w:rPr>
              <w:fldChar w:fldCharType="end"/>
            </w:r>
          </w:hyperlink>
        </w:p>
        <w:p w14:paraId="26C58150" w14:textId="77777777" w:rsidR="009C20D1" w:rsidRDefault="009C20D1">
          <w:pPr>
            <w:pStyle w:val="TOC2"/>
            <w:tabs>
              <w:tab w:val="left" w:pos="880"/>
              <w:tab w:val="right" w:leader="dot" w:pos="9350"/>
            </w:tabs>
            <w:rPr>
              <w:rFonts w:asciiTheme="minorHAnsi" w:eastAsiaTheme="minorEastAsia" w:hAnsiTheme="minorHAnsi"/>
              <w:noProof/>
              <w:sz w:val="22"/>
            </w:rPr>
          </w:pPr>
          <w:hyperlink w:anchor="_Toc70725943" w:history="1">
            <w:r w:rsidRPr="007B0703">
              <w:rPr>
                <w:rStyle w:val="Hyperlink"/>
                <w:noProof/>
              </w:rPr>
              <w:t>4.3.</w:t>
            </w:r>
            <w:r>
              <w:rPr>
                <w:rFonts w:asciiTheme="minorHAnsi" w:eastAsiaTheme="minorEastAsia" w:hAnsiTheme="minorHAnsi"/>
                <w:noProof/>
                <w:sz w:val="22"/>
              </w:rPr>
              <w:tab/>
            </w:r>
            <w:r w:rsidRPr="007B0703">
              <w:rPr>
                <w:rStyle w:val="Hyperlink"/>
                <w:noProof/>
              </w:rPr>
              <w:t>CONTRIBUTION TO DEPARTMENTAL FUNCTIONS</w:t>
            </w:r>
            <w:r>
              <w:rPr>
                <w:noProof/>
                <w:webHidden/>
              </w:rPr>
              <w:tab/>
            </w:r>
            <w:r>
              <w:rPr>
                <w:noProof/>
                <w:webHidden/>
              </w:rPr>
              <w:fldChar w:fldCharType="begin"/>
            </w:r>
            <w:r>
              <w:rPr>
                <w:noProof/>
                <w:webHidden/>
              </w:rPr>
              <w:instrText xml:space="preserve"> PAGEREF _Toc70725943 \h </w:instrText>
            </w:r>
            <w:r>
              <w:rPr>
                <w:noProof/>
                <w:webHidden/>
              </w:rPr>
            </w:r>
            <w:r>
              <w:rPr>
                <w:noProof/>
                <w:webHidden/>
              </w:rPr>
              <w:fldChar w:fldCharType="separate"/>
            </w:r>
            <w:r>
              <w:rPr>
                <w:noProof/>
                <w:webHidden/>
              </w:rPr>
              <w:t>49</w:t>
            </w:r>
            <w:r>
              <w:rPr>
                <w:noProof/>
                <w:webHidden/>
              </w:rPr>
              <w:fldChar w:fldCharType="end"/>
            </w:r>
          </w:hyperlink>
        </w:p>
        <w:p w14:paraId="01FE8EF7" w14:textId="77777777" w:rsidR="009C20D1" w:rsidRDefault="009C20D1">
          <w:pPr>
            <w:pStyle w:val="TOC2"/>
            <w:tabs>
              <w:tab w:val="left" w:pos="880"/>
              <w:tab w:val="right" w:leader="dot" w:pos="9350"/>
            </w:tabs>
            <w:rPr>
              <w:rFonts w:asciiTheme="minorHAnsi" w:eastAsiaTheme="minorEastAsia" w:hAnsiTheme="minorHAnsi"/>
              <w:noProof/>
              <w:sz w:val="22"/>
            </w:rPr>
          </w:pPr>
          <w:hyperlink w:anchor="_Toc70725944" w:history="1">
            <w:r w:rsidRPr="007B0703">
              <w:rPr>
                <w:rStyle w:val="Hyperlink"/>
                <w:noProof/>
              </w:rPr>
              <w:t>4.4.</w:t>
            </w:r>
            <w:r>
              <w:rPr>
                <w:rFonts w:asciiTheme="minorHAnsi" w:eastAsiaTheme="minorEastAsia" w:hAnsiTheme="minorHAnsi"/>
                <w:noProof/>
                <w:sz w:val="22"/>
              </w:rPr>
              <w:tab/>
            </w:r>
            <w:r w:rsidRPr="007B0703">
              <w:rPr>
                <w:rStyle w:val="Hyperlink"/>
                <w:noProof/>
              </w:rPr>
              <w:t>EVALUATION OF INTERNSHIP PERFORMANCE</w:t>
            </w:r>
            <w:r>
              <w:rPr>
                <w:noProof/>
                <w:webHidden/>
              </w:rPr>
              <w:tab/>
            </w:r>
            <w:r>
              <w:rPr>
                <w:noProof/>
                <w:webHidden/>
              </w:rPr>
              <w:fldChar w:fldCharType="begin"/>
            </w:r>
            <w:r>
              <w:rPr>
                <w:noProof/>
                <w:webHidden/>
              </w:rPr>
              <w:instrText xml:space="preserve"> PAGEREF _Toc70725944 \h </w:instrText>
            </w:r>
            <w:r>
              <w:rPr>
                <w:noProof/>
                <w:webHidden/>
              </w:rPr>
            </w:r>
            <w:r>
              <w:rPr>
                <w:noProof/>
                <w:webHidden/>
              </w:rPr>
              <w:fldChar w:fldCharType="separate"/>
            </w:r>
            <w:r>
              <w:rPr>
                <w:noProof/>
                <w:webHidden/>
              </w:rPr>
              <w:t>49</w:t>
            </w:r>
            <w:r>
              <w:rPr>
                <w:noProof/>
                <w:webHidden/>
              </w:rPr>
              <w:fldChar w:fldCharType="end"/>
            </w:r>
          </w:hyperlink>
        </w:p>
        <w:p w14:paraId="1DBF565A" w14:textId="77777777" w:rsidR="009C20D1" w:rsidRDefault="009C20D1">
          <w:pPr>
            <w:pStyle w:val="TOC2"/>
            <w:tabs>
              <w:tab w:val="left" w:pos="880"/>
              <w:tab w:val="right" w:leader="dot" w:pos="9350"/>
            </w:tabs>
            <w:rPr>
              <w:rFonts w:asciiTheme="minorHAnsi" w:eastAsiaTheme="minorEastAsia" w:hAnsiTheme="minorHAnsi"/>
              <w:noProof/>
              <w:sz w:val="22"/>
            </w:rPr>
          </w:pPr>
          <w:hyperlink w:anchor="_Toc70725945" w:history="1">
            <w:r w:rsidRPr="007B0703">
              <w:rPr>
                <w:rStyle w:val="Hyperlink"/>
                <w:noProof/>
              </w:rPr>
              <w:t>4.5.</w:t>
            </w:r>
            <w:r>
              <w:rPr>
                <w:rFonts w:asciiTheme="minorHAnsi" w:eastAsiaTheme="minorEastAsia" w:hAnsiTheme="minorHAnsi"/>
                <w:noProof/>
                <w:sz w:val="22"/>
              </w:rPr>
              <w:tab/>
            </w:r>
            <w:r w:rsidRPr="007B0703">
              <w:rPr>
                <w:rStyle w:val="Hyperlink"/>
                <w:noProof/>
              </w:rPr>
              <w:t>SKILLS APPLIED</w:t>
            </w:r>
            <w:r>
              <w:rPr>
                <w:noProof/>
                <w:webHidden/>
              </w:rPr>
              <w:tab/>
            </w:r>
            <w:r>
              <w:rPr>
                <w:noProof/>
                <w:webHidden/>
              </w:rPr>
              <w:fldChar w:fldCharType="begin"/>
            </w:r>
            <w:r>
              <w:rPr>
                <w:noProof/>
                <w:webHidden/>
              </w:rPr>
              <w:instrText xml:space="preserve"> PAGEREF _Toc70725945 \h </w:instrText>
            </w:r>
            <w:r>
              <w:rPr>
                <w:noProof/>
                <w:webHidden/>
              </w:rPr>
            </w:r>
            <w:r>
              <w:rPr>
                <w:noProof/>
                <w:webHidden/>
              </w:rPr>
              <w:fldChar w:fldCharType="separate"/>
            </w:r>
            <w:r>
              <w:rPr>
                <w:noProof/>
                <w:webHidden/>
              </w:rPr>
              <w:t>50</w:t>
            </w:r>
            <w:r>
              <w:rPr>
                <w:noProof/>
                <w:webHidden/>
              </w:rPr>
              <w:fldChar w:fldCharType="end"/>
            </w:r>
          </w:hyperlink>
        </w:p>
        <w:p w14:paraId="50606C26" w14:textId="77777777" w:rsidR="009C20D1" w:rsidRDefault="009C20D1">
          <w:pPr>
            <w:pStyle w:val="TOC2"/>
            <w:tabs>
              <w:tab w:val="left" w:pos="880"/>
              <w:tab w:val="right" w:leader="dot" w:pos="9350"/>
            </w:tabs>
            <w:rPr>
              <w:rFonts w:asciiTheme="minorHAnsi" w:eastAsiaTheme="minorEastAsia" w:hAnsiTheme="minorHAnsi"/>
              <w:noProof/>
              <w:sz w:val="22"/>
            </w:rPr>
          </w:pPr>
          <w:hyperlink w:anchor="_Toc70725946" w:history="1">
            <w:r w:rsidRPr="007B0703">
              <w:rPr>
                <w:rStyle w:val="Hyperlink"/>
                <w:noProof/>
              </w:rPr>
              <w:t>4.6.</w:t>
            </w:r>
            <w:r>
              <w:rPr>
                <w:rFonts w:asciiTheme="minorHAnsi" w:eastAsiaTheme="minorEastAsia" w:hAnsiTheme="minorHAnsi"/>
                <w:noProof/>
                <w:sz w:val="22"/>
              </w:rPr>
              <w:tab/>
            </w:r>
            <w:r w:rsidRPr="007B0703">
              <w:rPr>
                <w:rStyle w:val="Hyperlink"/>
                <w:noProof/>
              </w:rPr>
              <w:t>NEW SKILLS DEVELOPED</w:t>
            </w:r>
            <w:r>
              <w:rPr>
                <w:noProof/>
                <w:webHidden/>
              </w:rPr>
              <w:tab/>
            </w:r>
            <w:r>
              <w:rPr>
                <w:noProof/>
                <w:webHidden/>
              </w:rPr>
              <w:fldChar w:fldCharType="begin"/>
            </w:r>
            <w:r>
              <w:rPr>
                <w:noProof/>
                <w:webHidden/>
              </w:rPr>
              <w:instrText xml:space="preserve"> PAGEREF _Toc70725946 \h </w:instrText>
            </w:r>
            <w:r>
              <w:rPr>
                <w:noProof/>
                <w:webHidden/>
              </w:rPr>
            </w:r>
            <w:r>
              <w:rPr>
                <w:noProof/>
                <w:webHidden/>
              </w:rPr>
              <w:fldChar w:fldCharType="separate"/>
            </w:r>
            <w:r>
              <w:rPr>
                <w:noProof/>
                <w:webHidden/>
              </w:rPr>
              <w:t>51</w:t>
            </w:r>
            <w:r>
              <w:rPr>
                <w:noProof/>
                <w:webHidden/>
              </w:rPr>
              <w:fldChar w:fldCharType="end"/>
            </w:r>
          </w:hyperlink>
        </w:p>
        <w:p w14:paraId="1E21DA27" w14:textId="77777777" w:rsidR="009C20D1" w:rsidRDefault="009C20D1">
          <w:pPr>
            <w:pStyle w:val="TOC2"/>
            <w:tabs>
              <w:tab w:val="left" w:pos="880"/>
              <w:tab w:val="right" w:leader="dot" w:pos="9350"/>
            </w:tabs>
            <w:rPr>
              <w:rFonts w:asciiTheme="minorHAnsi" w:eastAsiaTheme="minorEastAsia" w:hAnsiTheme="minorHAnsi"/>
              <w:noProof/>
              <w:sz w:val="22"/>
            </w:rPr>
          </w:pPr>
          <w:hyperlink w:anchor="_Toc70725947" w:history="1">
            <w:r w:rsidRPr="007B0703">
              <w:rPr>
                <w:rStyle w:val="Hyperlink"/>
                <w:noProof/>
              </w:rPr>
              <w:t>4.7.</w:t>
            </w:r>
            <w:r>
              <w:rPr>
                <w:rFonts w:asciiTheme="minorHAnsi" w:eastAsiaTheme="minorEastAsia" w:hAnsiTheme="minorHAnsi"/>
                <w:noProof/>
                <w:sz w:val="22"/>
              </w:rPr>
              <w:tab/>
            </w:r>
            <w:r w:rsidRPr="007B0703">
              <w:rPr>
                <w:rStyle w:val="Hyperlink"/>
                <w:noProof/>
              </w:rPr>
              <w:t>APPLICATION OF ACADEMIC KNOWLEDGE</w:t>
            </w:r>
            <w:r>
              <w:rPr>
                <w:noProof/>
                <w:webHidden/>
              </w:rPr>
              <w:tab/>
            </w:r>
            <w:r>
              <w:rPr>
                <w:noProof/>
                <w:webHidden/>
              </w:rPr>
              <w:fldChar w:fldCharType="begin"/>
            </w:r>
            <w:r>
              <w:rPr>
                <w:noProof/>
                <w:webHidden/>
              </w:rPr>
              <w:instrText xml:space="preserve"> PAGEREF _Toc70725947 \h </w:instrText>
            </w:r>
            <w:r>
              <w:rPr>
                <w:noProof/>
                <w:webHidden/>
              </w:rPr>
            </w:r>
            <w:r>
              <w:rPr>
                <w:noProof/>
                <w:webHidden/>
              </w:rPr>
              <w:fldChar w:fldCharType="separate"/>
            </w:r>
            <w:r>
              <w:rPr>
                <w:noProof/>
                <w:webHidden/>
              </w:rPr>
              <w:t>51</w:t>
            </w:r>
            <w:r>
              <w:rPr>
                <w:noProof/>
                <w:webHidden/>
              </w:rPr>
              <w:fldChar w:fldCharType="end"/>
            </w:r>
          </w:hyperlink>
        </w:p>
        <w:p w14:paraId="13BAD6AC" w14:textId="77777777" w:rsidR="009C20D1" w:rsidRDefault="009C20D1">
          <w:pPr>
            <w:pStyle w:val="TOC1"/>
            <w:tabs>
              <w:tab w:val="right" w:leader="dot" w:pos="9350"/>
            </w:tabs>
            <w:rPr>
              <w:rFonts w:asciiTheme="minorHAnsi" w:eastAsiaTheme="minorEastAsia" w:hAnsiTheme="minorHAnsi"/>
              <w:noProof/>
              <w:sz w:val="22"/>
            </w:rPr>
          </w:pPr>
          <w:hyperlink w:anchor="_Toc70725948" w:history="1">
            <w:r w:rsidRPr="007B0703">
              <w:rPr>
                <w:rStyle w:val="Hyperlink"/>
                <w:noProof/>
              </w:rPr>
              <w:t>CHAPTER-5| RECOMMENDATIONS</w:t>
            </w:r>
            <w:r>
              <w:rPr>
                <w:noProof/>
                <w:webHidden/>
              </w:rPr>
              <w:tab/>
            </w:r>
            <w:r>
              <w:rPr>
                <w:noProof/>
                <w:webHidden/>
              </w:rPr>
              <w:fldChar w:fldCharType="begin"/>
            </w:r>
            <w:r>
              <w:rPr>
                <w:noProof/>
                <w:webHidden/>
              </w:rPr>
              <w:instrText xml:space="preserve"> PAGEREF _Toc70725948 \h </w:instrText>
            </w:r>
            <w:r>
              <w:rPr>
                <w:noProof/>
                <w:webHidden/>
              </w:rPr>
            </w:r>
            <w:r>
              <w:rPr>
                <w:noProof/>
                <w:webHidden/>
              </w:rPr>
              <w:fldChar w:fldCharType="separate"/>
            </w:r>
            <w:r>
              <w:rPr>
                <w:noProof/>
                <w:webHidden/>
              </w:rPr>
              <w:t>53</w:t>
            </w:r>
            <w:r>
              <w:rPr>
                <w:noProof/>
                <w:webHidden/>
              </w:rPr>
              <w:fldChar w:fldCharType="end"/>
            </w:r>
          </w:hyperlink>
        </w:p>
        <w:p w14:paraId="01CA496C" w14:textId="77777777" w:rsidR="009C20D1" w:rsidRDefault="009C20D1">
          <w:pPr>
            <w:pStyle w:val="TOC2"/>
            <w:tabs>
              <w:tab w:val="left" w:pos="880"/>
              <w:tab w:val="right" w:leader="dot" w:pos="9350"/>
            </w:tabs>
            <w:rPr>
              <w:rFonts w:asciiTheme="minorHAnsi" w:eastAsiaTheme="minorEastAsia" w:hAnsiTheme="minorHAnsi"/>
              <w:noProof/>
              <w:sz w:val="22"/>
            </w:rPr>
          </w:pPr>
          <w:hyperlink w:anchor="_Toc70725949" w:history="1">
            <w:r w:rsidRPr="007B0703">
              <w:rPr>
                <w:rStyle w:val="Hyperlink"/>
                <w:noProof/>
              </w:rPr>
              <w:t>5.1.</w:t>
            </w:r>
            <w:r>
              <w:rPr>
                <w:rFonts w:asciiTheme="minorHAnsi" w:eastAsiaTheme="minorEastAsia" w:hAnsiTheme="minorHAnsi"/>
                <w:noProof/>
                <w:sz w:val="22"/>
              </w:rPr>
              <w:tab/>
            </w:r>
            <w:r w:rsidRPr="007B0703">
              <w:rPr>
                <w:rStyle w:val="Hyperlink"/>
                <w:noProof/>
              </w:rPr>
              <w:t>RECOMMENDATIONS FOR IMPROVING DEPARTMENTAL OPERATIONS</w:t>
            </w:r>
            <w:r>
              <w:rPr>
                <w:noProof/>
                <w:webHidden/>
              </w:rPr>
              <w:tab/>
            </w:r>
            <w:r>
              <w:rPr>
                <w:noProof/>
                <w:webHidden/>
              </w:rPr>
              <w:fldChar w:fldCharType="begin"/>
            </w:r>
            <w:r>
              <w:rPr>
                <w:noProof/>
                <w:webHidden/>
              </w:rPr>
              <w:instrText xml:space="preserve"> PAGEREF _Toc70725949 \h </w:instrText>
            </w:r>
            <w:r>
              <w:rPr>
                <w:noProof/>
                <w:webHidden/>
              </w:rPr>
            </w:r>
            <w:r>
              <w:rPr>
                <w:noProof/>
                <w:webHidden/>
              </w:rPr>
              <w:fldChar w:fldCharType="separate"/>
            </w:r>
            <w:r>
              <w:rPr>
                <w:noProof/>
                <w:webHidden/>
              </w:rPr>
              <w:t>53</w:t>
            </w:r>
            <w:r>
              <w:rPr>
                <w:noProof/>
                <w:webHidden/>
              </w:rPr>
              <w:fldChar w:fldCharType="end"/>
            </w:r>
          </w:hyperlink>
        </w:p>
        <w:p w14:paraId="486F6BE8" w14:textId="77777777" w:rsidR="009C20D1" w:rsidRDefault="009C20D1">
          <w:pPr>
            <w:pStyle w:val="TOC2"/>
            <w:tabs>
              <w:tab w:val="left" w:pos="880"/>
              <w:tab w:val="right" w:leader="dot" w:pos="9350"/>
            </w:tabs>
            <w:rPr>
              <w:rFonts w:asciiTheme="minorHAnsi" w:eastAsiaTheme="minorEastAsia" w:hAnsiTheme="minorHAnsi"/>
              <w:noProof/>
              <w:sz w:val="22"/>
            </w:rPr>
          </w:pPr>
          <w:hyperlink w:anchor="_Toc70725950" w:history="1">
            <w:r w:rsidRPr="007B0703">
              <w:rPr>
                <w:rStyle w:val="Hyperlink"/>
                <w:noProof/>
              </w:rPr>
              <w:t>5.2.</w:t>
            </w:r>
            <w:r>
              <w:rPr>
                <w:rFonts w:asciiTheme="minorHAnsi" w:eastAsiaTheme="minorEastAsia" w:hAnsiTheme="minorHAnsi"/>
                <w:noProof/>
                <w:sz w:val="22"/>
              </w:rPr>
              <w:tab/>
            </w:r>
            <w:r w:rsidRPr="007B0703">
              <w:rPr>
                <w:rStyle w:val="Hyperlink"/>
                <w:noProof/>
              </w:rPr>
              <w:t>RECOMMENDATIONS FOR IMPROVING SELF-PERFORMANCE</w:t>
            </w:r>
            <w:r>
              <w:rPr>
                <w:noProof/>
                <w:webHidden/>
              </w:rPr>
              <w:tab/>
            </w:r>
            <w:r>
              <w:rPr>
                <w:noProof/>
                <w:webHidden/>
              </w:rPr>
              <w:fldChar w:fldCharType="begin"/>
            </w:r>
            <w:r>
              <w:rPr>
                <w:noProof/>
                <w:webHidden/>
              </w:rPr>
              <w:instrText xml:space="preserve"> PAGEREF _Toc70725950 \h </w:instrText>
            </w:r>
            <w:r>
              <w:rPr>
                <w:noProof/>
                <w:webHidden/>
              </w:rPr>
            </w:r>
            <w:r>
              <w:rPr>
                <w:noProof/>
                <w:webHidden/>
              </w:rPr>
              <w:fldChar w:fldCharType="separate"/>
            </w:r>
            <w:r>
              <w:rPr>
                <w:noProof/>
                <w:webHidden/>
              </w:rPr>
              <w:t>53</w:t>
            </w:r>
            <w:r>
              <w:rPr>
                <w:noProof/>
                <w:webHidden/>
              </w:rPr>
              <w:fldChar w:fldCharType="end"/>
            </w:r>
          </w:hyperlink>
        </w:p>
        <w:p w14:paraId="758B7B8C" w14:textId="77777777" w:rsidR="009C20D1" w:rsidRDefault="009C20D1">
          <w:pPr>
            <w:pStyle w:val="TOC1"/>
            <w:tabs>
              <w:tab w:val="right" w:leader="dot" w:pos="9350"/>
            </w:tabs>
            <w:rPr>
              <w:rFonts w:asciiTheme="minorHAnsi" w:eastAsiaTheme="minorEastAsia" w:hAnsiTheme="minorHAnsi"/>
              <w:noProof/>
              <w:sz w:val="22"/>
            </w:rPr>
          </w:pPr>
          <w:hyperlink w:anchor="_Toc70725951" w:history="1">
            <w:r w:rsidRPr="007B0703">
              <w:rPr>
                <w:rStyle w:val="Hyperlink"/>
                <w:noProof/>
              </w:rPr>
              <w:t>CHAPTER-6| CONCLUSION</w:t>
            </w:r>
            <w:r>
              <w:rPr>
                <w:noProof/>
                <w:webHidden/>
              </w:rPr>
              <w:tab/>
            </w:r>
            <w:r>
              <w:rPr>
                <w:noProof/>
                <w:webHidden/>
              </w:rPr>
              <w:fldChar w:fldCharType="begin"/>
            </w:r>
            <w:r>
              <w:rPr>
                <w:noProof/>
                <w:webHidden/>
              </w:rPr>
              <w:instrText xml:space="preserve"> PAGEREF _Toc70725951 \h </w:instrText>
            </w:r>
            <w:r>
              <w:rPr>
                <w:noProof/>
                <w:webHidden/>
              </w:rPr>
            </w:r>
            <w:r>
              <w:rPr>
                <w:noProof/>
                <w:webHidden/>
              </w:rPr>
              <w:fldChar w:fldCharType="separate"/>
            </w:r>
            <w:r>
              <w:rPr>
                <w:noProof/>
                <w:webHidden/>
              </w:rPr>
              <w:t>56</w:t>
            </w:r>
            <w:r>
              <w:rPr>
                <w:noProof/>
                <w:webHidden/>
              </w:rPr>
              <w:fldChar w:fldCharType="end"/>
            </w:r>
          </w:hyperlink>
        </w:p>
        <w:p w14:paraId="030F99A8" w14:textId="77777777" w:rsidR="009C20D1" w:rsidRDefault="009C20D1">
          <w:pPr>
            <w:pStyle w:val="TOC1"/>
            <w:tabs>
              <w:tab w:val="right" w:leader="dot" w:pos="9350"/>
            </w:tabs>
            <w:rPr>
              <w:rFonts w:asciiTheme="minorHAnsi" w:eastAsiaTheme="minorEastAsia" w:hAnsiTheme="minorHAnsi"/>
              <w:noProof/>
              <w:sz w:val="22"/>
            </w:rPr>
          </w:pPr>
          <w:hyperlink w:anchor="_Toc70725952" w:history="1">
            <w:r w:rsidRPr="007B0703">
              <w:rPr>
                <w:rStyle w:val="Hyperlink"/>
                <w:noProof/>
              </w:rPr>
              <w:t>CHAPTER-7| REFERENCES:</w:t>
            </w:r>
            <w:r>
              <w:rPr>
                <w:noProof/>
                <w:webHidden/>
              </w:rPr>
              <w:tab/>
            </w:r>
            <w:r>
              <w:rPr>
                <w:noProof/>
                <w:webHidden/>
              </w:rPr>
              <w:fldChar w:fldCharType="begin"/>
            </w:r>
            <w:r>
              <w:rPr>
                <w:noProof/>
                <w:webHidden/>
              </w:rPr>
              <w:instrText xml:space="preserve"> PAGEREF _Toc70725952 \h </w:instrText>
            </w:r>
            <w:r>
              <w:rPr>
                <w:noProof/>
                <w:webHidden/>
              </w:rPr>
            </w:r>
            <w:r>
              <w:rPr>
                <w:noProof/>
                <w:webHidden/>
              </w:rPr>
              <w:fldChar w:fldCharType="separate"/>
            </w:r>
            <w:r>
              <w:rPr>
                <w:noProof/>
                <w:webHidden/>
              </w:rPr>
              <w:t>58</w:t>
            </w:r>
            <w:r>
              <w:rPr>
                <w:noProof/>
                <w:webHidden/>
              </w:rPr>
              <w:fldChar w:fldCharType="end"/>
            </w:r>
          </w:hyperlink>
        </w:p>
        <w:p w14:paraId="36AD1E28" w14:textId="77777777" w:rsidR="00C22FCC" w:rsidRPr="00010B33" w:rsidRDefault="00C22FCC" w:rsidP="005C25E2">
          <w:pPr>
            <w:spacing w:line="360" w:lineRule="auto"/>
            <w:jc w:val="both"/>
            <w:rPr>
              <w:rFonts w:cs="Times New Roman"/>
              <w:szCs w:val="24"/>
            </w:rPr>
          </w:pPr>
          <w:r w:rsidRPr="00010B33">
            <w:rPr>
              <w:rFonts w:cs="Times New Roman"/>
              <w:b/>
              <w:bCs/>
              <w:noProof/>
              <w:szCs w:val="24"/>
            </w:rPr>
            <w:fldChar w:fldCharType="end"/>
          </w:r>
        </w:p>
      </w:sdtContent>
    </w:sdt>
    <w:p w14:paraId="2A6AC723" w14:textId="47E96999" w:rsidR="00C22FCC" w:rsidRDefault="00C22FCC" w:rsidP="005C25E2">
      <w:pPr>
        <w:spacing w:line="360" w:lineRule="auto"/>
        <w:jc w:val="both"/>
        <w:rPr>
          <w:rFonts w:cs="Times New Roman"/>
          <w:szCs w:val="24"/>
        </w:rPr>
      </w:pPr>
    </w:p>
    <w:p w14:paraId="6084FE2D" w14:textId="6917FE41" w:rsidR="00911D61" w:rsidRDefault="00911D61" w:rsidP="005C25E2">
      <w:pPr>
        <w:spacing w:line="360" w:lineRule="auto"/>
        <w:jc w:val="both"/>
        <w:rPr>
          <w:rFonts w:cs="Times New Roman"/>
          <w:szCs w:val="24"/>
        </w:rPr>
      </w:pPr>
    </w:p>
    <w:p w14:paraId="5881F1C2" w14:textId="0C2479C5" w:rsidR="00911D61" w:rsidRDefault="00911D61" w:rsidP="005C25E2">
      <w:pPr>
        <w:spacing w:line="360" w:lineRule="auto"/>
        <w:jc w:val="both"/>
        <w:rPr>
          <w:rFonts w:cs="Times New Roman"/>
          <w:szCs w:val="24"/>
        </w:rPr>
      </w:pPr>
    </w:p>
    <w:p w14:paraId="6E602952" w14:textId="7A1E15D0" w:rsidR="00911D61" w:rsidRDefault="00911D61" w:rsidP="005C25E2">
      <w:pPr>
        <w:spacing w:line="360" w:lineRule="auto"/>
        <w:jc w:val="both"/>
        <w:rPr>
          <w:rFonts w:cs="Times New Roman"/>
          <w:szCs w:val="24"/>
        </w:rPr>
      </w:pPr>
    </w:p>
    <w:p w14:paraId="6F37C379" w14:textId="4952DCFC" w:rsidR="00911D61" w:rsidRDefault="00911D61" w:rsidP="005C25E2">
      <w:pPr>
        <w:spacing w:line="360" w:lineRule="auto"/>
        <w:jc w:val="both"/>
        <w:rPr>
          <w:rFonts w:cs="Times New Roman"/>
          <w:szCs w:val="24"/>
        </w:rPr>
      </w:pPr>
    </w:p>
    <w:p w14:paraId="0AF49C45" w14:textId="651BCC0B" w:rsidR="00911D61" w:rsidRDefault="00911D61" w:rsidP="005C25E2">
      <w:pPr>
        <w:spacing w:line="360" w:lineRule="auto"/>
        <w:jc w:val="both"/>
        <w:rPr>
          <w:rFonts w:cs="Times New Roman"/>
          <w:szCs w:val="24"/>
        </w:rPr>
      </w:pPr>
    </w:p>
    <w:p w14:paraId="766FBF0C" w14:textId="380135A2" w:rsidR="00911D61" w:rsidRDefault="00911D61" w:rsidP="005C25E2">
      <w:pPr>
        <w:spacing w:line="360" w:lineRule="auto"/>
        <w:jc w:val="both"/>
        <w:rPr>
          <w:rFonts w:cs="Times New Roman"/>
          <w:szCs w:val="24"/>
        </w:rPr>
      </w:pPr>
    </w:p>
    <w:p w14:paraId="21734E83" w14:textId="5F97B614" w:rsidR="00911D61" w:rsidRDefault="00911D61" w:rsidP="005C25E2">
      <w:pPr>
        <w:spacing w:line="360" w:lineRule="auto"/>
        <w:jc w:val="both"/>
        <w:rPr>
          <w:rFonts w:cs="Times New Roman"/>
          <w:szCs w:val="24"/>
        </w:rPr>
      </w:pPr>
    </w:p>
    <w:p w14:paraId="5A3109D6" w14:textId="26533827" w:rsidR="00911D61" w:rsidRDefault="00911D61" w:rsidP="005C25E2">
      <w:pPr>
        <w:spacing w:line="360" w:lineRule="auto"/>
        <w:jc w:val="both"/>
        <w:rPr>
          <w:rFonts w:cs="Times New Roman"/>
          <w:szCs w:val="24"/>
        </w:rPr>
      </w:pPr>
    </w:p>
    <w:p w14:paraId="619DE8BD" w14:textId="01F679D3" w:rsidR="00911D61" w:rsidRDefault="00911D61" w:rsidP="005C25E2">
      <w:pPr>
        <w:spacing w:line="360" w:lineRule="auto"/>
        <w:jc w:val="both"/>
        <w:rPr>
          <w:rFonts w:cs="Times New Roman"/>
          <w:szCs w:val="24"/>
        </w:rPr>
      </w:pPr>
    </w:p>
    <w:p w14:paraId="67AC3AFD" w14:textId="555FE39D" w:rsidR="00911D61" w:rsidRDefault="00911D61" w:rsidP="005C25E2">
      <w:pPr>
        <w:spacing w:line="360" w:lineRule="auto"/>
        <w:jc w:val="both"/>
        <w:rPr>
          <w:rFonts w:cs="Times New Roman"/>
          <w:szCs w:val="24"/>
        </w:rPr>
      </w:pPr>
    </w:p>
    <w:p w14:paraId="5AABD780" w14:textId="0D771EB2" w:rsidR="00911D61" w:rsidRDefault="00911D61" w:rsidP="005C25E2">
      <w:pPr>
        <w:spacing w:line="360" w:lineRule="auto"/>
        <w:jc w:val="both"/>
        <w:rPr>
          <w:rFonts w:cs="Times New Roman"/>
          <w:szCs w:val="24"/>
        </w:rPr>
      </w:pPr>
    </w:p>
    <w:p w14:paraId="2DE15A4C" w14:textId="3951E1F6" w:rsidR="00911D61" w:rsidRDefault="00911D61" w:rsidP="005C25E2">
      <w:pPr>
        <w:spacing w:line="360" w:lineRule="auto"/>
        <w:jc w:val="both"/>
        <w:rPr>
          <w:rFonts w:cs="Times New Roman"/>
          <w:szCs w:val="24"/>
        </w:rPr>
      </w:pPr>
    </w:p>
    <w:p w14:paraId="155677BB" w14:textId="313C00D9" w:rsidR="00911D61" w:rsidRDefault="00911D61" w:rsidP="005C25E2">
      <w:pPr>
        <w:spacing w:line="360" w:lineRule="auto"/>
        <w:jc w:val="both"/>
        <w:rPr>
          <w:rFonts w:cs="Times New Roman"/>
          <w:szCs w:val="24"/>
        </w:rPr>
      </w:pPr>
    </w:p>
    <w:p w14:paraId="65F95C59" w14:textId="2A58A22B" w:rsidR="00911D61" w:rsidRDefault="00911D61" w:rsidP="005C25E2">
      <w:pPr>
        <w:spacing w:line="360" w:lineRule="auto"/>
        <w:jc w:val="both"/>
        <w:rPr>
          <w:rFonts w:cs="Times New Roman"/>
          <w:szCs w:val="24"/>
        </w:rPr>
      </w:pPr>
    </w:p>
    <w:p w14:paraId="2593DC5E" w14:textId="77777777" w:rsidR="009C20D1" w:rsidRDefault="009C20D1" w:rsidP="005C25E2">
      <w:pPr>
        <w:spacing w:line="360" w:lineRule="auto"/>
        <w:jc w:val="both"/>
        <w:rPr>
          <w:rFonts w:cs="Times New Roman"/>
          <w:szCs w:val="24"/>
        </w:rPr>
      </w:pPr>
    </w:p>
    <w:p w14:paraId="3479CB81" w14:textId="77777777" w:rsidR="009C20D1" w:rsidRDefault="009C20D1" w:rsidP="005C25E2">
      <w:pPr>
        <w:spacing w:line="360" w:lineRule="auto"/>
        <w:jc w:val="both"/>
        <w:rPr>
          <w:rFonts w:cs="Times New Roman"/>
          <w:szCs w:val="24"/>
        </w:rPr>
      </w:pPr>
    </w:p>
    <w:p w14:paraId="3F80E709" w14:textId="77777777" w:rsidR="009C20D1" w:rsidRDefault="009C20D1" w:rsidP="005C25E2">
      <w:pPr>
        <w:spacing w:line="360" w:lineRule="auto"/>
        <w:jc w:val="both"/>
        <w:rPr>
          <w:rFonts w:cs="Times New Roman"/>
          <w:szCs w:val="24"/>
        </w:rPr>
      </w:pPr>
    </w:p>
    <w:p w14:paraId="25520B50" w14:textId="7DED1522" w:rsidR="00911D61" w:rsidRDefault="00911D61" w:rsidP="005C25E2">
      <w:pPr>
        <w:spacing w:line="360" w:lineRule="auto"/>
        <w:jc w:val="both"/>
        <w:rPr>
          <w:rFonts w:cs="Times New Roman"/>
          <w:b/>
          <w:bCs/>
          <w:sz w:val="28"/>
          <w:szCs w:val="28"/>
        </w:rPr>
      </w:pPr>
      <w:r w:rsidRPr="00911D61">
        <w:rPr>
          <w:rFonts w:cs="Times New Roman"/>
          <w:b/>
          <w:bCs/>
          <w:sz w:val="28"/>
          <w:szCs w:val="28"/>
        </w:rPr>
        <w:lastRenderedPageBreak/>
        <w:t>List of Figures</w:t>
      </w:r>
    </w:p>
    <w:p w14:paraId="1BDC7D51" w14:textId="215106AC" w:rsidR="00914D7B" w:rsidRDefault="00911D61">
      <w:pPr>
        <w:pStyle w:val="TableofFigures"/>
        <w:tabs>
          <w:tab w:val="right" w:leader="dot" w:pos="9350"/>
        </w:tabs>
        <w:rPr>
          <w:rFonts w:asciiTheme="minorHAnsi" w:eastAsiaTheme="minorEastAsia" w:hAnsiTheme="minorHAnsi"/>
          <w:noProof/>
          <w:sz w:val="22"/>
        </w:rPr>
      </w:pPr>
      <w:r>
        <w:rPr>
          <w:rFonts w:cs="Times New Roman"/>
          <w:b/>
          <w:bCs/>
          <w:sz w:val="28"/>
          <w:szCs w:val="28"/>
        </w:rPr>
        <w:fldChar w:fldCharType="begin"/>
      </w:r>
      <w:r>
        <w:rPr>
          <w:rFonts w:cs="Times New Roman"/>
          <w:b/>
          <w:bCs/>
          <w:sz w:val="28"/>
          <w:szCs w:val="28"/>
        </w:rPr>
        <w:instrText xml:space="preserve"> TOC \h \z \c "Figure" </w:instrText>
      </w:r>
      <w:r>
        <w:rPr>
          <w:rFonts w:cs="Times New Roman"/>
          <w:b/>
          <w:bCs/>
          <w:sz w:val="28"/>
          <w:szCs w:val="28"/>
        </w:rPr>
        <w:fldChar w:fldCharType="separate"/>
      </w:r>
      <w:hyperlink w:anchor="_Toc70724701" w:history="1">
        <w:r w:rsidR="00914D7B" w:rsidRPr="001364B0">
          <w:rPr>
            <w:rStyle w:val="Hyperlink"/>
            <w:noProof/>
          </w:rPr>
          <w:t>Figure 1 Mobilization of deposits of Islami banks</w:t>
        </w:r>
        <w:r w:rsidR="00914D7B">
          <w:rPr>
            <w:noProof/>
            <w:webHidden/>
          </w:rPr>
          <w:tab/>
        </w:r>
        <w:r w:rsidR="00914D7B">
          <w:rPr>
            <w:noProof/>
            <w:webHidden/>
          </w:rPr>
          <w:fldChar w:fldCharType="begin"/>
        </w:r>
        <w:r w:rsidR="00914D7B">
          <w:rPr>
            <w:noProof/>
            <w:webHidden/>
          </w:rPr>
          <w:instrText xml:space="preserve"> PAGEREF _Toc70724701 \h </w:instrText>
        </w:r>
        <w:r w:rsidR="00914D7B">
          <w:rPr>
            <w:noProof/>
            <w:webHidden/>
          </w:rPr>
        </w:r>
        <w:r w:rsidR="00914D7B">
          <w:rPr>
            <w:noProof/>
            <w:webHidden/>
          </w:rPr>
          <w:fldChar w:fldCharType="separate"/>
        </w:r>
        <w:r w:rsidR="00914D7B">
          <w:rPr>
            <w:noProof/>
            <w:webHidden/>
          </w:rPr>
          <w:t>15</w:t>
        </w:r>
        <w:r w:rsidR="00914D7B">
          <w:rPr>
            <w:noProof/>
            <w:webHidden/>
          </w:rPr>
          <w:fldChar w:fldCharType="end"/>
        </w:r>
      </w:hyperlink>
    </w:p>
    <w:p w14:paraId="74C04F8F" w14:textId="18DB93B4" w:rsidR="00914D7B" w:rsidRDefault="00FF7473">
      <w:pPr>
        <w:pStyle w:val="TableofFigures"/>
        <w:tabs>
          <w:tab w:val="right" w:leader="dot" w:pos="9350"/>
        </w:tabs>
        <w:rPr>
          <w:rFonts w:asciiTheme="minorHAnsi" w:eastAsiaTheme="minorEastAsia" w:hAnsiTheme="minorHAnsi"/>
          <w:noProof/>
          <w:sz w:val="22"/>
        </w:rPr>
      </w:pPr>
      <w:hyperlink w:anchor="_Toc70724702" w:history="1">
        <w:r w:rsidR="00914D7B" w:rsidRPr="001364B0">
          <w:rPr>
            <w:rStyle w:val="Hyperlink"/>
            <w:noProof/>
          </w:rPr>
          <w:t>Figure 2 Types of deposits</w:t>
        </w:r>
        <w:r w:rsidR="00914D7B">
          <w:rPr>
            <w:noProof/>
            <w:webHidden/>
          </w:rPr>
          <w:tab/>
        </w:r>
        <w:r w:rsidR="00914D7B">
          <w:rPr>
            <w:noProof/>
            <w:webHidden/>
          </w:rPr>
          <w:fldChar w:fldCharType="begin"/>
        </w:r>
        <w:r w:rsidR="00914D7B">
          <w:rPr>
            <w:noProof/>
            <w:webHidden/>
          </w:rPr>
          <w:instrText xml:space="preserve"> PAGEREF _Toc70724702 \h </w:instrText>
        </w:r>
        <w:r w:rsidR="00914D7B">
          <w:rPr>
            <w:noProof/>
            <w:webHidden/>
          </w:rPr>
        </w:r>
        <w:r w:rsidR="00914D7B">
          <w:rPr>
            <w:noProof/>
            <w:webHidden/>
          </w:rPr>
          <w:fldChar w:fldCharType="separate"/>
        </w:r>
        <w:r w:rsidR="00914D7B">
          <w:rPr>
            <w:noProof/>
            <w:webHidden/>
          </w:rPr>
          <w:t>16</w:t>
        </w:r>
        <w:r w:rsidR="00914D7B">
          <w:rPr>
            <w:noProof/>
            <w:webHidden/>
          </w:rPr>
          <w:fldChar w:fldCharType="end"/>
        </w:r>
      </w:hyperlink>
    </w:p>
    <w:p w14:paraId="10B91790" w14:textId="56C4E5F8" w:rsidR="00914D7B" w:rsidRDefault="00FF7473">
      <w:pPr>
        <w:pStyle w:val="TableofFigures"/>
        <w:tabs>
          <w:tab w:val="right" w:leader="dot" w:pos="9350"/>
        </w:tabs>
        <w:rPr>
          <w:rFonts w:asciiTheme="minorHAnsi" w:eastAsiaTheme="minorEastAsia" w:hAnsiTheme="minorHAnsi"/>
          <w:noProof/>
          <w:sz w:val="22"/>
        </w:rPr>
      </w:pPr>
      <w:hyperlink w:anchor="_Toc70724703" w:history="1">
        <w:r w:rsidR="00914D7B" w:rsidRPr="001364B0">
          <w:rPr>
            <w:rStyle w:val="Hyperlink"/>
            <w:noProof/>
          </w:rPr>
          <w:t>Figure 3 Investment amount of Islamic banking windows and branches</w:t>
        </w:r>
        <w:r w:rsidR="00914D7B">
          <w:rPr>
            <w:noProof/>
            <w:webHidden/>
          </w:rPr>
          <w:tab/>
        </w:r>
        <w:r w:rsidR="00914D7B">
          <w:rPr>
            <w:noProof/>
            <w:webHidden/>
          </w:rPr>
          <w:fldChar w:fldCharType="begin"/>
        </w:r>
        <w:r w:rsidR="00914D7B">
          <w:rPr>
            <w:noProof/>
            <w:webHidden/>
          </w:rPr>
          <w:instrText xml:space="preserve"> PAGEREF _Toc70724703 \h </w:instrText>
        </w:r>
        <w:r w:rsidR="00914D7B">
          <w:rPr>
            <w:noProof/>
            <w:webHidden/>
          </w:rPr>
        </w:r>
        <w:r w:rsidR="00914D7B">
          <w:rPr>
            <w:noProof/>
            <w:webHidden/>
          </w:rPr>
          <w:fldChar w:fldCharType="separate"/>
        </w:r>
        <w:r w:rsidR="00914D7B">
          <w:rPr>
            <w:noProof/>
            <w:webHidden/>
          </w:rPr>
          <w:t>17</w:t>
        </w:r>
        <w:r w:rsidR="00914D7B">
          <w:rPr>
            <w:noProof/>
            <w:webHidden/>
          </w:rPr>
          <w:fldChar w:fldCharType="end"/>
        </w:r>
      </w:hyperlink>
    </w:p>
    <w:p w14:paraId="27C9B778" w14:textId="0096DBB1" w:rsidR="00914D7B" w:rsidRDefault="00FF7473">
      <w:pPr>
        <w:pStyle w:val="TableofFigures"/>
        <w:tabs>
          <w:tab w:val="right" w:leader="dot" w:pos="9350"/>
        </w:tabs>
        <w:rPr>
          <w:rFonts w:asciiTheme="minorHAnsi" w:eastAsiaTheme="minorEastAsia" w:hAnsiTheme="minorHAnsi"/>
          <w:noProof/>
          <w:sz w:val="22"/>
        </w:rPr>
      </w:pPr>
      <w:hyperlink w:anchor="_Toc70724704" w:history="1">
        <w:r w:rsidR="00914D7B" w:rsidRPr="001364B0">
          <w:rPr>
            <w:rStyle w:val="Hyperlink"/>
            <w:noProof/>
          </w:rPr>
          <w:t>Figure 4 Excess liquidity of Islamic Banks over two periods</w:t>
        </w:r>
        <w:r w:rsidR="00914D7B">
          <w:rPr>
            <w:noProof/>
            <w:webHidden/>
          </w:rPr>
          <w:tab/>
        </w:r>
        <w:r w:rsidR="00914D7B">
          <w:rPr>
            <w:noProof/>
            <w:webHidden/>
          </w:rPr>
          <w:fldChar w:fldCharType="begin"/>
        </w:r>
        <w:r w:rsidR="00914D7B">
          <w:rPr>
            <w:noProof/>
            <w:webHidden/>
          </w:rPr>
          <w:instrText xml:space="preserve"> PAGEREF _Toc70724704 \h </w:instrText>
        </w:r>
        <w:r w:rsidR="00914D7B">
          <w:rPr>
            <w:noProof/>
            <w:webHidden/>
          </w:rPr>
        </w:r>
        <w:r w:rsidR="00914D7B">
          <w:rPr>
            <w:noProof/>
            <w:webHidden/>
          </w:rPr>
          <w:fldChar w:fldCharType="separate"/>
        </w:r>
        <w:r w:rsidR="00914D7B">
          <w:rPr>
            <w:noProof/>
            <w:webHidden/>
          </w:rPr>
          <w:t>18</w:t>
        </w:r>
        <w:r w:rsidR="00914D7B">
          <w:rPr>
            <w:noProof/>
            <w:webHidden/>
          </w:rPr>
          <w:fldChar w:fldCharType="end"/>
        </w:r>
      </w:hyperlink>
    </w:p>
    <w:p w14:paraId="00904D5D" w14:textId="101B0F2E" w:rsidR="00914D7B" w:rsidRDefault="00FF7473">
      <w:pPr>
        <w:pStyle w:val="TableofFigures"/>
        <w:tabs>
          <w:tab w:val="right" w:leader="dot" w:pos="9350"/>
        </w:tabs>
        <w:rPr>
          <w:rFonts w:asciiTheme="minorHAnsi" w:eastAsiaTheme="minorEastAsia" w:hAnsiTheme="minorHAnsi"/>
          <w:noProof/>
          <w:sz w:val="22"/>
        </w:rPr>
      </w:pPr>
      <w:hyperlink w:anchor="_Toc70724705" w:history="1">
        <w:r w:rsidR="00914D7B" w:rsidRPr="001364B0">
          <w:rPr>
            <w:rStyle w:val="Hyperlink"/>
            <w:noProof/>
          </w:rPr>
          <w:t>Figure 5 Share of Remittance of Islamic Banks</w:t>
        </w:r>
        <w:r w:rsidR="00914D7B">
          <w:rPr>
            <w:noProof/>
            <w:webHidden/>
          </w:rPr>
          <w:tab/>
        </w:r>
        <w:r w:rsidR="00914D7B">
          <w:rPr>
            <w:noProof/>
            <w:webHidden/>
          </w:rPr>
          <w:fldChar w:fldCharType="begin"/>
        </w:r>
        <w:r w:rsidR="00914D7B">
          <w:rPr>
            <w:noProof/>
            <w:webHidden/>
          </w:rPr>
          <w:instrText xml:space="preserve"> PAGEREF _Toc70724705 \h </w:instrText>
        </w:r>
        <w:r w:rsidR="00914D7B">
          <w:rPr>
            <w:noProof/>
            <w:webHidden/>
          </w:rPr>
        </w:r>
        <w:r w:rsidR="00914D7B">
          <w:rPr>
            <w:noProof/>
            <w:webHidden/>
          </w:rPr>
          <w:fldChar w:fldCharType="separate"/>
        </w:r>
        <w:r w:rsidR="00914D7B">
          <w:rPr>
            <w:noProof/>
            <w:webHidden/>
          </w:rPr>
          <w:t>18</w:t>
        </w:r>
        <w:r w:rsidR="00914D7B">
          <w:rPr>
            <w:noProof/>
            <w:webHidden/>
          </w:rPr>
          <w:fldChar w:fldCharType="end"/>
        </w:r>
      </w:hyperlink>
    </w:p>
    <w:p w14:paraId="3AF4A94D" w14:textId="69F6BD0C" w:rsidR="00914D7B" w:rsidRDefault="00FF7473">
      <w:pPr>
        <w:pStyle w:val="TableofFigures"/>
        <w:tabs>
          <w:tab w:val="right" w:leader="dot" w:pos="9350"/>
        </w:tabs>
        <w:rPr>
          <w:rFonts w:asciiTheme="minorHAnsi" w:eastAsiaTheme="minorEastAsia" w:hAnsiTheme="minorHAnsi"/>
          <w:noProof/>
          <w:sz w:val="22"/>
        </w:rPr>
      </w:pPr>
      <w:hyperlink w:anchor="_Toc70724706" w:history="1">
        <w:r w:rsidR="00914D7B" w:rsidRPr="001364B0">
          <w:rPr>
            <w:rStyle w:val="Hyperlink"/>
            <w:noProof/>
          </w:rPr>
          <w:t>Figure 6 Share of remittances by Conventional and Islamic Bank</w:t>
        </w:r>
        <w:r w:rsidR="00914D7B">
          <w:rPr>
            <w:noProof/>
            <w:webHidden/>
          </w:rPr>
          <w:tab/>
        </w:r>
        <w:r w:rsidR="00914D7B">
          <w:rPr>
            <w:noProof/>
            <w:webHidden/>
          </w:rPr>
          <w:fldChar w:fldCharType="begin"/>
        </w:r>
        <w:r w:rsidR="00914D7B">
          <w:rPr>
            <w:noProof/>
            <w:webHidden/>
          </w:rPr>
          <w:instrText xml:space="preserve"> PAGEREF _Toc70724706 \h </w:instrText>
        </w:r>
        <w:r w:rsidR="00914D7B">
          <w:rPr>
            <w:noProof/>
            <w:webHidden/>
          </w:rPr>
        </w:r>
        <w:r w:rsidR="00914D7B">
          <w:rPr>
            <w:noProof/>
            <w:webHidden/>
          </w:rPr>
          <w:fldChar w:fldCharType="separate"/>
        </w:r>
        <w:r w:rsidR="00914D7B">
          <w:rPr>
            <w:noProof/>
            <w:webHidden/>
          </w:rPr>
          <w:t>19</w:t>
        </w:r>
        <w:r w:rsidR="00914D7B">
          <w:rPr>
            <w:noProof/>
            <w:webHidden/>
          </w:rPr>
          <w:fldChar w:fldCharType="end"/>
        </w:r>
      </w:hyperlink>
    </w:p>
    <w:p w14:paraId="570FB182" w14:textId="3F3F695E" w:rsidR="00914D7B" w:rsidRDefault="00FF7473">
      <w:pPr>
        <w:pStyle w:val="TableofFigures"/>
        <w:tabs>
          <w:tab w:val="right" w:leader="dot" w:pos="9350"/>
        </w:tabs>
        <w:rPr>
          <w:rFonts w:asciiTheme="minorHAnsi" w:eastAsiaTheme="minorEastAsia" w:hAnsiTheme="minorHAnsi"/>
          <w:noProof/>
          <w:sz w:val="22"/>
        </w:rPr>
      </w:pPr>
      <w:hyperlink w:anchor="_Toc70724707" w:history="1">
        <w:r w:rsidR="00914D7B" w:rsidRPr="001364B0">
          <w:rPr>
            <w:rStyle w:val="Hyperlink"/>
            <w:noProof/>
          </w:rPr>
          <w:t>Figure 7 Logo of SIBL</w:t>
        </w:r>
        <w:r w:rsidR="00914D7B">
          <w:rPr>
            <w:noProof/>
            <w:webHidden/>
          </w:rPr>
          <w:tab/>
        </w:r>
        <w:r w:rsidR="00914D7B">
          <w:rPr>
            <w:noProof/>
            <w:webHidden/>
          </w:rPr>
          <w:fldChar w:fldCharType="begin"/>
        </w:r>
        <w:r w:rsidR="00914D7B">
          <w:rPr>
            <w:noProof/>
            <w:webHidden/>
          </w:rPr>
          <w:instrText xml:space="preserve"> PAGEREF _Toc70724707 \h </w:instrText>
        </w:r>
        <w:r w:rsidR="00914D7B">
          <w:rPr>
            <w:noProof/>
            <w:webHidden/>
          </w:rPr>
        </w:r>
        <w:r w:rsidR="00914D7B">
          <w:rPr>
            <w:noProof/>
            <w:webHidden/>
          </w:rPr>
          <w:fldChar w:fldCharType="separate"/>
        </w:r>
        <w:r w:rsidR="00914D7B">
          <w:rPr>
            <w:noProof/>
            <w:webHidden/>
          </w:rPr>
          <w:t>32</w:t>
        </w:r>
        <w:r w:rsidR="00914D7B">
          <w:rPr>
            <w:noProof/>
            <w:webHidden/>
          </w:rPr>
          <w:fldChar w:fldCharType="end"/>
        </w:r>
      </w:hyperlink>
    </w:p>
    <w:p w14:paraId="1019B8EC" w14:textId="0BF91BC1" w:rsidR="00914D7B" w:rsidRDefault="00FF7473">
      <w:pPr>
        <w:pStyle w:val="TableofFigures"/>
        <w:tabs>
          <w:tab w:val="right" w:leader="dot" w:pos="9350"/>
        </w:tabs>
        <w:rPr>
          <w:rFonts w:asciiTheme="minorHAnsi" w:eastAsiaTheme="minorEastAsia" w:hAnsiTheme="minorHAnsi"/>
          <w:noProof/>
          <w:sz w:val="22"/>
        </w:rPr>
      </w:pPr>
      <w:hyperlink r:id="rId10" w:anchor="_Toc70724708" w:history="1">
        <w:r w:rsidR="00914D7B" w:rsidRPr="001364B0">
          <w:rPr>
            <w:rStyle w:val="Hyperlink"/>
            <w:noProof/>
          </w:rPr>
          <w:t>Figure 8 Core values of SIBL</w:t>
        </w:r>
        <w:r w:rsidR="00914D7B">
          <w:rPr>
            <w:noProof/>
            <w:webHidden/>
          </w:rPr>
          <w:tab/>
        </w:r>
        <w:r w:rsidR="00914D7B">
          <w:rPr>
            <w:noProof/>
            <w:webHidden/>
          </w:rPr>
          <w:fldChar w:fldCharType="begin"/>
        </w:r>
        <w:r w:rsidR="00914D7B">
          <w:rPr>
            <w:noProof/>
            <w:webHidden/>
          </w:rPr>
          <w:instrText xml:space="preserve"> PAGEREF _Toc70724708 \h </w:instrText>
        </w:r>
        <w:r w:rsidR="00914D7B">
          <w:rPr>
            <w:noProof/>
            <w:webHidden/>
          </w:rPr>
        </w:r>
        <w:r w:rsidR="00914D7B">
          <w:rPr>
            <w:noProof/>
            <w:webHidden/>
          </w:rPr>
          <w:fldChar w:fldCharType="separate"/>
        </w:r>
        <w:r w:rsidR="00914D7B">
          <w:rPr>
            <w:noProof/>
            <w:webHidden/>
          </w:rPr>
          <w:t>32</w:t>
        </w:r>
        <w:r w:rsidR="00914D7B">
          <w:rPr>
            <w:noProof/>
            <w:webHidden/>
          </w:rPr>
          <w:fldChar w:fldCharType="end"/>
        </w:r>
      </w:hyperlink>
    </w:p>
    <w:p w14:paraId="45D7F067" w14:textId="3A6DB6E6" w:rsidR="00914D7B" w:rsidRDefault="00FF7473">
      <w:pPr>
        <w:pStyle w:val="TableofFigures"/>
        <w:tabs>
          <w:tab w:val="right" w:leader="dot" w:pos="9350"/>
        </w:tabs>
        <w:rPr>
          <w:rFonts w:asciiTheme="minorHAnsi" w:eastAsiaTheme="minorEastAsia" w:hAnsiTheme="minorHAnsi"/>
          <w:noProof/>
          <w:sz w:val="22"/>
        </w:rPr>
      </w:pPr>
      <w:hyperlink w:anchor="_Toc70724709" w:history="1">
        <w:r w:rsidR="00914D7B" w:rsidRPr="001364B0">
          <w:rPr>
            <w:rStyle w:val="Hyperlink"/>
            <w:noProof/>
          </w:rPr>
          <w:t>Figure 9 Organogram of SIBL</w:t>
        </w:r>
        <w:r w:rsidR="00914D7B">
          <w:rPr>
            <w:noProof/>
            <w:webHidden/>
          </w:rPr>
          <w:tab/>
        </w:r>
        <w:r w:rsidR="00914D7B">
          <w:rPr>
            <w:noProof/>
            <w:webHidden/>
          </w:rPr>
          <w:fldChar w:fldCharType="begin"/>
        </w:r>
        <w:r w:rsidR="00914D7B">
          <w:rPr>
            <w:noProof/>
            <w:webHidden/>
          </w:rPr>
          <w:instrText xml:space="preserve"> PAGEREF _Toc70724709 \h </w:instrText>
        </w:r>
        <w:r w:rsidR="00914D7B">
          <w:rPr>
            <w:noProof/>
            <w:webHidden/>
          </w:rPr>
        </w:r>
        <w:r w:rsidR="00914D7B">
          <w:rPr>
            <w:noProof/>
            <w:webHidden/>
          </w:rPr>
          <w:fldChar w:fldCharType="separate"/>
        </w:r>
        <w:r w:rsidR="00914D7B">
          <w:rPr>
            <w:noProof/>
            <w:webHidden/>
          </w:rPr>
          <w:t>34</w:t>
        </w:r>
        <w:r w:rsidR="00914D7B">
          <w:rPr>
            <w:noProof/>
            <w:webHidden/>
          </w:rPr>
          <w:fldChar w:fldCharType="end"/>
        </w:r>
      </w:hyperlink>
    </w:p>
    <w:p w14:paraId="082E81E1" w14:textId="00BD3082" w:rsidR="00914D7B" w:rsidRDefault="00FF7473">
      <w:pPr>
        <w:pStyle w:val="TableofFigures"/>
        <w:tabs>
          <w:tab w:val="right" w:leader="dot" w:pos="9350"/>
        </w:tabs>
        <w:rPr>
          <w:rFonts w:asciiTheme="minorHAnsi" w:eastAsiaTheme="minorEastAsia" w:hAnsiTheme="minorHAnsi"/>
          <w:noProof/>
          <w:sz w:val="22"/>
        </w:rPr>
      </w:pPr>
      <w:hyperlink w:anchor="_Toc70724710" w:history="1">
        <w:r w:rsidR="00914D7B" w:rsidRPr="001364B0">
          <w:rPr>
            <w:rStyle w:val="Hyperlink"/>
            <w:noProof/>
          </w:rPr>
          <w:t>Figure 10 Deposit over the years of SIBL</w:t>
        </w:r>
        <w:r w:rsidR="00914D7B">
          <w:rPr>
            <w:noProof/>
            <w:webHidden/>
          </w:rPr>
          <w:tab/>
        </w:r>
        <w:r w:rsidR="00914D7B">
          <w:rPr>
            <w:noProof/>
            <w:webHidden/>
          </w:rPr>
          <w:fldChar w:fldCharType="begin"/>
        </w:r>
        <w:r w:rsidR="00914D7B">
          <w:rPr>
            <w:noProof/>
            <w:webHidden/>
          </w:rPr>
          <w:instrText xml:space="preserve"> PAGEREF _Toc70724710 \h </w:instrText>
        </w:r>
        <w:r w:rsidR="00914D7B">
          <w:rPr>
            <w:noProof/>
            <w:webHidden/>
          </w:rPr>
        </w:r>
        <w:r w:rsidR="00914D7B">
          <w:rPr>
            <w:noProof/>
            <w:webHidden/>
          </w:rPr>
          <w:fldChar w:fldCharType="separate"/>
        </w:r>
        <w:r w:rsidR="00914D7B">
          <w:rPr>
            <w:noProof/>
            <w:webHidden/>
          </w:rPr>
          <w:t>35</w:t>
        </w:r>
        <w:r w:rsidR="00914D7B">
          <w:rPr>
            <w:noProof/>
            <w:webHidden/>
          </w:rPr>
          <w:fldChar w:fldCharType="end"/>
        </w:r>
      </w:hyperlink>
    </w:p>
    <w:p w14:paraId="7B393BC6" w14:textId="46611283" w:rsidR="00914D7B" w:rsidRDefault="00FF7473">
      <w:pPr>
        <w:pStyle w:val="TableofFigures"/>
        <w:tabs>
          <w:tab w:val="right" w:leader="dot" w:pos="9350"/>
        </w:tabs>
        <w:rPr>
          <w:rFonts w:asciiTheme="minorHAnsi" w:eastAsiaTheme="minorEastAsia" w:hAnsiTheme="minorHAnsi"/>
          <w:noProof/>
          <w:sz w:val="22"/>
        </w:rPr>
      </w:pPr>
      <w:hyperlink w:anchor="_Toc70724711" w:history="1">
        <w:r w:rsidR="00914D7B" w:rsidRPr="001364B0">
          <w:rPr>
            <w:rStyle w:val="Hyperlink"/>
            <w:noProof/>
          </w:rPr>
          <w:t>Figure 11 Investment of SIBL over the years</w:t>
        </w:r>
        <w:r w:rsidR="00914D7B">
          <w:rPr>
            <w:noProof/>
            <w:webHidden/>
          </w:rPr>
          <w:tab/>
        </w:r>
        <w:r w:rsidR="00914D7B">
          <w:rPr>
            <w:noProof/>
            <w:webHidden/>
          </w:rPr>
          <w:fldChar w:fldCharType="begin"/>
        </w:r>
        <w:r w:rsidR="00914D7B">
          <w:rPr>
            <w:noProof/>
            <w:webHidden/>
          </w:rPr>
          <w:instrText xml:space="preserve"> PAGEREF _Toc70724711 \h </w:instrText>
        </w:r>
        <w:r w:rsidR="00914D7B">
          <w:rPr>
            <w:noProof/>
            <w:webHidden/>
          </w:rPr>
        </w:r>
        <w:r w:rsidR="00914D7B">
          <w:rPr>
            <w:noProof/>
            <w:webHidden/>
          </w:rPr>
          <w:fldChar w:fldCharType="separate"/>
        </w:r>
        <w:r w:rsidR="00914D7B">
          <w:rPr>
            <w:noProof/>
            <w:webHidden/>
          </w:rPr>
          <w:t>35</w:t>
        </w:r>
        <w:r w:rsidR="00914D7B">
          <w:rPr>
            <w:noProof/>
            <w:webHidden/>
          </w:rPr>
          <w:fldChar w:fldCharType="end"/>
        </w:r>
      </w:hyperlink>
    </w:p>
    <w:p w14:paraId="5DB70D1E" w14:textId="0D3A859D" w:rsidR="00914D7B" w:rsidRDefault="00FF7473">
      <w:pPr>
        <w:pStyle w:val="TableofFigures"/>
        <w:tabs>
          <w:tab w:val="right" w:leader="dot" w:pos="9350"/>
        </w:tabs>
        <w:rPr>
          <w:rFonts w:asciiTheme="minorHAnsi" w:eastAsiaTheme="minorEastAsia" w:hAnsiTheme="minorHAnsi"/>
          <w:noProof/>
          <w:sz w:val="22"/>
        </w:rPr>
      </w:pPr>
      <w:hyperlink w:anchor="_Toc70724712" w:history="1">
        <w:r w:rsidR="00914D7B" w:rsidRPr="001364B0">
          <w:rPr>
            <w:rStyle w:val="Hyperlink"/>
            <w:noProof/>
          </w:rPr>
          <w:t>Figure 12 FX business of SIBL over the last 5 years</w:t>
        </w:r>
        <w:r w:rsidR="00914D7B">
          <w:rPr>
            <w:noProof/>
            <w:webHidden/>
          </w:rPr>
          <w:tab/>
        </w:r>
        <w:r w:rsidR="00914D7B">
          <w:rPr>
            <w:noProof/>
            <w:webHidden/>
          </w:rPr>
          <w:fldChar w:fldCharType="begin"/>
        </w:r>
        <w:r w:rsidR="00914D7B">
          <w:rPr>
            <w:noProof/>
            <w:webHidden/>
          </w:rPr>
          <w:instrText xml:space="preserve"> PAGEREF _Toc70724712 \h </w:instrText>
        </w:r>
        <w:r w:rsidR="00914D7B">
          <w:rPr>
            <w:noProof/>
            <w:webHidden/>
          </w:rPr>
        </w:r>
        <w:r w:rsidR="00914D7B">
          <w:rPr>
            <w:noProof/>
            <w:webHidden/>
          </w:rPr>
          <w:fldChar w:fldCharType="separate"/>
        </w:r>
        <w:r w:rsidR="00914D7B">
          <w:rPr>
            <w:noProof/>
            <w:webHidden/>
          </w:rPr>
          <w:t>36</w:t>
        </w:r>
        <w:r w:rsidR="00914D7B">
          <w:rPr>
            <w:noProof/>
            <w:webHidden/>
          </w:rPr>
          <w:fldChar w:fldCharType="end"/>
        </w:r>
      </w:hyperlink>
    </w:p>
    <w:p w14:paraId="527F3135" w14:textId="3F395F8D" w:rsidR="00914D7B" w:rsidRDefault="00FF7473">
      <w:pPr>
        <w:pStyle w:val="TableofFigures"/>
        <w:tabs>
          <w:tab w:val="right" w:leader="dot" w:pos="9350"/>
        </w:tabs>
        <w:rPr>
          <w:rFonts w:asciiTheme="minorHAnsi" w:eastAsiaTheme="minorEastAsia" w:hAnsiTheme="minorHAnsi"/>
          <w:noProof/>
          <w:sz w:val="22"/>
        </w:rPr>
      </w:pPr>
      <w:hyperlink w:anchor="_Toc70724713" w:history="1">
        <w:r w:rsidR="00914D7B" w:rsidRPr="001364B0">
          <w:rPr>
            <w:rStyle w:val="Hyperlink"/>
            <w:noProof/>
          </w:rPr>
          <w:t>Figure 13 Profit after tax of SIBL over the last 5 years</w:t>
        </w:r>
        <w:r w:rsidR="00914D7B">
          <w:rPr>
            <w:noProof/>
            <w:webHidden/>
          </w:rPr>
          <w:tab/>
        </w:r>
        <w:r w:rsidR="00914D7B">
          <w:rPr>
            <w:noProof/>
            <w:webHidden/>
          </w:rPr>
          <w:fldChar w:fldCharType="begin"/>
        </w:r>
        <w:r w:rsidR="00914D7B">
          <w:rPr>
            <w:noProof/>
            <w:webHidden/>
          </w:rPr>
          <w:instrText xml:space="preserve"> PAGEREF _Toc70724713 \h </w:instrText>
        </w:r>
        <w:r w:rsidR="00914D7B">
          <w:rPr>
            <w:noProof/>
            <w:webHidden/>
          </w:rPr>
        </w:r>
        <w:r w:rsidR="00914D7B">
          <w:rPr>
            <w:noProof/>
            <w:webHidden/>
          </w:rPr>
          <w:fldChar w:fldCharType="separate"/>
        </w:r>
        <w:r w:rsidR="00914D7B">
          <w:rPr>
            <w:noProof/>
            <w:webHidden/>
          </w:rPr>
          <w:t>36</w:t>
        </w:r>
        <w:r w:rsidR="00914D7B">
          <w:rPr>
            <w:noProof/>
            <w:webHidden/>
          </w:rPr>
          <w:fldChar w:fldCharType="end"/>
        </w:r>
      </w:hyperlink>
    </w:p>
    <w:p w14:paraId="748F9B03" w14:textId="316A0340" w:rsidR="00914D7B" w:rsidRDefault="00FF7473">
      <w:pPr>
        <w:pStyle w:val="TableofFigures"/>
        <w:tabs>
          <w:tab w:val="right" w:leader="dot" w:pos="9350"/>
        </w:tabs>
        <w:rPr>
          <w:rFonts w:asciiTheme="minorHAnsi" w:eastAsiaTheme="minorEastAsia" w:hAnsiTheme="minorHAnsi"/>
          <w:noProof/>
          <w:sz w:val="22"/>
        </w:rPr>
      </w:pPr>
      <w:hyperlink w:anchor="_Toc70724714" w:history="1">
        <w:r w:rsidR="00914D7B" w:rsidRPr="001364B0">
          <w:rPr>
            <w:rStyle w:val="Hyperlink"/>
            <w:noProof/>
          </w:rPr>
          <w:t>Figure 14 Paid-up capital of SIBL over the last 5 years</w:t>
        </w:r>
        <w:r w:rsidR="00914D7B">
          <w:rPr>
            <w:noProof/>
            <w:webHidden/>
          </w:rPr>
          <w:tab/>
        </w:r>
        <w:r w:rsidR="00914D7B">
          <w:rPr>
            <w:noProof/>
            <w:webHidden/>
          </w:rPr>
          <w:fldChar w:fldCharType="begin"/>
        </w:r>
        <w:r w:rsidR="00914D7B">
          <w:rPr>
            <w:noProof/>
            <w:webHidden/>
          </w:rPr>
          <w:instrText xml:space="preserve"> PAGEREF _Toc70724714 \h </w:instrText>
        </w:r>
        <w:r w:rsidR="00914D7B">
          <w:rPr>
            <w:noProof/>
            <w:webHidden/>
          </w:rPr>
        </w:r>
        <w:r w:rsidR="00914D7B">
          <w:rPr>
            <w:noProof/>
            <w:webHidden/>
          </w:rPr>
          <w:fldChar w:fldCharType="separate"/>
        </w:r>
        <w:r w:rsidR="00914D7B">
          <w:rPr>
            <w:noProof/>
            <w:webHidden/>
          </w:rPr>
          <w:t>37</w:t>
        </w:r>
        <w:r w:rsidR="00914D7B">
          <w:rPr>
            <w:noProof/>
            <w:webHidden/>
          </w:rPr>
          <w:fldChar w:fldCharType="end"/>
        </w:r>
      </w:hyperlink>
    </w:p>
    <w:p w14:paraId="443ABD59" w14:textId="522D7029" w:rsidR="00914D7B" w:rsidRDefault="00FF7473">
      <w:pPr>
        <w:pStyle w:val="TableofFigures"/>
        <w:tabs>
          <w:tab w:val="right" w:leader="dot" w:pos="9350"/>
        </w:tabs>
        <w:rPr>
          <w:rFonts w:asciiTheme="minorHAnsi" w:eastAsiaTheme="minorEastAsia" w:hAnsiTheme="minorHAnsi"/>
          <w:noProof/>
          <w:sz w:val="22"/>
        </w:rPr>
      </w:pPr>
      <w:hyperlink w:anchor="_Toc70724715" w:history="1">
        <w:r w:rsidR="00914D7B" w:rsidRPr="001364B0">
          <w:rPr>
            <w:rStyle w:val="Hyperlink"/>
            <w:noProof/>
          </w:rPr>
          <w:t>Figure 15 Total asset amount of SIBL over the last 5 years</w:t>
        </w:r>
        <w:r w:rsidR="00914D7B">
          <w:rPr>
            <w:noProof/>
            <w:webHidden/>
          </w:rPr>
          <w:tab/>
        </w:r>
        <w:r w:rsidR="00914D7B">
          <w:rPr>
            <w:noProof/>
            <w:webHidden/>
          </w:rPr>
          <w:fldChar w:fldCharType="begin"/>
        </w:r>
        <w:r w:rsidR="00914D7B">
          <w:rPr>
            <w:noProof/>
            <w:webHidden/>
          </w:rPr>
          <w:instrText xml:space="preserve"> PAGEREF _Toc70724715 \h </w:instrText>
        </w:r>
        <w:r w:rsidR="00914D7B">
          <w:rPr>
            <w:noProof/>
            <w:webHidden/>
          </w:rPr>
        </w:r>
        <w:r w:rsidR="00914D7B">
          <w:rPr>
            <w:noProof/>
            <w:webHidden/>
          </w:rPr>
          <w:fldChar w:fldCharType="separate"/>
        </w:r>
        <w:r w:rsidR="00914D7B">
          <w:rPr>
            <w:noProof/>
            <w:webHidden/>
          </w:rPr>
          <w:t>38</w:t>
        </w:r>
        <w:r w:rsidR="00914D7B">
          <w:rPr>
            <w:noProof/>
            <w:webHidden/>
          </w:rPr>
          <w:fldChar w:fldCharType="end"/>
        </w:r>
      </w:hyperlink>
    </w:p>
    <w:p w14:paraId="1C7ED188" w14:textId="3843B2DC" w:rsidR="00914D7B" w:rsidRDefault="00FF7473">
      <w:pPr>
        <w:pStyle w:val="TableofFigures"/>
        <w:tabs>
          <w:tab w:val="right" w:leader="dot" w:pos="9350"/>
        </w:tabs>
        <w:rPr>
          <w:rFonts w:asciiTheme="minorHAnsi" w:eastAsiaTheme="minorEastAsia" w:hAnsiTheme="minorHAnsi"/>
          <w:noProof/>
          <w:sz w:val="22"/>
        </w:rPr>
      </w:pPr>
      <w:hyperlink w:anchor="_Toc70724716" w:history="1">
        <w:r w:rsidR="00914D7B" w:rsidRPr="001364B0">
          <w:rPr>
            <w:rStyle w:val="Hyperlink"/>
            <w:noProof/>
          </w:rPr>
          <w:t>Figure 16 Total capital amount of SIBL over the last 5 years</w:t>
        </w:r>
        <w:r w:rsidR="00914D7B">
          <w:rPr>
            <w:noProof/>
            <w:webHidden/>
          </w:rPr>
          <w:tab/>
        </w:r>
        <w:r w:rsidR="00914D7B">
          <w:rPr>
            <w:noProof/>
            <w:webHidden/>
          </w:rPr>
          <w:fldChar w:fldCharType="begin"/>
        </w:r>
        <w:r w:rsidR="00914D7B">
          <w:rPr>
            <w:noProof/>
            <w:webHidden/>
          </w:rPr>
          <w:instrText xml:space="preserve"> PAGEREF _Toc70724716 \h </w:instrText>
        </w:r>
        <w:r w:rsidR="00914D7B">
          <w:rPr>
            <w:noProof/>
            <w:webHidden/>
          </w:rPr>
        </w:r>
        <w:r w:rsidR="00914D7B">
          <w:rPr>
            <w:noProof/>
            <w:webHidden/>
          </w:rPr>
          <w:fldChar w:fldCharType="separate"/>
        </w:r>
        <w:r w:rsidR="00914D7B">
          <w:rPr>
            <w:noProof/>
            <w:webHidden/>
          </w:rPr>
          <w:t>38</w:t>
        </w:r>
        <w:r w:rsidR="00914D7B">
          <w:rPr>
            <w:noProof/>
            <w:webHidden/>
          </w:rPr>
          <w:fldChar w:fldCharType="end"/>
        </w:r>
      </w:hyperlink>
    </w:p>
    <w:p w14:paraId="48390BD9" w14:textId="60102E20" w:rsidR="00914D7B" w:rsidRDefault="00FF7473">
      <w:pPr>
        <w:pStyle w:val="TableofFigures"/>
        <w:tabs>
          <w:tab w:val="right" w:leader="dot" w:pos="9350"/>
        </w:tabs>
        <w:rPr>
          <w:rFonts w:asciiTheme="minorHAnsi" w:eastAsiaTheme="minorEastAsia" w:hAnsiTheme="minorHAnsi"/>
          <w:noProof/>
          <w:sz w:val="22"/>
        </w:rPr>
      </w:pPr>
      <w:hyperlink w:anchor="_Toc70724717" w:history="1">
        <w:r w:rsidR="00914D7B" w:rsidRPr="001364B0">
          <w:rPr>
            <w:rStyle w:val="Hyperlink"/>
            <w:noProof/>
          </w:rPr>
          <w:t>Figure 17 Number of Branches of SIBL over the last 5 years</w:t>
        </w:r>
        <w:r w:rsidR="00914D7B">
          <w:rPr>
            <w:noProof/>
            <w:webHidden/>
          </w:rPr>
          <w:tab/>
        </w:r>
        <w:r w:rsidR="00914D7B">
          <w:rPr>
            <w:noProof/>
            <w:webHidden/>
          </w:rPr>
          <w:fldChar w:fldCharType="begin"/>
        </w:r>
        <w:r w:rsidR="00914D7B">
          <w:rPr>
            <w:noProof/>
            <w:webHidden/>
          </w:rPr>
          <w:instrText xml:space="preserve"> PAGEREF _Toc70724717 \h </w:instrText>
        </w:r>
        <w:r w:rsidR="00914D7B">
          <w:rPr>
            <w:noProof/>
            <w:webHidden/>
          </w:rPr>
        </w:r>
        <w:r w:rsidR="00914D7B">
          <w:rPr>
            <w:noProof/>
            <w:webHidden/>
          </w:rPr>
          <w:fldChar w:fldCharType="separate"/>
        </w:r>
        <w:r w:rsidR="00914D7B">
          <w:rPr>
            <w:noProof/>
            <w:webHidden/>
          </w:rPr>
          <w:t>39</w:t>
        </w:r>
        <w:r w:rsidR="00914D7B">
          <w:rPr>
            <w:noProof/>
            <w:webHidden/>
          </w:rPr>
          <w:fldChar w:fldCharType="end"/>
        </w:r>
      </w:hyperlink>
    </w:p>
    <w:p w14:paraId="4F885B93" w14:textId="350EF615" w:rsidR="00914D7B" w:rsidRDefault="00FF7473">
      <w:pPr>
        <w:pStyle w:val="TableofFigures"/>
        <w:tabs>
          <w:tab w:val="right" w:leader="dot" w:pos="9350"/>
        </w:tabs>
        <w:rPr>
          <w:rFonts w:asciiTheme="minorHAnsi" w:eastAsiaTheme="minorEastAsia" w:hAnsiTheme="minorHAnsi"/>
          <w:noProof/>
          <w:sz w:val="22"/>
        </w:rPr>
      </w:pPr>
      <w:hyperlink w:anchor="_Toc70724718" w:history="1">
        <w:r w:rsidR="00914D7B" w:rsidRPr="001364B0">
          <w:rPr>
            <w:rStyle w:val="Hyperlink"/>
            <w:noProof/>
          </w:rPr>
          <w:t>Figure 18 Number of employees of SIBL over the last 5 years</w:t>
        </w:r>
        <w:r w:rsidR="00914D7B">
          <w:rPr>
            <w:noProof/>
            <w:webHidden/>
          </w:rPr>
          <w:tab/>
        </w:r>
        <w:r w:rsidR="00914D7B">
          <w:rPr>
            <w:noProof/>
            <w:webHidden/>
          </w:rPr>
          <w:fldChar w:fldCharType="begin"/>
        </w:r>
        <w:r w:rsidR="00914D7B">
          <w:rPr>
            <w:noProof/>
            <w:webHidden/>
          </w:rPr>
          <w:instrText xml:space="preserve"> PAGEREF _Toc70724718 \h </w:instrText>
        </w:r>
        <w:r w:rsidR="00914D7B">
          <w:rPr>
            <w:noProof/>
            <w:webHidden/>
          </w:rPr>
        </w:r>
        <w:r w:rsidR="00914D7B">
          <w:rPr>
            <w:noProof/>
            <w:webHidden/>
          </w:rPr>
          <w:fldChar w:fldCharType="separate"/>
        </w:r>
        <w:r w:rsidR="00914D7B">
          <w:rPr>
            <w:noProof/>
            <w:webHidden/>
          </w:rPr>
          <w:t>39</w:t>
        </w:r>
        <w:r w:rsidR="00914D7B">
          <w:rPr>
            <w:noProof/>
            <w:webHidden/>
          </w:rPr>
          <w:fldChar w:fldCharType="end"/>
        </w:r>
      </w:hyperlink>
    </w:p>
    <w:p w14:paraId="3D2DE4C7" w14:textId="62FBBC0C" w:rsidR="00914D7B" w:rsidRDefault="00FF7473">
      <w:pPr>
        <w:pStyle w:val="TableofFigures"/>
        <w:tabs>
          <w:tab w:val="right" w:leader="dot" w:pos="9350"/>
        </w:tabs>
        <w:rPr>
          <w:rFonts w:asciiTheme="minorHAnsi" w:eastAsiaTheme="minorEastAsia" w:hAnsiTheme="minorHAnsi"/>
          <w:noProof/>
          <w:sz w:val="22"/>
        </w:rPr>
      </w:pPr>
      <w:hyperlink w:anchor="_Toc70724719" w:history="1">
        <w:r w:rsidR="00914D7B" w:rsidRPr="001364B0">
          <w:rPr>
            <w:rStyle w:val="Hyperlink"/>
            <w:noProof/>
          </w:rPr>
          <w:t>Figure 19 SWOT analysis of SIBL</w:t>
        </w:r>
        <w:r w:rsidR="00914D7B">
          <w:rPr>
            <w:noProof/>
            <w:webHidden/>
          </w:rPr>
          <w:tab/>
        </w:r>
        <w:r w:rsidR="00914D7B">
          <w:rPr>
            <w:noProof/>
            <w:webHidden/>
          </w:rPr>
          <w:fldChar w:fldCharType="begin"/>
        </w:r>
        <w:r w:rsidR="00914D7B">
          <w:rPr>
            <w:noProof/>
            <w:webHidden/>
          </w:rPr>
          <w:instrText xml:space="preserve"> PAGEREF _Toc70724719 \h </w:instrText>
        </w:r>
        <w:r w:rsidR="00914D7B">
          <w:rPr>
            <w:noProof/>
            <w:webHidden/>
          </w:rPr>
        </w:r>
        <w:r w:rsidR="00914D7B">
          <w:rPr>
            <w:noProof/>
            <w:webHidden/>
          </w:rPr>
          <w:fldChar w:fldCharType="separate"/>
        </w:r>
        <w:r w:rsidR="00914D7B">
          <w:rPr>
            <w:noProof/>
            <w:webHidden/>
          </w:rPr>
          <w:t>44</w:t>
        </w:r>
        <w:r w:rsidR="00914D7B">
          <w:rPr>
            <w:noProof/>
            <w:webHidden/>
          </w:rPr>
          <w:fldChar w:fldCharType="end"/>
        </w:r>
      </w:hyperlink>
    </w:p>
    <w:p w14:paraId="0B50A3E7" w14:textId="24AE7FFC" w:rsidR="00911D61" w:rsidRDefault="00911D61" w:rsidP="005C25E2">
      <w:pPr>
        <w:spacing w:line="360" w:lineRule="auto"/>
        <w:jc w:val="both"/>
        <w:rPr>
          <w:rFonts w:cs="Times New Roman"/>
          <w:b/>
          <w:bCs/>
          <w:sz w:val="28"/>
          <w:szCs w:val="28"/>
        </w:rPr>
      </w:pPr>
      <w:r>
        <w:rPr>
          <w:rFonts w:cs="Times New Roman"/>
          <w:b/>
          <w:bCs/>
          <w:sz w:val="28"/>
          <w:szCs w:val="28"/>
        </w:rPr>
        <w:fldChar w:fldCharType="end"/>
      </w:r>
    </w:p>
    <w:p w14:paraId="2E7495BF" w14:textId="74C944BC" w:rsidR="00911D61" w:rsidRDefault="00911D61" w:rsidP="005C25E2">
      <w:pPr>
        <w:spacing w:line="360" w:lineRule="auto"/>
        <w:jc w:val="both"/>
        <w:rPr>
          <w:rFonts w:cs="Times New Roman"/>
          <w:b/>
          <w:bCs/>
          <w:sz w:val="28"/>
          <w:szCs w:val="28"/>
        </w:rPr>
      </w:pPr>
      <w:r>
        <w:rPr>
          <w:rFonts w:cs="Times New Roman"/>
          <w:b/>
          <w:bCs/>
          <w:sz w:val="28"/>
          <w:szCs w:val="28"/>
        </w:rPr>
        <w:t>List of Tables</w:t>
      </w:r>
    </w:p>
    <w:p w14:paraId="7FFAA89E" w14:textId="2BECE51C" w:rsidR="00914D7B" w:rsidRDefault="00911D61">
      <w:pPr>
        <w:pStyle w:val="TableofFigures"/>
        <w:tabs>
          <w:tab w:val="right" w:leader="hyphen" w:pos="9350"/>
        </w:tabs>
        <w:rPr>
          <w:rFonts w:asciiTheme="minorHAnsi" w:eastAsiaTheme="minorEastAsia" w:hAnsiTheme="minorHAnsi"/>
          <w:noProof/>
          <w:sz w:val="22"/>
        </w:rPr>
      </w:pPr>
      <w:r>
        <w:rPr>
          <w:rFonts w:cs="Times New Roman"/>
          <w:b/>
          <w:bCs/>
          <w:sz w:val="28"/>
          <w:szCs w:val="28"/>
        </w:rPr>
        <w:fldChar w:fldCharType="begin"/>
      </w:r>
      <w:r>
        <w:rPr>
          <w:rFonts w:cs="Times New Roman"/>
          <w:b/>
          <w:bCs/>
          <w:sz w:val="28"/>
          <w:szCs w:val="28"/>
        </w:rPr>
        <w:instrText xml:space="preserve"> TOC \h \z \c "Table" </w:instrText>
      </w:r>
      <w:r>
        <w:rPr>
          <w:rFonts w:cs="Times New Roman"/>
          <w:b/>
          <w:bCs/>
          <w:sz w:val="28"/>
          <w:szCs w:val="28"/>
        </w:rPr>
        <w:fldChar w:fldCharType="separate"/>
      </w:r>
      <w:hyperlink w:anchor="_Toc70724684" w:history="1">
        <w:r w:rsidR="00914D7B" w:rsidRPr="00EE7FD2">
          <w:rPr>
            <w:rStyle w:val="Hyperlink"/>
            <w:noProof/>
          </w:rPr>
          <w:t>Table 1 Difference between Riba and profit</w:t>
        </w:r>
        <w:r w:rsidR="00914D7B">
          <w:rPr>
            <w:noProof/>
            <w:webHidden/>
          </w:rPr>
          <w:tab/>
        </w:r>
        <w:r w:rsidR="00914D7B">
          <w:rPr>
            <w:noProof/>
            <w:webHidden/>
          </w:rPr>
          <w:fldChar w:fldCharType="begin"/>
        </w:r>
        <w:r w:rsidR="00914D7B">
          <w:rPr>
            <w:noProof/>
            <w:webHidden/>
          </w:rPr>
          <w:instrText xml:space="preserve"> PAGEREF _Toc70724684 \h </w:instrText>
        </w:r>
        <w:r w:rsidR="00914D7B">
          <w:rPr>
            <w:noProof/>
            <w:webHidden/>
          </w:rPr>
        </w:r>
        <w:r w:rsidR="00914D7B">
          <w:rPr>
            <w:noProof/>
            <w:webHidden/>
          </w:rPr>
          <w:fldChar w:fldCharType="separate"/>
        </w:r>
        <w:r w:rsidR="00914D7B">
          <w:rPr>
            <w:noProof/>
            <w:webHidden/>
          </w:rPr>
          <w:t>3</w:t>
        </w:r>
        <w:r w:rsidR="00914D7B">
          <w:rPr>
            <w:noProof/>
            <w:webHidden/>
          </w:rPr>
          <w:fldChar w:fldCharType="end"/>
        </w:r>
      </w:hyperlink>
    </w:p>
    <w:p w14:paraId="4E23B11B" w14:textId="48E15E60" w:rsidR="00914D7B" w:rsidRDefault="00FF7473">
      <w:pPr>
        <w:pStyle w:val="TableofFigures"/>
        <w:tabs>
          <w:tab w:val="right" w:leader="hyphen" w:pos="9350"/>
        </w:tabs>
        <w:rPr>
          <w:rFonts w:asciiTheme="minorHAnsi" w:eastAsiaTheme="minorEastAsia" w:hAnsiTheme="minorHAnsi"/>
          <w:noProof/>
          <w:sz w:val="22"/>
        </w:rPr>
      </w:pPr>
      <w:hyperlink w:anchor="_Toc70724685" w:history="1">
        <w:r w:rsidR="00914D7B" w:rsidRPr="00EE7FD2">
          <w:rPr>
            <w:rStyle w:val="Hyperlink"/>
            <w:noProof/>
          </w:rPr>
          <w:t>Table 2 Difference between Islamic bank and Conventional bank</w:t>
        </w:r>
        <w:r w:rsidR="00914D7B">
          <w:rPr>
            <w:noProof/>
            <w:webHidden/>
          </w:rPr>
          <w:tab/>
        </w:r>
        <w:r w:rsidR="00914D7B">
          <w:rPr>
            <w:noProof/>
            <w:webHidden/>
          </w:rPr>
          <w:fldChar w:fldCharType="begin"/>
        </w:r>
        <w:r w:rsidR="00914D7B">
          <w:rPr>
            <w:noProof/>
            <w:webHidden/>
          </w:rPr>
          <w:instrText xml:space="preserve"> PAGEREF _Toc70724685 \h </w:instrText>
        </w:r>
        <w:r w:rsidR="00914D7B">
          <w:rPr>
            <w:noProof/>
            <w:webHidden/>
          </w:rPr>
        </w:r>
        <w:r w:rsidR="00914D7B">
          <w:rPr>
            <w:noProof/>
            <w:webHidden/>
          </w:rPr>
          <w:fldChar w:fldCharType="separate"/>
        </w:r>
        <w:r w:rsidR="00914D7B">
          <w:rPr>
            <w:noProof/>
            <w:webHidden/>
          </w:rPr>
          <w:t>5</w:t>
        </w:r>
        <w:r w:rsidR="00914D7B">
          <w:rPr>
            <w:noProof/>
            <w:webHidden/>
          </w:rPr>
          <w:fldChar w:fldCharType="end"/>
        </w:r>
      </w:hyperlink>
    </w:p>
    <w:p w14:paraId="4A4E2E74" w14:textId="1A466A31" w:rsidR="00914D7B" w:rsidRDefault="00FF7473">
      <w:pPr>
        <w:pStyle w:val="TableofFigures"/>
        <w:tabs>
          <w:tab w:val="right" w:leader="hyphen" w:pos="9350"/>
        </w:tabs>
        <w:rPr>
          <w:rFonts w:asciiTheme="minorHAnsi" w:eastAsiaTheme="minorEastAsia" w:hAnsiTheme="minorHAnsi"/>
          <w:noProof/>
          <w:sz w:val="22"/>
        </w:rPr>
      </w:pPr>
      <w:hyperlink w:anchor="_Toc70724686" w:history="1">
        <w:r w:rsidR="00914D7B" w:rsidRPr="00EE7FD2">
          <w:rPr>
            <w:rStyle w:val="Hyperlink"/>
            <w:noProof/>
          </w:rPr>
          <w:t>Table 3 Activities of Islamic Banking in Bangladesh, April-June 2019</w:t>
        </w:r>
        <w:r w:rsidR="00914D7B">
          <w:rPr>
            <w:noProof/>
            <w:webHidden/>
          </w:rPr>
          <w:tab/>
        </w:r>
        <w:r w:rsidR="00914D7B">
          <w:rPr>
            <w:noProof/>
            <w:webHidden/>
          </w:rPr>
          <w:fldChar w:fldCharType="begin"/>
        </w:r>
        <w:r w:rsidR="00914D7B">
          <w:rPr>
            <w:noProof/>
            <w:webHidden/>
          </w:rPr>
          <w:instrText xml:space="preserve"> PAGEREF _Toc70724686 \h </w:instrText>
        </w:r>
        <w:r w:rsidR="00914D7B">
          <w:rPr>
            <w:noProof/>
            <w:webHidden/>
          </w:rPr>
        </w:r>
        <w:r w:rsidR="00914D7B">
          <w:rPr>
            <w:noProof/>
            <w:webHidden/>
          </w:rPr>
          <w:fldChar w:fldCharType="separate"/>
        </w:r>
        <w:r w:rsidR="00914D7B">
          <w:rPr>
            <w:noProof/>
            <w:webHidden/>
          </w:rPr>
          <w:t>13</w:t>
        </w:r>
        <w:r w:rsidR="00914D7B">
          <w:rPr>
            <w:noProof/>
            <w:webHidden/>
          </w:rPr>
          <w:fldChar w:fldCharType="end"/>
        </w:r>
      </w:hyperlink>
    </w:p>
    <w:p w14:paraId="3458E338" w14:textId="70122374" w:rsidR="00914D7B" w:rsidRDefault="00FF7473">
      <w:pPr>
        <w:pStyle w:val="TableofFigures"/>
        <w:tabs>
          <w:tab w:val="right" w:leader="hyphen" w:pos="9350"/>
        </w:tabs>
        <w:rPr>
          <w:rFonts w:asciiTheme="minorHAnsi" w:eastAsiaTheme="minorEastAsia" w:hAnsiTheme="minorHAnsi"/>
          <w:noProof/>
          <w:sz w:val="22"/>
        </w:rPr>
      </w:pPr>
      <w:hyperlink r:id="rId11" w:anchor="_Toc70724687" w:history="1">
        <w:r w:rsidR="00914D7B" w:rsidRPr="00EE7FD2">
          <w:rPr>
            <w:rStyle w:val="Hyperlink"/>
            <w:noProof/>
          </w:rPr>
          <w:t>Table 4 Number of Islamic banks in Bangladesh</w:t>
        </w:r>
        <w:r w:rsidR="00914D7B">
          <w:rPr>
            <w:noProof/>
            <w:webHidden/>
          </w:rPr>
          <w:tab/>
        </w:r>
        <w:r w:rsidR="00914D7B">
          <w:rPr>
            <w:noProof/>
            <w:webHidden/>
          </w:rPr>
          <w:fldChar w:fldCharType="begin"/>
        </w:r>
        <w:r w:rsidR="00914D7B">
          <w:rPr>
            <w:noProof/>
            <w:webHidden/>
          </w:rPr>
          <w:instrText xml:space="preserve"> PAGEREF _Toc70724687 \h </w:instrText>
        </w:r>
        <w:r w:rsidR="00914D7B">
          <w:rPr>
            <w:noProof/>
            <w:webHidden/>
          </w:rPr>
        </w:r>
        <w:r w:rsidR="00914D7B">
          <w:rPr>
            <w:noProof/>
            <w:webHidden/>
          </w:rPr>
          <w:fldChar w:fldCharType="separate"/>
        </w:r>
        <w:r w:rsidR="00914D7B">
          <w:rPr>
            <w:noProof/>
            <w:webHidden/>
          </w:rPr>
          <w:t>20</w:t>
        </w:r>
        <w:r w:rsidR="00914D7B">
          <w:rPr>
            <w:noProof/>
            <w:webHidden/>
          </w:rPr>
          <w:fldChar w:fldCharType="end"/>
        </w:r>
      </w:hyperlink>
    </w:p>
    <w:p w14:paraId="5111B555" w14:textId="6D4B47EE" w:rsidR="00914D7B" w:rsidRDefault="00FF7473">
      <w:pPr>
        <w:pStyle w:val="TableofFigures"/>
        <w:tabs>
          <w:tab w:val="right" w:leader="hyphen" w:pos="9350"/>
        </w:tabs>
        <w:rPr>
          <w:rFonts w:asciiTheme="minorHAnsi" w:eastAsiaTheme="minorEastAsia" w:hAnsiTheme="minorHAnsi"/>
          <w:noProof/>
          <w:sz w:val="22"/>
        </w:rPr>
      </w:pPr>
      <w:hyperlink w:anchor="_Toc70724688" w:history="1">
        <w:r w:rsidR="00914D7B" w:rsidRPr="00EE7FD2">
          <w:rPr>
            <w:rStyle w:val="Hyperlink"/>
            <w:noProof/>
          </w:rPr>
          <w:t>Table 5 Products of the respective SIBL departments</w:t>
        </w:r>
        <w:r w:rsidR="00914D7B">
          <w:rPr>
            <w:noProof/>
            <w:webHidden/>
          </w:rPr>
          <w:tab/>
        </w:r>
        <w:r w:rsidR="00914D7B">
          <w:rPr>
            <w:noProof/>
            <w:webHidden/>
          </w:rPr>
          <w:fldChar w:fldCharType="begin"/>
        </w:r>
        <w:r w:rsidR="00914D7B">
          <w:rPr>
            <w:noProof/>
            <w:webHidden/>
          </w:rPr>
          <w:instrText xml:space="preserve"> PAGEREF _Toc70724688 \h </w:instrText>
        </w:r>
        <w:r w:rsidR="00914D7B">
          <w:rPr>
            <w:noProof/>
            <w:webHidden/>
          </w:rPr>
        </w:r>
        <w:r w:rsidR="00914D7B">
          <w:rPr>
            <w:noProof/>
            <w:webHidden/>
          </w:rPr>
          <w:fldChar w:fldCharType="separate"/>
        </w:r>
        <w:r w:rsidR="00914D7B">
          <w:rPr>
            <w:noProof/>
            <w:webHidden/>
          </w:rPr>
          <w:t>41</w:t>
        </w:r>
        <w:r w:rsidR="00914D7B">
          <w:rPr>
            <w:noProof/>
            <w:webHidden/>
          </w:rPr>
          <w:fldChar w:fldCharType="end"/>
        </w:r>
      </w:hyperlink>
    </w:p>
    <w:p w14:paraId="2F665D7D" w14:textId="5CD76627" w:rsidR="00914D7B" w:rsidRDefault="00FF7473">
      <w:pPr>
        <w:pStyle w:val="TableofFigures"/>
        <w:tabs>
          <w:tab w:val="right" w:leader="hyphen" w:pos="9350"/>
        </w:tabs>
        <w:rPr>
          <w:rFonts w:asciiTheme="minorHAnsi" w:eastAsiaTheme="minorEastAsia" w:hAnsiTheme="minorHAnsi"/>
          <w:noProof/>
          <w:sz w:val="22"/>
        </w:rPr>
      </w:pPr>
      <w:hyperlink w:anchor="_Toc70724689" w:history="1">
        <w:r w:rsidR="00914D7B" w:rsidRPr="00EE7FD2">
          <w:rPr>
            <w:rStyle w:val="Hyperlink"/>
            <w:noProof/>
          </w:rPr>
          <w:t>Table 6 Performance evaluation of SIBL</w:t>
        </w:r>
        <w:r w:rsidR="00914D7B">
          <w:rPr>
            <w:noProof/>
            <w:webHidden/>
          </w:rPr>
          <w:tab/>
        </w:r>
        <w:r w:rsidR="00914D7B">
          <w:rPr>
            <w:noProof/>
            <w:webHidden/>
          </w:rPr>
          <w:fldChar w:fldCharType="begin"/>
        </w:r>
        <w:r w:rsidR="00914D7B">
          <w:rPr>
            <w:noProof/>
            <w:webHidden/>
          </w:rPr>
          <w:instrText xml:space="preserve"> PAGEREF _Toc70724689 \h </w:instrText>
        </w:r>
        <w:r w:rsidR="00914D7B">
          <w:rPr>
            <w:noProof/>
            <w:webHidden/>
          </w:rPr>
        </w:r>
        <w:r w:rsidR="00914D7B">
          <w:rPr>
            <w:noProof/>
            <w:webHidden/>
          </w:rPr>
          <w:fldChar w:fldCharType="separate"/>
        </w:r>
        <w:r w:rsidR="00914D7B">
          <w:rPr>
            <w:noProof/>
            <w:webHidden/>
          </w:rPr>
          <w:t>50</w:t>
        </w:r>
        <w:r w:rsidR="00914D7B">
          <w:rPr>
            <w:noProof/>
            <w:webHidden/>
          </w:rPr>
          <w:fldChar w:fldCharType="end"/>
        </w:r>
      </w:hyperlink>
    </w:p>
    <w:p w14:paraId="115ACB4F" w14:textId="051D5590" w:rsidR="00A33FF7" w:rsidRPr="00CD75AE" w:rsidRDefault="00911D61" w:rsidP="00CD75AE">
      <w:pPr>
        <w:spacing w:line="360" w:lineRule="auto"/>
        <w:jc w:val="both"/>
        <w:rPr>
          <w:rFonts w:cs="Times New Roman"/>
          <w:b/>
          <w:bCs/>
          <w:sz w:val="28"/>
          <w:szCs w:val="28"/>
        </w:rPr>
      </w:pPr>
      <w:r>
        <w:rPr>
          <w:rFonts w:cs="Times New Roman"/>
          <w:b/>
          <w:bCs/>
          <w:sz w:val="28"/>
          <w:szCs w:val="28"/>
        </w:rPr>
        <w:fldChar w:fldCharType="end"/>
      </w:r>
    </w:p>
    <w:p w14:paraId="63364B45" w14:textId="77777777" w:rsidR="00A33FF7" w:rsidRDefault="00A33FF7" w:rsidP="005C25E2"/>
    <w:p w14:paraId="34F29166" w14:textId="77777777" w:rsidR="00A33FF7" w:rsidRPr="00A33FF7" w:rsidRDefault="00A33FF7" w:rsidP="005C25E2"/>
    <w:p w14:paraId="154690B5" w14:textId="77777777" w:rsidR="00AB542A" w:rsidRDefault="00AB542A" w:rsidP="005C25E2">
      <w:pPr>
        <w:sectPr w:rsidR="00AB542A" w:rsidSect="009C20D1">
          <w:pgSz w:w="11909" w:h="16834" w:code="9"/>
          <w:pgMar w:top="1440" w:right="1440" w:bottom="1440" w:left="1440" w:header="720" w:footer="720" w:gutter="0"/>
          <w:cols w:space="720"/>
          <w:docGrid w:linePitch="360"/>
        </w:sectPr>
      </w:pPr>
    </w:p>
    <w:p w14:paraId="58C0CF25" w14:textId="4CC74FA0" w:rsidR="00A33FF7" w:rsidRDefault="00260CF1" w:rsidP="005C25E2">
      <w:pPr>
        <w:sectPr w:rsidR="00A33FF7" w:rsidSect="009C20D1">
          <w:headerReference w:type="default" r:id="rId12"/>
          <w:footerReference w:type="default" r:id="rId13"/>
          <w:pgSz w:w="11909" w:h="16834" w:code="9"/>
          <w:pgMar w:top="1440" w:right="1440" w:bottom="1440" w:left="1440" w:header="720" w:footer="720" w:gutter="0"/>
          <w:pgNumType w:start="1"/>
          <w:cols w:space="720"/>
          <w:docGrid w:linePitch="360"/>
        </w:sectPr>
      </w:pPr>
      <w:r>
        <w:rPr>
          <w:noProof/>
        </w:rPr>
        <w:lastRenderedPageBreak/>
        <w:drawing>
          <wp:anchor distT="0" distB="0" distL="114300" distR="114300" simplePos="0" relativeHeight="251670528" behindDoc="0" locked="0" layoutInCell="1" allowOverlap="1" wp14:anchorId="542404FC" wp14:editId="26E78805">
            <wp:simplePos x="914400" y="914400"/>
            <wp:positionH relativeFrom="margin">
              <wp:align>center</wp:align>
            </wp:positionH>
            <wp:positionV relativeFrom="margin">
              <wp:align>center</wp:align>
            </wp:positionV>
            <wp:extent cx="5733415" cy="1662430"/>
            <wp:effectExtent l="0" t="0" r="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pter 1.png"/>
                    <pic:cNvPicPr/>
                  </pic:nvPicPr>
                  <pic:blipFill>
                    <a:blip r:embed="rId14">
                      <a:extLst>
                        <a:ext uri="{28A0092B-C50C-407E-A947-70E740481C1C}">
                          <a14:useLocalDpi xmlns:a14="http://schemas.microsoft.com/office/drawing/2010/main" val="0"/>
                        </a:ext>
                      </a:extLst>
                    </a:blip>
                    <a:stretch>
                      <a:fillRect/>
                    </a:stretch>
                  </pic:blipFill>
                  <pic:spPr>
                    <a:xfrm>
                      <a:off x="0" y="0"/>
                      <a:ext cx="5733415" cy="1662430"/>
                    </a:xfrm>
                    <a:prstGeom prst="rect">
                      <a:avLst/>
                    </a:prstGeom>
                  </pic:spPr>
                </pic:pic>
              </a:graphicData>
            </a:graphic>
          </wp:anchor>
        </w:drawing>
      </w:r>
    </w:p>
    <w:p w14:paraId="7B0EC0AA" w14:textId="6B572F2E" w:rsidR="00B221BA" w:rsidRDefault="002565E2" w:rsidP="00B221BA">
      <w:pPr>
        <w:pStyle w:val="Heading1"/>
      </w:pPr>
      <w:bookmarkStart w:id="0" w:name="_Toc70725915"/>
      <w:r w:rsidRPr="00010B33">
        <w:lastRenderedPageBreak/>
        <w:t xml:space="preserve">CHAPTER-1| </w:t>
      </w:r>
      <w:r w:rsidR="00C22FCC" w:rsidRPr="00010B33">
        <w:t>INTRODUCTION</w:t>
      </w:r>
      <w:bookmarkStart w:id="1" w:name="_Toc70725916"/>
      <w:bookmarkEnd w:id="0"/>
    </w:p>
    <w:p w14:paraId="24CEB5C5" w14:textId="77777777" w:rsidR="00C22FCC" w:rsidRPr="00010B33" w:rsidRDefault="00C22FCC" w:rsidP="005C25E2">
      <w:pPr>
        <w:pStyle w:val="Heading2"/>
        <w:numPr>
          <w:ilvl w:val="1"/>
          <w:numId w:val="34"/>
        </w:numPr>
      </w:pPr>
      <w:r w:rsidRPr="00010B33">
        <w:t>BACKGROUND</w:t>
      </w:r>
      <w:bookmarkEnd w:id="1"/>
    </w:p>
    <w:p w14:paraId="2F40A022" w14:textId="77777777" w:rsidR="00F9393C" w:rsidRPr="00B25986" w:rsidRDefault="00F9393C" w:rsidP="00F9393C">
      <w:pPr>
        <w:spacing w:line="360" w:lineRule="auto"/>
        <w:jc w:val="both"/>
        <w:rPr>
          <w:rFonts w:cs="Times New Roman"/>
          <w:szCs w:val="24"/>
        </w:rPr>
      </w:pPr>
      <w:r>
        <w:rPr>
          <w:rFonts w:cs="Times New Roman"/>
          <w:szCs w:val="24"/>
        </w:rPr>
        <w:t>O</w:t>
      </w:r>
      <w:r w:rsidRPr="00B25986">
        <w:rPr>
          <w:rFonts w:cs="Times New Roman"/>
          <w:szCs w:val="24"/>
        </w:rPr>
        <w:t xml:space="preserve">ver the last few decades, </w:t>
      </w:r>
      <w:r>
        <w:rPr>
          <w:rFonts w:cs="Times New Roman"/>
          <w:szCs w:val="24"/>
        </w:rPr>
        <w:t xml:space="preserve">the accelerated and viable growth of Islamic banks in the global economy </w:t>
      </w:r>
      <w:r w:rsidRPr="00B25986">
        <w:rPr>
          <w:rFonts w:cs="Times New Roman"/>
          <w:szCs w:val="24"/>
        </w:rPr>
        <w:t>has shown the iconic status of Islamic banking as a demanding substitute to the interest-based capitalist financial system. The Islamic finance industry has grown significantly in the past decade, increasing at 10-12 percent per year.</w:t>
      </w:r>
    </w:p>
    <w:p w14:paraId="5D4BFCE9" w14:textId="56E393D3" w:rsidR="00F9393C" w:rsidRPr="00B25986" w:rsidRDefault="00F9393C" w:rsidP="00F9393C">
      <w:pPr>
        <w:spacing w:line="360" w:lineRule="auto"/>
        <w:jc w:val="both"/>
        <w:rPr>
          <w:rFonts w:cs="Times New Roman"/>
          <w:szCs w:val="24"/>
        </w:rPr>
      </w:pPr>
      <w:r>
        <w:rPr>
          <w:rFonts w:cs="Times New Roman"/>
          <w:szCs w:val="24"/>
        </w:rPr>
        <w:t xml:space="preserve">The foundation of </w:t>
      </w:r>
      <w:r w:rsidR="00431D2E">
        <w:rPr>
          <w:rFonts w:cs="Times New Roman"/>
          <w:szCs w:val="24"/>
        </w:rPr>
        <w:t xml:space="preserve">the </w:t>
      </w:r>
      <w:r>
        <w:rPr>
          <w:rFonts w:cs="Times New Roman"/>
          <w:szCs w:val="24"/>
        </w:rPr>
        <w:t>Islamic Development Bank situated in 1975 had an abrupt manipulation for the development of Islamic Banking worldwide</w:t>
      </w:r>
      <w:r w:rsidRPr="00B25986">
        <w:rPr>
          <w:rFonts w:cs="Times New Roman"/>
          <w:szCs w:val="24"/>
        </w:rPr>
        <w:t>.</w:t>
      </w:r>
      <w:r>
        <w:rPr>
          <w:rFonts w:cs="Times New Roman"/>
          <w:szCs w:val="24"/>
        </w:rPr>
        <w:t xml:space="preserve"> Regardless of Muslim and non-Muslim nations m</w:t>
      </w:r>
      <w:r w:rsidR="00431D2E">
        <w:rPr>
          <w:rFonts w:cs="Times New Roman"/>
          <w:szCs w:val="24"/>
        </w:rPr>
        <w:t>uch</w:t>
      </w:r>
      <w:r>
        <w:rPr>
          <w:rFonts w:cs="Times New Roman"/>
          <w:szCs w:val="24"/>
        </w:rPr>
        <w:t xml:space="preserve"> Islamic banking and monetary organizations have been set up worldwide since the foundation of IDB</w:t>
      </w:r>
      <w:r w:rsidRPr="00B25986">
        <w:rPr>
          <w:rFonts w:cs="Times New Roman"/>
          <w:szCs w:val="24"/>
        </w:rPr>
        <w:t xml:space="preserve">. </w:t>
      </w:r>
      <w:r>
        <w:rPr>
          <w:rFonts w:cs="Times New Roman"/>
          <w:szCs w:val="24"/>
        </w:rPr>
        <w:t>Over a short span of time</w:t>
      </w:r>
      <w:r w:rsidRPr="00965D84">
        <w:rPr>
          <w:rFonts w:cs="Times New Roman"/>
          <w:szCs w:val="24"/>
        </w:rPr>
        <w:t xml:space="preserve"> </w:t>
      </w:r>
      <w:r>
        <w:rPr>
          <w:rFonts w:cs="Times New Roman"/>
          <w:szCs w:val="24"/>
        </w:rPr>
        <w:t>t</w:t>
      </w:r>
      <w:r w:rsidRPr="00965D84">
        <w:rPr>
          <w:rFonts w:cs="Times New Roman"/>
          <w:szCs w:val="24"/>
        </w:rPr>
        <w:t>he Islamic monetary industry has quickly elongated around the world</w:t>
      </w:r>
      <w:r w:rsidRPr="00B25986">
        <w:rPr>
          <w:rFonts w:cs="Times New Roman"/>
          <w:szCs w:val="24"/>
        </w:rPr>
        <w:t xml:space="preserve">. At present, around 300 Islamic banks and monetary foundations (IFIs) have been working following Islamic Shariah with all-out joined resources surpassing the US $2 trillion above 75 nations. This quick development has acquired significant consideration in global monetary circles where different market members have perceived their promising possibilities. </w:t>
      </w:r>
    </w:p>
    <w:p w14:paraId="2D7664D6" w14:textId="02F1F2E9" w:rsidR="00C22FCC" w:rsidRDefault="00F9393C" w:rsidP="00F9393C">
      <w:pPr>
        <w:spacing w:line="360" w:lineRule="auto"/>
        <w:jc w:val="both"/>
        <w:rPr>
          <w:rFonts w:cs="Times New Roman"/>
          <w:szCs w:val="24"/>
        </w:rPr>
      </w:pPr>
      <w:r w:rsidRPr="00B25986">
        <w:rPr>
          <w:rFonts w:cs="Times New Roman"/>
          <w:szCs w:val="24"/>
        </w:rPr>
        <w:t>In parallel with the accelerated international expansion of Islamic banking, Bangladesh has encountered amazing development in Islamic banking following massive consumer availability for the structure. Islamic Banking has started its operation in Bangladesh in from1983. This banking industry has approximately around 20% of the market share. Despite its rapid progression, this industry still shows great promises for advancement in the future as Bangladesh with a real growth economy is a Muslim-based populated country</w:t>
      </w:r>
      <w:r>
        <w:rPr>
          <w:rFonts w:cs="Times New Roman"/>
          <w:szCs w:val="24"/>
        </w:rPr>
        <w:t>.</w:t>
      </w:r>
    </w:p>
    <w:p w14:paraId="32073445" w14:textId="77777777" w:rsidR="00D56E98" w:rsidRPr="00010B33" w:rsidRDefault="00D56E98" w:rsidP="005C25E2">
      <w:pPr>
        <w:spacing w:line="360" w:lineRule="auto"/>
        <w:jc w:val="both"/>
        <w:rPr>
          <w:rFonts w:cs="Times New Roman"/>
          <w:b/>
          <w:szCs w:val="24"/>
        </w:rPr>
      </w:pPr>
      <w:r w:rsidRPr="00010B33">
        <w:rPr>
          <w:rFonts w:cs="Times New Roman"/>
          <w:b/>
          <w:szCs w:val="24"/>
        </w:rPr>
        <w:t>Profit VS interest:</w:t>
      </w:r>
    </w:p>
    <w:p w14:paraId="596CFC54" w14:textId="61122CAB" w:rsidR="00D56E98" w:rsidRPr="00010B33" w:rsidRDefault="00FF4EB8" w:rsidP="005C25E2">
      <w:pPr>
        <w:spacing w:line="360" w:lineRule="auto"/>
        <w:jc w:val="both"/>
        <w:rPr>
          <w:rFonts w:cs="Times New Roman"/>
          <w:szCs w:val="24"/>
        </w:rPr>
      </w:pPr>
      <w:r w:rsidRPr="00FF4EB8">
        <w:rPr>
          <w:rFonts w:cs="Times New Roman"/>
          <w:szCs w:val="24"/>
        </w:rPr>
        <w:t>Firstly, we need to recognize the variations between profit and interest to grab a clear perspective about the Islamic Banking Industry. Islamic bank shares a certain percentage with its borrower, on the contrary, the non-Islamic bank charges a fee on the loan they provide. Interest, also known as RIBA is prohibited (</w:t>
      </w:r>
      <w:proofErr w:type="spellStart"/>
      <w:r w:rsidRPr="00FF4EB8">
        <w:rPr>
          <w:rFonts w:cs="Times New Roman"/>
          <w:szCs w:val="24"/>
        </w:rPr>
        <w:t>Haraam</w:t>
      </w:r>
      <w:proofErr w:type="spellEnd"/>
      <w:r w:rsidRPr="00FF4EB8">
        <w:rPr>
          <w:rFonts w:cs="Times New Roman"/>
          <w:szCs w:val="24"/>
        </w:rPr>
        <w:t xml:space="preserve">) in Islamic tradition. </w:t>
      </w:r>
      <w:proofErr w:type="spellStart"/>
      <w:r w:rsidRPr="00FF4EB8">
        <w:rPr>
          <w:rFonts w:cs="Times New Roman"/>
          <w:szCs w:val="24"/>
        </w:rPr>
        <w:t>Riba</w:t>
      </w:r>
      <w:proofErr w:type="spellEnd"/>
      <w:r w:rsidRPr="00FF4EB8">
        <w:rPr>
          <w:rFonts w:cs="Times New Roman"/>
          <w:szCs w:val="24"/>
        </w:rPr>
        <w:t xml:space="preserve"> represents a surge or addition of access. As per Islamic </w:t>
      </w:r>
      <w:proofErr w:type="spellStart"/>
      <w:r w:rsidRPr="00FF4EB8">
        <w:rPr>
          <w:rFonts w:cs="Times New Roman"/>
          <w:szCs w:val="24"/>
        </w:rPr>
        <w:t>Shariah's</w:t>
      </w:r>
      <w:proofErr w:type="spellEnd"/>
      <w:r w:rsidRPr="00FF4EB8">
        <w:rPr>
          <w:rFonts w:cs="Times New Roman"/>
          <w:szCs w:val="24"/>
        </w:rPr>
        <w:t xml:space="preserve"> terminology, </w:t>
      </w:r>
      <w:proofErr w:type="spellStart"/>
      <w:r w:rsidRPr="00FF4EB8">
        <w:rPr>
          <w:rFonts w:cs="Times New Roman"/>
          <w:szCs w:val="24"/>
        </w:rPr>
        <w:t>Riba</w:t>
      </w:r>
      <w:proofErr w:type="spellEnd"/>
      <w:r w:rsidRPr="00FF4EB8">
        <w:rPr>
          <w:rFonts w:cs="Times New Roman"/>
          <w:szCs w:val="24"/>
        </w:rPr>
        <w:t xml:space="preserve"> is any overcompensation without proper regard for the time value of money. Conventional Bank has the tradition to fix the interest rate at the beginning of the year and it does not change unless there is a financial distress situation in the economy. But profit, alternatively, is entirely </w:t>
      </w:r>
      <w:r w:rsidRPr="00FF4EB8">
        <w:rPr>
          <w:rFonts w:cs="Times New Roman"/>
          <w:szCs w:val="24"/>
        </w:rPr>
        <w:lastRenderedPageBreak/>
        <w:t>different from interest. The bank invests the money of its depositor as its assets into a business and earns profit, then shares a few percentages of that profit to the depositors. Profit compare to the interest rate is not fixed despite it also been established at the beginning of the year. This could alter if the bank is earning more and perhaps less. It varies on the stability of the bank. The Islamic Bank in Bangladesh as well provides the shared profits that have already been decided at the outset of the year in compliance with the rules of the Bangladesh Bank. However, once in a while it affects its percentage because of its efficiency gains. This is a significant distinction between profit and interest. Conventional Bank runs to earn profit where else Islamic Bank believe in sharing the profit and loss</w:t>
      </w:r>
      <w:r>
        <w:rPr>
          <w:rFonts w:cs="Times New Roman"/>
          <w:szCs w:val="24"/>
        </w:rPr>
        <w:t>. The differences</w:t>
      </w:r>
      <w:r w:rsidR="00D446CD">
        <w:rPr>
          <w:rFonts w:cs="Times New Roman"/>
          <w:szCs w:val="24"/>
        </w:rPr>
        <w:t xml:space="preserve"> are shown below in Table 1.</w:t>
      </w:r>
    </w:p>
    <w:p w14:paraId="6B2AC53D" w14:textId="1B365EF3" w:rsidR="009D7CE8" w:rsidRPr="009D7CE8" w:rsidRDefault="009D7CE8" w:rsidP="009D7CE8">
      <w:pPr>
        <w:pStyle w:val="Caption"/>
        <w:keepNext/>
        <w:rPr>
          <w:sz w:val="24"/>
          <w:szCs w:val="24"/>
        </w:rPr>
      </w:pPr>
      <w:bookmarkStart w:id="2" w:name="_Toc70724684"/>
      <w:r w:rsidRPr="009D7CE8">
        <w:rPr>
          <w:sz w:val="24"/>
          <w:szCs w:val="24"/>
        </w:rPr>
        <w:t xml:space="preserve">Table </w:t>
      </w:r>
      <w:r w:rsidRPr="009D7CE8">
        <w:rPr>
          <w:sz w:val="24"/>
          <w:szCs w:val="24"/>
        </w:rPr>
        <w:fldChar w:fldCharType="begin"/>
      </w:r>
      <w:r w:rsidRPr="009D7CE8">
        <w:rPr>
          <w:sz w:val="24"/>
          <w:szCs w:val="24"/>
        </w:rPr>
        <w:instrText xml:space="preserve"> SEQ Table \* ARABIC </w:instrText>
      </w:r>
      <w:r w:rsidRPr="009D7CE8">
        <w:rPr>
          <w:sz w:val="24"/>
          <w:szCs w:val="24"/>
        </w:rPr>
        <w:fldChar w:fldCharType="separate"/>
      </w:r>
      <w:r w:rsidR="008D41F3">
        <w:rPr>
          <w:noProof/>
          <w:sz w:val="24"/>
          <w:szCs w:val="24"/>
        </w:rPr>
        <w:t>1</w:t>
      </w:r>
      <w:r w:rsidRPr="009D7CE8">
        <w:rPr>
          <w:sz w:val="24"/>
          <w:szCs w:val="24"/>
        </w:rPr>
        <w:fldChar w:fldCharType="end"/>
      </w:r>
      <w:r w:rsidRPr="009D7CE8">
        <w:rPr>
          <w:sz w:val="24"/>
          <w:szCs w:val="24"/>
        </w:rPr>
        <w:t xml:space="preserve"> Difference between </w:t>
      </w:r>
      <w:proofErr w:type="spellStart"/>
      <w:r w:rsidRPr="009D7CE8">
        <w:rPr>
          <w:sz w:val="24"/>
          <w:szCs w:val="24"/>
        </w:rPr>
        <w:t>Riba</w:t>
      </w:r>
      <w:proofErr w:type="spellEnd"/>
      <w:r w:rsidRPr="009D7CE8">
        <w:rPr>
          <w:sz w:val="24"/>
          <w:szCs w:val="24"/>
        </w:rPr>
        <w:t xml:space="preserve"> and profit</w:t>
      </w:r>
      <w:bookmarkEnd w:id="2"/>
    </w:p>
    <w:p w14:paraId="6BC992E4" w14:textId="77777777" w:rsidR="00D56E98" w:rsidRPr="00D56E98" w:rsidRDefault="00D56E98" w:rsidP="005C25E2">
      <w:r w:rsidRPr="00010B33">
        <w:rPr>
          <w:rFonts w:cs="Times New Roman"/>
          <w:noProof/>
          <w:szCs w:val="24"/>
        </w:rPr>
        <w:drawing>
          <wp:inline distT="0" distB="0" distL="0" distR="0" wp14:anchorId="154DB5D3" wp14:editId="7233D95C">
            <wp:extent cx="5943600" cy="436245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iba and profit.png"/>
                    <pic:cNvPicPr/>
                  </pic:nvPicPr>
                  <pic:blipFill>
                    <a:blip r:embed="rId15">
                      <a:extLst>
                        <a:ext uri="{28A0092B-C50C-407E-A947-70E740481C1C}">
                          <a14:useLocalDpi xmlns:a14="http://schemas.microsoft.com/office/drawing/2010/main" val="0"/>
                        </a:ext>
                      </a:extLst>
                    </a:blip>
                    <a:stretch>
                      <a:fillRect/>
                    </a:stretch>
                  </pic:blipFill>
                  <pic:spPr>
                    <a:xfrm>
                      <a:off x="0" y="0"/>
                      <a:ext cx="5943600" cy="4362450"/>
                    </a:xfrm>
                    <a:prstGeom prst="rect">
                      <a:avLst/>
                    </a:prstGeom>
                  </pic:spPr>
                </pic:pic>
              </a:graphicData>
            </a:graphic>
          </wp:inline>
        </w:drawing>
      </w:r>
    </w:p>
    <w:p w14:paraId="1D5CF67A" w14:textId="77777777" w:rsidR="00D56E98" w:rsidRDefault="00D56E98" w:rsidP="005C25E2">
      <w:pPr>
        <w:spacing w:line="360" w:lineRule="auto"/>
        <w:jc w:val="both"/>
        <w:rPr>
          <w:rFonts w:cs="Times New Roman"/>
          <w:b/>
          <w:szCs w:val="24"/>
          <w:u w:val="single"/>
        </w:rPr>
      </w:pPr>
      <w:proofErr w:type="spellStart"/>
      <w:r w:rsidRPr="00957A35">
        <w:rPr>
          <w:rFonts w:cs="Times New Roman"/>
          <w:b/>
          <w:szCs w:val="24"/>
          <w:u w:val="single"/>
        </w:rPr>
        <w:t>Mudarabah</w:t>
      </w:r>
      <w:proofErr w:type="spellEnd"/>
      <w:r w:rsidRPr="00957A35">
        <w:rPr>
          <w:rFonts w:cs="Times New Roman"/>
          <w:b/>
          <w:szCs w:val="24"/>
          <w:u w:val="single"/>
        </w:rPr>
        <w:t xml:space="preserve"> is the basis of modern Isla</w:t>
      </w:r>
      <w:r>
        <w:rPr>
          <w:rFonts w:cs="Times New Roman"/>
          <w:b/>
          <w:szCs w:val="24"/>
          <w:u w:val="single"/>
        </w:rPr>
        <w:t>mic banking on a two-tier basis</w:t>
      </w:r>
    </w:p>
    <w:p w14:paraId="1B491608" w14:textId="45A1833D" w:rsidR="00B221BA" w:rsidRDefault="00BD4A0B" w:rsidP="00BD4A0B">
      <w:pPr>
        <w:spacing w:line="360" w:lineRule="auto"/>
      </w:pPr>
      <w:proofErr w:type="spellStart"/>
      <w:r>
        <w:t>Mudaraba</w:t>
      </w:r>
      <w:proofErr w:type="spellEnd"/>
      <w:r w:rsidR="00B221BA" w:rsidRPr="00B221BA">
        <w:t xml:space="preserve"> is a sort of a deal where one entity provide</w:t>
      </w:r>
      <w:r>
        <w:t>s</w:t>
      </w:r>
      <w:r w:rsidR="00B221BA" w:rsidRPr="00B221BA">
        <w:t xml:space="preserve"> capital to another entity </w:t>
      </w:r>
      <w:r>
        <w:t>for</w:t>
      </w:r>
      <w:r w:rsidR="00B221BA" w:rsidRPr="00B221BA">
        <w:t xml:space="preserve"> investment. This kind of partnership form</w:t>
      </w:r>
      <w:r>
        <w:t>s</w:t>
      </w:r>
      <w:r w:rsidR="00B221BA" w:rsidRPr="00B221BA">
        <w:t xml:space="preserve"> to enhance enterprising abilities, so that can start its project suitable and provide works for labor.</w:t>
      </w:r>
    </w:p>
    <w:p w14:paraId="1B703B60" w14:textId="36ABCA93" w:rsidR="00BD4A0B" w:rsidRPr="00957A35" w:rsidRDefault="00BD4A0B" w:rsidP="00BD4A0B">
      <w:pPr>
        <w:spacing w:line="360" w:lineRule="auto"/>
      </w:pPr>
      <w:r w:rsidRPr="00BD4A0B">
        <w:lastRenderedPageBreak/>
        <w:t xml:space="preserve">Benefits coming from the investment are shared </w:t>
      </w:r>
      <w:r>
        <w:t>at</w:t>
      </w:r>
      <w:r w:rsidRPr="00BD4A0B">
        <w:t xml:space="preserve"> </w:t>
      </w:r>
      <w:r>
        <w:t>a</w:t>
      </w:r>
      <w:r w:rsidRPr="00BD4A0B">
        <w:t xml:space="preserve"> certain rate. Also, </w:t>
      </w:r>
      <w:r>
        <w:t xml:space="preserve">the </w:t>
      </w:r>
      <w:r w:rsidRPr="00BD4A0B">
        <w:t xml:space="preserve">capital provider of the investment doesn't have any power </w:t>
      </w:r>
      <w:r>
        <w:t>over</w:t>
      </w:r>
      <w:r w:rsidRPr="00BD4A0B">
        <w:t xml:space="preserve"> the business.</w:t>
      </w:r>
      <w:r>
        <w:t xml:space="preserve"> There are two-tier of </w:t>
      </w:r>
      <w:proofErr w:type="spellStart"/>
      <w:r>
        <w:t>mudaraba</w:t>
      </w:r>
      <w:proofErr w:type="spellEnd"/>
      <w:r>
        <w:t xml:space="preserve"> as follows;</w:t>
      </w:r>
    </w:p>
    <w:p w14:paraId="57012473" w14:textId="73AAEC60" w:rsidR="00D447B7" w:rsidRPr="00D447B7" w:rsidRDefault="00D447B7" w:rsidP="00D447B7">
      <w:pPr>
        <w:spacing w:line="360" w:lineRule="auto"/>
        <w:jc w:val="both"/>
        <w:rPr>
          <w:rFonts w:cs="Times New Roman"/>
          <w:szCs w:val="24"/>
        </w:rPr>
      </w:pPr>
      <w:r w:rsidRPr="00D447B7">
        <w:rPr>
          <w:rFonts w:cs="Times New Roman"/>
          <w:szCs w:val="24"/>
        </w:rPr>
        <w:t>First level: In the first level, depositors invest in the bank by putting cash as well as agreeing to transmit benefits in it. The bank becomes the administrator of assets while the contributor becomes the supplier of capital in this situation.</w:t>
      </w:r>
    </w:p>
    <w:p w14:paraId="61E02CD6" w14:textId="1A4F3200" w:rsidR="00D447B7" w:rsidRPr="00D447B7" w:rsidRDefault="00D447B7" w:rsidP="00D447B7">
      <w:pPr>
        <w:spacing w:line="360" w:lineRule="auto"/>
        <w:jc w:val="both"/>
        <w:rPr>
          <w:rFonts w:cs="Times New Roman"/>
          <w:szCs w:val="24"/>
        </w:rPr>
      </w:pPr>
      <w:r w:rsidRPr="00D447B7">
        <w:rPr>
          <w:rFonts w:cs="Times New Roman"/>
          <w:szCs w:val="24"/>
        </w:rPr>
        <w:t xml:space="preserve">Second level: In the second level, Entrepreneurs take financial support from the bank for aiding their organizations on the basis that the dividend earned by their business will be divided between the bank and the entrepreneurs to the extent that was agreed upon, however, if any loss arises then </w:t>
      </w:r>
      <w:r w:rsidR="00431D2E">
        <w:rPr>
          <w:rFonts w:cs="Times New Roman"/>
          <w:szCs w:val="24"/>
        </w:rPr>
        <w:t xml:space="preserve">the </w:t>
      </w:r>
      <w:r w:rsidRPr="00D447B7">
        <w:rPr>
          <w:rFonts w:cs="Times New Roman"/>
          <w:szCs w:val="24"/>
        </w:rPr>
        <w:t>bank will fully bear it. Unlike the previous first level, in this level</w:t>
      </w:r>
      <w:r w:rsidR="00431D2E">
        <w:rPr>
          <w:rFonts w:cs="Times New Roman"/>
          <w:szCs w:val="24"/>
        </w:rPr>
        <w:t>,</w:t>
      </w:r>
      <w:r w:rsidRPr="00D447B7">
        <w:rPr>
          <w:rFonts w:cs="Times New Roman"/>
          <w:szCs w:val="24"/>
        </w:rPr>
        <w:t xml:space="preserve"> the bank becomes the supplier of capital while the entrepreneur becomes the director. </w:t>
      </w:r>
    </w:p>
    <w:p w14:paraId="7024FE82" w14:textId="77777777" w:rsidR="00D447B7" w:rsidRPr="00D447B7" w:rsidRDefault="00D447B7" w:rsidP="00D447B7">
      <w:pPr>
        <w:spacing w:line="360" w:lineRule="auto"/>
        <w:jc w:val="both"/>
        <w:rPr>
          <w:rFonts w:cs="Times New Roman"/>
          <w:szCs w:val="24"/>
        </w:rPr>
      </w:pPr>
      <w:r w:rsidRPr="00D447B7">
        <w:rPr>
          <w:rFonts w:cs="Times New Roman"/>
          <w:szCs w:val="24"/>
        </w:rPr>
        <w:t>Islam defines that an individual can expect to appreciate his income through the usage of his fund if he is willing to face challenges as well as the possibility of loss from it Islam says an individual can only obtain a true share of profit when he's willing to expose his fund on the probability of the loss, not by only earning through applicable interest rate given by the conventional bank on the deposit of funds.</w:t>
      </w:r>
    </w:p>
    <w:p w14:paraId="67254E05" w14:textId="7EFC93C7" w:rsidR="00D56E98" w:rsidRPr="003F769D" w:rsidRDefault="00D447B7" w:rsidP="00D447B7">
      <w:pPr>
        <w:spacing w:line="360" w:lineRule="auto"/>
        <w:jc w:val="both"/>
        <w:rPr>
          <w:rFonts w:cs="Times New Roman"/>
          <w:szCs w:val="24"/>
        </w:rPr>
      </w:pPr>
      <w:r w:rsidRPr="00D447B7">
        <w:rPr>
          <w:rFonts w:cs="Times New Roman"/>
          <w:szCs w:val="24"/>
        </w:rPr>
        <w:t xml:space="preserve"> Although certain individuals tend to erroneously believe that cost of capital of the Islamic banking system is equivalent to zero interest rate. Which is not true the only comparison is that non-Islamic bank operates with a predefined fixed rate on the other hand Islamic banking structure harness on sharing the profit with its contributor</w:t>
      </w:r>
      <w:r w:rsidR="00D56E98" w:rsidRPr="00010B33">
        <w:rPr>
          <w:rFonts w:cs="Times New Roman"/>
          <w:szCs w:val="24"/>
        </w:rPr>
        <w:t>.</w:t>
      </w:r>
      <w:r w:rsidR="00B221BA">
        <w:rPr>
          <w:rFonts w:cs="Times New Roman"/>
          <w:szCs w:val="24"/>
        </w:rPr>
        <w:t xml:space="preserve"> </w:t>
      </w:r>
    </w:p>
    <w:p w14:paraId="1D2F0BFB" w14:textId="25D7CF59" w:rsidR="00D56E98" w:rsidRDefault="00D56E98" w:rsidP="005C25E2">
      <w:pPr>
        <w:spacing w:line="360" w:lineRule="auto"/>
        <w:jc w:val="both"/>
        <w:rPr>
          <w:rFonts w:eastAsia="Times New Roman" w:cs="Times New Roman"/>
          <w:b/>
          <w:bCs/>
          <w:color w:val="000000"/>
          <w:szCs w:val="24"/>
        </w:rPr>
      </w:pPr>
      <w:r w:rsidRPr="00010B33">
        <w:rPr>
          <w:rFonts w:eastAsia="Times New Roman" w:cs="Times New Roman"/>
          <w:b/>
          <w:bCs/>
          <w:color w:val="000000"/>
          <w:szCs w:val="24"/>
        </w:rPr>
        <w:t>Conventional and Islamic banking</w:t>
      </w:r>
    </w:p>
    <w:p w14:paraId="1BF11183" w14:textId="77777777" w:rsidR="00B221BA" w:rsidRDefault="00280FC6" w:rsidP="00280FC6">
      <w:pPr>
        <w:spacing w:after="160" w:line="360" w:lineRule="auto"/>
        <w:jc w:val="both"/>
        <w:rPr>
          <w:rFonts w:eastAsia="Calibri" w:cs="Times New Roman"/>
          <w:szCs w:val="24"/>
        </w:rPr>
      </w:pPr>
      <w:r w:rsidRPr="00280FC6">
        <w:rPr>
          <w:rFonts w:eastAsia="Calibri" w:cs="Times New Roman"/>
          <w:szCs w:val="24"/>
        </w:rPr>
        <w:t xml:space="preserve">Conventional banking maintains a two-sided relationship with its contributor. On one side they coercively maintain the relationship with their lender and on the other side, they keep their depositor of the fund. In both cases, interest is applicable, as it defines as the opportunity cost of the money. Islam, on the contrary, does not charge any pre-determined fee on the money they provide to its borrowers. Therefore, Islamic banks are not supposed to take any advantage in the events of </w:t>
      </w:r>
      <w:r w:rsidR="00431D2E">
        <w:rPr>
          <w:rFonts w:eastAsia="Calibri" w:cs="Times New Roman"/>
          <w:szCs w:val="24"/>
        </w:rPr>
        <w:t xml:space="preserve">the </w:t>
      </w:r>
      <w:r w:rsidRPr="00280FC6">
        <w:rPr>
          <w:rFonts w:eastAsia="Calibri" w:cs="Times New Roman"/>
          <w:szCs w:val="24"/>
        </w:rPr>
        <w:t>misfortune of the lender.</w:t>
      </w:r>
    </w:p>
    <w:p w14:paraId="5D72FE80" w14:textId="77777777" w:rsidR="00B221BA" w:rsidRDefault="00280FC6" w:rsidP="00280FC6">
      <w:pPr>
        <w:spacing w:after="160" w:line="360" w:lineRule="auto"/>
        <w:jc w:val="both"/>
        <w:rPr>
          <w:rFonts w:eastAsia="Calibri" w:cs="Times New Roman"/>
          <w:szCs w:val="24"/>
        </w:rPr>
      </w:pPr>
      <w:r w:rsidRPr="00280FC6">
        <w:rPr>
          <w:rFonts w:eastAsia="Calibri" w:cs="Times New Roman"/>
          <w:szCs w:val="24"/>
        </w:rPr>
        <w:t xml:space="preserve"> When cash is loaned based on a pre-determined rate, it occurs more than not that it tends to lead to something like oppression. The main Islamic rule fundamental in these types of transactions is "</w:t>
      </w:r>
      <w:r w:rsidR="00431D2E">
        <w:rPr>
          <w:rFonts w:eastAsia="Calibri" w:cs="Times New Roman"/>
          <w:szCs w:val="24"/>
        </w:rPr>
        <w:t>D</w:t>
      </w:r>
      <w:r w:rsidRPr="00280FC6">
        <w:rPr>
          <w:rFonts w:eastAsia="Calibri" w:cs="Times New Roman"/>
          <w:szCs w:val="24"/>
        </w:rPr>
        <w:t>eal not unjustly, and ye shall not be dealt with unjustly" [2:279].</w:t>
      </w:r>
    </w:p>
    <w:p w14:paraId="633A4F9D" w14:textId="1F9A4BCB" w:rsidR="00280FC6" w:rsidRDefault="00280FC6" w:rsidP="00280FC6">
      <w:pPr>
        <w:spacing w:after="160" w:line="360" w:lineRule="auto"/>
        <w:jc w:val="both"/>
        <w:rPr>
          <w:rFonts w:eastAsia="Calibri" w:cs="Times New Roman"/>
          <w:szCs w:val="24"/>
        </w:rPr>
      </w:pPr>
      <w:r w:rsidRPr="00280FC6">
        <w:rPr>
          <w:rFonts w:eastAsia="Calibri" w:cs="Times New Roman"/>
          <w:szCs w:val="24"/>
        </w:rPr>
        <w:lastRenderedPageBreak/>
        <w:t xml:space="preserve"> Non-Islamic banking in the Islamic context is therefore not depende</w:t>
      </w:r>
      <w:r w:rsidR="00431D2E">
        <w:rPr>
          <w:rFonts w:eastAsia="Calibri" w:cs="Times New Roman"/>
          <w:szCs w:val="24"/>
        </w:rPr>
        <w:t>nt</w:t>
      </w:r>
      <w:r w:rsidRPr="00280FC6">
        <w:rPr>
          <w:rFonts w:eastAsia="Calibri" w:cs="Times New Roman"/>
          <w:szCs w:val="24"/>
        </w:rPr>
        <w:t xml:space="preserve"> on the relationship between the debtor and the creditor. Islam also believes there should be no incentive without challenge on any financial transactions. This principle applies both to workers and employers. Since labor is not earning anything unless they are employed exactly in the same way there should be no reward on the fund unless it is subjected to risk Based on these two standards the Islamic banking framework has been constructed. As a result, financial relations in Islam have been collaborative. Nowadays even many other scholars are set to believe the traditional banking model should shift its structure to Profit and loss sharing. This implies that a pre-determined rate should be substituted by a changeable rate of return based on the contemporary stability of the economy. These two standards: (a) a profit and loss sharing structure, and (b) investment (loans and advances in the conventional sense) provide satisfaction for both shareholders and also advantage for the wider population. All in all sets a distinctive feature for the Islamic banking industry. For the interest of the readers, the differences between the Islamic Bank and Conventional Bank are demonstrated in the following Table 2</w:t>
      </w:r>
      <w:r w:rsidR="00281887">
        <w:rPr>
          <w:rFonts w:eastAsia="Calibri" w:cs="Times New Roman"/>
          <w:szCs w:val="24"/>
        </w:rPr>
        <w:t>:</w:t>
      </w:r>
    </w:p>
    <w:p w14:paraId="3B61EDE7" w14:textId="77777777" w:rsidR="00BD4A0B" w:rsidRDefault="00BD4A0B" w:rsidP="00280FC6">
      <w:pPr>
        <w:spacing w:after="160" w:line="360" w:lineRule="auto"/>
        <w:jc w:val="both"/>
        <w:rPr>
          <w:rFonts w:eastAsia="Calibri" w:cs="Times New Roman"/>
          <w:szCs w:val="24"/>
        </w:rPr>
      </w:pPr>
    </w:p>
    <w:p w14:paraId="455C604D" w14:textId="43B7F049" w:rsidR="00281887" w:rsidRPr="00281887" w:rsidRDefault="00281887" w:rsidP="00281887">
      <w:pPr>
        <w:pStyle w:val="Caption"/>
        <w:keepNext/>
        <w:jc w:val="both"/>
        <w:rPr>
          <w:sz w:val="24"/>
          <w:szCs w:val="24"/>
        </w:rPr>
      </w:pPr>
      <w:bookmarkStart w:id="3" w:name="_Toc70724685"/>
      <w:r w:rsidRPr="00281887">
        <w:rPr>
          <w:sz w:val="24"/>
          <w:szCs w:val="24"/>
        </w:rPr>
        <w:t xml:space="preserve">Table </w:t>
      </w:r>
      <w:r w:rsidRPr="00281887">
        <w:rPr>
          <w:sz w:val="24"/>
          <w:szCs w:val="24"/>
        </w:rPr>
        <w:fldChar w:fldCharType="begin"/>
      </w:r>
      <w:r w:rsidRPr="00281887">
        <w:rPr>
          <w:sz w:val="24"/>
          <w:szCs w:val="24"/>
        </w:rPr>
        <w:instrText xml:space="preserve"> SEQ Table \* ARABIC </w:instrText>
      </w:r>
      <w:r w:rsidRPr="00281887">
        <w:rPr>
          <w:sz w:val="24"/>
          <w:szCs w:val="24"/>
        </w:rPr>
        <w:fldChar w:fldCharType="separate"/>
      </w:r>
      <w:r w:rsidR="008D41F3">
        <w:rPr>
          <w:noProof/>
          <w:sz w:val="24"/>
          <w:szCs w:val="24"/>
        </w:rPr>
        <w:t>2</w:t>
      </w:r>
      <w:r w:rsidRPr="00281887">
        <w:rPr>
          <w:sz w:val="24"/>
          <w:szCs w:val="24"/>
        </w:rPr>
        <w:fldChar w:fldCharType="end"/>
      </w:r>
      <w:r w:rsidRPr="00281887">
        <w:rPr>
          <w:sz w:val="24"/>
          <w:szCs w:val="24"/>
        </w:rPr>
        <w:t xml:space="preserve"> Difference between Islamic bank and Conventional bank</w:t>
      </w:r>
      <w:bookmarkEnd w:id="3"/>
    </w:p>
    <w:p w14:paraId="3DAD8B1B" w14:textId="285EB727" w:rsidR="00431D2E" w:rsidRPr="00280FC6" w:rsidRDefault="00431D2E" w:rsidP="00280FC6">
      <w:pPr>
        <w:spacing w:after="160" w:line="360" w:lineRule="auto"/>
        <w:jc w:val="both"/>
        <w:rPr>
          <w:rFonts w:eastAsia="Calibri" w:cs="Times New Roman"/>
          <w:b/>
          <w:szCs w:val="24"/>
        </w:rPr>
      </w:pPr>
      <w:r>
        <w:rPr>
          <w:rFonts w:eastAsia="Calibri" w:cs="Times New Roman"/>
          <w:b/>
          <w:noProof/>
          <w:szCs w:val="24"/>
        </w:rPr>
        <w:drawing>
          <wp:inline distT="0" distB="0" distL="0" distR="0" wp14:anchorId="54A5292F" wp14:editId="2F7EF383">
            <wp:extent cx="5943600" cy="37242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1.png"/>
                    <pic:cNvPicPr/>
                  </pic:nvPicPr>
                  <pic:blipFill>
                    <a:blip r:embed="rId16">
                      <a:extLst>
                        <a:ext uri="{28A0092B-C50C-407E-A947-70E740481C1C}">
                          <a14:useLocalDpi xmlns:a14="http://schemas.microsoft.com/office/drawing/2010/main" val="0"/>
                        </a:ext>
                      </a:extLst>
                    </a:blip>
                    <a:stretch>
                      <a:fillRect/>
                    </a:stretch>
                  </pic:blipFill>
                  <pic:spPr>
                    <a:xfrm>
                      <a:off x="0" y="0"/>
                      <a:ext cx="5943600" cy="3724275"/>
                    </a:xfrm>
                    <a:prstGeom prst="rect">
                      <a:avLst/>
                    </a:prstGeom>
                  </pic:spPr>
                </pic:pic>
              </a:graphicData>
            </a:graphic>
          </wp:inline>
        </w:drawing>
      </w:r>
    </w:p>
    <w:p w14:paraId="30EB60D2" w14:textId="31A63B94" w:rsidR="00D56E98" w:rsidRPr="00ED77E3" w:rsidRDefault="005A7005" w:rsidP="005C25E2">
      <w:pPr>
        <w:spacing w:line="360" w:lineRule="auto"/>
        <w:jc w:val="both"/>
        <w:rPr>
          <w:rFonts w:cs="Times New Roman"/>
          <w:szCs w:val="24"/>
          <w:shd w:val="clear" w:color="auto" w:fill="FFFFFF"/>
        </w:rPr>
      </w:pPr>
      <w:r>
        <w:rPr>
          <w:rFonts w:cs="Times New Roman"/>
          <w:noProof/>
          <w:szCs w:val="24"/>
          <w:shd w:val="clear" w:color="auto" w:fill="FFFFFF"/>
        </w:rPr>
        <w:lastRenderedPageBreak/>
        <w:drawing>
          <wp:inline distT="0" distB="0" distL="0" distR="0" wp14:anchorId="4DC953E7" wp14:editId="3FA4A38E">
            <wp:extent cx="5943600" cy="48006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6.png"/>
                    <pic:cNvPicPr/>
                  </pic:nvPicPr>
                  <pic:blipFill>
                    <a:blip r:embed="rId17">
                      <a:extLst>
                        <a:ext uri="{28A0092B-C50C-407E-A947-70E740481C1C}">
                          <a14:useLocalDpi xmlns:a14="http://schemas.microsoft.com/office/drawing/2010/main" val="0"/>
                        </a:ext>
                      </a:extLst>
                    </a:blip>
                    <a:stretch>
                      <a:fillRect/>
                    </a:stretch>
                  </pic:blipFill>
                  <pic:spPr>
                    <a:xfrm>
                      <a:off x="0" y="0"/>
                      <a:ext cx="5943600" cy="4800600"/>
                    </a:xfrm>
                    <a:prstGeom prst="rect">
                      <a:avLst/>
                    </a:prstGeom>
                  </pic:spPr>
                </pic:pic>
              </a:graphicData>
            </a:graphic>
          </wp:inline>
        </w:drawing>
      </w:r>
      <w:r w:rsidR="00D56E98" w:rsidRPr="00010B33">
        <w:rPr>
          <w:rFonts w:cs="Times New Roman"/>
          <w:szCs w:val="24"/>
          <w:shd w:val="clear" w:color="auto" w:fill="FFFFFF"/>
        </w:rPr>
        <w:t>.</w:t>
      </w:r>
      <w:r w:rsidR="00D56E98" w:rsidRPr="00010B33">
        <w:rPr>
          <w:rFonts w:cs="Times New Roman"/>
          <w:szCs w:val="24"/>
        </w:rPr>
        <w:t xml:space="preserve"> </w:t>
      </w:r>
    </w:p>
    <w:p w14:paraId="50EE1A73" w14:textId="77777777" w:rsidR="00C22FCC" w:rsidRPr="00010B33" w:rsidRDefault="00C22FCC" w:rsidP="005C25E2">
      <w:pPr>
        <w:pStyle w:val="Heading2"/>
        <w:numPr>
          <w:ilvl w:val="1"/>
          <w:numId w:val="34"/>
        </w:numPr>
      </w:pPr>
      <w:r w:rsidRPr="00010B33">
        <w:t xml:space="preserve"> </w:t>
      </w:r>
      <w:bookmarkStart w:id="4" w:name="_Toc70725917"/>
      <w:r w:rsidRPr="00010B33">
        <w:t>OBJECTIVES OF THE STUDY</w:t>
      </w:r>
      <w:bookmarkEnd w:id="4"/>
    </w:p>
    <w:p w14:paraId="59799687" w14:textId="77777777" w:rsidR="00C22FCC" w:rsidRPr="00010B33" w:rsidRDefault="00ED77E3" w:rsidP="005C25E2">
      <w:pPr>
        <w:spacing w:line="360" w:lineRule="auto"/>
        <w:jc w:val="both"/>
        <w:rPr>
          <w:rFonts w:cs="Times New Roman"/>
          <w:szCs w:val="24"/>
        </w:rPr>
      </w:pPr>
      <w:r>
        <w:rPr>
          <w:rFonts w:cs="Times New Roman"/>
          <w:szCs w:val="24"/>
        </w:rPr>
        <w:t>The objective of the report is as follows</w:t>
      </w:r>
      <w:r w:rsidR="00C22FCC" w:rsidRPr="00010B33">
        <w:rPr>
          <w:rFonts w:cs="Times New Roman"/>
          <w:szCs w:val="24"/>
        </w:rPr>
        <w:t>:</w:t>
      </w:r>
    </w:p>
    <w:p w14:paraId="28909056" w14:textId="77777777" w:rsidR="00C22FCC" w:rsidRPr="00010B33" w:rsidRDefault="00C22FCC" w:rsidP="005C25E2">
      <w:pPr>
        <w:pStyle w:val="ListParagraph"/>
        <w:numPr>
          <w:ilvl w:val="0"/>
          <w:numId w:val="2"/>
        </w:numPr>
        <w:spacing w:line="360" w:lineRule="auto"/>
        <w:jc w:val="both"/>
        <w:rPr>
          <w:rFonts w:cs="Times New Roman"/>
          <w:szCs w:val="24"/>
        </w:rPr>
      </w:pPr>
      <w:r w:rsidRPr="00010B33">
        <w:rPr>
          <w:rFonts w:cs="Times New Roman"/>
          <w:szCs w:val="24"/>
        </w:rPr>
        <w:t>Overview of the Islamic Banking Industry of Bangladesh</w:t>
      </w:r>
    </w:p>
    <w:p w14:paraId="4CFDFE2C" w14:textId="77777777" w:rsidR="00C22FCC" w:rsidRPr="00010B33" w:rsidRDefault="00C22FCC" w:rsidP="005C25E2">
      <w:pPr>
        <w:pStyle w:val="ListParagraph"/>
        <w:numPr>
          <w:ilvl w:val="0"/>
          <w:numId w:val="2"/>
        </w:numPr>
        <w:spacing w:line="360" w:lineRule="auto"/>
        <w:jc w:val="both"/>
        <w:rPr>
          <w:rFonts w:cs="Times New Roman"/>
          <w:szCs w:val="24"/>
        </w:rPr>
      </w:pPr>
      <w:r w:rsidRPr="00010B33">
        <w:rPr>
          <w:rFonts w:cs="Times New Roman"/>
          <w:szCs w:val="24"/>
        </w:rPr>
        <w:t>Comparison between Islamic Banking Industry and Non-Islamic banking industry</w:t>
      </w:r>
    </w:p>
    <w:p w14:paraId="470CAA09" w14:textId="77777777" w:rsidR="00C22FCC" w:rsidRPr="00010B33" w:rsidRDefault="00C22FCC" w:rsidP="005C25E2">
      <w:pPr>
        <w:pStyle w:val="ListParagraph"/>
        <w:numPr>
          <w:ilvl w:val="0"/>
          <w:numId w:val="2"/>
        </w:numPr>
        <w:spacing w:line="360" w:lineRule="auto"/>
        <w:jc w:val="both"/>
        <w:rPr>
          <w:rFonts w:cs="Times New Roman"/>
          <w:szCs w:val="24"/>
        </w:rPr>
      </w:pPr>
      <w:r w:rsidRPr="00010B33">
        <w:rPr>
          <w:rFonts w:cs="Times New Roman"/>
          <w:szCs w:val="24"/>
        </w:rPr>
        <w:t>Overview of SIBL</w:t>
      </w:r>
    </w:p>
    <w:p w14:paraId="4BE4031F" w14:textId="77777777" w:rsidR="00C22FCC" w:rsidRPr="00010B33" w:rsidRDefault="00C22FCC" w:rsidP="005C25E2">
      <w:pPr>
        <w:pStyle w:val="ListParagraph"/>
        <w:numPr>
          <w:ilvl w:val="0"/>
          <w:numId w:val="2"/>
        </w:numPr>
        <w:spacing w:line="360" w:lineRule="auto"/>
        <w:jc w:val="both"/>
        <w:rPr>
          <w:rFonts w:cs="Times New Roman"/>
          <w:szCs w:val="24"/>
        </w:rPr>
      </w:pPr>
      <w:r w:rsidRPr="00010B33">
        <w:rPr>
          <w:rFonts w:cs="Times New Roman"/>
          <w:szCs w:val="24"/>
        </w:rPr>
        <w:t>To gather knowledge about the functions and transactions of different departments of the bank</w:t>
      </w:r>
    </w:p>
    <w:p w14:paraId="05588CAA" w14:textId="77777777" w:rsidR="00C22FCC" w:rsidRPr="00010B33" w:rsidRDefault="00C22FCC" w:rsidP="005C25E2">
      <w:pPr>
        <w:pStyle w:val="ListParagraph"/>
        <w:numPr>
          <w:ilvl w:val="0"/>
          <w:numId w:val="2"/>
        </w:numPr>
        <w:spacing w:line="360" w:lineRule="auto"/>
        <w:jc w:val="both"/>
        <w:rPr>
          <w:rFonts w:cs="Times New Roman"/>
          <w:szCs w:val="24"/>
        </w:rPr>
      </w:pPr>
      <w:r w:rsidRPr="00010B33">
        <w:rPr>
          <w:rFonts w:cs="Times New Roman"/>
          <w:szCs w:val="24"/>
        </w:rPr>
        <w:t>Demonstration of Bank operation</w:t>
      </w:r>
    </w:p>
    <w:p w14:paraId="3119056A" w14:textId="77777777" w:rsidR="00C22FCC" w:rsidRPr="00010B33" w:rsidRDefault="00C22FCC" w:rsidP="005C25E2">
      <w:pPr>
        <w:pStyle w:val="ListParagraph"/>
        <w:numPr>
          <w:ilvl w:val="0"/>
          <w:numId w:val="2"/>
        </w:numPr>
        <w:spacing w:line="360" w:lineRule="auto"/>
        <w:jc w:val="both"/>
        <w:rPr>
          <w:rFonts w:cs="Times New Roman"/>
          <w:szCs w:val="24"/>
        </w:rPr>
      </w:pPr>
      <w:r w:rsidRPr="00010B33">
        <w:rPr>
          <w:rFonts w:cs="Times New Roman"/>
          <w:szCs w:val="24"/>
        </w:rPr>
        <w:t>Performance of the SIBL over the period</w:t>
      </w:r>
    </w:p>
    <w:p w14:paraId="27F17B11" w14:textId="77777777" w:rsidR="00C22FCC" w:rsidRPr="00010B33" w:rsidRDefault="00C22FCC" w:rsidP="005C25E2">
      <w:pPr>
        <w:pStyle w:val="ListParagraph"/>
        <w:numPr>
          <w:ilvl w:val="0"/>
          <w:numId w:val="2"/>
        </w:numPr>
        <w:spacing w:line="360" w:lineRule="auto"/>
        <w:jc w:val="both"/>
        <w:rPr>
          <w:rFonts w:cs="Times New Roman"/>
          <w:szCs w:val="24"/>
        </w:rPr>
      </w:pPr>
      <w:r w:rsidRPr="00010B33">
        <w:rPr>
          <w:rFonts w:cs="Times New Roman"/>
          <w:szCs w:val="24"/>
        </w:rPr>
        <w:t>Comparative analysis of SIBL</w:t>
      </w:r>
    </w:p>
    <w:p w14:paraId="760B008E" w14:textId="77777777" w:rsidR="00C22FCC" w:rsidRPr="00010B33" w:rsidRDefault="00C22FCC" w:rsidP="005C25E2">
      <w:pPr>
        <w:pStyle w:val="ListParagraph"/>
        <w:numPr>
          <w:ilvl w:val="0"/>
          <w:numId w:val="2"/>
        </w:numPr>
        <w:spacing w:line="360" w:lineRule="auto"/>
        <w:jc w:val="both"/>
        <w:rPr>
          <w:rFonts w:cs="Times New Roman"/>
          <w:szCs w:val="24"/>
        </w:rPr>
      </w:pPr>
      <w:r w:rsidRPr="00010B33">
        <w:rPr>
          <w:rFonts w:cs="Times New Roman"/>
          <w:szCs w:val="24"/>
        </w:rPr>
        <w:t>Islamic Banking Activity of SIBL</w:t>
      </w:r>
    </w:p>
    <w:p w14:paraId="1F214F6F" w14:textId="77777777" w:rsidR="00C22FCC" w:rsidRPr="00010B33" w:rsidRDefault="00C22FCC" w:rsidP="005C25E2">
      <w:pPr>
        <w:pStyle w:val="Heading2"/>
        <w:numPr>
          <w:ilvl w:val="1"/>
          <w:numId w:val="34"/>
        </w:numPr>
      </w:pPr>
      <w:r w:rsidRPr="00010B33">
        <w:lastRenderedPageBreak/>
        <w:t xml:space="preserve"> </w:t>
      </w:r>
      <w:bookmarkStart w:id="5" w:name="_Toc70725918"/>
      <w:r w:rsidRPr="00010B33">
        <w:t>SIGNIFICANCE OF THE STUDY</w:t>
      </w:r>
      <w:bookmarkEnd w:id="5"/>
    </w:p>
    <w:p w14:paraId="3C1D0EE1" w14:textId="176B9B47" w:rsidR="00280FC6" w:rsidRPr="00E72880" w:rsidRDefault="00280FC6" w:rsidP="00280FC6">
      <w:pPr>
        <w:spacing w:line="360" w:lineRule="auto"/>
        <w:jc w:val="both"/>
        <w:rPr>
          <w:rFonts w:cs="Times New Roman"/>
          <w:szCs w:val="24"/>
        </w:rPr>
      </w:pPr>
      <w:r w:rsidRPr="00E72880">
        <w:rPr>
          <w:rFonts w:cs="Times New Roman"/>
          <w:szCs w:val="24"/>
        </w:rPr>
        <w:t xml:space="preserve">This report is prepared after 12 weeks long internship program, as a part of the Bachelor of Business Administration (BBA) course requirement, </w:t>
      </w:r>
      <w:r w:rsidR="00431D2E">
        <w:rPr>
          <w:rFonts w:cs="Times New Roman"/>
          <w:szCs w:val="24"/>
        </w:rPr>
        <w:t>to familiarize</w:t>
      </w:r>
      <w:r w:rsidRPr="00E72880">
        <w:rPr>
          <w:rFonts w:cs="Times New Roman"/>
          <w:szCs w:val="24"/>
        </w:rPr>
        <w:t xml:space="preserve"> the students </w:t>
      </w:r>
      <w:r w:rsidR="00431D2E">
        <w:rPr>
          <w:rFonts w:cs="Times New Roman"/>
          <w:szCs w:val="24"/>
        </w:rPr>
        <w:t>with</w:t>
      </w:r>
      <w:r w:rsidRPr="00E72880">
        <w:rPr>
          <w:rFonts w:cs="Times New Roman"/>
          <w:szCs w:val="24"/>
        </w:rPr>
        <w:t xml:space="preserve"> </w:t>
      </w:r>
      <w:r w:rsidR="006A5199">
        <w:rPr>
          <w:rFonts w:cs="Times New Roman"/>
          <w:szCs w:val="24"/>
        </w:rPr>
        <w:t xml:space="preserve">the </w:t>
      </w:r>
      <w:r w:rsidRPr="00E72880">
        <w:rPr>
          <w:rFonts w:cs="Times New Roman"/>
          <w:szCs w:val="24"/>
        </w:rPr>
        <w:t>organization environment</w:t>
      </w:r>
      <w:r>
        <w:rPr>
          <w:rFonts w:cs="Times New Roman"/>
          <w:szCs w:val="24"/>
        </w:rPr>
        <w:t xml:space="preserve"> in real life</w:t>
      </w:r>
      <w:r w:rsidRPr="00E72880">
        <w:rPr>
          <w:rFonts w:cs="Times New Roman"/>
          <w:szCs w:val="24"/>
        </w:rPr>
        <w:t xml:space="preserve">. It will comprise </w:t>
      </w:r>
      <w:r>
        <w:rPr>
          <w:rFonts w:cs="Times New Roman"/>
          <w:szCs w:val="24"/>
        </w:rPr>
        <w:t xml:space="preserve">of </w:t>
      </w:r>
      <w:r w:rsidRPr="00E72880">
        <w:rPr>
          <w:rFonts w:cs="Times New Roman"/>
          <w:szCs w:val="24"/>
        </w:rPr>
        <w:t>the analysis of the Islamic Banking industry</w:t>
      </w:r>
      <w:r>
        <w:rPr>
          <w:rFonts w:cs="Times New Roman"/>
          <w:szCs w:val="24"/>
        </w:rPr>
        <w:t xml:space="preserve"> of Bangladesh</w:t>
      </w:r>
      <w:r w:rsidRPr="00E72880">
        <w:rPr>
          <w:rFonts w:cs="Times New Roman"/>
          <w:szCs w:val="24"/>
        </w:rPr>
        <w:t>,</w:t>
      </w:r>
      <w:r>
        <w:rPr>
          <w:rFonts w:cs="Times New Roman"/>
          <w:szCs w:val="24"/>
        </w:rPr>
        <w:t xml:space="preserve"> analysis of the </w:t>
      </w:r>
      <w:r w:rsidRPr="00E72880">
        <w:rPr>
          <w:rFonts w:cs="Times New Roman"/>
          <w:szCs w:val="24"/>
        </w:rPr>
        <w:t>SIBL, and my internship experience. The reader will get about the difference between conventional banking and Islamic Banking. This report also enhances the function, market position, and procedure of the Islamic Banking Industry of Bangladesh particularly SIBL. Th</w:t>
      </w:r>
      <w:r>
        <w:rPr>
          <w:rFonts w:cs="Times New Roman"/>
          <w:szCs w:val="24"/>
        </w:rPr>
        <w:t>is</w:t>
      </w:r>
      <w:r w:rsidRPr="00E72880">
        <w:rPr>
          <w:rFonts w:cs="Times New Roman"/>
          <w:szCs w:val="24"/>
        </w:rPr>
        <w:t xml:space="preserve"> report contains vast amounts of data from authentic sources so that banks can use for their future reference endeavor.</w:t>
      </w:r>
    </w:p>
    <w:p w14:paraId="4ABD1D32" w14:textId="5115FCE5" w:rsidR="00C22FCC" w:rsidRPr="00010B33" w:rsidRDefault="00280FC6" w:rsidP="00280FC6">
      <w:pPr>
        <w:spacing w:line="360" w:lineRule="auto"/>
        <w:jc w:val="both"/>
        <w:rPr>
          <w:rFonts w:cs="Times New Roman"/>
          <w:szCs w:val="24"/>
        </w:rPr>
      </w:pPr>
      <w:r w:rsidRPr="00E72880">
        <w:rPr>
          <w:rFonts w:cs="Times New Roman"/>
          <w:szCs w:val="24"/>
        </w:rPr>
        <w:t xml:space="preserve">The test was to interpret the theoretical knowledge into a </w:t>
      </w:r>
      <w:r>
        <w:rPr>
          <w:rFonts w:cs="Times New Roman"/>
          <w:szCs w:val="24"/>
        </w:rPr>
        <w:t>practical</w:t>
      </w:r>
      <w:r w:rsidRPr="00E72880">
        <w:rPr>
          <w:rFonts w:cs="Times New Roman"/>
          <w:szCs w:val="24"/>
        </w:rPr>
        <w:t xml:space="preserve"> experience</w:t>
      </w:r>
      <w:r>
        <w:rPr>
          <w:rFonts w:cs="Times New Roman"/>
          <w:szCs w:val="24"/>
        </w:rPr>
        <w:t>,</w:t>
      </w:r>
      <w:r w:rsidRPr="00E72880">
        <w:rPr>
          <w:rFonts w:cs="Times New Roman"/>
          <w:szCs w:val="24"/>
        </w:rPr>
        <w:t xml:space="preserve"> which was difficult for me being only an intern. This report will also help another student </w:t>
      </w:r>
      <w:r>
        <w:rPr>
          <w:rFonts w:cs="Times New Roman"/>
          <w:szCs w:val="24"/>
        </w:rPr>
        <w:t>grasp</w:t>
      </w:r>
      <w:r w:rsidRPr="00E72880">
        <w:rPr>
          <w:rFonts w:cs="Times New Roman"/>
          <w:szCs w:val="24"/>
        </w:rPr>
        <w:t xml:space="preserve"> and establish detailed knowledge on the</w:t>
      </w:r>
      <w:r>
        <w:rPr>
          <w:rFonts w:cs="Times New Roman"/>
          <w:szCs w:val="24"/>
        </w:rPr>
        <w:t xml:space="preserve"> responsibility of the job</w:t>
      </w:r>
      <w:r w:rsidRPr="00E72880">
        <w:rPr>
          <w:rFonts w:cs="Times New Roman"/>
          <w:szCs w:val="24"/>
        </w:rPr>
        <w:t xml:space="preserve">, </w:t>
      </w:r>
      <w:r w:rsidR="006A5199">
        <w:rPr>
          <w:rFonts w:cs="Times New Roman"/>
          <w:szCs w:val="24"/>
        </w:rPr>
        <w:t xml:space="preserve">the </w:t>
      </w:r>
      <w:r w:rsidRPr="00E72880">
        <w:rPr>
          <w:rFonts w:cs="Times New Roman"/>
          <w:szCs w:val="24"/>
        </w:rPr>
        <w:t xml:space="preserve">idea about the </w:t>
      </w:r>
      <w:r>
        <w:rPr>
          <w:rFonts w:cs="Times New Roman"/>
          <w:szCs w:val="24"/>
        </w:rPr>
        <w:t>practical</w:t>
      </w:r>
      <w:r w:rsidRPr="00E72880">
        <w:rPr>
          <w:rFonts w:cs="Times New Roman"/>
          <w:szCs w:val="24"/>
        </w:rPr>
        <w:t xml:space="preserve"> business world, and compare the real</w:t>
      </w:r>
      <w:r>
        <w:rPr>
          <w:rFonts w:cs="Times New Roman"/>
          <w:szCs w:val="24"/>
        </w:rPr>
        <w:t>-life</w:t>
      </w:r>
      <w:r w:rsidRPr="00E72880">
        <w:rPr>
          <w:rFonts w:cs="Times New Roman"/>
          <w:szCs w:val="24"/>
        </w:rPr>
        <w:t xml:space="preserve"> scenario with the lessons </w:t>
      </w:r>
      <w:r>
        <w:rPr>
          <w:rFonts w:cs="Times New Roman"/>
          <w:szCs w:val="24"/>
        </w:rPr>
        <w:t xml:space="preserve">that have been </w:t>
      </w:r>
      <w:r w:rsidRPr="00E72880">
        <w:rPr>
          <w:rFonts w:cs="Times New Roman"/>
          <w:szCs w:val="24"/>
        </w:rPr>
        <w:t>learn</w:t>
      </w:r>
      <w:r w:rsidR="006A5199">
        <w:rPr>
          <w:rFonts w:cs="Times New Roman"/>
          <w:szCs w:val="24"/>
        </w:rPr>
        <w:t>ed</w:t>
      </w:r>
      <w:r>
        <w:rPr>
          <w:rFonts w:cs="Times New Roman"/>
          <w:szCs w:val="24"/>
        </w:rPr>
        <w:t xml:space="preserve"> during the academic years</w:t>
      </w:r>
      <w:r w:rsidRPr="00E72880">
        <w:rPr>
          <w:rFonts w:cs="Times New Roman"/>
          <w:szCs w:val="24"/>
        </w:rPr>
        <w:t>. This report also provides present information and market scenario of Islamic Banking Industry particularly SIBL which may be helpful for the policymakers, industrialist</w:t>
      </w:r>
      <w:r w:rsidR="006A5199">
        <w:rPr>
          <w:rFonts w:cs="Times New Roman"/>
          <w:szCs w:val="24"/>
        </w:rPr>
        <w:t>,</w:t>
      </w:r>
      <w:r w:rsidRPr="00E72880">
        <w:rPr>
          <w:rFonts w:cs="Times New Roman"/>
          <w:szCs w:val="24"/>
        </w:rPr>
        <w:t xml:space="preserve"> and individual business person</w:t>
      </w:r>
      <w:r w:rsidR="00684289">
        <w:rPr>
          <w:rFonts w:cs="Times New Roman"/>
          <w:szCs w:val="24"/>
        </w:rPr>
        <w:t>.</w:t>
      </w:r>
    </w:p>
    <w:p w14:paraId="5415D11E" w14:textId="77777777" w:rsidR="00C22FCC" w:rsidRPr="00010B33" w:rsidRDefault="00C22FCC" w:rsidP="005C25E2">
      <w:pPr>
        <w:spacing w:line="360" w:lineRule="auto"/>
        <w:jc w:val="both"/>
        <w:rPr>
          <w:rFonts w:cs="Times New Roman"/>
          <w:szCs w:val="24"/>
        </w:rPr>
      </w:pPr>
      <w:r w:rsidRPr="00010B33">
        <w:rPr>
          <w:rFonts w:cs="Times New Roman"/>
          <w:b/>
          <w:szCs w:val="24"/>
          <w:u w:val="single"/>
        </w:rPr>
        <w:t>LIMITATIONS OF THE REPORT</w:t>
      </w:r>
    </w:p>
    <w:p w14:paraId="64045073" w14:textId="68009BA0" w:rsidR="00C22FCC" w:rsidRPr="00010B33" w:rsidRDefault="00C22FCC" w:rsidP="005C25E2">
      <w:pPr>
        <w:spacing w:line="360" w:lineRule="auto"/>
        <w:jc w:val="both"/>
        <w:rPr>
          <w:rFonts w:cs="Times New Roman"/>
          <w:szCs w:val="24"/>
        </w:rPr>
      </w:pPr>
      <w:r w:rsidRPr="00010B33">
        <w:rPr>
          <w:rFonts w:cs="Times New Roman"/>
          <w:szCs w:val="24"/>
        </w:rPr>
        <w:t xml:space="preserve">It is included that the gathering of correct data and information is troublesome because the greatest data is classified. A large portion of the data has been taken from Secondary sources. It was exceptionally hard to get genuine data for me as a result of classification. Adequate records, productions, archives were not accessible as the organization website wasn’t ingenious. This requirement limits the extent of the genuine investigation. In light of time limitations, I couldn't invest adequate energy to make an inside and out examination. Because of time restriction, huge numbers of the viewpoints couldn't be examined in the report and </w:t>
      </w:r>
      <w:r w:rsidR="006A5199">
        <w:rPr>
          <w:rFonts w:cs="Times New Roman"/>
          <w:szCs w:val="24"/>
        </w:rPr>
        <w:t>I</w:t>
      </w:r>
      <w:r w:rsidRPr="00010B33">
        <w:rPr>
          <w:rFonts w:cs="Times New Roman"/>
          <w:szCs w:val="24"/>
        </w:rPr>
        <w:t xml:space="preserve"> needed more time to prepare for my satisfaction. Each association has its mystery that isn't uncovered to other people. While gathering information they didn't unveil much data for authoritative classification. Despite the untiring effort, there are still some shortcomings prevailing in the report. There was a lack of practical experience and capabilities in the real world. Sample of references such as articles, journals, various links was rare to find, and even when it was found, it was difficult to take whole data and information due to the suspicion of directly copying. Lastly, couldn’t gather information by personally visiting companies due to the pandemic (Covid-19).</w:t>
      </w:r>
    </w:p>
    <w:p w14:paraId="148F42D7" w14:textId="77777777" w:rsidR="004409AC" w:rsidRPr="004409AC" w:rsidRDefault="00C22FCC" w:rsidP="005C25E2">
      <w:pPr>
        <w:sectPr w:rsidR="004409AC" w:rsidRPr="004409AC" w:rsidSect="009C20D1">
          <w:headerReference w:type="default" r:id="rId18"/>
          <w:pgSz w:w="11909" w:h="16834" w:code="9"/>
          <w:pgMar w:top="1440" w:right="1440" w:bottom="1440" w:left="1440" w:header="720" w:footer="720" w:gutter="0"/>
          <w:pgNumType w:start="2"/>
          <w:cols w:space="720"/>
          <w:docGrid w:linePitch="360"/>
        </w:sectPr>
      </w:pPr>
      <w:r w:rsidRPr="00010B33">
        <w:lastRenderedPageBreak/>
        <w:t>Despite these limitations, I tried my preeminent to accumulate the required data and information that have been ana</w:t>
      </w:r>
      <w:r w:rsidR="004409AC">
        <w:t xml:space="preserve">lyzed in the </w:t>
      </w:r>
      <w:r w:rsidR="00957A35">
        <w:t>following sections.</w:t>
      </w:r>
    </w:p>
    <w:p w14:paraId="5703FDA2" w14:textId="77777777" w:rsidR="004409AC" w:rsidRPr="004409AC" w:rsidRDefault="00A13E5A" w:rsidP="005C25E2">
      <w:pPr>
        <w:spacing w:line="360" w:lineRule="auto"/>
        <w:jc w:val="both"/>
        <w:rPr>
          <w:rFonts w:cs="Times New Roman"/>
          <w:b/>
          <w:szCs w:val="24"/>
        </w:rPr>
        <w:sectPr w:rsidR="004409AC" w:rsidRPr="004409AC" w:rsidSect="009C20D1">
          <w:headerReference w:type="default" r:id="rId19"/>
          <w:pgSz w:w="11909" w:h="16834" w:code="9"/>
          <w:pgMar w:top="1440" w:right="1440" w:bottom="1440" w:left="1440" w:header="720" w:footer="720" w:gutter="0"/>
          <w:pgNumType w:start="9"/>
          <w:cols w:space="720"/>
          <w:docGrid w:linePitch="360"/>
        </w:sectPr>
      </w:pPr>
      <w:r>
        <w:rPr>
          <w:rFonts w:cs="Times New Roman"/>
          <w:b/>
          <w:noProof/>
          <w:szCs w:val="24"/>
        </w:rPr>
        <w:lastRenderedPageBreak/>
        <w:drawing>
          <wp:anchor distT="0" distB="0" distL="114300" distR="114300" simplePos="0" relativeHeight="251672576" behindDoc="0" locked="0" layoutInCell="1" allowOverlap="1" wp14:anchorId="6F12F1F9" wp14:editId="71DD9362">
            <wp:simplePos x="914400" y="914400"/>
            <wp:positionH relativeFrom="margin">
              <wp:align>center</wp:align>
            </wp:positionH>
            <wp:positionV relativeFrom="margin">
              <wp:align>center</wp:align>
            </wp:positionV>
            <wp:extent cx="5733415" cy="440309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pter 2.png"/>
                    <pic:cNvPicPr/>
                  </pic:nvPicPr>
                  <pic:blipFill>
                    <a:blip r:embed="rId20">
                      <a:extLst>
                        <a:ext uri="{28A0092B-C50C-407E-A947-70E740481C1C}">
                          <a14:useLocalDpi xmlns:a14="http://schemas.microsoft.com/office/drawing/2010/main" val="0"/>
                        </a:ext>
                      </a:extLst>
                    </a:blip>
                    <a:stretch>
                      <a:fillRect/>
                    </a:stretch>
                  </pic:blipFill>
                  <pic:spPr>
                    <a:xfrm>
                      <a:off x="0" y="0"/>
                      <a:ext cx="5733415" cy="4403090"/>
                    </a:xfrm>
                    <a:prstGeom prst="rect">
                      <a:avLst/>
                    </a:prstGeom>
                  </pic:spPr>
                </pic:pic>
              </a:graphicData>
            </a:graphic>
          </wp:anchor>
        </w:drawing>
      </w:r>
    </w:p>
    <w:p w14:paraId="4F260D49" w14:textId="77777777" w:rsidR="00C22FCC" w:rsidRPr="00010B33" w:rsidRDefault="0064059C" w:rsidP="005C25E2">
      <w:pPr>
        <w:pStyle w:val="Heading1"/>
      </w:pPr>
      <w:bookmarkStart w:id="6" w:name="_Toc70725919"/>
      <w:r w:rsidRPr="00010B33">
        <w:lastRenderedPageBreak/>
        <w:t xml:space="preserve">CHAPTER-2 | </w:t>
      </w:r>
      <w:r w:rsidR="00C22FCC" w:rsidRPr="00010B33">
        <w:t>ANALYSIS OF THE INDUSTRY</w:t>
      </w:r>
      <w:bookmarkEnd w:id="6"/>
    </w:p>
    <w:p w14:paraId="01D896C5" w14:textId="77777777" w:rsidR="00C22FCC" w:rsidRPr="00010B33" w:rsidRDefault="00C22FCC" w:rsidP="005C25E2">
      <w:pPr>
        <w:pStyle w:val="Heading2"/>
        <w:numPr>
          <w:ilvl w:val="0"/>
          <w:numId w:val="0"/>
        </w:numPr>
        <w:ind w:left="360"/>
      </w:pPr>
      <w:bookmarkStart w:id="7" w:name="_Toc70725920"/>
      <w:r w:rsidRPr="00010B33">
        <w:t>2.1. SPECIFICATION OF THE INDUSTRY</w:t>
      </w:r>
      <w:bookmarkEnd w:id="7"/>
    </w:p>
    <w:p w14:paraId="6D1CB099" w14:textId="3DC61A5B" w:rsidR="00C22FCC" w:rsidRPr="00010B33" w:rsidRDefault="00C22FCC" w:rsidP="005C25E2">
      <w:pPr>
        <w:spacing w:line="360" w:lineRule="auto"/>
        <w:jc w:val="both"/>
        <w:rPr>
          <w:rFonts w:cs="Times New Roman"/>
          <w:szCs w:val="24"/>
        </w:rPr>
      </w:pPr>
      <w:r w:rsidRPr="00010B33">
        <w:rPr>
          <w:rFonts w:cs="Times New Roman"/>
          <w:szCs w:val="24"/>
        </w:rPr>
        <w:t>The idea of Islamic Bank, as defined by the General Secretariat of the OIC, is as per the following. "The Islamic Bank should have a  status, rules</w:t>
      </w:r>
      <w:r w:rsidR="00F97A4B">
        <w:rPr>
          <w:rFonts w:cs="Times New Roman"/>
          <w:szCs w:val="24"/>
        </w:rPr>
        <w:t>,</w:t>
      </w:r>
      <w:r w:rsidRPr="00010B33">
        <w:rPr>
          <w:rFonts w:cs="Times New Roman"/>
          <w:szCs w:val="24"/>
        </w:rPr>
        <w:t xml:space="preserve"> and techniques explicitly express its obligation to the guideline of Islamic Shariah and to restrict the receipt and payment of interest </w:t>
      </w:r>
      <w:proofErr w:type="spellStart"/>
      <w:r w:rsidRPr="00010B33">
        <w:rPr>
          <w:rFonts w:cs="Times New Roman"/>
          <w:szCs w:val="24"/>
        </w:rPr>
        <w:t>n</w:t>
      </w:r>
      <w:proofErr w:type="spellEnd"/>
      <w:r w:rsidRPr="00010B33">
        <w:rPr>
          <w:rFonts w:cs="Times New Roman"/>
          <w:szCs w:val="24"/>
        </w:rPr>
        <w:t xml:space="preserve"> any of its tasks. As aforementioned statement describe that Islamic banking </w:t>
      </w:r>
      <w:r w:rsidR="006A5199">
        <w:rPr>
          <w:rFonts w:cs="Times New Roman"/>
          <w:szCs w:val="24"/>
        </w:rPr>
        <w:t>a</w:t>
      </w:r>
      <w:r w:rsidRPr="00010B33">
        <w:rPr>
          <w:rFonts w:cs="Times New Roman"/>
          <w:szCs w:val="24"/>
        </w:rPr>
        <w:t xml:space="preserve">s a financial intermediary’s framework that tries to ignore interest in any of its transactions and operates in such a way as to help meet the goal of the Islamic economy. This banking industry gives assurance on guaranteeing equity and fairness to the community. As it runs through the Islamic Principles of profit-sharing and loss-sharing </w:t>
      </w:r>
      <w:r w:rsidR="003B7BFE" w:rsidRPr="00010B33">
        <w:rPr>
          <w:rFonts w:cs="Times New Roman"/>
          <w:szCs w:val="24"/>
        </w:rPr>
        <w:t>transactions</w:t>
      </w:r>
      <w:r w:rsidRPr="00010B33">
        <w:rPr>
          <w:rFonts w:cs="Times New Roman"/>
          <w:szCs w:val="24"/>
        </w:rPr>
        <w:t xml:space="preserve"> it is known as PLS bank.</w:t>
      </w:r>
    </w:p>
    <w:p w14:paraId="00AFBDCC" w14:textId="77777777" w:rsidR="00C22FCC" w:rsidRPr="00957A35" w:rsidRDefault="00C22FCC" w:rsidP="005C25E2">
      <w:pPr>
        <w:spacing w:line="360" w:lineRule="auto"/>
        <w:jc w:val="both"/>
        <w:rPr>
          <w:rFonts w:cs="Times New Roman"/>
          <w:b/>
          <w:color w:val="000000"/>
          <w:szCs w:val="24"/>
          <w:u w:val="single"/>
          <w:shd w:val="clear" w:color="auto" w:fill="FFFFFF"/>
        </w:rPr>
      </w:pPr>
      <w:r w:rsidRPr="00957A35">
        <w:rPr>
          <w:rFonts w:cs="Times New Roman"/>
          <w:b/>
          <w:color w:val="000000"/>
          <w:szCs w:val="24"/>
          <w:u w:val="single"/>
          <w:shd w:val="clear" w:color="auto" w:fill="FFFFFF"/>
        </w:rPr>
        <w:t>The emergence of Islamic Based Bank</w:t>
      </w:r>
      <w:r w:rsidR="00957A35">
        <w:rPr>
          <w:rFonts w:cs="Times New Roman"/>
          <w:b/>
          <w:color w:val="000000"/>
          <w:szCs w:val="24"/>
          <w:u w:val="single"/>
          <w:shd w:val="clear" w:color="auto" w:fill="FFFFFF"/>
        </w:rPr>
        <w:t xml:space="preserve"> in Bangladesh</w:t>
      </w:r>
    </w:p>
    <w:p w14:paraId="7110E7FD" w14:textId="1AFD7219" w:rsidR="007C31BA" w:rsidRPr="00010B33" w:rsidRDefault="00C22FCC" w:rsidP="005C25E2">
      <w:pPr>
        <w:spacing w:line="360" w:lineRule="auto"/>
        <w:jc w:val="both"/>
        <w:rPr>
          <w:rFonts w:cs="Times New Roman"/>
          <w:szCs w:val="24"/>
        </w:rPr>
      </w:pPr>
      <w:r w:rsidRPr="00010B33">
        <w:rPr>
          <w:rFonts w:cs="Times New Roman"/>
          <w:szCs w:val="24"/>
        </w:rPr>
        <w:t xml:space="preserve">In August 1974, Bangladesh signed the Charter of the Islamic Development Bank and engaged itself in reorganizing the Islamic Shariah's economic and financial system. </w:t>
      </w:r>
      <w:r w:rsidR="003B7BFE" w:rsidRPr="00010B33">
        <w:rPr>
          <w:rFonts w:cs="Times New Roman"/>
          <w:szCs w:val="24"/>
        </w:rPr>
        <w:t xml:space="preserve"> </w:t>
      </w:r>
      <w:r w:rsidRPr="00010B33">
        <w:rPr>
          <w:rFonts w:cs="Times New Roman"/>
          <w:szCs w:val="24"/>
        </w:rPr>
        <w:t xml:space="preserve">In January of 1981, The Government of Bangladesh has placed great emphasis on the expansion of banking operations. Mostly in a couple of years following independence, there was a gigantic increase in volume and size of bank branches and the growth of banking business. Government strategy is acting as a stimulus on the advancement of the industry. </w:t>
      </w:r>
      <w:r w:rsidR="005B31AF" w:rsidRPr="00010B33">
        <w:rPr>
          <w:rFonts w:cs="Times New Roman"/>
          <w:szCs w:val="24"/>
        </w:rPr>
        <w:t xml:space="preserve">Therefore, Bangladesh's banking sector now contains Bangladesh Bank (BB) because </w:t>
      </w:r>
      <w:r w:rsidR="00F97A4B">
        <w:rPr>
          <w:rFonts w:cs="Times New Roman"/>
          <w:szCs w:val="24"/>
        </w:rPr>
        <w:t xml:space="preserve">of </w:t>
      </w:r>
      <w:r w:rsidR="005B31AF" w:rsidRPr="00010B33">
        <w:rPr>
          <w:rFonts w:cs="Times New Roman"/>
          <w:szCs w:val="24"/>
        </w:rPr>
        <w:t xml:space="preserve">the </w:t>
      </w:r>
      <w:r w:rsidR="007C31BA" w:rsidRPr="00010B33">
        <w:rPr>
          <w:rFonts w:cs="Times New Roman"/>
          <w:szCs w:val="24"/>
        </w:rPr>
        <w:t>establishment</w:t>
      </w:r>
      <w:r w:rsidR="005B31AF" w:rsidRPr="00010B33">
        <w:rPr>
          <w:rFonts w:cs="Times New Roman"/>
          <w:szCs w:val="24"/>
        </w:rPr>
        <w:t xml:space="preserve"> and 51 commercial banks comprising four nationalized commercial banks (NCBs), five government-owned specialized banks,</w:t>
      </w:r>
      <w:r w:rsidR="00431D2E" w:rsidRPr="00431D2E">
        <w:rPr>
          <w:rFonts w:cs="Times New Roman"/>
          <w:szCs w:val="24"/>
        </w:rPr>
        <w:t xml:space="preserve"> </w:t>
      </w:r>
      <w:r w:rsidR="00431D2E" w:rsidRPr="00010B33">
        <w:rPr>
          <w:rFonts w:cs="Times New Roman"/>
          <w:szCs w:val="24"/>
        </w:rPr>
        <w:t>13 foreign commercial banks</w:t>
      </w:r>
      <w:r w:rsidR="00431D2E">
        <w:rPr>
          <w:rFonts w:cs="Times New Roman"/>
          <w:szCs w:val="24"/>
        </w:rPr>
        <w:t>, and 29 domestic private banks.</w:t>
      </w:r>
      <w:r w:rsidR="005B31AF" w:rsidRPr="00010B33">
        <w:rPr>
          <w:rFonts w:cs="Times New Roman"/>
          <w:szCs w:val="24"/>
        </w:rPr>
        <w:t xml:space="preserve"> Of the 51 local and foreign bank</w:t>
      </w:r>
      <w:r w:rsidR="00431D2E">
        <w:rPr>
          <w:rFonts w:cs="Times New Roman"/>
          <w:szCs w:val="24"/>
        </w:rPr>
        <w:t>s, six are Islamic and the rests are</w:t>
      </w:r>
      <w:r w:rsidR="005B31AF" w:rsidRPr="00010B33">
        <w:rPr>
          <w:rFonts w:cs="Times New Roman"/>
          <w:szCs w:val="24"/>
        </w:rPr>
        <w:t xml:space="preserve"> conventional banks. The six Islamic banks </w:t>
      </w:r>
      <w:r w:rsidR="007C31BA" w:rsidRPr="00010B33">
        <w:rPr>
          <w:rFonts w:cs="Times New Roman"/>
          <w:szCs w:val="24"/>
        </w:rPr>
        <w:t>functioning</w:t>
      </w:r>
      <w:r w:rsidR="005B31AF" w:rsidRPr="00010B33">
        <w:rPr>
          <w:rFonts w:cs="Times New Roman"/>
          <w:szCs w:val="24"/>
        </w:rPr>
        <w:t xml:space="preserve"> within the private sector are Islami Bank Bangladesh Limited, Social </w:t>
      </w:r>
      <w:proofErr w:type="spellStart"/>
      <w:r w:rsidR="005B31AF" w:rsidRPr="00010B33">
        <w:rPr>
          <w:rFonts w:cs="Times New Roman"/>
          <w:szCs w:val="24"/>
        </w:rPr>
        <w:t>I</w:t>
      </w:r>
      <w:r w:rsidR="00431D2E">
        <w:rPr>
          <w:rFonts w:cs="Times New Roman"/>
          <w:szCs w:val="24"/>
        </w:rPr>
        <w:t>slami</w:t>
      </w:r>
      <w:proofErr w:type="spellEnd"/>
      <w:r w:rsidR="005B31AF" w:rsidRPr="00010B33">
        <w:rPr>
          <w:rFonts w:cs="Times New Roman"/>
          <w:szCs w:val="24"/>
        </w:rPr>
        <w:t xml:space="preserve"> Bank Limited,</w:t>
      </w:r>
      <w:r w:rsidR="00431D2E" w:rsidRPr="00431D2E">
        <w:rPr>
          <w:rFonts w:cs="Times New Roman"/>
          <w:szCs w:val="24"/>
        </w:rPr>
        <w:t xml:space="preserve"> </w:t>
      </w:r>
      <w:r w:rsidR="00431D2E" w:rsidRPr="00010B33">
        <w:rPr>
          <w:rFonts w:cs="Times New Roman"/>
          <w:szCs w:val="24"/>
        </w:rPr>
        <w:t>Al-</w:t>
      </w:r>
      <w:proofErr w:type="spellStart"/>
      <w:r w:rsidR="00431D2E" w:rsidRPr="00010B33">
        <w:rPr>
          <w:rFonts w:cs="Times New Roman"/>
          <w:szCs w:val="24"/>
        </w:rPr>
        <w:t>Arafah</w:t>
      </w:r>
      <w:proofErr w:type="spellEnd"/>
      <w:r w:rsidR="00431D2E" w:rsidRPr="00010B33">
        <w:rPr>
          <w:rFonts w:cs="Times New Roman"/>
          <w:szCs w:val="24"/>
        </w:rPr>
        <w:t xml:space="preserve"> </w:t>
      </w:r>
      <w:proofErr w:type="spellStart"/>
      <w:r w:rsidR="00431D2E" w:rsidRPr="00010B33">
        <w:rPr>
          <w:rFonts w:cs="Times New Roman"/>
          <w:szCs w:val="24"/>
        </w:rPr>
        <w:t>Islami</w:t>
      </w:r>
      <w:proofErr w:type="spellEnd"/>
      <w:r w:rsidR="00431D2E" w:rsidRPr="00010B33">
        <w:rPr>
          <w:rFonts w:cs="Times New Roman"/>
          <w:szCs w:val="24"/>
        </w:rPr>
        <w:t xml:space="preserve"> Bank Limited,</w:t>
      </w:r>
      <w:r w:rsidR="00431D2E" w:rsidRPr="00431D2E">
        <w:rPr>
          <w:rFonts w:cs="Times New Roman"/>
          <w:szCs w:val="24"/>
        </w:rPr>
        <w:t xml:space="preserve"> </w:t>
      </w:r>
      <w:r w:rsidR="00431D2E" w:rsidRPr="00010B33">
        <w:rPr>
          <w:rFonts w:cs="Times New Roman"/>
          <w:szCs w:val="24"/>
        </w:rPr>
        <w:t>Al-Baraka Bank Bangladesh Limited</w:t>
      </w:r>
      <w:proofErr w:type="gramStart"/>
      <w:r w:rsidR="00431D2E" w:rsidRPr="00010B33">
        <w:rPr>
          <w:rFonts w:cs="Times New Roman"/>
          <w:szCs w:val="24"/>
        </w:rPr>
        <w:t xml:space="preserve">, </w:t>
      </w:r>
      <w:r w:rsidR="005B31AF" w:rsidRPr="00010B33">
        <w:rPr>
          <w:rFonts w:cs="Times New Roman"/>
          <w:szCs w:val="24"/>
        </w:rPr>
        <w:t xml:space="preserve"> Shamil</w:t>
      </w:r>
      <w:proofErr w:type="gramEnd"/>
      <w:r w:rsidR="005B31AF" w:rsidRPr="00010B33">
        <w:rPr>
          <w:rFonts w:cs="Times New Roman"/>
          <w:szCs w:val="24"/>
        </w:rPr>
        <w:t xml:space="preserve"> Bank of Bahrain E.C., and Shahjalal Bank Limited. Shamil Bank of Bahrain E.C. (previously observed as Faysal Islamic Bank of Bahrain E.C.) may well be an overseas bank and is that the biggest Islamic bank within the globe. It opened a branch in Bangladesh in 1998. Additionally to those Islamic banks, two other private banks—Prime Bank Limited and Dhaka Bank Limited—have opened two Islamic banking branches and an Islamic banking counter, correspondingly, to covenant with the Islamic banking business parallel to their conventional interest-based banking operations </w:t>
      </w:r>
      <w:r w:rsidR="005B31AF" w:rsidRPr="00010B33">
        <w:rPr>
          <w:rFonts w:cs="Times New Roman"/>
          <w:szCs w:val="24"/>
        </w:rPr>
        <w:lastRenderedPageBreak/>
        <w:t>since the inauguration of the banks in 1995. Also, four Islamic insurance companies (Islamic Insurance Bangladesh Limited, Islamic Commercial Insurance Limited, Takaful insurance firm Limited, and far East Islamic insurance company Limited) are functioning as Islamic financial institutions in Bangladesh.</w:t>
      </w:r>
      <w:r w:rsidR="007C31BA" w:rsidRPr="00010B33">
        <w:rPr>
          <w:rFonts w:cs="Times New Roman"/>
          <w:szCs w:val="24"/>
        </w:rPr>
        <w:t xml:space="preserve"> </w:t>
      </w:r>
    </w:p>
    <w:p w14:paraId="30A0CD8C" w14:textId="77777777" w:rsidR="00C22FCC" w:rsidRPr="00957A35" w:rsidRDefault="00C22FCC" w:rsidP="005C25E2">
      <w:pPr>
        <w:spacing w:line="360" w:lineRule="auto"/>
        <w:jc w:val="both"/>
        <w:rPr>
          <w:rFonts w:cs="Times New Roman"/>
          <w:b/>
          <w:szCs w:val="24"/>
          <w:u w:val="single"/>
        </w:rPr>
      </w:pPr>
      <w:r w:rsidRPr="00957A35">
        <w:rPr>
          <w:rFonts w:cs="Times New Roman"/>
          <w:b/>
          <w:szCs w:val="24"/>
          <w:u w:val="single"/>
        </w:rPr>
        <w:t>Functions of Shariah Board</w:t>
      </w:r>
    </w:p>
    <w:p w14:paraId="3C54421C" w14:textId="77777777" w:rsidR="00530949" w:rsidRDefault="00C22FCC" w:rsidP="005C25E2">
      <w:pPr>
        <w:spacing w:line="360" w:lineRule="auto"/>
        <w:jc w:val="both"/>
        <w:rPr>
          <w:rFonts w:cs="Times New Roman"/>
          <w:szCs w:val="24"/>
        </w:rPr>
      </w:pPr>
      <w:r w:rsidRPr="00010B33">
        <w:rPr>
          <w:rFonts w:cs="Times New Roman"/>
          <w:szCs w:val="24"/>
        </w:rPr>
        <w:t>The primary purpose of the Shariah Committee of the Shariah Board is to guide the Bank's jurisdiction to prepare the manpower of the Bank so that they can operate the Bank upon on the principles of Shariah.</w:t>
      </w:r>
      <w:r w:rsidR="00C53284" w:rsidRPr="00010B33">
        <w:rPr>
          <w:rFonts w:cs="Times New Roman"/>
          <w:szCs w:val="24"/>
        </w:rPr>
        <w:t xml:space="preserve"> </w:t>
      </w:r>
      <w:r w:rsidRPr="00010B33">
        <w:rPr>
          <w:rFonts w:cs="Times New Roman"/>
          <w:szCs w:val="24"/>
        </w:rPr>
        <w:t>They also regulate the functions of the bank, whether they comply with the norms.</w:t>
      </w:r>
      <w:r w:rsidR="00C53284" w:rsidRPr="00010B33">
        <w:rPr>
          <w:rFonts w:cs="Times New Roman"/>
          <w:szCs w:val="24"/>
        </w:rPr>
        <w:t xml:space="preserve"> </w:t>
      </w:r>
      <w:r w:rsidRPr="00010B33">
        <w:rPr>
          <w:rFonts w:cs="Times New Roman"/>
          <w:szCs w:val="24"/>
        </w:rPr>
        <w:t>They introduce audits/inspections of Islamic Bank branches with the assistance of Bank Officers and respond audits/inspection reports to the Board of Directors with their responses to ensure Shariah's compliance.</w:t>
      </w:r>
      <w:r w:rsidR="00C53284" w:rsidRPr="00010B33">
        <w:rPr>
          <w:rFonts w:cs="Times New Roman"/>
          <w:szCs w:val="24"/>
        </w:rPr>
        <w:t xml:space="preserve"> </w:t>
      </w:r>
      <w:r w:rsidRPr="00010B33">
        <w:rPr>
          <w:rFonts w:cs="Times New Roman"/>
          <w:szCs w:val="24"/>
        </w:rPr>
        <w:t>They shall also retrieve information/data from their banks and other Islamic banks of the country and shall organize for the preservation of information/data for a uniform decision.</w:t>
      </w:r>
      <w:r w:rsidR="00C53284" w:rsidRPr="00010B33">
        <w:rPr>
          <w:rFonts w:cs="Times New Roman"/>
          <w:szCs w:val="24"/>
        </w:rPr>
        <w:t xml:space="preserve"> </w:t>
      </w:r>
      <w:r w:rsidRPr="00010B33">
        <w:rPr>
          <w:rFonts w:cs="Times New Roman"/>
          <w:szCs w:val="24"/>
        </w:rPr>
        <w:t>The authorization of the Shariah Council is obligatory on the authority of Islamic Banks before the launch of any new product on Shariah constitutionality.</w:t>
      </w:r>
      <w:r w:rsidR="00C53284" w:rsidRPr="00010B33">
        <w:rPr>
          <w:rFonts w:cs="Times New Roman"/>
          <w:szCs w:val="24"/>
        </w:rPr>
        <w:t xml:space="preserve"> </w:t>
      </w:r>
      <w:r w:rsidRPr="00010B33">
        <w:rPr>
          <w:rFonts w:cs="Times New Roman"/>
          <w:szCs w:val="24"/>
        </w:rPr>
        <w:t xml:space="preserve">The Board likewise coordinates time-to-time seminars/workshops on Islamic banking to strengthen the awareness and insight of Islamic bankers </w:t>
      </w:r>
      <w:r w:rsidR="00684289">
        <w:rPr>
          <w:rFonts w:cs="Times New Roman"/>
          <w:szCs w:val="24"/>
        </w:rPr>
        <w:t>and sc</w:t>
      </w:r>
      <w:r w:rsidR="00572FB2">
        <w:rPr>
          <w:rFonts w:cs="Times New Roman"/>
          <w:szCs w:val="24"/>
        </w:rPr>
        <w:t>holars of Islamic banking</w:t>
      </w:r>
    </w:p>
    <w:p w14:paraId="47CBDF91" w14:textId="77777777" w:rsidR="00530949" w:rsidRDefault="00530949" w:rsidP="005C25E2">
      <w:pPr>
        <w:spacing w:line="360" w:lineRule="auto"/>
        <w:jc w:val="both"/>
        <w:rPr>
          <w:rFonts w:cs="Times New Roman"/>
          <w:szCs w:val="24"/>
        </w:rPr>
      </w:pPr>
    </w:p>
    <w:p w14:paraId="53082EC5" w14:textId="0778FE99" w:rsidR="00684289" w:rsidRPr="00010B33" w:rsidRDefault="00572FB2" w:rsidP="005C25E2">
      <w:pPr>
        <w:spacing w:line="360" w:lineRule="auto"/>
        <w:jc w:val="both"/>
        <w:rPr>
          <w:rFonts w:cs="Times New Roman"/>
          <w:szCs w:val="24"/>
        </w:rPr>
      </w:pPr>
      <w:r>
        <w:rPr>
          <w:rFonts w:cs="Times New Roman"/>
          <w:szCs w:val="24"/>
        </w:rPr>
        <w:t>.</w:t>
      </w:r>
    </w:p>
    <w:p w14:paraId="61A2C45E" w14:textId="4CF924B3" w:rsidR="00530949" w:rsidRPr="00530949" w:rsidRDefault="00C22FCC" w:rsidP="005C25E2">
      <w:pPr>
        <w:pStyle w:val="Heading2"/>
        <w:numPr>
          <w:ilvl w:val="1"/>
          <w:numId w:val="35"/>
        </w:numPr>
        <w:rPr>
          <w:color w:val="000000" w:themeColor="text1"/>
        </w:rPr>
      </w:pPr>
      <w:bookmarkStart w:id="8" w:name="_Toc70725921"/>
      <w:r w:rsidRPr="00010B33">
        <w:t>SIZE, TREND, AND MATURITY OF THE INDUSTRY</w:t>
      </w:r>
      <w:bookmarkEnd w:id="8"/>
    </w:p>
    <w:p w14:paraId="51F43D55" w14:textId="77777777" w:rsidR="00C22FCC" w:rsidRPr="00010B33" w:rsidRDefault="00C22FCC" w:rsidP="005C25E2">
      <w:pPr>
        <w:spacing w:line="360" w:lineRule="auto"/>
        <w:jc w:val="both"/>
        <w:rPr>
          <w:rFonts w:cs="Times New Roman"/>
          <w:szCs w:val="24"/>
        </w:rPr>
      </w:pPr>
      <w:r w:rsidRPr="00010B33">
        <w:rPr>
          <w:rFonts w:cs="Times New Roman"/>
          <w:b/>
          <w:bCs/>
          <w:szCs w:val="24"/>
          <w:u w:val="single"/>
        </w:rPr>
        <w:t>Banks</w:t>
      </w:r>
    </w:p>
    <w:p w14:paraId="2DC1BCFF" w14:textId="79C63CD3" w:rsidR="00431D2E" w:rsidRDefault="00C22FCC" w:rsidP="005C25E2">
      <w:pPr>
        <w:spacing w:line="360" w:lineRule="auto"/>
        <w:jc w:val="both"/>
        <w:rPr>
          <w:rFonts w:cs="Times New Roman"/>
          <w:szCs w:val="24"/>
        </w:rPr>
      </w:pPr>
      <w:r w:rsidRPr="00010B33">
        <w:rPr>
          <w:rFonts w:cs="Times New Roman"/>
          <w:szCs w:val="24"/>
        </w:rPr>
        <w:t xml:space="preserve">After independence, the financial business in Bangladesh began its excursion with 6 Nationalized Commercialized banks, 3 State-owned Specialized banks, and 9 Foreign Banks. The </w:t>
      </w:r>
      <w:r w:rsidR="002239B5" w:rsidRPr="00010B33">
        <w:rPr>
          <w:rFonts w:cs="Times New Roman"/>
          <w:szCs w:val="24"/>
        </w:rPr>
        <w:t>entrance of private banks during the 1980s boosts</w:t>
      </w:r>
      <w:r w:rsidRPr="00010B33">
        <w:rPr>
          <w:rFonts w:cs="Times New Roman"/>
          <w:szCs w:val="24"/>
        </w:rPr>
        <w:t xml:space="preserve"> a huge development into its industry. Presently, banks in Bangladesh are fundament</w:t>
      </w:r>
      <w:r w:rsidR="00431D2E">
        <w:rPr>
          <w:rFonts w:cs="Times New Roman"/>
          <w:szCs w:val="24"/>
        </w:rPr>
        <w:t>al of two kinds:</w:t>
      </w:r>
    </w:p>
    <w:p w14:paraId="6B14D811" w14:textId="73EDEB00" w:rsidR="00C22FCC" w:rsidRPr="00431D2E" w:rsidRDefault="00431D2E" w:rsidP="00431D2E">
      <w:pPr>
        <w:pStyle w:val="ListParagraph"/>
        <w:numPr>
          <w:ilvl w:val="0"/>
          <w:numId w:val="46"/>
        </w:numPr>
        <w:spacing w:line="360" w:lineRule="auto"/>
        <w:jc w:val="both"/>
        <w:rPr>
          <w:rFonts w:cs="Times New Roman"/>
          <w:szCs w:val="24"/>
        </w:rPr>
      </w:pPr>
      <w:r w:rsidRPr="00431D2E">
        <w:rPr>
          <w:rFonts w:cs="Times New Roman"/>
          <w:b/>
          <w:szCs w:val="24"/>
        </w:rPr>
        <w:t>Scheduled Banks</w:t>
      </w:r>
      <w:r w:rsidRPr="00431D2E">
        <w:rPr>
          <w:rFonts w:cs="Times New Roman"/>
          <w:szCs w:val="24"/>
        </w:rPr>
        <w:t>:</w:t>
      </w:r>
      <w:r w:rsidR="006A5199">
        <w:rPr>
          <w:rFonts w:cs="Times New Roman"/>
          <w:szCs w:val="24"/>
        </w:rPr>
        <w:t xml:space="preserve"> </w:t>
      </w:r>
      <w:r w:rsidRPr="00431D2E">
        <w:rPr>
          <w:rFonts w:cs="Times New Roman"/>
          <w:szCs w:val="24"/>
        </w:rPr>
        <w:t>The list of banks that follow the guidelines of the Bangladesh Bank Order,1972.</w:t>
      </w:r>
    </w:p>
    <w:p w14:paraId="688BF2BD" w14:textId="6D726CE5" w:rsidR="00431D2E" w:rsidRPr="00431D2E" w:rsidRDefault="00431D2E" w:rsidP="00431D2E">
      <w:pPr>
        <w:pStyle w:val="ListParagraph"/>
        <w:numPr>
          <w:ilvl w:val="0"/>
          <w:numId w:val="46"/>
        </w:numPr>
        <w:spacing w:line="360" w:lineRule="auto"/>
        <w:jc w:val="both"/>
        <w:rPr>
          <w:rFonts w:cs="Times New Roman"/>
          <w:szCs w:val="24"/>
        </w:rPr>
      </w:pPr>
      <w:r w:rsidRPr="00431D2E">
        <w:rPr>
          <w:rFonts w:cs="Times New Roman"/>
          <w:b/>
          <w:szCs w:val="24"/>
        </w:rPr>
        <w:t>Non-Schedule Banks</w:t>
      </w:r>
      <w:r w:rsidRPr="00431D2E">
        <w:rPr>
          <w:rFonts w:cs="Times New Roman"/>
          <w:szCs w:val="24"/>
        </w:rPr>
        <w:t>: These banks cannot perform all the operations of scheduled banks.</w:t>
      </w:r>
      <w:r>
        <w:rPr>
          <w:rFonts w:cs="Times New Roman"/>
          <w:szCs w:val="24"/>
        </w:rPr>
        <w:t xml:space="preserve"> </w:t>
      </w:r>
      <w:r w:rsidRPr="00431D2E">
        <w:rPr>
          <w:rFonts w:cs="Times New Roman"/>
          <w:szCs w:val="24"/>
        </w:rPr>
        <w:t>They are established for special and objective for certain operations.</w:t>
      </w:r>
    </w:p>
    <w:p w14:paraId="19B1FA57" w14:textId="77777777" w:rsidR="00C22FCC" w:rsidRPr="00010B33" w:rsidRDefault="00C22FCC" w:rsidP="005C25E2">
      <w:pPr>
        <w:spacing w:line="360" w:lineRule="auto"/>
        <w:jc w:val="both"/>
        <w:rPr>
          <w:rFonts w:cs="Times New Roman"/>
          <w:szCs w:val="24"/>
        </w:rPr>
      </w:pPr>
      <w:r w:rsidRPr="00010B33">
        <w:rPr>
          <w:rFonts w:cs="Times New Roman"/>
          <w:szCs w:val="24"/>
        </w:rPr>
        <w:lastRenderedPageBreak/>
        <w:t>60 schedule banks in Bangladesh work under full control and oversight of Bangladesh Bank which is engaged to do as such through Bangladesh Bank Order, 1972 and Bank Company Act, 1991. Schedules Banks are characterized into the accompanying types:</w:t>
      </w:r>
    </w:p>
    <w:p w14:paraId="5BDDA050" w14:textId="77777777" w:rsidR="00C22FCC" w:rsidRPr="00010B33" w:rsidRDefault="00C22FCC" w:rsidP="005C25E2">
      <w:pPr>
        <w:spacing w:line="360" w:lineRule="auto"/>
        <w:jc w:val="both"/>
        <w:rPr>
          <w:rFonts w:cs="Times New Roman"/>
          <w:szCs w:val="24"/>
        </w:rPr>
      </w:pPr>
      <w:r w:rsidRPr="00010B33">
        <w:rPr>
          <w:rFonts w:cs="Times New Roman"/>
          <w:b/>
          <w:szCs w:val="24"/>
        </w:rPr>
        <w:t>State-Owned Commercial Banks (SOCBs</w:t>
      </w:r>
      <w:r w:rsidRPr="00010B33">
        <w:rPr>
          <w:rFonts w:cs="Times New Roman"/>
          <w:szCs w:val="24"/>
        </w:rPr>
        <w:t>): 6 SOCBs are fully or majorly owned by the Government of Bangladesh.</w:t>
      </w:r>
    </w:p>
    <w:p w14:paraId="605C0C8E" w14:textId="77777777" w:rsidR="00C22FCC" w:rsidRPr="00010B33" w:rsidRDefault="00C22FCC" w:rsidP="005C25E2">
      <w:pPr>
        <w:spacing w:line="360" w:lineRule="auto"/>
        <w:jc w:val="both"/>
        <w:rPr>
          <w:rFonts w:cs="Times New Roman"/>
          <w:szCs w:val="24"/>
        </w:rPr>
      </w:pPr>
      <w:r w:rsidRPr="00010B33">
        <w:rPr>
          <w:rFonts w:cs="Times New Roman"/>
          <w:b/>
          <w:szCs w:val="24"/>
        </w:rPr>
        <w:t>Specialized Banks (SDBs)</w:t>
      </w:r>
      <w:r w:rsidRPr="00010B33">
        <w:rPr>
          <w:rFonts w:cs="Times New Roman"/>
          <w:szCs w:val="24"/>
        </w:rPr>
        <w:t xml:space="preserve">: 3 specific banks are presently working which were set up for explicit targets like farming or growth of industries. These banks are likewise completely or significantly possessed by the Government of Bangladesh. </w:t>
      </w:r>
    </w:p>
    <w:p w14:paraId="465A8837" w14:textId="77777777" w:rsidR="00C22FCC" w:rsidRPr="00010B33" w:rsidRDefault="00C22FCC" w:rsidP="005C25E2">
      <w:pPr>
        <w:spacing w:line="360" w:lineRule="auto"/>
        <w:jc w:val="both"/>
        <w:rPr>
          <w:rFonts w:cs="Times New Roman"/>
          <w:szCs w:val="24"/>
        </w:rPr>
      </w:pPr>
      <w:r w:rsidRPr="00010B33">
        <w:rPr>
          <w:rFonts w:cs="Times New Roman"/>
          <w:b/>
          <w:szCs w:val="24"/>
        </w:rPr>
        <w:t>Private Commercial Banks (PCBs)</w:t>
      </w:r>
      <w:r w:rsidRPr="00010B33">
        <w:rPr>
          <w:rFonts w:cs="Times New Roman"/>
          <w:szCs w:val="24"/>
        </w:rPr>
        <w:t xml:space="preserve">: 42 private business banks are significantly possessed by people/private entities. PCBs can be classified into two groups: </w:t>
      </w:r>
    </w:p>
    <w:p w14:paraId="1A287DA6" w14:textId="77777777" w:rsidR="00C22FCC" w:rsidRPr="00010B33" w:rsidRDefault="00C22FCC" w:rsidP="005C25E2">
      <w:pPr>
        <w:spacing w:line="360" w:lineRule="auto"/>
        <w:jc w:val="both"/>
        <w:rPr>
          <w:rFonts w:cs="Times New Roman"/>
          <w:szCs w:val="24"/>
        </w:rPr>
      </w:pPr>
      <w:r w:rsidRPr="00010B33">
        <w:rPr>
          <w:rFonts w:cs="Times New Roman"/>
          <w:b/>
          <w:szCs w:val="24"/>
        </w:rPr>
        <w:t>Conventional PCBs</w:t>
      </w:r>
      <w:r w:rsidRPr="00010B33">
        <w:rPr>
          <w:rFonts w:cs="Times New Roman"/>
          <w:szCs w:val="24"/>
        </w:rPr>
        <w:t xml:space="preserve">: 33 </w:t>
      </w:r>
      <w:r w:rsidR="003F769D" w:rsidRPr="00010B33">
        <w:rPr>
          <w:rFonts w:cs="Times New Roman"/>
          <w:szCs w:val="24"/>
        </w:rPr>
        <w:t>they</w:t>
      </w:r>
      <w:r w:rsidRPr="00010B33">
        <w:rPr>
          <w:rFonts w:cs="Times New Roman"/>
          <w:szCs w:val="24"/>
        </w:rPr>
        <w:t xml:space="preserve"> are currently working in the business. They play out the financial capacities in conventional structures for example interest-based schemes.</w:t>
      </w:r>
    </w:p>
    <w:p w14:paraId="1E6910B7" w14:textId="77777777" w:rsidR="00C22FCC" w:rsidRPr="00010B33" w:rsidRDefault="00C22FCC" w:rsidP="005C25E2">
      <w:pPr>
        <w:spacing w:line="360" w:lineRule="auto"/>
        <w:ind w:left="720"/>
        <w:jc w:val="both"/>
        <w:rPr>
          <w:rFonts w:cs="Times New Roman"/>
          <w:szCs w:val="24"/>
        </w:rPr>
      </w:pPr>
      <w:r w:rsidRPr="00010B33">
        <w:rPr>
          <w:rFonts w:cs="Times New Roman"/>
          <w:b/>
          <w:szCs w:val="24"/>
        </w:rPr>
        <w:t>Islami Shariah based PCBs</w:t>
      </w:r>
      <w:r w:rsidRPr="00010B33">
        <w:rPr>
          <w:rFonts w:cs="Times New Roman"/>
          <w:szCs w:val="24"/>
        </w:rPr>
        <w:t>: There are 8 Islami Shariah-based PCBs in Bangladesh and they execute banking exercises as per Islami Shariah-based standards for example Profit Loss Sharing (PLS) mode</w:t>
      </w:r>
      <w:r w:rsidR="00F97A4B">
        <w:rPr>
          <w:rFonts w:cs="Times New Roman"/>
          <w:szCs w:val="24"/>
        </w:rPr>
        <w:t>l</w:t>
      </w:r>
      <w:r w:rsidRPr="00010B33">
        <w:rPr>
          <w:rFonts w:cs="Times New Roman"/>
          <w:szCs w:val="24"/>
        </w:rPr>
        <w:t xml:space="preserve">. </w:t>
      </w:r>
    </w:p>
    <w:p w14:paraId="3FB2F3EE" w14:textId="77777777" w:rsidR="00C22FCC" w:rsidRPr="00010B33" w:rsidRDefault="00C22FCC" w:rsidP="005C25E2">
      <w:pPr>
        <w:pStyle w:val="ListParagraph"/>
        <w:spacing w:line="360" w:lineRule="auto"/>
        <w:ind w:left="0"/>
        <w:jc w:val="both"/>
        <w:rPr>
          <w:rFonts w:cs="Times New Roman"/>
          <w:szCs w:val="24"/>
        </w:rPr>
      </w:pPr>
      <w:r w:rsidRPr="00010B33">
        <w:rPr>
          <w:rFonts w:cs="Times New Roman"/>
          <w:b/>
          <w:szCs w:val="24"/>
        </w:rPr>
        <w:t>Foreign Commercial Banks (FCBs)</w:t>
      </w:r>
      <w:r w:rsidRPr="00010B33">
        <w:rPr>
          <w:rFonts w:cs="Times New Roman"/>
          <w:szCs w:val="24"/>
        </w:rPr>
        <w:t>: 9 FCBs are working in Bangladesh as the parts of the bank</w:t>
      </w:r>
      <w:r w:rsidR="00475B19" w:rsidRPr="00010B33">
        <w:rPr>
          <w:rFonts w:cs="Times New Roman"/>
          <w:szCs w:val="24"/>
        </w:rPr>
        <w:t xml:space="preserve">s which are joined abroad. </w:t>
      </w:r>
    </w:p>
    <w:p w14:paraId="4F44B4D2" w14:textId="77777777" w:rsidR="00C22FCC" w:rsidRPr="00010B33" w:rsidRDefault="00C22FCC" w:rsidP="005C25E2">
      <w:pPr>
        <w:pStyle w:val="ListParagraph"/>
        <w:spacing w:line="360" w:lineRule="auto"/>
        <w:ind w:left="0"/>
        <w:jc w:val="both"/>
        <w:rPr>
          <w:rFonts w:cs="Times New Roman"/>
          <w:szCs w:val="24"/>
        </w:rPr>
      </w:pPr>
      <w:r w:rsidRPr="00010B33">
        <w:rPr>
          <w:rFonts w:cs="Times New Roman"/>
          <w:szCs w:val="24"/>
        </w:rPr>
        <w:t>There are presently 5 non-scheduled banks in Bangladesh which are:</w:t>
      </w:r>
    </w:p>
    <w:p w14:paraId="19D9C172" w14:textId="77777777" w:rsidR="00C22FCC" w:rsidRPr="00010B33" w:rsidRDefault="00C22FCC" w:rsidP="005C25E2">
      <w:pPr>
        <w:pStyle w:val="ListParagraph"/>
        <w:numPr>
          <w:ilvl w:val="0"/>
          <w:numId w:val="27"/>
        </w:numPr>
        <w:spacing w:line="360" w:lineRule="auto"/>
        <w:jc w:val="both"/>
        <w:rPr>
          <w:rFonts w:cs="Times New Roman"/>
          <w:szCs w:val="24"/>
        </w:rPr>
      </w:pPr>
      <w:proofErr w:type="spellStart"/>
      <w:r w:rsidRPr="00010B33">
        <w:rPr>
          <w:rFonts w:cs="Times New Roman"/>
          <w:szCs w:val="24"/>
        </w:rPr>
        <w:t>Ansar</w:t>
      </w:r>
      <w:proofErr w:type="spellEnd"/>
      <w:r w:rsidRPr="00010B33">
        <w:rPr>
          <w:rFonts w:cs="Times New Roman"/>
          <w:szCs w:val="24"/>
        </w:rPr>
        <w:t xml:space="preserve"> VDP </w:t>
      </w:r>
      <w:proofErr w:type="spellStart"/>
      <w:r w:rsidRPr="00010B33">
        <w:rPr>
          <w:rFonts w:cs="Times New Roman"/>
          <w:szCs w:val="24"/>
        </w:rPr>
        <w:t>Unnayan</w:t>
      </w:r>
      <w:proofErr w:type="spellEnd"/>
      <w:r w:rsidRPr="00010B33">
        <w:rPr>
          <w:rFonts w:cs="Times New Roman"/>
          <w:szCs w:val="24"/>
        </w:rPr>
        <w:t xml:space="preserve"> Bank,</w:t>
      </w:r>
    </w:p>
    <w:p w14:paraId="51DEEE22" w14:textId="77777777" w:rsidR="00C22FCC" w:rsidRPr="00010B33" w:rsidRDefault="00C22FCC" w:rsidP="005C25E2">
      <w:pPr>
        <w:pStyle w:val="ListParagraph"/>
        <w:numPr>
          <w:ilvl w:val="0"/>
          <w:numId w:val="20"/>
        </w:numPr>
        <w:spacing w:line="360" w:lineRule="auto"/>
        <w:jc w:val="both"/>
        <w:rPr>
          <w:rFonts w:cs="Times New Roman"/>
          <w:szCs w:val="24"/>
        </w:rPr>
      </w:pPr>
      <w:proofErr w:type="spellStart"/>
      <w:r w:rsidRPr="00010B33">
        <w:rPr>
          <w:rFonts w:cs="Times New Roman"/>
          <w:szCs w:val="24"/>
        </w:rPr>
        <w:t>Karmashangosthan</w:t>
      </w:r>
      <w:proofErr w:type="spellEnd"/>
      <w:r w:rsidRPr="00010B33">
        <w:rPr>
          <w:rFonts w:cs="Times New Roman"/>
          <w:szCs w:val="24"/>
        </w:rPr>
        <w:t xml:space="preserve"> Bank,</w:t>
      </w:r>
    </w:p>
    <w:p w14:paraId="70625F46" w14:textId="77777777" w:rsidR="00C22FCC" w:rsidRPr="00010B33" w:rsidRDefault="00C22FCC" w:rsidP="005C25E2">
      <w:pPr>
        <w:pStyle w:val="ListParagraph"/>
        <w:numPr>
          <w:ilvl w:val="0"/>
          <w:numId w:val="20"/>
        </w:numPr>
        <w:spacing w:line="360" w:lineRule="auto"/>
        <w:jc w:val="both"/>
        <w:rPr>
          <w:rFonts w:cs="Times New Roman"/>
          <w:szCs w:val="24"/>
        </w:rPr>
      </w:pPr>
      <w:r w:rsidRPr="00010B33">
        <w:rPr>
          <w:rFonts w:cs="Times New Roman"/>
          <w:szCs w:val="24"/>
        </w:rPr>
        <w:t>Grameen Bank,</w:t>
      </w:r>
    </w:p>
    <w:p w14:paraId="08EDE0DE" w14:textId="77777777" w:rsidR="00C22FCC" w:rsidRPr="00010B33" w:rsidRDefault="00C22FCC" w:rsidP="005C25E2">
      <w:pPr>
        <w:pStyle w:val="ListParagraph"/>
        <w:numPr>
          <w:ilvl w:val="0"/>
          <w:numId w:val="20"/>
        </w:numPr>
        <w:spacing w:line="360" w:lineRule="auto"/>
        <w:jc w:val="both"/>
        <w:rPr>
          <w:rFonts w:cs="Times New Roman"/>
          <w:szCs w:val="24"/>
        </w:rPr>
      </w:pPr>
      <w:r w:rsidRPr="00010B33">
        <w:rPr>
          <w:rFonts w:cs="Times New Roman"/>
          <w:szCs w:val="24"/>
        </w:rPr>
        <w:t>Jubilee Bank,</w:t>
      </w:r>
    </w:p>
    <w:p w14:paraId="28D84F6F" w14:textId="77777777" w:rsidR="00C22FCC" w:rsidRPr="00010B33" w:rsidRDefault="00C22FCC" w:rsidP="005C25E2">
      <w:pPr>
        <w:pStyle w:val="ListParagraph"/>
        <w:numPr>
          <w:ilvl w:val="0"/>
          <w:numId w:val="20"/>
        </w:numPr>
        <w:spacing w:line="360" w:lineRule="auto"/>
        <w:jc w:val="both"/>
        <w:rPr>
          <w:rFonts w:cs="Times New Roman"/>
          <w:szCs w:val="24"/>
        </w:rPr>
      </w:pPr>
      <w:r w:rsidRPr="00010B33">
        <w:rPr>
          <w:rFonts w:cs="Times New Roman"/>
          <w:szCs w:val="24"/>
        </w:rPr>
        <w:t>Palli Sanchay Bank</w:t>
      </w:r>
    </w:p>
    <w:p w14:paraId="352A7DA7" w14:textId="77777777" w:rsidR="00530949" w:rsidRDefault="00C22FCC" w:rsidP="005C25E2">
      <w:pPr>
        <w:spacing w:line="360" w:lineRule="auto"/>
        <w:jc w:val="both"/>
        <w:rPr>
          <w:rFonts w:cs="Times New Roman"/>
          <w:szCs w:val="24"/>
        </w:rPr>
      </w:pPr>
      <w:r w:rsidRPr="00010B33">
        <w:rPr>
          <w:rFonts w:cs="Times New Roman"/>
          <w:b/>
          <w:bCs/>
          <w:szCs w:val="24"/>
          <w:u w:val="single"/>
        </w:rPr>
        <w:t>FIs</w:t>
      </w:r>
      <w:r w:rsidRPr="00010B33">
        <w:rPr>
          <w:rFonts w:cs="Times New Roman"/>
          <w:szCs w:val="24"/>
        </w:rPr>
        <w:br/>
        <w:t xml:space="preserve">Non-Bank Financial Institutions (FIs) are those kinds of monetary organizations that are managed under the Financial Institution Act, 1993 and constrained by Bangladesh Bank. Presently, </w:t>
      </w:r>
      <w:r w:rsidRPr="00010B33">
        <w:rPr>
          <w:rFonts w:cs="Times New Roman"/>
          <w:b/>
          <w:szCs w:val="24"/>
        </w:rPr>
        <w:t xml:space="preserve">34 FIs </w:t>
      </w:r>
      <w:r w:rsidRPr="00010B33">
        <w:rPr>
          <w:rFonts w:cs="Times New Roman"/>
          <w:szCs w:val="24"/>
        </w:rPr>
        <w:t>are working in Bangladesh. Out of the aggregate, 2 are completely government-owned, 1 is the auxiliary of a SOCB, 15 were started by private domestic initiator</w:t>
      </w:r>
      <w:r w:rsidR="00F97A4B">
        <w:rPr>
          <w:rFonts w:cs="Times New Roman"/>
          <w:szCs w:val="24"/>
        </w:rPr>
        <w:t>,</w:t>
      </w:r>
      <w:r w:rsidRPr="00010B33">
        <w:rPr>
          <w:rFonts w:cs="Times New Roman"/>
          <w:szCs w:val="24"/>
        </w:rPr>
        <w:t xml:space="preserve"> and 15 were started by joint endeavor activity. Significant sources of assets of FIs are Term Deposit (at any rate three months tenure), Credit Facility from Banks and other FIs, </w:t>
      </w:r>
    </w:p>
    <w:p w14:paraId="75B99E0D" w14:textId="77777777" w:rsidR="00530949" w:rsidRDefault="00530949" w:rsidP="005C25E2">
      <w:pPr>
        <w:spacing w:line="360" w:lineRule="auto"/>
        <w:jc w:val="both"/>
        <w:rPr>
          <w:rFonts w:cs="Times New Roman"/>
          <w:szCs w:val="24"/>
        </w:rPr>
      </w:pPr>
    </w:p>
    <w:p w14:paraId="0D6C244D" w14:textId="3A234277" w:rsidR="00C22FCC" w:rsidRPr="00010B33" w:rsidRDefault="00C22FCC" w:rsidP="005C25E2">
      <w:pPr>
        <w:spacing w:line="360" w:lineRule="auto"/>
        <w:jc w:val="both"/>
        <w:rPr>
          <w:rFonts w:cs="Times New Roman"/>
          <w:szCs w:val="24"/>
        </w:rPr>
      </w:pPr>
      <w:r w:rsidRPr="00010B33">
        <w:rPr>
          <w:rFonts w:cs="Times New Roman"/>
          <w:szCs w:val="24"/>
        </w:rPr>
        <w:t xml:space="preserve">Call Money just as Bond and Securitization. The significant contrast among banks and FIs are as per the following: </w:t>
      </w:r>
    </w:p>
    <w:p w14:paraId="08B962B0" w14:textId="5166EC28" w:rsidR="00C22FCC" w:rsidRPr="00010B33" w:rsidRDefault="00C22FCC" w:rsidP="005C25E2">
      <w:pPr>
        <w:pStyle w:val="ListParagraph"/>
        <w:numPr>
          <w:ilvl w:val="0"/>
          <w:numId w:val="28"/>
        </w:numPr>
        <w:spacing w:line="360" w:lineRule="auto"/>
        <w:jc w:val="both"/>
        <w:rPr>
          <w:rFonts w:cs="Times New Roman"/>
          <w:szCs w:val="24"/>
        </w:rPr>
      </w:pPr>
      <w:r w:rsidRPr="00010B33">
        <w:rPr>
          <w:rFonts w:cs="Times New Roman"/>
          <w:szCs w:val="24"/>
        </w:rPr>
        <w:t>FIs can't give checks, pay</w:t>
      </w:r>
      <w:r w:rsidR="00431D2E">
        <w:rPr>
          <w:rFonts w:cs="Times New Roman"/>
          <w:szCs w:val="24"/>
        </w:rPr>
        <w:t xml:space="preserve"> </w:t>
      </w:r>
      <w:r w:rsidRPr="00010B33">
        <w:rPr>
          <w:rFonts w:cs="Times New Roman"/>
          <w:szCs w:val="24"/>
        </w:rPr>
        <w:t xml:space="preserve">orders, or request drafts. </w:t>
      </w:r>
    </w:p>
    <w:p w14:paraId="4B0B9CB4" w14:textId="77777777" w:rsidR="00C22FCC" w:rsidRPr="00010B33" w:rsidRDefault="00C22FCC" w:rsidP="005C25E2">
      <w:pPr>
        <w:pStyle w:val="ListParagraph"/>
        <w:numPr>
          <w:ilvl w:val="0"/>
          <w:numId w:val="28"/>
        </w:numPr>
        <w:spacing w:line="360" w:lineRule="auto"/>
        <w:jc w:val="both"/>
        <w:rPr>
          <w:rFonts w:cs="Times New Roman"/>
          <w:szCs w:val="24"/>
        </w:rPr>
      </w:pPr>
      <w:r w:rsidRPr="00010B33">
        <w:rPr>
          <w:rFonts w:cs="Times New Roman"/>
          <w:szCs w:val="24"/>
        </w:rPr>
        <w:t xml:space="preserve">FIs can't receive demand deposits, </w:t>
      </w:r>
    </w:p>
    <w:p w14:paraId="17878A06" w14:textId="528B5501" w:rsidR="00C22FCC" w:rsidRPr="00010B33" w:rsidRDefault="00C22FCC" w:rsidP="005C25E2">
      <w:pPr>
        <w:pStyle w:val="ListParagraph"/>
        <w:numPr>
          <w:ilvl w:val="0"/>
          <w:numId w:val="28"/>
        </w:numPr>
        <w:spacing w:line="360" w:lineRule="auto"/>
        <w:jc w:val="both"/>
        <w:rPr>
          <w:rFonts w:cs="Times New Roman"/>
          <w:szCs w:val="24"/>
        </w:rPr>
      </w:pPr>
      <w:r w:rsidRPr="00010B33">
        <w:rPr>
          <w:rFonts w:cs="Times New Roman"/>
          <w:szCs w:val="24"/>
        </w:rPr>
        <w:t xml:space="preserve">FIs can't be associated with foreign exchange trade financing, </w:t>
      </w:r>
    </w:p>
    <w:p w14:paraId="73C69173" w14:textId="177D9561" w:rsidR="00A14043" w:rsidRPr="00494C0A" w:rsidRDefault="00C22FCC" w:rsidP="00A14043">
      <w:pPr>
        <w:pStyle w:val="ListParagraph"/>
        <w:numPr>
          <w:ilvl w:val="0"/>
          <w:numId w:val="28"/>
        </w:numPr>
        <w:spacing w:line="360" w:lineRule="auto"/>
        <w:jc w:val="both"/>
        <w:rPr>
          <w:rFonts w:cs="Times New Roman"/>
          <w:szCs w:val="24"/>
        </w:rPr>
      </w:pPr>
      <w:r w:rsidRPr="00010B33">
        <w:rPr>
          <w:rFonts w:cs="Times New Roman"/>
          <w:szCs w:val="24"/>
        </w:rPr>
        <w:t>FIs can direct their business activities with differentiated financing modes like partnered financing, connect financing, rent financing, securitization instruments, the private position of equity, and so forth</w:t>
      </w:r>
      <w:r w:rsidR="00A14043">
        <w:rPr>
          <w:rFonts w:cs="Times New Roman"/>
          <w:szCs w:val="24"/>
        </w:rPr>
        <w:t>.</w:t>
      </w:r>
    </w:p>
    <w:p w14:paraId="6AE38321" w14:textId="77777777" w:rsidR="00530949" w:rsidRDefault="00530949" w:rsidP="00494C0A">
      <w:pPr>
        <w:pStyle w:val="Caption"/>
        <w:keepNext/>
        <w:jc w:val="both"/>
        <w:rPr>
          <w:rFonts w:cs="Times New Roman"/>
          <w:noProof/>
          <w:szCs w:val="24"/>
        </w:rPr>
      </w:pPr>
    </w:p>
    <w:p w14:paraId="19D690BB" w14:textId="6BE9BEF1" w:rsidR="00494C0A" w:rsidRPr="00494C0A" w:rsidRDefault="00494C0A" w:rsidP="00494C0A">
      <w:pPr>
        <w:pStyle w:val="Caption"/>
        <w:keepNext/>
        <w:jc w:val="both"/>
        <w:rPr>
          <w:sz w:val="24"/>
          <w:szCs w:val="24"/>
        </w:rPr>
      </w:pPr>
      <w:bookmarkStart w:id="9" w:name="_Toc70724686"/>
      <w:r w:rsidRPr="00494C0A">
        <w:rPr>
          <w:sz w:val="24"/>
          <w:szCs w:val="24"/>
        </w:rPr>
        <w:t xml:space="preserve">Table </w:t>
      </w:r>
      <w:r w:rsidRPr="00494C0A">
        <w:rPr>
          <w:sz w:val="24"/>
          <w:szCs w:val="24"/>
        </w:rPr>
        <w:fldChar w:fldCharType="begin"/>
      </w:r>
      <w:r w:rsidRPr="00494C0A">
        <w:rPr>
          <w:sz w:val="24"/>
          <w:szCs w:val="24"/>
        </w:rPr>
        <w:instrText xml:space="preserve"> SEQ Table \* ARABIC </w:instrText>
      </w:r>
      <w:r w:rsidRPr="00494C0A">
        <w:rPr>
          <w:sz w:val="24"/>
          <w:szCs w:val="24"/>
        </w:rPr>
        <w:fldChar w:fldCharType="separate"/>
      </w:r>
      <w:r w:rsidR="008D41F3">
        <w:rPr>
          <w:noProof/>
          <w:sz w:val="24"/>
          <w:szCs w:val="24"/>
        </w:rPr>
        <w:t>3</w:t>
      </w:r>
      <w:r w:rsidRPr="00494C0A">
        <w:rPr>
          <w:sz w:val="24"/>
          <w:szCs w:val="24"/>
        </w:rPr>
        <w:fldChar w:fldCharType="end"/>
      </w:r>
      <w:r w:rsidRPr="00494C0A">
        <w:rPr>
          <w:sz w:val="24"/>
          <w:szCs w:val="24"/>
        </w:rPr>
        <w:t xml:space="preserve"> Activities of Islamic Banking in Bangladesh, April-June 2019</w:t>
      </w:r>
      <w:bookmarkEnd w:id="9"/>
    </w:p>
    <w:p w14:paraId="23C6ECF4" w14:textId="3D8BDAE0" w:rsidR="00A14043" w:rsidRPr="00A14043" w:rsidRDefault="00530949" w:rsidP="00A14043">
      <w:pPr>
        <w:spacing w:line="360" w:lineRule="auto"/>
        <w:jc w:val="both"/>
        <w:rPr>
          <w:rFonts w:cs="Times New Roman"/>
          <w:szCs w:val="24"/>
        </w:rPr>
      </w:pPr>
      <w:r>
        <w:rPr>
          <w:rFonts w:cs="Times New Roman"/>
          <w:noProof/>
          <w:szCs w:val="24"/>
        </w:rPr>
        <w:drawing>
          <wp:inline distT="0" distB="0" distL="0" distR="0" wp14:anchorId="59E5C448" wp14:editId="5EA7D7D8">
            <wp:extent cx="5840730" cy="4967605"/>
            <wp:effectExtent l="0" t="0" r="7620" b="444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png"/>
                    <pic:cNvPicPr/>
                  </pic:nvPicPr>
                  <pic:blipFill>
                    <a:blip r:embed="rId21">
                      <a:extLst>
                        <a:ext uri="{28A0092B-C50C-407E-A947-70E740481C1C}">
                          <a14:useLocalDpi xmlns:a14="http://schemas.microsoft.com/office/drawing/2010/main" val="0"/>
                        </a:ext>
                      </a:extLst>
                    </a:blip>
                    <a:stretch>
                      <a:fillRect/>
                    </a:stretch>
                  </pic:blipFill>
                  <pic:spPr>
                    <a:xfrm>
                      <a:off x="0" y="0"/>
                      <a:ext cx="5840730" cy="4967605"/>
                    </a:xfrm>
                    <a:prstGeom prst="rect">
                      <a:avLst/>
                    </a:prstGeom>
                  </pic:spPr>
                </pic:pic>
              </a:graphicData>
            </a:graphic>
          </wp:inline>
        </w:drawing>
      </w:r>
    </w:p>
    <w:p w14:paraId="217D1001" w14:textId="77777777" w:rsidR="00A14043" w:rsidRPr="00A14043" w:rsidRDefault="00A14043" w:rsidP="00530949">
      <w:pPr>
        <w:spacing w:line="360" w:lineRule="auto"/>
        <w:jc w:val="both"/>
        <w:rPr>
          <w:rFonts w:cs="Times New Roman"/>
          <w:szCs w:val="24"/>
        </w:rPr>
      </w:pPr>
    </w:p>
    <w:p w14:paraId="18D73B21" w14:textId="77777777" w:rsidR="00B82F2A" w:rsidRDefault="00A14043" w:rsidP="00B82F2A">
      <w:pPr>
        <w:keepNext/>
        <w:spacing w:line="360" w:lineRule="auto"/>
        <w:jc w:val="both"/>
      </w:pPr>
      <w:r>
        <w:rPr>
          <w:rFonts w:cs="Times New Roman"/>
          <w:b/>
          <w:noProof/>
          <w:szCs w:val="24"/>
        </w:rPr>
        <w:lastRenderedPageBreak/>
        <w:drawing>
          <wp:inline distT="0" distB="0" distL="0" distR="0" wp14:anchorId="06C3D1D1" wp14:editId="7FCB1AB7">
            <wp:extent cx="5733415" cy="5306695"/>
            <wp:effectExtent l="0" t="0" r="635" b="825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png"/>
                    <pic:cNvPicPr/>
                  </pic:nvPicPr>
                  <pic:blipFill>
                    <a:blip r:embed="rId22">
                      <a:extLst>
                        <a:ext uri="{28A0092B-C50C-407E-A947-70E740481C1C}">
                          <a14:useLocalDpi xmlns:a14="http://schemas.microsoft.com/office/drawing/2010/main" val="0"/>
                        </a:ext>
                      </a:extLst>
                    </a:blip>
                    <a:stretch>
                      <a:fillRect/>
                    </a:stretch>
                  </pic:blipFill>
                  <pic:spPr>
                    <a:xfrm>
                      <a:off x="0" y="0"/>
                      <a:ext cx="5733415" cy="5306695"/>
                    </a:xfrm>
                    <a:prstGeom prst="rect">
                      <a:avLst/>
                    </a:prstGeom>
                  </pic:spPr>
                </pic:pic>
              </a:graphicData>
            </a:graphic>
          </wp:inline>
        </w:drawing>
      </w:r>
    </w:p>
    <w:p w14:paraId="61A2172C" w14:textId="5A516B25" w:rsidR="00EE7DCB" w:rsidRPr="00A14043" w:rsidRDefault="00902EB2" w:rsidP="005C25E2">
      <w:pPr>
        <w:spacing w:line="360" w:lineRule="auto"/>
        <w:jc w:val="both"/>
        <w:rPr>
          <w:rFonts w:cs="Times New Roman"/>
          <w:b/>
          <w:szCs w:val="24"/>
        </w:rPr>
      </w:pPr>
      <w:r>
        <w:t>Table</w:t>
      </w:r>
      <w:r w:rsidR="00D446CD">
        <w:t xml:space="preserve"> 3</w:t>
      </w:r>
      <w:r>
        <w:t xml:space="preserve"> demonstrate by the end of April-June -19 the total deposit of </w:t>
      </w:r>
      <w:r w:rsidR="006A5199">
        <w:t xml:space="preserve">the </w:t>
      </w:r>
      <w:r>
        <w:t xml:space="preserve">Islamic banking industry increased BDT 109398.41 million from BDT  million or by 4.52% compared to </w:t>
      </w:r>
      <w:r w:rsidR="006A5199">
        <w:t xml:space="preserve">the </w:t>
      </w:r>
      <w:r>
        <w:t>previous quarter BDT 2530586.41 million furthermore, by BDT 283008.43 million or by 12.59% contrasted with relating quarter of a year ago</w:t>
      </w:r>
      <w:r w:rsidR="00EE7DCB">
        <w:t>.</w:t>
      </w:r>
    </w:p>
    <w:p w14:paraId="225FD36B" w14:textId="46EB7FE4" w:rsidR="00902EB2" w:rsidRDefault="00902EB2" w:rsidP="007B0D11">
      <w:pPr>
        <w:spacing w:line="360" w:lineRule="auto"/>
        <w:jc w:val="both"/>
      </w:pPr>
      <w:r>
        <w:t xml:space="preserve">By the end of April- June 19 total investment of the Islamic </w:t>
      </w:r>
      <w:r w:rsidR="00EE7DCB">
        <w:t>banking sector rises by</w:t>
      </w:r>
      <w:r w:rsidR="00EE7DCB" w:rsidRPr="00EE7DCB">
        <w:t xml:space="preserve"> </w:t>
      </w:r>
      <w:r w:rsidR="00EE7DCB">
        <w:t>79092.24 million or by 3.33% and by BDT 283609.90 million or by 13.08% thought about to the past quarter and same quarter of the precedent year. The total Investment of the quarter ends at BDT 2451884.24 million. In comparison to the conventional bank,</w:t>
      </w:r>
      <w:r w:rsidR="006A5199">
        <w:t xml:space="preserve"> </w:t>
      </w:r>
      <w:r w:rsidR="00EE7DCB">
        <w:t xml:space="preserve">the investment deposits ratio of </w:t>
      </w:r>
      <w:r w:rsidR="006A5199">
        <w:t xml:space="preserve">the </w:t>
      </w:r>
      <w:r w:rsidR="00EE7DCB">
        <w:t>current quarter, March-19 and June-18 stood at .96, .98</w:t>
      </w:r>
      <w:r w:rsidR="006A5199">
        <w:t>,</w:t>
      </w:r>
      <w:r w:rsidR="00EE7DCB">
        <w:t xml:space="preserve"> and.96 respectively.</w:t>
      </w:r>
      <w:r w:rsidR="0003296F">
        <w:t xml:space="preserve"> </w:t>
      </w:r>
    </w:p>
    <w:p w14:paraId="513E80F1" w14:textId="4EE82D95" w:rsidR="00902EB2" w:rsidRDefault="0003296F" w:rsidP="007B0D11">
      <w:pPr>
        <w:spacing w:line="360" w:lineRule="auto"/>
        <w:jc w:val="both"/>
      </w:pPr>
      <w:r>
        <w:t xml:space="preserve">During April-June 19, </w:t>
      </w:r>
      <w:r w:rsidR="006A5199">
        <w:t xml:space="preserve">the </w:t>
      </w:r>
      <w:r>
        <w:t xml:space="preserve">Islamic banking sector significantly increases its excess liquidity ratio at BDT 2451884.24 million from BDT 59972.52 million </w:t>
      </w:r>
      <w:r w:rsidR="006A5199">
        <w:t>correspo</w:t>
      </w:r>
      <w:r>
        <w:t>ndent to the prev</w:t>
      </w:r>
      <w:r w:rsidR="006A5199">
        <w:t>i</w:t>
      </w:r>
      <w:r>
        <w:t>ous quarter and the same quarter of the last year.</w:t>
      </w:r>
    </w:p>
    <w:p w14:paraId="65E58BEB" w14:textId="3C298D0A" w:rsidR="007B0D11" w:rsidRDefault="007B0D11" w:rsidP="007B0D11">
      <w:pPr>
        <w:spacing w:line="360" w:lineRule="auto"/>
        <w:jc w:val="both"/>
      </w:pPr>
      <w:r>
        <w:lastRenderedPageBreak/>
        <w:t xml:space="preserve">At the end of </w:t>
      </w:r>
      <w:r w:rsidR="006A5199">
        <w:t xml:space="preserve">the </w:t>
      </w:r>
      <w:r>
        <w:t>April-June 2019 quarter, the total remittances propelled by the Islamic banking sector was Tk. 97124.24 million. However, compared to the first quarter of 2019, it was 16.49% or Tk. 13746.78 million higher. Moreover, the second quarter was higher by Tk. 17494.79 million or 15.26% compared to the second quarter of 2018.</w:t>
      </w:r>
    </w:p>
    <w:p w14:paraId="4F1D746E" w14:textId="2A641EBD" w:rsidR="007B0D11" w:rsidRDefault="007B0D11" w:rsidP="005C25E2">
      <w:pPr>
        <w:spacing w:line="360" w:lineRule="auto"/>
        <w:jc w:val="both"/>
      </w:pPr>
      <w:r>
        <w:t xml:space="preserve"> Upon reviewing, at the end of the quarter, the number of Islamic banking sector reached 1261, which includes Islamic branches and windows of conventional commercial banks. In the previous quarter</w:t>
      </w:r>
      <w:r w:rsidR="006A5199">
        <w:t>,</w:t>
      </w:r>
      <w:r>
        <w:t xml:space="preserve"> it was 1252. In addition, it was 1178 the previous year in this same quarter.</w:t>
      </w:r>
    </w:p>
    <w:p w14:paraId="3808881D" w14:textId="77777777" w:rsidR="00C22FCC" w:rsidRPr="00010B33" w:rsidRDefault="00C22FCC" w:rsidP="005C25E2">
      <w:pPr>
        <w:spacing w:line="360" w:lineRule="auto"/>
        <w:jc w:val="both"/>
        <w:rPr>
          <w:rFonts w:cs="Times New Roman"/>
          <w:b/>
          <w:szCs w:val="24"/>
        </w:rPr>
      </w:pPr>
      <w:r w:rsidRPr="00010B33">
        <w:rPr>
          <w:rFonts w:cs="Times New Roman"/>
          <w:b/>
          <w:szCs w:val="24"/>
        </w:rPr>
        <w:t>Mobilizations of Deposit</w:t>
      </w:r>
    </w:p>
    <w:p w14:paraId="52024F27" w14:textId="77777777" w:rsidR="00B82F2A" w:rsidRDefault="00C22FCC" w:rsidP="00B82F2A">
      <w:pPr>
        <w:keepNext/>
        <w:spacing w:line="360" w:lineRule="auto"/>
        <w:jc w:val="both"/>
      </w:pPr>
      <w:r w:rsidRPr="00010B33">
        <w:rPr>
          <w:rFonts w:cs="Times New Roman"/>
          <w:noProof/>
          <w:szCs w:val="24"/>
        </w:rPr>
        <w:drawing>
          <wp:inline distT="0" distB="0" distL="0" distR="0" wp14:anchorId="5362A566" wp14:editId="2DCCCC7A">
            <wp:extent cx="5620047" cy="3480528"/>
            <wp:effectExtent l="0" t="0" r="0" b="571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bilzation of Deposits.png"/>
                    <pic:cNvPicPr/>
                  </pic:nvPicPr>
                  <pic:blipFill>
                    <a:blip r:embed="rId23">
                      <a:extLst>
                        <a:ext uri="{28A0092B-C50C-407E-A947-70E740481C1C}">
                          <a14:useLocalDpi xmlns:a14="http://schemas.microsoft.com/office/drawing/2010/main" val="0"/>
                        </a:ext>
                      </a:extLst>
                    </a:blip>
                    <a:stretch>
                      <a:fillRect/>
                    </a:stretch>
                  </pic:blipFill>
                  <pic:spPr>
                    <a:xfrm>
                      <a:off x="0" y="0"/>
                      <a:ext cx="5620047" cy="3480528"/>
                    </a:xfrm>
                    <a:prstGeom prst="rect">
                      <a:avLst/>
                    </a:prstGeom>
                  </pic:spPr>
                </pic:pic>
              </a:graphicData>
            </a:graphic>
          </wp:inline>
        </w:drawing>
      </w:r>
    </w:p>
    <w:p w14:paraId="5BC98B8D" w14:textId="5595EE28" w:rsidR="00B82F2A" w:rsidRPr="00B82F2A" w:rsidRDefault="00B82F2A" w:rsidP="00B82F2A">
      <w:pPr>
        <w:pStyle w:val="Caption"/>
        <w:jc w:val="both"/>
        <w:rPr>
          <w:sz w:val="24"/>
          <w:szCs w:val="24"/>
        </w:rPr>
      </w:pPr>
      <w:bookmarkStart w:id="10" w:name="_Toc70724701"/>
      <w:r w:rsidRPr="00B82F2A">
        <w:rPr>
          <w:sz w:val="24"/>
          <w:szCs w:val="24"/>
        </w:rPr>
        <w:t xml:space="preserve">Figure </w:t>
      </w:r>
      <w:r w:rsidRPr="00B82F2A">
        <w:rPr>
          <w:sz w:val="24"/>
          <w:szCs w:val="24"/>
        </w:rPr>
        <w:fldChar w:fldCharType="begin"/>
      </w:r>
      <w:r w:rsidRPr="00B82F2A">
        <w:rPr>
          <w:sz w:val="24"/>
          <w:szCs w:val="24"/>
        </w:rPr>
        <w:instrText xml:space="preserve"> SEQ Figure \* ARABIC </w:instrText>
      </w:r>
      <w:r w:rsidRPr="00B82F2A">
        <w:rPr>
          <w:sz w:val="24"/>
          <w:szCs w:val="24"/>
        </w:rPr>
        <w:fldChar w:fldCharType="separate"/>
      </w:r>
      <w:r w:rsidR="00E87025">
        <w:rPr>
          <w:noProof/>
          <w:sz w:val="24"/>
          <w:szCs w:val="24"/>
        </w:rPr>
        <w:t>1</w:t>
      </w:r>
      <w:r w:rsidRPr="00B82F2A">
        <w:rPr>
          <w:sz w:val="24"/>
          <w:szCs w:val="24"/>
        </w:rPr>
        <w:fldChar w:fldCharType="end"/>
      </w:r>
      <w:r w:rsidRPr="00B82F2A">
        <w:rPr>
          <w:sz w:val="24"/>
          <w:szCs w:val="24"/>
        </w:rPr>
        <w:t xml:space="preserve"> Mobilization of deposits of Islami banks</w:t>
      </w:r>
      <w:bookmarkEnd w:id="10"/>
    </w:p>
    <w:p w14:paraId="03669B56" w14:textId="114B3C0F" w:rsidR="000F61B7" w:rsidRPr="00010B33" w:rsidRDefault="005C4462" w:rsidP="007B0D11">
      <w:pPr>
        <w:spacing w:line="360" w:lineRule="auto"/>
        <w:jc w:val="both"/>
      </w:pPr>
      <w:r>
        <w:t>Figure</w:t>
      </w:r>
      <w:r w:rsidR="00D446CD">
        <w:t xml:space="preserve"> 1 illustrates, a</w:t>
      </w:r>
      <w:r w:rsidR="000F61B7">
        <w:t>t the end of April-June 2019, the total deposit of this industry amo</w:t>
      </w:r>
      <w:r>
        <w:t xml:space="preserve">unted to be increased by 4.52% </w:t>
      </w:r>
      <w:r w:rsidR="000F61B7">
        <w:t>compare to the previous quarter. The total deposit of BDT 2530586.41 is the sum of the demand deposit of BDT 29294850 and the time deposit of BDT 223763792 mil.  The total deposit is 13% more th</w:t>
      </w:r>
      <w:r w:rsidR="00F97A4B">
        <w:t>a</w:t>
      </w:r>
      <w:r w:rsidR="000F61B7">
        <w:t>n the respective quarter of last year. Over the period under assessment, the share of total Is</w:t>
      </w:r>
      <w:r w:rsidR="00F97A4B">
        <w:t>l</w:t>
      </w:r>
      <w:r w:rsidR="000F61B7">
        <w:t>amic banking mode stood to be 23.77% among all the banks.</w:t>
      </w:r>
    </w:p>
    <w:p w14:paraId="1261E98B" w14:textId="77777777" w:rsidR="000F61B7" w:rsidRPr="00010B33" w:rsidRDefault="000F61B7" w:rsidP="007B0D11">
      <w:pPr>
        <w:spacing w:line="360" w:lineRule="auto"/>
        <w:jc w:val="both"/>
      </w:pPr>
      <w:r>
        <w:lastRenderedPageBreak/>
        <w:t xml:space="preserve">At the end of June 19, the amount of 8 completely shariah-based Islamic banking’s deposits amount is BDT 2379722.60 mil. This amount holds significantly 94.04% of the industry’s deposit. </w:t>
      </w:r>
    </w:p>
    <w:p w14:paraId="51492EEB" w14:textId="77777777" w:rsidR="000F61B7" w:rsidRDefault="000F61B7" w:rsidP="007B0D11">
      <w:pPr>
        <w:spacing w:line="360" w:lineRule="auto"/>
        <w:jc w:val="both"/>
      </w:pPr>
      <w:r>
        <w:t xml:space="preserve">At the end of June, </w:t>
      </w:r>
      <w:proofErr w:type="spellStart"/>
      <w:r>
        <w:t>Islami</w:t>
      </w:r>
      <w:proofErr w:type="spellEnd"/>
      <w:r>
        <w:t xml:space="preserve"> Bank </w:t>
      </w:r>
      <w:proofErr w:type="spellStart"/>
      <w:r>
        <w:t>Bank</w:t>
      </w:r>
      <w:proofErr w:type="spellEnd"/>
      <w:r>
        <w:t xml:space="preserve"> Bangladesh Ltd ensure </w:t>
      </w:r>
      <w:r w:rsidR="00F97A4B">
        <w:t xml:space="preserve">the </w:t>
      </w:r>
      <w:r>
        <w:t>highest share of deposit(34.30%). Islamic Bank Lim</w:t>
      </w:r>
      <w:r w:rsidR="00F97A4B">
        <w:t>i</w:t>
      </w:r>
      <w:r>
        <w:t xml:space="preserve">ted and Islamic Banking Windows have the least deposit respectively with  .48 and 2.64%. Other banks such as Exim Bank Ltd </w:t>
      </w:r>
      <w:r w:rsidRPr="00010B33">
        <w:t xml:space="preserve">(11.66%), </w:t>
      </w:r>
      <w:r w:rsidRPr="000F61B7">
        <w:t xml:space="preserve"> </w:t>
      </w:r>
      <w:r w:rsidRPr="00010B33">
        <w:t>First Security Islami Bank Ltd. (13.15%), Al-</w:t>
      </w:r>
      <w:proofErr w:type="spellStart"/>
      <w:r w:rsidRPr="00010B33">
        <w:t>Arafah</w:t>
      </w:r>
      <w:proofErr w:type="spellEnd"/>
      <w:r w:rsidRPr="00010B33">
        <w:t xml:space="preserve"> </w:t>
      </w:r>
      <w:proofErr w:type="spellStart"/>
      <w:r w:rsidRPr="00010B33">
        <w:t>Islami</w:t>
      </w:r>
      <w:proofErr w:type="spellEnd"/>
      <w:r w:rsidRPr="00010B33">
        <w:t xml:space="preserve"> Bank Ltd. (12.12%), EXIM Bank Ltd. (11.66%), Social Islami Bank Ltd. (9.35%), Shahjalal Islami Bank Ltd. (7.64%), Union Bank Limited (5.35%), Islamic banking branches (3.32%),</w:t>
      </w:r>
      <w:r>
        <w:t xml:space="preserve"> have a  significant contribution on deposits.</w:t>
      </w:r>
    </w:p>
    <w:p w14:paraId="5DFBFEDE" w14:textId="77777777" w:rsidR="006A5199" w:rsidRDefault="006A5199" w:rsidP="005C25E2">
      <w:pPr>
        <w:spacing w:line="360" w:lineRule="auto"/>
        <w:jc w:val="both"/>
        <w:rPr>
          <w:rFonts w:cs="Times New Roman"/>
          <w:b/>
          <w:szCs w:val="24"/>
        </w:rPr>
      </w:pPr>
    </w:p>
    <w:p w14:paraId="276D6C0F" w14:textId="77777777" w:rsidR="006A5199" w:rsidRDefault="006A5199" w:rsidP="005C25E2">
      <w:pPr>
        <w:spacing w:line="360" w:lineRule="auto"/>
        <w:jc w:val="both"/>
        <w:rPr>
          <w:rFonts w:cs="Times New Roman"/>
          <w:b/>
          <w:szCs w:val="24"/>
        </w:rPr>
      </w:pPr>
    </w:p>
    <w:p w14:paraId="2BD73406" w14:textId="77777777" w:rsidR="006A5199" w:rsidRDefault="006A5199" w:rsidP="005C25E2">
      <w:pPr>
        <w:spacing w:line="360" w:lineRule="auto"/>
        <w:jc w:val="both"/>
        <w:rPr>
          <w:rFonts w:cs="Times New Roman"/>
          <w:b/>
          <w:szCs w:val="24"/>
        </w:rPr>
      </w:pPr>
    </w:p>
    <w:p w14:paraId="76033B85" w14:textId="750F525A" w:rsidR="00B82F2A" w:rsidRPr="00B82F2A" w:rsidRDefault="00C22FCC" w:rsidP="005C25E2">
      <w:pPr>
        <w:spacing w:line="360" w:lineRule="auto"/>
        <w:jc w:val="both"/>
        <w:rPr>
          <w:rFonts w:cs="Times New Roman"/>
          <w:b/>
          <w:szCs w:val="24"/>
        </w:rPr>
      </w:pPr>
      <w:r w:rsidRPr="00010B33">
        <w:rPr>
          <w:rFonts w:cs="Times New Roman"/>
          <w:b/>
          <w:szCs w:val="24"/>
        </w:rPr>
        <w:t>Types of Deposits</w:t>
      </w:r>
    </w:p>
    <w:p w14:paraId="64E1DB98" w14:textId="77777777" w:rsidR="00B82F2A" w:rsidRDefault="007B0D11" w:rsidP="00B82F2A">
      <w:pPr>
        <w:keepNext/>
        <w:spacing w:line="360" w:lineRule="auto"/>
        <w:jc w:val="both"/>
      </w:pPr>
      <w:r w:rsidRPr="00010B33">
        <w:rPr>
          <w:rFonts w:cs="Times New Roman"/>
          <w:noProof/>
          <w:szCs w:val="24"/>
        </w:rPr>
        <w:drawing>
          <wp:inline distT="0" distB="0" distL="0" distR="0" wp14:anchorId="0A39388A" wp14:editId="24CD30AD">
            <wp:extent cx="5205046" cy="3607358"/>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ypes of Deposits.png"/>
                    <pic:cNvPicPr/>
                  </pic:nvPicPr>
                  <pic:blipFill>
                    <a:blip r:embed="rId24">
                      <a:extLst>
                        <a:ext uri="{28A0092B-C50C-407E-A947-70E740481C1C}">
                          <a14:useLocalDpi xmlns:a14="http://schemas.microsoft.com/office/drawing/2010/main" val="0"/>
                        </a:ext>
                      </a:extLst>
                    </a:blip>
                    <a:stretch>
                      <a:fillRect/>
                    </a:stretch>
                  </pic:blipFill>
                  <pic:spPr>
                    <a:xfrm>
                      <a:off x="0" y="0"/>
                      <a:ext cx="5237488" cy="3629842"/>
                    </a:xfrm>
                    <a:prstGeom prst="rect">
                      <a:avLst/>
                    </a:prstGeom>
                  </pic:spPr>
                </pic:pic>
              </a:graphicData>
            </a:graphic>
          </wp:inline>
        </w:drawing>
      </w:r>
    </w:p>
    <w:p w14:paraId="63BA970A" w14:textId="11B8CF2F" w:rsidR="00B82F2A" w:rsidRPr="00B82F2A" w:rsidRDefault="00B82F2A" w:rsidP="00B82F2A">
      <w:pPr>
        <w:pStyle w:val="Caption"/>
        <w:jc w:val="both"/>
        <w:rPr>
          <w:sz w:val="24"/>
          <w:szCs w:val="24"/>
        </w:rPr>
      </w:pPr>
      <w:bookmarkStart w:id="11" w:name="_Toc70724702"/>
      <w:r w:rsidRPr="00B82F2A">
        <w:rPr>
          <w:sz w:val="24"/>
          <w:szCs w:val="24"/>
        </w:rPr>
        <w:t xml:space="preserve">Figure </w:t>
      </w:r>
      <w:r w:rsidRPr="00B82F2A">
        <w:rPr>
          <w:sz w:val="24"/>
          <w:szCs w:val="24"/>
        </w:rPr>
        <w:fldChar w:fldCharType="begin"/>
      </w:r>
      <w:r w:rsidRPr="00B82F2A">
        <w:rPr>
          <w:sz w:val="24"/>
          <w:szCs w:val="24"/>
        </w:rPr>
        <w:instrText xml:space="preserve"> SEQ Figure \* ARABIC </w:instrText>
      </w:r>
      <w:r w:rsidRPr="00B82F2A">
        <w:rPr>
          <w:sz w:val="24"/>
          <w:szCs w:val="24"/>
        </w:rPr>
        <w:fldChar w:fldCharType="separate"/>
      </w:r>
      <w:r w:rsidR="00E87025">
        <w:rPr>
          <w:noProof/>
          <w:sz w:val="24"/>
          <w:szCs w:val="24"/>
        </w:rPr>
        <w:t>2</w:t>
      </w:r>
      <w:r w:rsidRPr="00B82F2A">
        <w:rPr>
          <w:sz w:val="24"/>
          <w:szCs w:val="24"/>
        </w:rPr>
        <w:fldChar w:fldCharType="end"/>
      </w:r>
      <w:r w:rsidRPr="00B82F2A">
        <w:rPr>
          <w:sz w:val="24"/>
          <w:szCs w:val="24"/>
        </w:rPr>
        <w:t xml:space="preserve"> Types of deposits</w:t>
      </w:r>
      <w:bookmarkEnd w:id="11"/>
    </w:p>
    <w:p w14:paraId="5D4790C7" w14:textId="7B2ADF93" w:rsidR="00271331" w:rsidRDefault="00D446CD" w:rsidP="005C25E2">
      <w:pPr>
        <w:spacing w:line="360" w:lineRule="auto"/>
        <w:jc w:val="both"/>
        <w:rPr>
          <w:rFonts w:cs="Times New Roman"/>
          <w:szCs w:val="24"/>
        </w:rPr>
      </w:pPr>
      <w:r>
        <w:rPr>
          <w:rFonts w:cs="Times New Roman"/>
          <w:szCs w:val="24"/>
        </w:rPr>
        <w:lastRenderedPageBreak/>
        <w:t xml:space="preserve">Figure 2 depicts that, </w:t>
      </w:r>
      <w:proofErr w:type="spellStart"/>
      <w:r w:rsidR="00C22FCC" w:rsidRPr="00010B33">
        <w:rPr>
          <w:rFonts w:cs="Times New Roman"/>
          <w:szCs w:val="24"/>
        </w:rPr>
        <w:t>Mudaraba</w:t>
      </w:r>
      <w:proofErr w:type="spellEnd"/>
      <w:r w:rsidR="00C22FCC" w:rsidRPr="00010B33">
        <w:rPr>
          <w:rFonts w:cs="Times New Roman"/>
          <w:szCs w:val="24"/>
        </w:rPr>
        <w:t xml:space="preserve"> </w:t>
      </w:r>
      <w:r w:rsidR="00C22FCC" w:rsidRPr="00010B33">
        <w:rPr>
          <w:rFonts w:cs="Times New Roman"/>
          <w:spacing w:val="-5"/>
          <w:szCs w:val="24"/>
        </w:rPr>
        <w:t xml:space="preserve">Term </w:t>
      </w:r>
      <w:r w:rsidR="00C22FCC" w:rsidRPr="00010B33">
        <w:rPr>
          <w:rFonts w:cs="Times New Roman"/>
          <w:szCs w:val="24"/>
        </w:rPr>
        <w:t xml:space="preserve">Deposits </w:t>
      </w:r>
      <w:r w:rsidR="00774D4B">
        <w:rPr>
          <w:rFonts w:cs="Times New Roman"/>
          <w:spacing w:val="-3"/>
          <w:szCs w:val="24"/>
        </w:rPr>
        <w:t>tend to be most favorable from all the other types of deposits with</w:t>
      </w:r>
      <w:r w:rsidR="00774D4B">
        <w:rPr>
          <w:rFonts w:cs="Times New Roman"/>
          <w:szCs w:val="24"/>
        </w:rPr>
        <w:t xml:space="preserve"> 47.85%.</w:t>
      </w:r>
      <w:r w:rsidR="00C22FCC" w:rsidRPr="00010B33">
        <w:rPr>
          <w:rFonts w:cs="Times New Roman"/>
          <w:szCs w:val="24"/>
        </w:rPr>
        <w:t xml:space="preserve"> </w:t>
      </w:r>
      <w:proofErr w:type="spellStart"/>
      <w:r w:rsidR="00C22FCC" w:rsidRPr="00010B33">
        <w:rPr>
          <w:rFonts w:cs="Times New Roman"/>
          <w:szCs w:val="24"/>
        </w:rPr>
        <w:t>Mudaraba</w:t>
      </w:r>
      <w:proofErr w:type="spellEnd"/>
      <w:r w:rsidR="00C22FCC" w:rsidRPr="00010B33">
        <w:rPr>
          <w:rFonts w:cs="Times New Roman"/>
          <w:szCs w:val="24"/>
        </w:rPr>
        <w:t xml:space="preserve"> Savings Deposits (MSD) (18.37%), </w:t>
      </w:r>
      <w:proofErr w:type="spellStart"/>
      <w:r w:rsidR="00C22FCC" w:rsidRPr="00010B33">
        <w:rPr>
          <w:rFonts w:cs="Times New Roman"/>
          <w:szCs w:val="24"/>
        </w:rPr>
        <w:t>Mudaraba</w:t>
      </w:r>
      <w:proofErr w:type="spellEnd"/>
      <w:r w:rsidR="00C22FCC" w:rsidRPr="00010B33">
        <w:rPr>
          <w:rFonts w:cs="Times New Roman"/>
          <w:szCs w:val="24"/>
        </w:rPr>
        <w:t xml:space="preserve"> Special Savings (pension/profit) Deposits (8.57%), </w:t>
      </w:r>
      <w:proofErr w:type="spellStart"/>
      <w:r w:rsidR="00774D4B" w:rsidRPr="00010B33">
        <w:rPr>
          <w:rFonts w:cs="Times New Roman"/>
          <w:szCs w:val="24"/>
        </w:rPr>
        <w:t>Mudaraba</w:t>
      </w:r>
      <w:proofErr w:type="spellEnd"/>
      <w:r w:rsidR="00774D4B" w:rsidRPr="00010B33">
        <w:rPr>
          <w:rFonts w:cs="Times New Roman"/>
          <w:szCs w:val="24"/>
        </w:rPr>
        <w:t xml:space="preserve"> Special Notice Deposits </w:t>
      </w:r>
      <w:r w:rsidR="00C22FCC" w:rsidRPr="00010B33">
        <w:rPr>
          <w:rFonts w:cs="Times New Roman"/>
          <w:szCs w:val="24"/>
        </w:rPr>
        <w:t>Al- Wadeeah Current Account Deposits (3.95%),</w:t>
      </w:r>
      <w:r w:rsidR="00774D4B" w:rsidRPr="00774D4B">
        <w:rPr>
          <w:rFonts w:cs="Times New Roman"/>
          <w:szCs w:val="24"/>
        </w:rPr>
        <w:t xml:space="preserve"> </w:t>
      </w:r>
      <w:proofErr w:type="spellStart"/>
      <w:r w:rsidR="00774D4B" w:rsidRPr="00010B33">
        <w:rPr>
          <w:rFonts w:cs="Times New Roman"/>
          <w:szCs w:val="24"/>
        </w:rPr>
        <w:t>Mudaraba</w:t>
      </w:r>
      <w:proofErr w:type="spellEnd"/>
      <w:r w:rsidR="00774D4B" w:rsidRPr="00010B33">
        <w:rPr>
          <w:rFonts w:cs="Times New Roman"/>
          <w:szCs w:val="24"/>
        </w:rPr>
        <w:t xml:space="preserve"> Hajj Deposits (0.21%), </w:t>
      </w:r>
      <w:r w:rsidR="00C22FCC" w:rsidRPr="00010B33">
        <w:rPr>
          <w:rFonts w:cs="Times New Roman"/>
          <w:szCs w:val="24"/>
        </w:rPr>
        <w:t xml:space="preserve"> </w:t>
      </w:r>
      <w:r w:rsidR="00C22FCC" w:rsidRPr="00010B33">
        <w:rPr>
          <w:rFonts w:cs="Times New Roman"/>
          <w:spacing w:val="-3"/>
          <w:szCs w:val="24"/>
        </w:rPr>
        <w:t xml:space="preserve">(4.21%), </w:t>
      </w:r>
      <w:proofErr w:type="spellStart"/>
      <w:r w:rsidR="00C22FCC" w:rsidRPr="00010B33">
        <w:rPr>
          <w:rFonts w:cs="Times New Roman"/>
          <w:szCs w:val="24"/>
        </w:rPr>
        <w:t>Mudaraba</w:t>
      </w:r>
      <w:proofErr w:type="spellEnd"/>
      <w:r w:rsidR="00C22FCC" w:rsidRPr="00010B33">
        <w:rPr>
          <w:rFonts w:cs="Times New Roman"/>
          <w:szCs w:val="24"/>
        </w:rPr>
        <w:t xml:space="preserve"> Savings Bond (0.73%) and </w:t>
      </w:r>
      <w:r w:rsidR="00774D4B" w:rsidRPr="00010B33">
        <w:rPr>
          <w:rFonts w:cs="Times New Roman"/>
          <w:spacing w:val="2"/>
          <w:szCs w:val="24"/>
        </w:rPr>
        <w:t xml:space="preserve">Other </w:t>
      </w:r>
      <w:r w:rsidR="00774D4B" w:rsidRPr="00010B33">
        <w:rPr>
          <w:rFonts w:cs="Times New Roman"/>
          <w:szCs w:val="24"/>
        </w:rPr>
        <w:t>Deposits (16.11%)</w:t>
      </w:r>
      <w:r w:rsidR="00774D4B">
        <w:rPr>
          <w:rFonts w:cs="Times New Roman"/>
          <w:szCs w:val="24"/>
        </w:rPr>
        <w:t>, etc.</w:t>
      </w:r>
    </w:p>
    <w:p w14:paraId="3A04C599" w14:textId="77777777" w:rsidR="00B82F2A" w:rsidRDefault="00C22FCC" w:rsidP="00B82F2A">
      <w:pPr>
        <w:keepNext/>
        <w:spacing w:line="360" w:lineRule="auto"/>
        <w:jc w:val="both"/>
      </w:pPr>
      <w:r w:rsidRPr="00010B33">
        <w:rPr>
          <w:rFonts w:cs="Times New Roman"/>
          <w:b/>
          <w:szCs w:val="24"/>
        </w:rPr>
        <w:t>Investments</w:t>
      </w:r>
      <w:r w:rsidRPr="00010B33">
        <w:rPr>
          <w:rFonts w:cs="Times New Roman"/>
          <w:noProof/>
          <w:szCs w:val="24"/>
        </w:rPr>
        <w:drawing>
          <wp:inline distT="0" distB="0" distL="0" distR="0" wp14:anchorId="7599823E" wp14:editId="6ED113D8">
            <wp:extent cx="5695950" cy="3019425"/>
            <wp:effectExtent l="0" t="0" r="0"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vestment.png"/>
                    <pic:cNvPicPr/>
                  </pic:nvPicPr>
                  <pic:blipFill>
                    <a:blip r:embed="rId25">
                      <a:extLst>
                        <a:ext uri="{28A0092B-C50C-407E-A947-70E740481C1C}">
                          <a14:useLocalDpi xmlns:a14="http://schemas.microsoft.com/office/drawing/2010/main" val="0"/>
                        </a:ext>
                      </a:extLst>
                    </a:blip>
                    <a:stretch>
                      <a:fillRect/>
                    </a:stretch>
                  </pic:blipFill>
                  <pic:spPr>
                    <a:xfrm>
                      <a:off x="0" y="0"/>
                      <a:ext cx="5693193" cy="3017964"/>
                    </a:xfrm>
                    <a:prstGeom prst="rect">
                      <a:avLst/>
                    </a:prstGeom>
                    <a:ln>
                      <a:noFill/>
                    </a:ln>
                  </pic:spPr>
                </pic:pic>
              </a:graphicData>
            </a:graphic>
          </wp:inline>
        </w:drawing>
      </w:r>
    </w:p>
    <w:p w14:paraId="6F3E24A9" w14:textId="0DF47E86" w:rsidR="00B82F2A" w:rsidRPr="00B82F2A" w:rsidRDefault="00B82F2A" w:rsidP="00B82F2A">
      <w:pPr>
        <w:pStyle w:val="Caption"/>
        <w:jc w:val="both"/>
        <w:rPr>
          <w:sz w:val="24"/>
          <w:szCs w:val="24"/>
        </w:rPr>
      </w:pPr>
      <w:bookmarkStart w:id="12" w:name="_Toc70724703"/>
      <w:r w:rsidRPr="00B82F2A">
        <w:rPr>
          <w:sz w:val="24"/>
          <w:szCs w:val="24"/>
        </w:rPr>
        <w:t xml:space="preserve">Figure </w:t>
      </w:r>
      <w:r w:rsidRPr="00B82F2A">
        <w:rPr>
          <w:sz w:val="24"/>
          <w:szCs w:val="24"/>
        </w:rPr>
        <w:fldChar w:fldCharType="begin"/>
      </w:r>
      <w:r w:rsidRPr="00B82F2A">
        <w:rPr>
          <w:sz w:val="24"/>
          <w:szCs w:val="24"/>
        </w:rPr>
        <w:instrText xml:space="preserve"> SEQ Figure \* ARABIC </w:instrText>
      </w:r>
      <w:r w:rsidRPr="00B82F2A">
        <w:rPr>
          <w:sz w:val="24"/>
          <w:szCs w:val="24"/>
        </w:rPr>
        <w:fldChar w:fldCharType="separate"/>
      </w:r>
      <w:r w:rsidR="00E87025">
        <w:rPr>
          <w:noProof/>
          <w:sz w:val="24"/>
          <w:szCs w:val="24"/>
        </w:rPr>
        <w:t>3</w:t>
      </w:r>
      <w:r w:rsidRPr="00B82F2A">
        <w:rPr>
          <w:sz w:val="24"/>
          <w:szCs w:val="24"/>
        </w:rPr>
        <w:fldChar w:fldCharType="end"/>
      </w:r>
      <w:r w:rsidRPr="00B82F2A">
        <w:rPr>
          <w:sz w:val="24"/>
          <w:szCs w:val="24"/>
        </w:rPr>
        <w:t xml:space="preserve"> Investment amount of Islamic banking windows and branches</w:t>
      </w:r>
      <w:bookmarkEnd w:id="12"/>
    </w:p>
    <w:p w14:paraId="0B67A6C7" w14:textId="593F3607" w:rsidR="00271331" w:rsidRDefault="00357A59" w:rsidP="005C25E2">
      <w:pPr>
        <w:spacing w:line="360" w:lineRule="auto"/>
        <w:jc w:val="both"/>
        <w:rPr>
          <w:rFonts w:cs="Times New Roman"/>
          <w:szCs w:val="24"/>
        </w:rPr>
      </w:pPr>
      <w:r>
        <w:rPr>
          <w:rFonts w:cs="Times New Roman"/>
          <w:szCs w:val="24"/>
        </w:rPr>
        <w:t>From Figure 3 it can be seen that, a</w:t>
      </w:r>
      <w:r w:rsidR="000F61B7">
        <w:rPr>
          <w:rFonts w:cs="Times New Roman"/>
          <w:szCs w:val="24"/>
        </w:rPr>
        <w:t xml:space="preserve">t the end of June-19, there was a significant rise by 3.33%  and 13% compared to the precedent quarter and similar quarter of the previous year respectively. The total investment of this year is amounted to be BDT 2451884.24 which is 24.26% among all banks. The </w:t>
      </w:r>
      <w:r w:rsidR="00271331">
        <w:rPr>
          <w:rFonts w:cs="Times New Roman"/>
          <w:szCs w:val="24"/>
        </w:rPr>
        <w:t>contribution</w:t>
      </w:r>
      <w:r w:rsidR="000F61B7">
        <w:rPr>
          <w:rFonts w:cs="Times New Roman"/>
          <w:szCs w:val="24"/>
        </w:rPr>
        <w:t xml:space="preserve"> of completely shariah-based Islamic banking is 94.76%, </w:t>
      </w:r>
      <w:r w:rsidR="000F61B7" w:rsidRPr="00010B33">
        <w:rPr>
          <w:rFonts w:cs="Times New Roman"/>
          <w:szCs w:val="24"/>
        </w:rPr>
        <w:t xml:space="preserve">2.96% </w:t>
      </w:r>
      <w:r w:rsidR="000F61B7">
        <w:rPr>
          <w:rFonts w:cs="Times New Roman"/>
          <w:szCs w:val="24"/>
        </w:rPr>
        <w:t>from</w:t>
      </w:r>
      <w:r w:rsidR="000F61B7" w:rsidRPr="00010B33">
        <w:rPr>
          <w:rFonts w:cs="Times New Roman"/>
          <w:szCs w:val="24"/>
        </w:rPr>
        <w:t xml:space="preserve"> the conventional banks’ Islamic banking branches</w:t>
      </w:r>
      <w:r w:rsidR="000F61B7">
        <w:rPr>
          <w:rFonts w:cs="Times New Roman"/>
          <w:szCs w:val="24"/>
        </w:rPr>
        <w:t>,</w:t>
      </w:r>
      <w:r w:rsidR="000F61B7" w:rsidRPr="00010B33">
        <w:rPr>
          <w:rFonts w:cs="Times New Roman"/>
          <w:szCs w:val="24"/>
        </w:rPr>
        <w:t xml:space="preserve"> and the rest 2.28% </w:t>
      </w:r>
      <w:r w:rsidR="000F61B7">
        <w:rPr>
          <w:rFonts w:cs="Times New Roman"/>
          <w:szCs w:val="24"/>
        </w:rPr>
        <w:t>from</w:t>
      </w:r>
      <w:r w:rsidR="000F61B7" w:rsidRPr="00010B33">
        <w:rPr>
          <w:rFonts w:cs="Times New Roman"/>
          <w:szCs w:val="24"/>
        </w:rPr>
        <w:t xml:space="preserve"> the conventional </w:t>
      </w:r>
      <w:r w:rsidR="000F61B7">
        <w:rPr>
          <w:rFonts w:cs="Times New Roman"/>
          <w:szCs w:val="24"/>
        </w:rPr>
        <w:t>banks’ Islamic banking windows in total investments</w:t>
      </w:r>
    </w:p>
    <w:p w14:paraId="2275CF0D" w14:textId="0DD979E4" w:rsidR="000F61B7" w:rsidRPr="007B0D11" w:rsidRDefault="000F61B7" w:rsidP="005C25E2">
      <w:pPr>
        <w:spacing w:line="360" w:lineRule="auto"/>
        <w:jc w:val="both"/>
        <w:rPr>
          <w:rFonts w:cs="Times New Roman"/>
          <w:szCs w:val="24"/>
        </w:rPr>
      </w:pPr>
      <w:r>
        <w:rPr>
          <w:rFonts w:cs="Times New Roman"/>
          <w:szCs w:val="24"/>
        </w:rPr>
        <w:t>At the end of the quarter, Islami Bank Bangladesh made the highest investment (34%) among all the Islamic bank</w:t>
      </w:r>
      <w:r w:rsidR="00271331">
        <w:rPr>
          <w:rFonts w:cs="Times New Roman"/>
          <w:szCs w:val="24"/>
        </w:rPr>
        <w:t>s</w:t>
      </w:r>
      <w:r>
        <w:rPr>
          <w:rFonts w:cs="Times New Roman"/>
          <w:szCs w:val="24"/>
        </w:rPr>
        <w:t xml:space="preserve">.  The Islamic Bank </w:t>
      </w:r>
      <w:r w:rsidR="00271331">
        <w:rPr>
          <w:rFonts w:cs="Times New Roman"/>
          <w:szCs w:val="24"/>
        </w:rPr>
        <w:t>L</w:t>
      </w:r>
      <w:r>
        <w:rPr>
          <w:rFonts w:cs="Times New Roman"/>
          <w:szCs w:val="24"/>
        </w:rPr>
        <w:t xml:space="preserve">td. struggle to properly utilize their asset in terms of investment (.35%). Other Bank had moderate investment, </w:t>
      </w:r>
      <w:r w:rsidRPr="00010B33">
        <w:rPr>
          <w:rFonts w:cs="Times New Roman"/>
          <w:szCs w:val="24"/>
        </w:rPr>
        <w:t>Security Islami Bank Ltd. (13.41%), EXIM Bank Ltd. (12.62%), Al-</w:t>
      </w:r>
      <w:proofErr w:type="spellStart"/>
      <w:r w:rsidRPr="00010B33">
        <w:rPr>
          <w:rFonts w:cs="Times New Roman"/>
          <w:szCs w:val="24"/>
        </w:rPr>
        <w:t>Arafah</w:t>
      </w:r>
      <w:proofErr w:type="spellEnd"/>
      <w:r w:rsidRPr="00010B33">
        <w:rPr>
          <w:rFonts w:cs="Times New Roman"/>
          <w:szCs w:val="24"/>
        </w:rPr>
        <w:t xml:space="preserve"> </w:t>
      </w:r>
      <w:proofErr w:type="spellStart"/>
      <w:r w:rsidRPr="00010B33">
        <w:rPr>
          <w:rFonts w:cs="Times New Roman"/>
          <w:szCs w:val="24"/>
        </w:rPr>
        <w:t>Islami</w:t>
      </w:r>
      <w:proofErr w:type="spellEnd"/>
      <w:r w:rsidRPr="00010B33">
        <w:rPr>
          <w:rFonts w:cs="Times New Roman"/>
          <w:szCs w:val="24"/>
        </w:rPr>
        <w:t xml:space="preserve"> Bank Ltd. (11.06%), Social Islami Bank Ltd. (10.06%), Shahjalal Islami Bank Ltd. (7.93%), Union Bank Ltd. (5.33%)</w:t>
      </w:r>
      <w:r w:rsidR="005C4462">
        <w:rPr>
          <w:rFonts w:cs="Times New Roman"/>
          <w:szCs w:val="24"/>
        </w:rPr>
        <w:t>.</w:t>
      </w:r>
    </w:p>
    <w:p w14:paraId="68B64F68" w14:textId="77777777" w:rsidR="00B82F2A" w:rsidRDefault="00B82F2A" w:rsidP="005C25E2">
      <w:pPr>
        <w:spacing w:line="360" w:lineRule="auto"/>
        <w:jc w:val="both"/>
        <w:rPr>
          <w:rFonts w:cs="Times New Roman"/>
          <w:b/>
          <w:szCs w:val="24"/>
        </w:rPr>
      </w:pPr>
    </w:p>
    <w:p w14:paraId="17573471" w14:textId="48FE8EBA" w:rsidR="00C22FCC" w:rsidRPr="00010B33" w:rsidRDefault="00C22FCC" w:rsidP="005C25E2">
      <w:pPr>
        <w:spacing w:line="360" w:lineRule="auto"/>
        <w:jc w:val="both"/>
        <w:rPr>
          <w:rFonts w:cs="Times New Roman"/>
          <w:b/>
          <w:szCs w:val="24"/>
        </w:rPr>
      </w:pPr>
      <w:r w:rsidRPr="00010B33">
        <w:rPr>
          <w:rFonts w:cs="Times New Roman"/>
          <w:b/>
          <w:szCs w:val="24"/>
        </w:rPr>
        <w:lastRenderedPageBreak/>
        <w:t>Liquidity</w:t>
      </w:r>
    </w:p>
    <w:p w14:paraId="697B7EFF" w14:textId="77777777" w:rsidR="00B82F2A" w:rsidRDefault="00C22FCC" w:rsidP="00B82F2A">
      <w:pPr>
        <w:keepNext/>
        <w:spacing w:line="360" w:lineRule="auto"/>
        <w:jc w:val="both"/>
      </w:pPr>
      <w:r w:rsidRPr="00010B33">
        <w:rPr>
          <w:rFonts w:cs="Times New Roman"/>
          <w:b/>
          <w:noProof/>
          <w:szCs w:val="24"/>
        </w:rPr>
        <w:drawing>
          <wp:inline distT="0" distB="0" distL="0" distR="0" wp14:anchorId="65E7918B" wp14:editId="65F32BBE">
            <wp:extent cx="5667375" cy="2381250"/>
            <wp:effectExtent l="19050" t="19050" r="28575" b="1905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quidity.png"/>
                    <pic:cNvPicPr/>
                  </pic:nvPicPr>
                  <pic:blipFill>
                    <a:blip r:embed="rId26">
                      <a:extLst>
                        <a:ext uri="{28A0092B-C50C-407E-A947-70E740481C1C}">
                          <a14:useLocalDpi xmlns:a14="http://schemas.microsoft.com/office/drawing/2010/main" val="0"/>
                        </a:ext>
                      </a:extLst>
                    </a:blip>
                    <a:stretch>
                      <a:fillRect/>
                    </a:stretch>
                  </pic:blipFill>
                  <pic:spPr>
                    <a:xfrm>
                      <a:off x="0" y="0"/>
                      <a:ext cx="5670225" cy="2382447"/>
                    </a:xfrm>
                    <a:prstGeom prst="rect">
                      <a:avLst/>
                    </a:prstGeom>
                    <a:ln>
                      <a:solidFill>
                        <a:sysClr val="windowText" lastClr="000000"/>
                      </a:solidFill>
                    </a:ln>
                  </pic:spPr>
                </pic:pic>
              </a:graphicData>
            </a:graphic>
          </wp:inline>
        </w:drawing>
      </w:r>
    </w:p>
    <w:p w14:paraId="27553557" w14:textId="4AAF5F66" w:rsidR="00B82F2A" w:rsidRPr="00B82F2A" w:rsidRDefault="00B82F2A" w:rsidP="00B82F2A">
      <w:pPr>
        <w:pStyle w:val="Caption"/>
        <w:jc w:val="both"/>
        <w:rPr>
          <w:sz w:val="24"/>
          <w:szCs w:val="24"/>
        </w:rPr>
      </w:pPr>
      <w:bookmarkStart w:id="13" w:name="_Toc70724704"/>
      <w:r w:rsidRPr="00B82F2A">
        <w:rPr>
          <w:sz w:val="24"/>
          <w:szCs w:val="24"/>
        </w:rPr>
        <w:t xml:space="preserve">Figure </w:t>
      </w:r>
      <w:r w:rsidRPr="00B82F2A">
        <w:rPr>
          <w:sz w:val="24"/>
          <w:szCs w:val="24"/>
        </w:rPr>
        <w:fldChar w:fldCharType="begin"/>
      </w:r>
      <w:r w:rsidRPr="00B82F2A">
        <w:rPr>
          <w:sz w:val="24"/>
          <w:szCs w:val="24"/>
        </w:rPr>
        <w:instrText xml:space="preserve"> SEQ Figure \* ARABIC </w:instrText>
      </w:r>
      <w:r w:rsidRPr="00B82F2A">
        <w:rPr>
          <w:sz w:val="24"/>
          <w:szCs w:val="24"/>
        </w:rPr>
        <w:fldChar w:fldCharType="separate"/>
      </w:r>
      <w:r w:rsidR="00E87025">
        <w:rPr>
          <w:noProof/>
          <w:sz w:val="24"/>
          <w:szCs w:val="24"/>
        </w:rPr>
        <w:t>4</w:t>
      </w:r>
      <w:r w:rsidRPr="00B82F2A">
        <w:rPr>
          <w:sz w:val="24"/>
          <w:szCs w:val="24"/>
        </w:rPr>
        <w:fldChar w:fldCharType="end"/>
      </w:r>
      <w:r w:rsidRPr="00B82F2A">
        <w:rPr>
          <w:sz w:val="24"/>
          <w:szCs w:val="24"/>
        </w:rPr>
        <w:t xml:space="preserve"> Excess liquidity of Islamic Banks over two periods</w:t>
      </w:r>
      <w:bookmarkEnd w:id="13"/>
    </w:p>
    <w:p w14:paraId="4B4436E3" w14:textId="0CF2E7B9" w:rsidR="00B82F2A" w:rsidRDefault="00912C00" w:rsidP="005C25E2">
      <w:pPr>
        <w:spacing w:line="360" w:lineRule="auto"/>
        <w:jc w:val="both"/>
        <w:rPr>
          <w:rFonts w:cs="Times New Roman"/>
          <w:b/>
          <w:szCs w:val="24"/>
        </w:rPr>
      </w:pPr>
      <w:r>
        <w:rPr>
          <w:rFonts w:cs="Times New Roman"/>
          <w:szCs w:val="24"/>
        </w:rPr>
        <w:t>Figure 4 demonstrates that, a</w:t>
      </w:r>
      <w:r w:rsidR="00F964CB">
        <w:rPr>
          <w:rFonts w:cs="Times New Roman"/>
          <w:szCs w:val="24"/>
        </w:rPr>
        <w:t xml:space="preserve">t the end of June-19, the liquidity state amounted </w:t>
      </w:r>
      <w:r w:rsidR="00F97A4B">
        <w:rPr>
          <w:rFonts w:cs="Times New Roman"/>
          <w:szCs w:val="24"/>
        </w:rPr>
        <w:t xml:space="preserve">to </w:t>
      </w:r>
      <w:r w:rsidR="00F964CB">
        <w:rPr>
          <w:rFonts w:cs="Times New Roman"/>
          <w:szCs w:val="24"/>
        </w:rPr>
        <w:t xml:space="preserve">BDT 59972.52 million of the industry. This figure is higher in contrast to </w:t>
      </w:r>
      <w:r w:rsidR="00F97A4B">
        <w:rPr>
          <w:rFonts w:cs="Times New Roman"/>
          <w:szCs w:val="24"/>
        </w:rPr>
        <w:t xml:space="preserve">the </w:t>
      </w:r>
      <w:r w:rsidR="00F964CB">
        <w:rPr>
          <w:rFonts w:cs="Times New Roman"/>
          <w:szCs w:val="24"/>
        </w:rPr>
        <w:t xml:space="preserve">precedent quarter as well as </w:t>
      </w:r>
      <w:r w:rsidR="00F97A4B">
        <w:rPr>
          <w:rFonts w:cs="Times New Roman"/>
          <w:szCs w:val="24"/>
        </w:rPr>
        <w:t xml:space="preserve">the </w:t>
      </w:r>
      <w:r w:rsidR="00F964CB">
        <w:rPr>
          <w:rFonts w:cs="Times New Roman"/>
          <w:szCs w:val="24"/>
        </w:rPr>
        <w:t>same quarter of the last year by 58.08% and 7.25% respectively.</w:t>
      </w:r>
      <w:r w:rsidR="00F97A4B">
        <w:rPr>
          <w:rFonts w:cs="Times New Roman"/>
          <w:szCs w:val="24"/>
        </w:rPr>
        <w:t xml:space="preserve"> </w:t>
      </w:r>
      <w:r w:rsidR="00F964CB">
        <w:rPr>
          <w:rFonts w:cs="Times New Roman"/>
          <w:szCs w:val="24"/>
        </w:rPr>
        <w:t>Among all Islamic bank</w:t>
      </w:r>
      <w:r w:rsidR="00F97A4B">
        <w:rPr>
          <w:rFonts w:cs="Times New Roman"/>
          <w:szCs w:val="24"/>
        </w:rPr>
        <w:t>s</w:t>
      </w:r>
      <w:r w:rsidR="00F964CB">
        <w:rPr>
          <w:rFonts w:cs="Times New Roman"/>
          <w:szCs w:val="24"/>
        </w:rPr>
        <w:t>, the amount of BDT 165.48 mill, BDT 6519.39 mil</w:t>
      </w:r>
      <w:r w:rsidR="00F97A4B">
        <w:rPr>
          <w:rFonts w:cs="Times New Roman"/>
          <w:szCs w:val="24"/>
        </w:rPr>
        <w:t>,</w:t>
      </w:r>
      <w:r w:rsidR="00F964CB">
        <w:rPr>
          <w:rFonts w:cs="Times New Roman"/>
          <w:szCs w:val="24"/>
        </w:rPr>
        <w:t xml:space="preserve"> and </w:t>
      </w:r>
      <w:r w:rsidR="00F964CB" w:rsidRPr="00010B33">
        <w:rPr>
          <w:rFonts w:cs="Times New Roman"/>
          <w:szCs w:val="24"/>
        </w:rPr>
        <w:t xml:space="preserve">53287.64 </w:t>
      </w:r>
      <w:r w:rsidR="00AB542A">
        <w:rPr>
          <w:rFonts w:cs="Times New Roman"/>
          <w:szCs w:val="24"/>
        </w:rPr>
        <w:t>million</w:t>
      </w:r>
      <w:r w:rsidR="00F964CB">
        <w:rPr>
          <w:rFonts w:cs="Times New Roman"/>
          <w:szCs w:val="24"/>
        </w:rPr>
        <w:t xml:space="preserve"> represented by</w:t>
      </w:r>
      <w:r w:rsidR="00271331">
        <w:rPr>
          <w:rFonts w:cs="Times New Roman"/>
          <w:szCs w:val="24"/>
        </w:rPr>
        <w:t xml:space="preserve"> Non-Islamic bank</w:t>
      </w:r>
      <w:r w:rsidR="006A5199">
        <w:rPr>
          <w:rFonts w:cs="Times New Roman"/>
          <w:szCs w:val="24"/>
        </w:rPr>
        <w:t>'</w:t>
      </w:r>
      <w:r w:rsidR="00271331">
        <w:rPr>
          <w:rFonts w:cs="Times New Roman"/>
          <w:szCs w:val="24"/>
        </w:rPr>
        <w:t xml:space="preserve">s Islamic branches, </w:t>
      </w:r>
      <w:r w:rsidR="00271331" w:rsidRPr="00010B33">
        <w:rPr>
          <w:rFonts w:cs="Times New Roman"/>
          <w:szCs w:val="24"/>
        </w:rPr>
        <w:t>Islam</w:t>
      </w:r>
      <w:r w:rsidR="00271331">
        <w:rPr>
          <w:rFonts w:cs="Times New Roman"/>
          <w:szCs w:val="24"/>
        </w:rPr>
        <w:t>ic windows of traditional ones</w:t>
      </w:r>
      <w:r w:rsidR="00F97A4B">
        <w:rPr>
          <w:rFonts w:cs="Times New Roman"/>
          <w:szCs w:val="24"/>
        </w:rPr>
        <w:t>,</w:t>
      </w:r>
      <w:r w:rsidR="00271331">
        <w:rPr>
          <w:rFonts w:cs="Times New Roman"/>
          <w:szCs w:val="24"/>
        </w:rPr>
        <w:t xml:space="preserve"> and 8 full-fledged Islamic Bank respectively. Erupting liquidity state during this period was mainly contributed by Social Islami Bank, Exim Bank</w:t>
      </w:r>
      <w:r w:rsidR="00F97A4B">
        <w:rPr>
          <w:rFonts w:cs="Times New Roman"/>
          <w:szCs w:val="24"/>
        </w:rPr>
        <w:t>,</w:t>
      </w:r>
      <w:r w:rsidR="005C4462">
        <w:rPr>
          <w:rFonts w:cs="Times New Roman"/>
          <w:szCs w:val="24"/>
        </w:rPr>
        <w:t xml:space="preserve"> and Bank Asia</w:t>
      </w:r>
    </w:p>
    <w:p w14:paraId="080FE82F" w14:textId="05EF4E6E" w:rsidR="00C22FCC" w:rsidRPr="00010B33" w:rsidRDefault="00C22FCC" w:rsidP="005C25E2">
      <w:pPr>
        <w:spacing w:line="360" w:lineRule="auto"/>
        <w:jc w:val="both"/>
        <w:rPr>
          <w:rFonts w:cs="Times New Roman"/>
          <w:b/>
          <w:szCs w:val="24"/>
        </w:rPr>
      </w:pPr>
      <w:r w:rsidRPr="00010B33">
        <w:rPr>
          <w:rFonts w:cs="Times New Roman"/>
          <w:b/>
          <w:szCs w:val="24"/>
        </w:rPr>
        <w:t>Remittances Mobilized by the Islamic Banking Sector</w:t>
      </w:r>
    </w:p>
    <w:p w14:paraId="517F92EB" w14:textId="48A0941F" w:rsidR="007A1DD9" w:rsidRDefault="00AB542A" w:rsidP="007A1DD9">
      <w:pPr>
        <w:keepNext/>
        <w:spacing w:line="360" w:lineRule="auto"/>
        <w:jc w:val="both"/>
      </w:pPr>
      <w:r w:rsidRPr="00010B33">
        <w:rPr>
          <w:rFonts w:cs="Times New Roman"/>
          <w:noProof/>
          <w:szCs w:val="24"/>
        </w:rPr>
        <w:drawing>
          <wp:anchor distT="0" distB="0" distL="114300" distR="114300" simplePos="0" relativeHeight="251668480" behindDoc="0" locked="0" layoutInCell="1" allowOverlap="1" wp14:anchorId="540B213F" wp14:editId="7A363375">
            <wp:simplePos x="0" y="0"/>
            <wp:positionH relativeFrom="margin">
              <wp:posOffset>-47625</wp:posOffset>
            </wp:positionH>
            <wp:positionV relativeFrom="margin">
              <wp:posOffset>5819775</wp:posOffset>
            </wp:positionV>
            <wp:extent cx="5000625" cy="2733675"/>
            <wp:effectExtent l="19050" t="19050" r="28575" b="28575"/>
            <wp:wrapSquare wrapText="bothSides"/>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mittances.png"/>
                    <pic:cNvPicPr/>
                  </pic:nvPicPr>
                  <pic:blipFill>
                    <a:blip r:embed="rId27">
                      <a:extLst>
                        <a:ext uri="{28A0092B-C50C-407E-A947-70E740481C1C}">
                          <a14:useLocalDpi xmlns:a14="http://schemas.microsoft.com/office/drawing/2010/main" val="0"/>
                        </a:ext>
                      </a:extLst>
                    </a:blip>
                    <a:stretch>
                      <a:fillRect/>
                    </a:stretch>
                  </pic:blipFill>
                  <pic:spPr>
                    <a:xfrm>
                      <a:off x="0" y="0"/>
                      <a:ext cx="5000625" cy="2733675"/>
                    </a:xfrm>
                    <a:prstGeom prst="rect">
                      <a:avLst/>
                    </a:prstGeom>
                    <a:ln>
                      <a:solidFill>
                        <a:sysClr val="windowText" lastClr="000000"/>
                      </a:solidFill>
                    </a:ln>
                  </pic:spPr>
                </pic:pic>
              </a:graphicData>
            </a:graphic>
            <wp14:sizeRelH relativeFrom="margin">
              <wp14:pctWidth>0</wp14:pctWidth>
            </wp14:sizeRelH>
            <wp14:sizeRelV relativeFrom="margin">
              <wp14:pctHeight>0</wp14:pctHeight>
            </wp14:sizeRelV>
          </wp:anchor>
        </w:drawing>
      </w:r>
    </w:p>
    <w:p w14:paraId="654B15FC" w14:textId="2BBDBD9C" w:rsidR="00C22FCC" w:rsidRDefault="007A1DD9" w:rsidP="007A1DD9">
      <w:pPr>
        <w:pStyle w:val="Caption"/>
        <w:jc w:val="both"/>
        <w:rPr>
          <w:sz w:val="24"/>
          <w:szCs w:val="24"/>
        </w:rPr>
      </w:pPr>
      <w:bookmarkStart w:id="14" w:name="_Toc70724705"/>
      <w:r w:rsidRPr="007A1DD9">
        <w:rPr>
          <w:sz w:val="24"/>
          <w:szCs w:val="24"/>
        </w:rPr>
        <w:t xml:space="preserve">Figure </w:t>
      </w:r>
      <w:r w:rsidRPr="007A1DD9">
        <w:rPr>
          <w:sz w:val="24"/>
          <w:szCs w:val="24"/>
        </w:rPr>
        <w:fldChar w:fldCharType="begin"/>
      </w:r>
      <w:r w:rsidRPr="007A1DD9">
        <w:rPr>
          <w:sz w:val="24"/>
          <w:szCs w:val="24"/>
        </w:rPr>
        <w:instrText xml:space="preserve"> SEQ Figure \* ARABIC </w:instrText>
      </w:r>
      <w:r w:rsidRPr="007A1DD9">
        <w:rPr>
          <w:sz w:val="24"/>
          <w:szCs w:val="24"/>
        </w:rPr>
        <w:fldChar w:fldCharType="separate"/>
      </w:r>
      <w:r w:rsidR="00E87025">
        <w:rPr>
          <w:noProof/>
          <w:sz w:val="24"/>
          <w:szCs w:val="24"/>
        </w:rPr>
        <w:t>5</w:t>
      </w:r>
      <w:r w:rsidRPr="007A1DD9">
        <w:rPr>
          <w:sz w:val="24"/>
          <w:szCs w:val="24"/>
        </w:rPr>
        <w:fldChar w:fldCharType="end"/>
      </w:r>
      <w:r w:rsidRPr="007A1DD9">
        <w:rPr>
          <w:sz w:val="24"/>
          <w:szCs w:val="24"/>
        </w:rPr>
        <w:t xml:space="preserve"> Share of Remittance of Islamic Banks</w:t>
      </w:r>
      <w:bookmarkEnd w:id="14"/>
    </w:p>
    <w:p w14:paraId="372AD261" w14:textId="593AAFF0" w:rsidR="00AB542A" w:rsidRPr="00AB542A" w:rsidRDefault="00AB542A" w:rsidP="00AB542A"/>
    <w:p w14:paraId="545FA268" w14:textId="77777777" w:rsidR="007A1DD9" w:rsidRDefault="00C22FCC" w:rsidP="007A1DD9">
      <w:pPr>
        <w:keepNext/>
        <w:spacing w:line="360" w:lineRule="auto"/>
        <w:jc w:val="both"/>
      </w:pPr>
      <w:r w:rsidRPr="00010B33">
        <w:rPr>
          <w:rFonts w:cs="Times New Roman"/>
          <w:noProof/>
          <w:szCs w:val="24"/>
        </w:rPr>
        <w:lastRenderedPageBreak/>
        <w:drawing>
          <wp:inline distT="0" distB="0" distL="0" distR="0" wp14:anchorId="7F84430F" wp14:editId="4871FE9F">
            <wp:extent cx="5305425" cy="2181225"/>
            <wp:effectExtent l="19050" t="19050" r="28575" b="2857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m.png"/>
                    <pic:cNvPicPr/>
                  </pic:nvPicPr>
                  <pic:blipFill>
                    <a:blip r:embed="rId28">
                      <a:extLst>
                        <a:ext uri="{28A0092B-C50C-407E-A947-70E740481C1C}">
                          <a14:useLocalDpi xmlns:a14="http://schemas.microsoft.com/office/drawing/2010/main" val="0"/>
                        </a:ext>
                      </a:extLst>
                    </a:blip>
                    <a:stretch>
                      <a:fillRect/>
                    </a:stretch>
                  </pic:blipFill>
                  <pic:spPr>
                    <a:xfrm>
                      <a:off x="0" y="0"/>
                      <a:ext cx="5325144" cy="2189332"/>
                    </a:xfrm>
                    <a:prstGeom prst="rect">
                      <a:avLst/>
                    </a:prstGeom>
                    <a:ln>
                      <a:solidFill>
                        <a:sysClr val="windowText" lastClr="000000"/>
                      </a:solidFill>
                    </a:ln>
                  </pic:spPr>
                </pic:pic>
              </a:graphicData>
            </a:graphic>
          </wp:inline>
        </w:drawing>
      </w:r>
    </w:p>
    <w:p w14:paraId="27C4B0D3" w14:textId="3FBCBF44" w:rsidR="00C22FCC" w:rsidRPr="007A1DD9" w:rsidRDefault="007A1DD9" w:rsidP="007A1DD9">
      <w:pPr>
        <w:pStyle w:val="Caption"/>
        <w:jc w:val="both"/>
        <w:rPr>
          <w:rFonts w:cs="Times New Roman"/>
          <w:sz w:val="24"/>
          <w:szCs w:val="24"/>
        </w:rPr>
      </w:pPr>
      <w:bookmarkStart w:id="15" w:name="_Toc70724706"/>
      <w:r w:rsidRPr="007A1DD9">
        <w:rPr>
          <w:sz w:val="24"/>
          <w:szCs w:val="24"/>
        </w:rPr>
        <w:t xml:space="preserve">Figure </w:t>
      </w:r>
      <w:r w:rsidRPr="007A1DD9">
        <w:rPr>
          <w:sz w:val="24"/>
          <w:szCs w:val="24"/>
        </w:rPr>
        <w:fldChar w:fldCharType="begin"/>
      </w:r>
      <w:r w:rsidRPr="007A1DD9">
        <w:rPr>
          <w:sz w:val="24"/>
          <w:szCs w:val="24"/>
        </w:rPr>
        <w:instrText xml:space="preserve"> SEQ Figure \* ARABIC </w:instrText>
      </w:r>
      <w:r w:rsidRPr="007A1DD9">
        <w:rPr>
          <w:sz w:val="24"/>
          <w:szCs w:val="24"/>
        </w:rPr>
        <w:fldChar w:fldCharType="separate"/>
      </w:r>
      <w:r w:rsidR="00E87025">
        <w:rPr>
          <w:noProof/>
          <w:sz w:val="24"/>
          <w:szCs w:val="24"/>
        </w:rPr>
        <w:t>6</w:t>
      </w:r>
      <w:r w:rsidRPr="007A1DD9">
        <w:rPr>
          <w:sz w:val="24"/>
          <w:szCs w:val="24"/>
        </w:rPr>
        <w:fldChar w:fldCharType="end"/>
      </w:r>
      <w:r w:rsidRPr="007A1DD9">
        <w:rPr>
          <w:sz w:val="24"/>
          <w:szCs w:val="24"/>
        </w:rPr>
        <w:t xml:space="preserve"> Share of remittances by Conventional and Islamic Bank</w:t>
      </w:r>
      <w:bookmarkEnd w:id="15"/>
    </w:p>
    <w:p w14:paraId="3FC06844" w14:textId="77873AB2" w:rsidR="00271331" w:rsidRPr="00010B33" w:rsidRDefault="003235E3" w:rsidP="005C25E2">
      <w:pPr>
        <w:spacing w:line="360" w:lineRule="auto"/>
        <w:jc w:val="both"/>
        <w:rPr>
          <w:rFonts w:cs="Times New Roman"/>
          <w:szCs w:val="24"/>
        </w:rPr>
      </w:pPr>
      <w:r>
        <w:rPr>
          <w:rFonts w:cs="Times New Roman"/>
          <w:szCs w:val="24"/>
        </w:rPr>
        <w:t>Figure 5</w:t>
      </w:r>
      <w:r w:rsidR="00912C00">
        <w:rPr>
          <w:rFonts w:cs="Times New Roman"/>
          <w:szCs w:val="24"/>
        </w:rPr>
        <w:t xml:space="preserve"> shows that r</w:t>
      </w:r>
      <w:r w:rsidR="00271331">
        <w:rPr>
          <w:rFonts w:cs="Times New Roman"/>
          <w:szCs w:val="24"/>
        </w:rPr>
        <w:t xml:space="preserve">emittance towards the end of June-19, the Islamic financial industry assembled the sum of </w:t>
      </w:r>
      <w:proofErr w:type="gramStart"/>
      <w:r w:rsidR="00271331">
        <w:rPr>
          <w:rFonts w:cs="Times New Roman"/>
          <w:szCs w:val="24"/>
        </w:rPr>
        <w:t>BDT  9712124.24</w:t>
      </w:r>
      <w:proofErr w:type="gramEnd"/>
      <w:r w:rsidR="00271331">
        <w:rPr>
          <w:rFonts w:cs="Times New Roman"/>
          <w:szCs w:val="24"/>
        </w:rPr>
        <w:t xml:space="preserve"> mil. Significant arise by17% from previous quarter indicating this industry is indeed boosting and gathering foreign remittance collection of our country. Although, assuming the pandemic situation all over the world, is lower by 15.26% from the previous year's adjacent quarter. After the assessment for June, At the end of the assessment During this period specifically, Islami Bank Bangladesh dominated regarding foreign remittance collection with </w:t>
      </w:r>
      <w:r w:rsidR="00F97A4B">
        <w:rPr>
          <w:rFonts w:cs="Times New Roman"/>
          <w:szCs w:val="24"/>
        </w:rPr>
        <w:t>a</w:t>
      </w:r>
      <w:r w:rsidR="00271331">
        <w:rPr>
          <w:rFonts w:cs="Times New Roman"/>
          <w:szCs w:val="24"/>
        </w:rPr>
        <w:t xml:space="preserve"> significant number of 77.26% of the overall industry.</w:t>
      </w:r>
      <w:r w:rsidR="00271331" w:rsidRPr="00271331">
        <w:rPr>
          <w:rFonts w:cs="Times New Roman"/>
          <w:szCs w:val="24"/>
        </w:rPr>
        <w:t xml:space="preserve"> </w:t>
      </w:r>
      <w:r w:rsidR="00271331">
        <w:rPr>
          <w:rFonts w:cs="Times New Roman"/>
          <w:szCs w:val="24"/>
        </w:rPr>
        <w:t xml:space="preserve">Other banks of the industry are steady regarding this matter with </w:t>
      </w:r>
      <w:r w:rsidR="00271331" w:rsidRPr="00271331">
        <w:rPr>
          <w:rFonts w:cs="Times New Roman"/>
          <w:szCs w:val="24"/>
        </w:rPr>
        <w:t>ICB Islamic Bank (0.03%)</w:t>
      </w:r>
      <w:r w:rsidR="00271331">
        <w:rPr>
          <w:rFonts w:cs="Times New Roman"/>
          <w:szCs w:val="24"/>
        </w:rPr>
        <w:t xml:space="preserve">, </w:t>
      </w:r>
      <w:r w:rsidR="00271331" w:rsidRPr="00271331">
        <w:rPr>
          <w:rFonts w:cs="Times New Roman"/>
          <w:szCs w:val="24"/>
        </w:rPr>
        <w:t>EXIM Bank Ltd. (1.65%), Social Islami Bank Ltd (5.56%), Islamic financial windows (0.18%), Union Bank Ltd (0.92%), Shahjalal Islami Bank (2.08%), First Security Islami Bank Ltd (6.27%), Al-</w:t>
      </w:r>
      <w:proofErr w:type="spellStart"/>
      <w:r w:rsidR="00271331" w:rsidRPr="00271331">
        <w:rPr>
          <w:rFonts w:cs="Times New Roman"/>
          <w:szCs w:val="24"/>
        </w:rPr>
        <w:t>Arafah</w:t>
      </w:r>
      <w:proofErr w:type="spellEnd"/>
      <w:r w:rsidR="00271331" w:rsidRPr="00271331">
        <w:rPr>
          <w:rFonts w:cs="Times New Roman"/>
          <w:szCs w:val="24"/>
        </w:rPr>
        <w:t xml:space="preserve"> </w:t>
      </w:r>
      <w:proofErr w:type="spellStart"/>
      <w:r w:rsidR="00271331" w:rsidRPr="00271331">
        <w:rPr>
          <w:rFonts w:cs="Times New Roman"/>
          <w:szCs w:val="24"/>
        </w:rPr>
        <w:t>Islami</w:t>
      </w:r>
      <w:proofErr w:type="spellEnd"/>
      <w:r w:rsidR="00271331" w:rsidRPr="00271331">
        <w:rPr>
          <w:rFonts w:cs="Times New Roman"/>
          <w:szCs w:val="24"/>
        </w:rPr>
        <w:t xml:space="preserve"> Bank Ltd. (5.52%), </w:t>
      </w:r>
      <w:r w:rsidR="00271331">
        <w:rPr>
          <w:rFonts w:cs="Times New Roman"/>
          <w:szCs w:val="24"/>
        </w:rPr>
        <w:t xml:space="preserve">and </w:t>
      </w:r>
      <w:r w:rsidR="00271331" w:rsidRPr="00271331">
        <w:rPr>
          <w:rFonts w:cs="Times New Roman"/>
          <w:szCs w:val="24"/>
        </w:rPr>
        <w:t>Islamic financial parts of customary banks (0.53%)</w:t>
      </w:r>
      <w:r w:rsidR="00271331">
        <w:rPr>
          <w:rFonts w:cs="Times New Roman"/>
          <w:szCs w:val="24"/>
        </w:rPr>
        <w:t>.</w:t>
      </w:r>
    </w:p>
    <w:p w14:paraId="536CDBD5" w14:textId="03070C35" w:rsidR="00271331" w:rsidRDefault="003235E3" w:rsidP="005C25E2">
      <w:pPr>
        <w:spacing w:line="360" w:lineRule="auto"/>
        <w:jc w:val="both"/>
        <w:rPr>
          <w:rFonts w:cs="Times New Roman"/>
          <w:szCs w:val="24"/>
        </w:rPr>
      </w:pPr>
      <w:r>
        <w:rPr>
          <w:rFonts w:cs="Times New Roman"/>
          <w:szCs w:val="24"/>
        </w:rPr>
        <w:t>Figure 6 demonstrate the s</w:t>
      </w:r>
      <w:r w:rsidR="00271331">
        <w:rPr>
          <w:rFonts w:cs="Times New Roman"/>
          <w:szCs w:val="24"/>
        </w:rPr>
        <w:t xml:space="preserve">hare of remittance collected amount stood 25.27% of all the Islamic bank in the industry. Rest were contributed by Non-Islamic financing institutions, especially by the conventional ones. </w:t>
      </w:r>
    </w:p>
    <w:p w14:paraId="34E03465" w14:textId="77777777" w:rsidR="00AB542A" w:rsidRDefault="00271331" w:rsidP="00DF79C0">
      <w:pPr>
        <w:spacing w:line="360" w:lineRule="auto"/>
        <w:jc w:val="both"/>
        <w:rPr>
          <w:rFonts w:cs="Times New Roman"/>
          <w:szCs w:val="24"/>
        </w:rPr>
      </w:pPr>
      <w:r>
        <w:rPr>
          <w:rFonts w:cs="Times New Roman"/>
          <w:szCs w:val="24"/>
        </w:rPr>
        <w:t>During the first quarter, this industry had plunged to a level of 22.67% of the inflow of remittance collection compare to the entire financial industry.  Although during the quarter of June-19 the collection sig</w:t>
      </w:r>
      <w:r w:rsidR="00F97A4B">
        <w:rPr>
          <w:rFonts w:cs="Times New Roman"/>
          <w:szCs w:val="24"/>
        </w:rPr>
        <w:t>ni</w:t>
      </w:r>
      <w:r>
        <w:rPr>
          <w:rFonts w:cs="Times New Roman"/>
          <w:szCs w:val="24"/>
        </w:rPr>
        <w:t>ficantly arise</w:t>
      </w:r>
      <w:r w:rsidR="00F97A4B">
        <w:rPr>
          <w:rFonts w:cs="Times New Roman"/>
          <w:szCs w:val="24"/>
        </w:rPr>
        <w:t>s</w:t>
      </w:r>
      <w:r>
        <w:rPr>
          <w:rFonts w:cs="Times New Roman"/>
          <w:szCs w:val="24"/>
        </w:rPr>
        <w:t xml:space="preserve"> to 25.27% which is the depiction of the fundamental arise of foreign remittance collection in most recent years</w:t>
      </w:r>
    </w:p>
    <w:p w14:paraId="706BA6BC" w14:textId="77777777" w:rsidR="00AB542A" w:rsidRDefault="00271331" w:rsidP="00DF79C0">
      <w:pPr>
        <w:spacing w:line="360" w:lineRule="auto"/>
        <w:jc w:val="both"/>
        <w:rPr>
          <w:rFonts w:cs="Times New Roman"/>
          <w:b/>
          <w:szCs w:val="24"/>
        </w:rPr>
      </w:pPr>
      <w:r>
        <w:rPr>
          <w:rFonts w:cs="Times New Roman"/>
          <w:szCs w:val="24"/>
        </w:rPr>
        <w:t>.</w:t>
      </w:r>
      <w:r w:rsidR="00C22FCC" w:rsidRPr="00010B33">
        <w:rPr>
          <w:rFonts w:cs="Times New Roman"/>
          <w:b/>
          <w:szCs w:val="24"/>
        </w:rPr>
        <w:t>Expansions of Branches</w:t>
      </w:r>
    </w:p>
    <w:p w14:paraId="00C89AFA" w14:textId="4ACF82F2" w:rsidR="000F61B7" w:rsidRPr="00DF79C0" w:rsidRDefault="00DF79C0" w:rsidP="00DF79C0">
      <w:pPr>
        <w:spacing w:line="360" w:lineRule="auto"/>
        <w:jc w:val="both"/>
        <w:rPr>
          <w:rFonts w:cs="Times New Roman"/>
          <w:szCs w:val="24"/>
        </w:rPr>
      </w:pPr>
      <w:r>
        <w:rPr>
          <w:rFonts w:cs="Times New Roman"/>
          <w:szCs w:val="24"/>
        </w:rPr>
        <w:lastRenderedPageBreak/>
        <w:t>At the end of the quarter upon review, the number of branches of the Islamic banking sector, which includes Islamic branches and windows has reached 1261. In the previous quarter</w:t>
      </w:r>
      <w:r w:rsidR="006A5199">
        <w:rPr>
          <w:rFonts w:cs="Times New Roman"/>
          <w:szCs w:val="24"/>
        </w:rPr>
        <w:t>,</w:t>
      </w:r>
      <w:r>
        <w:rPr>
          <w:rFonts w:cs="Times New Roman"/>
          <w:szCs w:val="24"/>
        </w:rPr>
        <w:t xml:space="preserve"> it was 1252 and in the last year’s same quarter it was 1178</w:t>
      </w:r>
      <w:r w:rsidR="00C22FCC" w:rsidRPr="00010B33">
        <w:rPr>
          <w:rFonts w:cs="Times New Roman"/>
          <w:szCs w:val="24"/>
        </w:rPr>
        <w:t xml:space="preserve">. </w:t>
      </w:r>
      <w:r w:rsidR="00F22E01">
        <w:rPr>
          <w:rFonts w:cs="Times New Roman"/>
          <w:szCs w:val="24"/>
        </w:rPr>
        <w:t xml:space="preserve">During the </w:t>
      </w:r>
      <w:r w:rsidR="00C22FCC" w:rsidRPr="00010B33">
        <w:rPr>
          <w:rFonts w:cs="Times New Roman"/>
          <w:szCs w:val="24"/>
        </w:rPr>
        <w:t xml:space="preserve">April-June 2019 quarter, </w:t>
      </w:r>
      <w:r w:rsidR="00F22E01">
        <w:rPr>
          <w:rFonts w:cs="Times New Roman"/>
          <w:szCs w:val="24"/>
        </w:rPr>
        <w:t>eight</w:t>
      </w:r>
      <w:r w:rsidR="00C22FCC" w:rsidRPr="00010B33">
        <w:rPr>
          <w:rFonts w:cs="Times New Roman"/>
          <w:szCs w:val="24"/>
        </w:rPr>
        <w:t xml:space="preserve"> full</w:t>
      </w:r>
      <w:r w:rsidR="00F22E01">
        <w:rPr>
          <w:rFonts w:cs="Times New Roman"/>
          <w:szCs w:val="24"/>
        </w:rPr>
        <w:t>y functioning</w:t>
      </w:r>
      <w:r w:rsidR="00C22FCC" w:rsidRPr="00010B33">
        <w:rPr>
          <w:rFonts w:cs="Times New Roman"/>
          <w:szCs w:val="24"/>
        </w:rPr>
        <w:t xml:space="preserve"> Islamic banks had 1201 branches, </w:t>
      </w:r>
      <w:r w:rsidR="00F22E01">
        <w:rPr>
          <w:rFonts w:cs="Times New Roman"/>
          <w:szCs w:val="24"/>
        </w:rPr>
        <w:t>seven</w:t>
      </w:r>
      <w:r w:rsidR="00C22FCC" w:rsidRPr="00010B33">
        <w:rPr>
          <w:rFonts w:cs="Times New Roman"/>
          <w:szCs w:val="24"/>
        </w:rPr>
        <w:t xml:space="preserve"> conventional banks had 41 Islamic banking windows</w:t>
      </w:r>
      <w:r w:rsidR="00F22E01">
        <w:rPr>
          <w:rFonts w:cs="Times New Roman"/>
          <w:szCs w:val="24"/>
        </w:rPr>
        <w:t>,</w:t>
      </w:r>
      <w:r w:rsidR="00F22E01" w:rsidRPr="00F22E01">
        <w:rPr>
          <w:rFonts w:cs="Times New Roman"/>
          <w:szCs w:val="24"/>
        </w:rPr>
        <w:t xml:space="preserve"> nine conventional commercial banks had 19 Islamic banking branche</w:t>
      </w:r>
      <w:r w:rsidR="00F22E01">
        <w:rPr>
          <w:rFonts w:cs="Times New Roman"/>
          <w:szCs w:val="24"/>
        </w:rPr>
        <w:t>s</w:t>
      </w:r>
      <w:r w:rsidR="00C22FCC" w:rsidRPr="00010B33">
        <w:rPr>
          <w:rFonts w:cs="Times New Roman"/>
          <w:szCs w:val="24"/>
        </w:rPr>
        <w:t>.</w:t>
      </w:r>
      <w:r w:rsidR="00666104">
        <w:rPr>
          <w:rFonts w:cs="Times New Roman"/>
          <w:szCs w:val="24"/>
        </w:rPr>
        <w:t xml:space="preserve"> At the end of the quarter after reviewing, among all the scheduled banks, the share of total bank branches of Islamic bank was 12.13%</w:t>
      </w:r>
      <w:r w:rsidR="00C22FCC" w:rsidRPr="00010B33">
        <w:rPr>
          <w:rFonts w:cs="Times New Roman"/>
          <w:szCs w:val="24"/>
        </w:rPr>
        <w:t>.</w:t>
      </w:r>
      <w:r w:rsidR="006C5290">
        <w:rPr>
          <w:rFonts w:cs="Times New Roman"/>
          <w:szCs w:val="24"/>
        </w:rPr>
        <w:t xml:space="preserve"> The following Table 4 shows the numbers of Islamic banks:</w:t>
      </w:r>
    </w:p>
    <w:p w14:paraId="2AEE1A59" w14:textId="5C551009" w:rsidR="000F61B7" w:rsidRPr="000F61B7" w:rsidRDefault="00BB4DF0" w:rsidP="005C25E2">
      <w:pPr>
        <w:sectPr w:rsidR="000F61B7" w:rsidRPr="000F61B7" w:rsidSect="009C20D1">
          <w:headerReference w:type="default" r:id="rId29"/>
          <w:pgSz w:w="11909" w:h="16834" w:code="9"/>
          <w:pgMar w:top="1440" w:right="1440" w:bottom="1440" w:left="1440" w:header="720" w:footer="720" w:gutter="0"/>
          <w:pgNumType w:start="10"/>
          <w:cols w:space="720"/>
          <w:docGrid w:linePitch="360"/>
        </w:sectPr>
      </w:pPr>
      <w:r w:rsidRPr="00010B33">
        <w:rPr>
          <w:rFonts w:cs="Times New Roman"/>
          <w:noProof/>
          <w:szCs w:val="24"/>
        </w:rPr>
        <w:drawing>
          <wp:anchor distT="0" distB="0" distL="114300" distR="114300" simplePos="0" relativeHeight="251654144" behindDoc="0" locked="0" layoutInCell="1" allowOverlap="1" wp14:anchorId="1BC61EA3" wp14:editId="40A3F1AE">
            <wp:simplePos x="0" y="0"/>
            <wp:positionH relativeFrom="margin">
              <wp:posOffset>0</wp:posOffset>
            </wp:positionH>
            <wp:positionV relativeFrom="margin">
              <wp:posOffset>2876550</wp:posOffset>
            </wp:positionV>
            <wp:extent cx="5934075" cy="5743575"/>
            <wp:effectExtent l="0" t="0" r="9525" b="0"/>
            <wp:wrapSquare wrapText="bothSides"/>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umber of Branches.png"/>
                    <pic:cNvPicPr/>
                  </pic:nvPicPr>
                  <pic:blipFill>
                    <a:blip r:embed="rId30">
                      <a:extLst>
                        <a:ext uri="{28A0092B-C50C-407E-A947-70E740481C1C}">
                          <a14:useLocalDpi xmlns:a14="http://schemas.microsoft.com/office/drawing/2010/main" val="0"/>
                        </a:ext>
                      </a:extLst>
                    </a:blip>
                    <a:stretch>
                      <a:fillRect/>
                    </a:stretch>
                  </pic:blipFill>
                  <pic:spPr>
                    <a:xfrm>
                      <a:off x="0" y="0"/>
                      <a:ext cx="5934075" cy="5743575"/>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6432" behindDoc="0" locked="0" layoutInCell="1" allowOverlap="1" wp14:anchorId="2FAC8C83" wp14:editId="7EB65CC5">
                <wp:simplePos x="0" y="0"/>
                <wp:positionH relativeFrom="column">
                  <wp:posOffset>9525</wp:posOffset>
                </wp:positionH>
                <wp:positionV relativeFrom="paragraph">
                  <wp:posOffset>65405</wp:posOffset>
                </wp:positionV>
                <wp:extent cx="5876925" cy="457200"/>
                <wp:effectExtent l="0" t="0" r="9525" b="0"/>
                <wp:wrapSquare wrapText="bothSides"/>
                <wp:docPr id="3" name="Text Box 3"/>
                <wp:cNvGraphicFramePr/>
                <a:graphic xmlns:a="http://schemas.openxmlformats.org/drawingml/2006/main">
                  <a:graphicData uri="http://schemas.microsoft.com/office/word/2010/wordprocessingShape">
                    <wps:wsp>
                      <wps:cNvSpPr txBox="1"/>
                      <wps:spPr>
                        <a:xfrm>
                          <a:off x="0" y="0"/>
                          <a:ext cx="5876925" cy="457200"/>
                        </a:xfrm>
                        <a:prstGeom prst="rect">
                          <a:avLst/>
                        </a:prstGeom>
                        <a:solidFill>
                          <a:prstClr val="white"/>
                        </a:solidFill>
                        <a:ln>
                          <a:noFill/>
                        </a:ln>
                      </wps:spPr>
                      <wps:txbx>
                        <w:txbxContent>
                          <w:p w14:paraId="0D81299A" w14:textId="4427866A" w:rsidR="00FF7473" w:rsidRPr="00BB4DF0" w:rsidRDefault="00FF7473" w:rsidP="00BB4DF0">
                            <w:pPr>
                              <w:pStyle w:val="Caption"/>
                              <w:jc w:val="both"/>
                              <w:rPr>
                                <w:rFonts w:cs="Times New Roman"/>
                                <w:noProof/>
                                <w:sz w:val="24"/>
                                <w:szCs w:val="24"/>
                              </w:rPr>
                            </w:pPr>
                            <w:bookmarkStart w:id="16" w:name="_Toc70724687"/>
                            <w:r w:rsidRPr="00BB4DF0">
                              <w:rPr>
                                <w:sz w:val="24"/>
                                <w:szCs w:val="24"/>
                              </w:rPr>
                              <w:t xml:space="preserve">Table </w:t>
                            </w:r>
                            <w:r w:rsidRPr="00BB4DF0">
                              <w:rPr>
                                <w:sz w:val="24"/>
                                <w:szCs w:val="24"/>
                              </w:rPr>
                              <w:fldChar w:fldCharType="begin"/>
                            </w:r>
                            <w:r w:rsidRPr="00BB4DF0">
                              <w:rPr>
                                <w:sz w:val="24"/>
                                <w:szCs w:val="24"/>
                              </w:rPr>
                              <w:instrText xml:space="preserve"> SEQ Table \* ARABIC </w:instrText>
                            </w:r>
                            <w:r w:rsidRPr="00BB4DF0">
                              <w:rPr>
                                <w:sz w:val="24"/>
                                <w:szCs w:val="24"/>
                              </w:rPr>
                              <w:fldChar w:fldCharType="separate"/>
                            </w:r>
                            <w:r w:rsidRPr="00BB4DF0">
                              <w:rPr>
                                <w:noProof/>
                                <w:sz w:val="24"/>
                                <w:szCs w:val="24"/>
                              </w:rPr>
                              <w:t>4</w:t>
                            </w:r>
                            <w:r w:rsidRPr="00BB4DF0">
                              <w:rPr>
                                <w:sz w:val="24"/>
                                <w:szCs w:val="24"/>
                              </w:rPr>
                              <w:fldChar w:fldCharType="end"/>
                            </w:r>
                            <w:r w:rsidRPr="00BB4DF0">
                              <w:rPr>
                                <w:sz w:val="24"/>
                                <w:szCs w:val="24"/>
                              </w:rPr>
                              <w:t xml:space="preserve"> Number of Islamic banks in Bangladesh</w:t>
                            </w:r>
                            <w:bookmarkEnd w:id="16"/>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75pt;margin-top:5.15pt;width:462.75pt;height:36pt;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" stroked="f">
                <v:textbox inset="0,0,0,0">
                  <w:txbxContent>
                    <w:p w14:paraId="0D81299A" w14:textId="4427866A" w:rsidR="00FF7473" w:rsidRPr="00BB4DF0" w:rsidRDefault="00FF7473" w:rsidP="00BB4DF0">
                      <w:pPr>
                        <w:pStyle w:val="Caption"/>
                        <w:jc w:val="both"/>
                        <w:rPr>
                          <w:rFonts w:cs="Times New Roman"/>
                          <w:noProof/>
                          <w:sz w:val="24"/>
                          <w:szCs w:val="24"/>
                        </w:rPr>
                      </w:pPr>
                      <w:bookmarkStart w:id="17" w:name="_Toc70724687"/>
                      <w:r w:rsidRPr="00BB4DF0">
                        <w:rPr>
                          <w:sz w:val="24"/>
                          <w:szCs w:val="24"/>
                        </w:rPr>
                        <w:t xml:space="preserve">Table </w:t>
                      </w:r>
                      <w:r w:rsidRPr="00BB4DF0">
                        <w:rPr>
                          <w:sz w:val="24"/>
                          <w:szCs w:val="24"/>
                        </w:rPr>
                        <w:fldChar w:fldCharType="begin"/>
                      </w:r>
                      <w:r w:rsidRPr="00BB4DF0">
                        <w:rPr>
                          <w:sz w:val="24"/>
                          <w:szCs w:val="24"/>
                        </w:rPr>
                        <w:instrText xml:space="preserve"> SEQ Table \* ARABIC </w:instrText>
                      </w:r>
                      <w:r w:rsidRPr="00BB4DF0">
                        <w:rPr>
                          <w:sz w:val="24"/>
                          <w:szCs w:val="24"/>
                        </w:rPr>
                        <w:fldChar w:fldCharType="separate"/>
                      </w:r>
                      <w:r w:rsidRPr="00BB4DF0">
                        <w:rPr>
                          <w:noProof/>
                          <w:sz w:val="24"/>
                          <w:szCs w:val="24"/>
                        </w:rPr>
                        <w:t>4</w:t>
                      </w:r>
                      <w:r w:rsidRPr="00BB4DF0">
                        <w:rPr>
                          <w:sz w:val="24"/>
                          <w:szCs w:val="24"/>
                        </w:rPr>
                        <w:fldChar w:fldCharType="end"/>
                      </w:r>
                      <w:r w:rsidRPr="00BB4DF0">
                        <w:rPr>
                          <w:sz w:val="24"/>
                          <w:szCs w:val="24"/>
                        </w:rPr>
                        <w:t xml:space="preserve"> Number of Islamic banks in Bangladesh</w:t>
                      </w:r>
                      <w:bookmarkEnd w:id="17"/>
                    </w:p>
                  </w:txbxContent>
                </v:textbox>
                <w10:wrap type="square"/>
              </v:shape>
            </w:pict>
          </mc:Fallback>
        </mc:AlternateContent>
      </w:r>
    </w:p>
    <w:p w14:paraId="0B75A4A6" w14:textId="208C405C" w:rsidR="00C22FCC" w:rsidRPr="00010B33" w:rsidRDefault="00C22FCC" w:rsidP="005C25E2">
      <w:pPr>
        <w:pStyle w:val="Caption"/>
        <w:keepNext/>
        <w:spacing w:line="360" w:lineRule="auto"/>
        <w:jc w:val="both"/>
        <w:rPr>
          <w:rFonts w:cs="Times New Roman"/>
          <w:sz w:val="24"/>
          <w:szCs w:val="24"/>
        </w:rPr>
      </w:pPr>
    </w:p>
    <w:p w14:paraId="418C3FF6" w14:textId="77777777" w:rsidR="00C22FCC" w:rsidRPr="00010B33" w:rsidRDefault="00C22FCC" w:rsidP="005C25E2">
      <w:pPr>
        <w:pStyle w:val="Heading2"/>
        <w:numPr>
          <w:ilvl w:val="1"/>
          <w:numId w:val="35"/>
        </w:numPr>
      </w:pPr>
      <w:bookmarkStart w:id="18" w:name="_Toc70725922"/>
      <w:r w:rsidRPr="00010B33">
        <w:t>SEASONALITY</w:t>
      </w:r>
      <w:bookmarkEnd w:id="18"/>
    </w:p>
    <w:p w14:paraId="3C7E9B55" w14:textId="77777777" w:rsidR="00C22FCC" w:rsidRDefault="00C22FCC" w:rsidP="005C25E2">
      <w:pPr>
        <w:spacing w:line="360" w:lineRule="auto"/>
        <w:jc w:val="both"/>
        <w:rPr>
          <w:rFonts w:cs="Times New Roman"/>
          <w:szCs w:val="24"/>
        </w:rPr>
      </w:pPr>
      <w:r w:rsidRPr="00010B33">
        <w:rPr>
          <w:rFonts w:cs="Times New Roman"/>
          <w:szCs w:val="24"/>
        </w:rPr>
        <w:t xml:space="preserve">Seasonality is defined as periodic trends in supply/demand, organizational performance, and money-related exchange. This growth is comprehensively taking place on a yearly premise, in conjunction with territorial weather patterns, the launch of economic information, or the festivity of various occasions. Seasonality is a significant aspect to be addressed once financing selections have been made. Seasonality is a critical viewpoint to be tended to once financing determinations have been made. At whatever point left unregulated, the expanded shakiness and disturbance of the market because of these patterns will raise the threat of the cash, value, or </w:t>
      </w:r>
      <w:r w:rsidR="001A40E3" w:rsidRPr="00010B33">
        <w:rPr>
          <w:rFonts w:cs="Times New Roman"/>
          <w:szCs w:val="24"/>
        </w:rPr>
        <w:t>commodities</w:t>
      </w:r>
      <w:r w:rsidRPr="00010B33">
        <w:rPr>
          <w:rFonts w:cs="Times New Roman"/>
          <w:szCs w:val="24"/>
        </w:rPr>
        <w:t xml:space="preserve"> of the markets. The harmony estimation of monetary forms, values, and products typically alludes to the season. For example, the </w:t>
      </w:r>
      <w:r w:rsidR="001A40E3" w:rsidRPr="00010B33">
        <w:rPr>
          <w:rFonts w:cs="Times New Roman"/>
          <w:szCs w:val="24"/>
        </w:rPr>
        <w:t>mid-year</w:t>
      </w:r>
      <w:r w:rsidRPr="00010B33">
        <w:rPr>
          <w:rFonts w:cs="Times New Roman"/>
          <w:szCs w:val="24"/>
        </w:rPr>
        <w:t xml:space="preserve"> months (June-August) are viewed as the most noteworthy liberation season for occasions in Eid. Taxation is also an aspect of the demand for banking services and could be an aspect ideally suited to seasonal increase inactivity, which will keep going until the 30 November tax point in time after June.</w:t>
      </w:r>
    </w:p>
    <w:p w14:paraId="59BFF5D9" w14:textId="03F23C64" w:rsidR="00FE5246" w:rsidRPr="00010B33" w:rsidRDefault="00FE5246" w:rsidP="006A5199">
      <w:pPr>
        <w:spacing w:line="360" w:lineRule="auto"/>
        <w:jc w:val="both"/>
      </w:pPr>
      <w:r>
        <w:t xml:space="preserve">The seasonal pattern of the SIBL is a period of yearly low in late January and February is subsequently trailed by </w:t>
      </w:r>
      <w:r w:rsidR="006A5199">
        <w:t xml:space="preserve">a </w:t>
      </w:r>
      <w:r>
        <w:t>surge in loans that starts in March and through May it rises sharply furthermore it rises more by the end of June. Beyond June the pattern for its business remain</w:t>
      </w:r>
      <w:r w:rsidR="006A5199">
        <w:t>s</w:t>
      </w:r>
      <w:r>
        <w:t xml:space="preserve"> marginally down, and from September to January</w:t>
      </w:r>
      <w:r w:rsidR="006A5199">
        <w:t>,</w:t>
      </w:r>
      <w:r>
        <w:t xml:space="preserve"> the demand </w:t>
      </w:r>
      <w:r w:rsidR="006A5199">
        <w:t>for</w:t>
      </w:r>
      <w:r>
        <w:t xml:space="preserve"> its business remains slightly stable. The factor that drives </w:t>
      </w:r>
      <w:r w:rsidR="006A5199">
        <w:t xml:space="preserve">the </w:t>
      </w:r>
      <w:r>
        <w:t>seasonal pattern of the business is interest rates, demand for investment services and Tax repayment. When interest rates hit the bottom of the chart most of the company is allured to financing services</w:t>
      </w:r>
      <w:r w:rsidR="005C25E2">
        <w:t>.</w:t>
      </w:r>
    </w:p>
    <w:p w14:paraId="344759AE" w14:textId="77777777" w:rsidR="00C22FCC" w:rsidRPr="00010B33" w:rsidRDefault="00C22FCC" w:rsidP="005C25E2">
      <w:pPr>
        <w:pStyle w:val="Heading2"/>
        <w:numPr>
          <w:ilvl w:val="1"/>
          <w:numId w:val="35"/>
        </w:numPr>
      </w:pPr>
      <w:bookmarkStart w:id="19" w:name="_Toc70725923"/>
      <w:r w:rsidRPr="00010B33">
        <w:t>EXTERNAL ECONOMIC FACTORS</w:t>
      </w:r>
      <w:bookmarkEnd w:id="19"/>
    </w:p>
    <w:p w14:paraId="30482581" w14:textId="77777777" w:rsidR="00C22FCC" w:rsidRPr="00010B33" w:rsidRDefault="00C22FCC" w:rsidP="005C25E2">
      <w:pPr>
        <w:spacing w:line="360" w:lineRule="auto"/>
        <w:jc w:val="both"/>
        <w:rPr>
          <w:rFonts w:cs="Times New Roman"/>
          <w:szCs w:val="24"/>
        </w:rPr>
      </w:pPr>
      <w:r w:rsidRPr="00010B33">
        <w:rPr>
          <w:rFonts w:cs="Times New Roman"/>
          <w:b/>
          <w:szCs w:val="24"/>
        </w:rPr>
        <w:t xml:space="preserve">Gross Domestic Product: </w:t>
      </w:r>
      <w:r w:rsidRPr="00010B33">
        <w:rPr>
          <w:rFonts w:cs="Times New Roman"/>
          <w:szCs w:val="24"/>
        </w:rPr>
        <w:t>Islamic banking advancement had a positive effect on financial development in terms of the GDP-per-capita growth rate. All things considered, outcomes acquired through the polynomial and semi-parametric approach appeared to the relationship between Islamic budgetary improvement and financial development. Islamic banking could be a modern budgetary framework that must entirely comply with Islamic Sharia controls. The point is to lift individuals out of financial trouble and destitution, build up financial morals in understanding with fabric and otherworldly values, and channel investment funds into beneficial divisions.</w:t>
      </w:r>
    </w:p>
    <w:p w14:paraId="5AD38FAB" w14:textId="77777777" w:rsidR="00C22FCC" w:rsidRPr="00010B33" w:rsidRDefault="00C22FCC" w:rsidP="005C25E2">
      <w:pPr>
        <w:spacing w:line="360" w:lineRule="auto"/>
        <w:jc w:val="both"/>
        <w:rPr>
          <w:rFonts w:cs="Times New Roman"/>
          <w:szCs w:val="24"/>
        </w:rPr>
      </w:pPr>
      <w:r w:rsidRPr="00010B33">
        <w:rPr>
          <w:rFonts w:cs="Times New Roman"/>
          <w:b/>
          <w:szCs w:val="24"/>
        </w:rPr>
        <w:lastRenderedPageBreak/>
        <w:t xml:space="preserve">Inflation: </w:t>
      </w:r>
      <w:r w:rsidRPr="00010B33">
        <w:rPr>
          <w:rFonts w:cs="Times New Roman"/>
          <w:szCs w:val="24"/>
        </w:rPr>
        <w:t>Islamic banks are essentially influenced by vulnerability at pre-determined rates. Particularly, that swelling instability encompasses a negative, though; the uncertainty related to the genuinely intrigued rate contains a noteworthy positive effect on the dissolvability of Islamic banks. In any case, both sorts of vulnerability have a measurably inconsequential impact on the monetary execution of both routine and Islamic banks in Bangladesh. Giving noteworthiness prove on the bank-specific observational determinants makes difference bank directors make strides their banks' budgetary execution and dissolvability.</w:t>
      </w:r>
    </w:p>
    <w:p w14:paraId="013B69BE" w14:textId="77777777" w:rsidR="00C22FCC" w:rsidRPr="00010B33" w:rsidRDefault="00C22FCC" w:rsidP="005C25E2">
      <w:pPr>
        <w:spacing w:line="360" w:lineRule="auto"/>
        <w:jc w:val="both"/>
        <w:rPr>
          <w:rFonts w:cs="Times New Roman"/>
          <w:b/>
          <w:szCs w:val="24"/>
          <w:u w:val="single"/>
        </w:rPr>
      </w:pPr>
      <w:r w:rsidRPr="00010B33">
        <w:rPr>
          <w:rFonts w:cs="Times New Roman"/>
          <w:b/>
          <w:szCs w:val="24"/>
          <w:u w:val="single"/>
        </w:rPr>
        <w:t xml:space="preserve">The economic  reasoning for disposing of </w:t>
      </w:r>
      <w:proofErr w:type="spellStart"/>
      <w:r w:rsidRPr="00010B33">
        <w:rPr>
          <w:rFonts w:cs="Times New Roman"/>
          <w:b/>
          <w:szCs w:val="24"/>
          <w:u w:val="single"/>
        </w:rPr>
        <w:t>Riba</w:t>
      </w:r>
      <w:proofErr w:type="spellEnd"/>
      <w:r w:rsidRPr="00010B33">
        <w:rPr>
          <w:rFonts w:cs="Times New Roman"/>
          <w:b/>
          <w:szCs w:val="24"/>
          <w:u w:val="single"/>
        </w:rPr>
        <w:t xml:space="preserve"> </w:t>
      </w:r>
    </w:p>
    <w:p w14:paraId="5F545099" w14:textId="77777777" w:rsidR="00C22FCC" w:rsidRPr="00010B33" w:rsidRDefault="00C22FCC" w:rsidP="005C25E2">
      <w:pPr>
        <w:spacing w:line="360" w:lineRule="auto"/>
        <w:jc w:val="both"/>
        <w:rPr>
          <w:rFonts w:cs="Times New Roman"/>
          <w:szCs w:val="24"/>
        </w:rPr>
      </w:pPr>
      <w:r w:rsidRPr="00010B33">
        <w:rPr>
          <w:rFonts w:cs="Times New Roman"/>
          <w:szCs w:val="24"/>
        </w:rPr>
        <w:t xml:space="preserve">Due to equity, productivity, steadiness, and development </w:t>
      </w:r>
      <w:proofErr w:type="spellStart"/>
      <w:r w:rsidRPr="00010B33">
        <w:rPr>
          <w:rFonts w:cs="Times New Roman"/>
          <w:szCs w:val="24"/>
        </w:rPr>
        <w:t>Riba</w:t>
      </w:r>
      <w:proofErr w:type="spellEnd"/>
      <w:r w:rsidRPr="00010B33">
        <w:rPr>
          <w:rFonts w:cs="Times New Roman"/>
          <w:szCs w:val="24"/>
        </w:rPr>
        <w:t xml:space="preserve"> (interest) structure should be disposed of for the ove</w:t>
      </w:r>
      <w:r w:rsidR="001A40E3">
        <w:rPr>
          <w:rFonts w:cs="Times New Roman"/>
          <w:szCs w:val="24"/>
        </w:rPr>
        <w:t xml:space="preserve">rall enhancement of the economy. </w:t>
      </w:r>
      <w:r w:rsidRPr="00010B33">
        <w:rPr>
          <w:rFonts w:cs="Times New Roman"/>
          <w:szCs w:val="24"/>
        </w:rPr>
        <w:t xml:space="preserve">The contentions for procedural reasonableness as follows: </w:t>
      </w:r>
    </w:p>
    <w:p w14:paraId="40A4EEBA" w14:textId="77777777" w:rsidR="00C22FCC" w:rsidRPr="00010B33" w:rsidRDefault="00C22FCC" w:rsidP="005C25E2">
      <w:pPr>
        <w:pStyle w:val="ListParagraph"/>
        <w:numPr>
          <w:ilvl w:val="0"/>
          <w:numId w:val="29"/>
        </w:numPr>
        <w:spacing w:line="360" w:lineRule="auto"/>
        <w:jc w:val="both"/>
        <w:rPr>
          <w:rFonts w:cs="Times New Roman"/>
          <w:szCs w:val="24"/>
        </w:rPr>
      </w:pPr>
      <w:r w:rsidRPr="00010B33">
        <w:rPr>
          <w:rFonts w:cs="Times New Roman"/>
          <w:szCs w:val="24"/>
        </w:rPr>
        <w:t xml:space="preserve">Equality of risk is shared between industrial and commercial as well as entrepreneur and </w:t>
      </w:r>
      <w:r w:rsidR="008B678A" w:rsidRPr="00010B33">
        <w:rPr>
          <w:rFonts w:cs="Times New Roman"/>
          <w:szCs w:val="24"/>
        </w:rPr>
        <w:t>proprietor</w:t>
      </w:r>
      <w:r w:rsidRPr="00010B33">
        <w:rPr>
          <w:rFonts w:cs="Times New Roman"/>
          <w:szCs w:val="24"/>
        </w:rPr>
        <w:t xml:space="preserve"> of the capital</w:t>
      </w:r>
    </w:p>
    <w:p w14:paraId="12671F27" w14:textId="77777777" w:rsidR="00C22FCC" w:rsidRPr="00010B33" w:rsidRDefault="00C22FCC" w:rsidP="005C25E2">
      <w:pPr>
        <w:pStyle w:val="ListParagraph"/>
        <w:numPr>
          <w:ilvl w:val="0"/>
          <w:numId w:val="29"/>
        </w:numPr>
        <w:spacing w:line="360" w:lineRule="auto"/>
        <w:jc w:val="both"/>
        <w:rPr>
          <w:rFonts w:cs="Times New Roman"/>
          <w:szCs w:val="24"/>
        </w:rPr>
      </w:pPr>
      <w:r w:rsidRPr="00010B33">
        <w:rPr>
          <w:rFonts w:cs="Times New Roman"/>
          <w:szCs w:val="24"/>
        </w:rPr>
        <w:t xml:space="preserve">Removing a fixed return by a proportionate portion of genuine profits would offer a superior profit for capital regardless of whether the profits are high or low and whether the costs are </w:t>
      </w:r>
      <w:r w:rsidR="008B678A" w:rsidRPr="00010B33">
        <w:rPr>
          <w:rFonts w:cs="Times New Roman"/>
          <w:szCs w:val="24"/>
        </w:rPr>
        <w:t>simulative</w:t>
      </w:r>
      <w:r w:rsidRPr="00010B33">
        <w:rPr>
          <w:rFonts w:cs="Times New Roman"/>
          <w:szCs w:val="24"/>
        </w:rPr>
        <w:t xml:space="preserve">, stable, or deflationary. </w:t>
      </w:r>
    </w:p>
    <w:p w14:paraId="1922DCE2" w14:textId="77777777" w:rsidR="00C22FCC" w:rsidRPr="00010B33" w:rsidRDefault="00C22FCC" w:rsidP="005C25E2">
      <w:pPr>
        <w:pStyle w:val="ListParagraph"/>
        <w:numPr>
          <w:ilvl w:val="0"/>
          <w:numId w:val="29"/>
        </w:numPr>
        <w:spacing w:line="360" w:lineRule="auto"/>
        <w:jc w:val="both"/>
        <w:rPr>
          <w:rFonts w:cs="Times New Roman"/>
          <w:szCs w:val="24"/>
        </w:rPr>
      </w:pPr>
      <w:r w:rsidRPr="00010B33">
        <w:rPr>
          <w:rFonts w:cs="Times New Roman"/>
          <w:szCs w:val="24"/>
        </w:rPr>
        <w:t>The cash would produce more abundance for its proprietors just if its efficiency in financial exercises prompts the making of significant value-added.</w:t>
      </w:r>
    </w:p>
    <w:p w14:paraId="6980890A" w14:textId="77777777" w:rsidR="00C22FCC" w:rsidRPr="00010B33" w:rsidRDefault="00C22FCC" w:rsidP="005C25E2">
      <w:pPr>
        <w:spacing w:line="360" w:lineRule="auto"/>
        <w:jc w:val="both"/>
        <w:rPr>
          <w:rFonts w:cs="Times New Roman"/>
          <w:szCs w:val="24"/>
        </w:rPr>
      </w:pPr>
      <w:r w:rsidRPr="00010B33">
        <w:rPr>
          <w:rFonts w:cs="Times New Roman"/>
          <w:szCs w:val="24"/>
        </w:rPr>
        <w:t xml:space="preserve">The assumptions for the productive portion of capital are as per the following: </w:t>
      </w:r>
    </w:p>
    <w:p w14:paraId="031634A8" w14:textId="77777777" w:rsidR="00C22FCC" w:rsidRPr="00010B33" w:rsidRDefault="00C22FCC" w:rsidP="005C25E2">
      <w:pPr>
        <w:pStyle w:val="ListParagraph"/>
        <w:numPr>
          <w:ilvl w:val="0"/>
          <w:numId w:val="30"/>
        </w:numPr>
        <w:spacing w:line="360" w:lineRule="auto"/>
        <w:jc w:val="both"/>
        <w:rPr>
          <w:rFonts w:cs="Times New Roman"/>
          <w:szCs w:val="24"/>
        </w:rPr>
      </w:pPr>
      <w:r w:rsidRPr="00010B33">
        <w:rPr>
          <w:rFonts w:cs="Times New Roman"/>
          <w:szCs w:val="24"/>
        </w:rPr>
        <w:t xml:space="preserve">Loan money, in contrast to the statement of risk capital, seems to convey the most financially sound borrowers and not innately the most proficient and viable endeavors. </w:t>
      </w:r>
    </w:p>
    <w:p w14:paraId="05EEB35A" w14:textId="77777777" w:rsidR="00C22FCC" w:rsidRPr="00010B33" w:rsidRDefault="00C22FCC" w:rsidP="005C25E2">
      <w:pPr>
        <w:pStyle w:val="ListParagraph"/>
        <w:numPr>
          <w:ilvl w:val="0"/>
          <w:numId w:val="30"/>
        </w:numPr>
        <w:spacing w:line="360" w:lineRule="auto"/>
        <w:jc w:val="both"/>
        <w:rPr>
          <w:rFonts w:cs="Times New Roman"/>
          <w:szCs w:val="24"/>
        </w:rPr>
      </w:pPr>
      <w:r w:rsidRPr="00010B33">
        <w:rPr>
          <w:rFonts w:cs="Times New Roman"/>
          <w:szCs w:val="24"/>
        </w:rPr>
        <w:t>Profit-sharing structures adjust the interests of providers and capital clients leading to a combined emphasis on performance.</w:t>
      </w:r>
    </w:p>
    <w:p w14:paraId="31633E85" w14:textId="77777777" w:rsidR="00C22FCC" w:rsidRPr="00010B33" w:rsidRDefault="00C22FCC" w:rsidP="005C25E2">
      <w:pPr>
        <w:pStyle w:val="ListParagraph"/>
        <w:numPr>
          <w:ilvl w:val="0"/>
          <w:numId w:val="30"/>
        </w:numPr>
        <w:spacing w:line="360" w:lineRule="auto"/>
        <w:jc w:val="both"/>
        <w:rPr>
          <w:rFonts w:cs="Times New Roman"/>
          <w:szCs w:val="24"/>
        </w:rPr>
      </w:pPr>
      <w:r w:rsidRPr="00010B33">
        <w:rPr>
          <w:rFonts w:cs="Times New Roman"/>
          <w:szCs w:val="24"/>
        </w:rPr>
        <w:t>This model additionally offers local area soundness between different classes, the impetuses of which are frequently equivocal and conflicting inside the conventional ones.</w:t>
      </w:r>
    </w:p>
    <w:p w14:paraId="1CB10008" w14:textId="77777777" w:rsidR="00C22FCC" w:rsidRPr="00010B33" w:rsidRDefault="00C22FCC" w:rsidP="005C25E2">
      <w:pPr>
        <w:pStyle w:val="Heading2"/>
        <w:numPr>
          <w:ilvl w:val="1"/>
          <w:numId w:val="35"/>
        </w:numPr>
      </w:pPr>
      <w:bookmarkStart w:id="20" w:name="_Toc70725924"/>
      <w:r w:rsidRPr="00010B33">
        <w:t>TECHNOLOGICAL FACTORS</w:t>
      </w:r>
      <w:bookmarkEnd w:id="20"/>
    </w:p>
    <w:p w14:paraId="4D5AEE8C" w14:textId="77777777" w:rsidR="00C22FCC" w:rsidRPr="00010B33" w:rsidRDefault="00C22FCC" w:rsidP="005C25E2">
      <w:pPr>
        <w:spacing w:line="360" w:lineRule="auto"/>
        <w:jc w:val="both"/>
        <w:rPr>
          <w:rFonts w:cs="Times New Roman"/>
          <w:szCs w:val="24"/>
        </w:rPr>
      </w:pPr>
      <w:r w:rsidRPr="00010B33">
        <w:rPr>
          <w:rFonts w:cs="Times New Roman"/>
          <w:szCs w:val="24"/>
        </w:rPr>
        <w:t xml:space="preserve">In the evolving era of technologies, Technology plays a vital part in Islamic banks of the innovation of technologies consumers now remotely can handle their accounts.  Numerous bank is offering different types of application to their client so that they can handle their </w:t>
      </w:r>
      <w:r w:rsidRPr="00010B33">
        <w:rPr>
          <w:rFonts w:cs="Times New Roman"/>
          <w:szCs w:val="24"/>
        </w:rPr>
        <w:lastRenderedPageBreak/>
        <w:t>account remotely. Bank from one end and client from another can examine cheques simultaneously. Debit cards are also evolving now instead of swiping the cards can be embedded into the charging machine and transaction occurs ” tap choice”- where transaction of debit occurs even without requiring a pin. These progressions make it simpler for the client to make buys without required interruption from banks. Clients can also pay their different bills with the help of a mobile app from the bank account.</w:t>
      </w:r>
    </w:p>
    <w:p w14:paraId="347E612E" w14:textId="2BE7CBEA" w:rsidR="00C22FCC" w:rsidRPr="00010B33" w:rsidRDefault="00C22FCC" w:rsidP="005C25E2">
      <w:pPr>
        <w:spacing w:line="360" w:lineRule="auto"/>
        <w:jc w:val="both"/>
        <w:rPr>
          <w:rFonts w:cs="Times New Roman"/>
          <w:szCs w:val="24"/>
        </w:rPr>
      </w:pPr>
      <w:r w:rsidRPr="00010B33">
        <w:rPr>
          <w:rFonts w:cs="Times New Roman"/>
          <w:szCs w:val="24"/>
        </w:rPr>
        <w:t xml:space="preserve">Banks are also taking advantage of innovation and installing new technologies in their work environment. For instance, executives from different branches are participating in online meetings with the hand of technological advancement. It replaces the need for in-person meetings. Nowadays banks are moreover utilizing SMS and the Internet as the major source of advancements and giving incredible utility to their clients. Progression of technological innovation has offered 24X7 keeping money indeed giving speedier and secured benefits. </w:t>
      </w:r>
    </w:p>
    <w:p w14:paraId="6F62DFE6" w14:textId="77777777" w:rsidR="00C22FCC" w:rsidRPr="00010B33" w:rsidRDefault="00C22FCC" w:rsidP="005C25E2">
      <w:pPr>
        <w:pStyle w:val="Heading2"/>
        <w:numPr>
          <w:ilvl w:val="1"/>
          <w:numId w:val="35"/>
        </w:numPr>
      </w:pPr>
      <w:bookmarkStart w:id="21" w:name="_Toc70725925"/>
      <w:r w:rsidRPr="00010B33">
        <w:t>POLITICAL, LEGAL, AND REGULATORY FACTORS</w:t>
      </w:r>
      <w:bookmarkEnd w:id="21"/>
    </w:p>
    <w:p w14:paraId="3F34719E" w14:textId="77777777" w:rsidR="00C22FCC" w:rsidRPr="00010B33" w:rsidRDefault="00C22FCC" w:rsidP="005C25E2">
      <w:pPr>
        <w:spacing w:line="360" w:lineRule="auto"/>
        <w:jc w:val="both"/>
        <w:rPr>
          <w:rFonts w:cs="Times New Roman"/>
          <w:b/>
          <w:szCs w:val="24"/>
          <w:u w:val="single"/>
        </w:rPr>
      </w:pPr>
      <w:r w:rsidRPr="00010B33">
        <w:rPr>
          <w:rFonts w:cs="Times New Roman"/>
          <w:szCs w:val="24"/>
        </w:rPr>
        <w:t>Political impact includes a splendid part within the banking and financial services. Islamic banks are utilized to have incredible impact and control. But the government has propelled an elevated level of controls to scrutinize the budgetary teach. It is since they secure a remarkable sum of reserve funds from the public. In this manner, banks ought to comply with the laws of the government. Critics and financial related examiners say that pointless government association isn't great for the performance of banks. On the other hand, nearby and the government has continuously been included within the undertakings of the banks until the end of time. Distinctive nations have diverse laws and directions for the banking industry, and they unexpectedly affect the banking-related industry. Indeed even though banks contribute a part towards work, and they have to confront the labor laws.</w:t>
      </w:r>
    </w:p>
    <w:p w14:paraId="59F78600" w14:textId="77777777" w:rsidR="00C22FCC" w:rsidRPr="00010B33" w:rsidRDefault="00C22FCC" w:rsidP="005C25E2">
      <w:pPr>
        <w:pStyle w:val="Heading2"/>
        <w:numPr>
          <w:ilvl w:val="1"/>
          <w:numId w:val="35"/>
        </w:numPr>
      </w:pPr>
      <w:bookmarkStart w:id="22" w:name="_Toc70725926"/>
      <w:r w:rsidRPr="00010B33">
        <w:t>BARRIERS TO ENTRY</w:t>
      </w:r>
      <w:bookmarkEnd w:id="22"/>
    </w:p>
    <w:p w14:paraId="07DC9268" w14:textId="534BD5D3" w:rsidR="00C22FCC" w:rsidRPr="0058092E" w:rsidRDefault="00EF0F3E" w:rsidP="005C25E2">
      <w:pPr>
        <w:spacing w:before="100" w:beforeAutospacing="1" w:after="100" w:afterAutospacing="1" w:line="360" w:lineRule="auto"/>
        <w:jc w:val="both"/>
        <w:rPr>
          <w:rFonts w:eastAsia="Times New Roman" w:cs="Times New Roman"/>
          <w:szCs w:val="24"/>
        </w:rPr>
      </w:pPr>
      <w:r w:rsidRPr="00EF0F3E">
        <w:rPr>
          <w:rFonts w:eastAsia="Times New Roman" w:cs="Times New Roman"/>
          <w:szCs w:val="24"/>
        </w:rPr>
        <w:t>In Bangladesh</w:t>
      </w:r>
      <w:r w:rsidR="006A5199">
        <w:rPr>
          <w:rFonts w:eastAsia="Times New Roman" w:cs="Times New Roman"/>
          <w:szCs w:val="24"/>
        </w:rPr>
        <w:t>,</w:t>
      </w:r>
      <w:r w:rsidRPr="00EF0F3E">
        <w:rPr>
          <w:rFonts w:eastAsia="Times New Roman" w:cs="Times New Roman"/>
          <w:szCs w:val="24"/>
        </w:rPr>
        <w:t xml:space="preserve"> the Islamic banking industry is still in a growing stage. So, the danger of likely new entrants is extremely high. Generally, </w:t>
      </w:r>
      <w:r w:rsidR="006A5199">
        <w:rPr>
          <w:rFonts w:eastAsia="Times New Roman" w:cs="Times New Roman"/>
          <w:szCs w:val="24"/>
        </w:rPr>
        <w:t xml:space="preserve">an </w:t>
      </w:r>
      <w:r w:rsidRPr="00EF0F3E">
        <w:rPr>
          <w:rFonts w:eastAsia="Times New Roman" w:cs="Times New Roman"/>
          <w:szCs w:val="24"/>
        </w:rPr>
        <w:t xml:space="preserve">organization </w:t>
      </w:r>
      <w:r w:rsidR="006A5199">
        <w:rPr>
          <w:rFonts w:eastAsia="Times New Roman" w:cs="Times New Roman"/>
          <w:szCs w:val="24"/>
        </w:rPr>
        <w:t>that</w:t>
      </w:r>
      <w:r w:rsidRPr="00EF0F3E">
        <w:rPr>
          <w:rFonts w:eastAsia="Times New Roman" w:cs="Times New Roman"/>
          <w:szCs w:val="24"/>
        </w:rPr>
        <w:t xml:space="preserve"> exists already tries to set entry of barriers to discourage potential contenders to enter their industry. Some factors that create barriers for new entrants in an industry. The factors are loyalty towards </w:t>
      </w:r>
      <w:r w:rsidR="006A5199">
        <w:rPr>
          <w:rFonts w:eastAsia="Times New Roman" w:cs="Times New Roman"/>
          <w:szCs w:val="24"/>
        </w:rPr>
        <w:t xml:space="preserve">the </w:t>
      </w:r>
      <w:r w:rsidRPr="00EF0F3E">
        <w:rPr>
          <w:rFonts w:eastAsia="Times New Roman" w:cs="Times New Roman"/>
          <w:szCs w:val="24"/>
        </w:rPr>
        <w:t xml:space="preserve">brand, the learning curve effect, economies of scale, absolute cost, and regulations by the Government. </w:t>
      </w:r>
      <w:r w:rsidR="006A5199">
        <w:rPr>
          <w:rFonts w:eastAsia="Times New Roman" w:cs="Times New Roman"/>
          <w:szCs w:val="24"/>
        </w:rPr>
        <w:t>The l</w:t>
      </w:r>
      <w:r w:rsidRPr="00EF0F3E">
        <w:rPr>
          <w:rFonts w:eastAsia="Times New Roman" w:cs="Times New Roman"/>
          <w:szCs w:val="24"/>
        </w:rPr>
        <w:t xml:space="preserve">oyalty of the customers in the Islamic Banking Industry is fairly clear, if one holds an account in any of the banks of this industry, they don’t prefer to open an account </w:t>
      </w:r>
      <w:r w:rsidRPr="00EF0F3E">
        <w:rPr>
          <w:rFonts w:eastAsia="Times New Roman" w:cs="Times New Roman"/>
          <w:szCs w:val="24"/>
        </w:rPr>
        <w:lastRenderedPageBreak/>
        <w:t xml:space="preserve">in any other conventional banks. This makes hindrances for new entrances. Because of the spread environment of the industry, no bank gets an absolute cost advantage. Availability of the effect of learning curve also the scale of economy is evident for the majority of the bank in the industry. Since most of the banks working for a long time now, they have been able to open branches everywhere and also accumulate experiences for operating it successfully. Government guideline is very steady towards the development and activity of new banks which leads to a lower threat for new entrants. New entrants come into the market with the possibility of a better quality of product at a lower price and contribution resources. To prevent new entrants to enter the industry, existing firms need to focus </w:t>
      </w:r>
      <w:r w:rsidR="006A5199">
        <w:rPr>
          <w:rFonts w:eastAsia="Times New Roman" w:cs="Times New Roman"/>
          <w:szCs w:val="24"/>
        </w:rPr>
        <w:t xml:space="preserve">on </w:t>
      </w:r>
      <w:r w:rsidRPr="00EF0F3E">
        <w:rPr>
          <w:rFonts w:eastAsia="Times New Roman" w:cs="Times New Roman"/>
          <w:szCs w:val="24"/>
        </w:rPr>
        <w:t>and awareness of the present and coming situation of the industry</w:t>
      </w:r>
      <w:r>
        <w:rPr>
          <w:rFonts w:eastAsia="Times New Roman" w:cs="Times New Roman"/>
          <w:szCs w:val="24"/>
        </w:rPr>
        <w:t>.</w:t>
      </w:r>
    </w:p>
    <w:p w14:paraId="33E9628B" w14:textId="77777777" w:rsidR="00C22FCC" w:rsidRPr="00010B33" w:rsidRDefault="00C22FCC" w:rsidP="005C25E2">
      <w:pPr>
        <w:pStyle w:val="Heading2"/>
        <w:numPr>
          <w:ilvl w:val="1"/>
          <w:numId w:val="35"/>
        </w:numPr>
      </w:pPr>
      <w:bookmarkStart w:id="23" w:name="_Toc70725927"/>
      <w:r w:rsidRPr="00010B33">
        <w:t>SUPPLIER POWER</w:t>
      </w:r>
      <w:bookmarkEnd w:id="23"/>
    </w:p>
    <w:p w14:paraId="1B764245" w14:textId="77777777" w:rsidR="00C22FCC" w:rsidRPr="00010B33" w:rsidRDefault="00C22FCC" w:rsidP="005C25E2">
      <w:pPr>
        <w:spacing w:line="360" w:lineRule="auto"/>
        <w:jc w:val="both"/>
        <w:rPr>
          <w:rFonts w:cs="Times New Roman"/>
          <w:szCs w:val="24"/>
        </w:rPr>
      </w:pPr>
      <w:r w:rsidRPr="00010B33">
        <w:rPr>
          <w:rFonts w:cs="Times New Roman"/>
          <w:szCs w:val="24"/>
        </w:rPr>
        <w:t>Depositors are considered to be a key supplier of funds for the Islamic banking industry. Directors also act as sources of funds for the banks. Here the few factors that demonstrate the strength of the suppliers:</w:t>
      </w:r>
    </w:p>
    <w:p w14:paraId="22D90764" w14:textId="77777777" w:rsidR="00C22FCC" w:rsidRPr="00010B33" w:rsidRDefault="00C22FCC" w:rsidP="005C25E2">
      <w:pPr>
        <w:spacing w:line="360" w:lineRule="auto"/>
        <w:jc w:val="both"/>
        <w:rPr>
          <w:rFonts w:cs="Times New Roman"/>
          <w:b/>
          <w:bCs/>
          <w:szCs w:val="24"/>
          <w:u w:val="single"/>
        </w:rPr>
      </w:pPr>
      <w:r w:rsidRPr="00010B33">
        <w:rPr>
          <w:rFonts w:cs="Times New Roman"/>
          <w:b/>
          <w:bCs/>
          <w:szCs w:val="24"/>
        </w:rPr>
        <w:t xml:space="preserve">1 </w:t>
      </w:r>
      <w:r w:rsidRPr="00010B33">
        <w:rPr>
          <w:rFonts w:cs="Times New Roman"/>
          <w:b/>
          <w:bCs/>
          <w:szCs w:val="24"/>
          <w:u w:val="single"/>
        </w:rPr>
        <w:t>Number of Supplier:</w:t>
      </w:r>
    </w:p>
    <w:p w14:paraId="7AFD5540" w14:textId="77777777" w:rsidR="00C22FCC" w:rsidRPr="00010B33" w:rsidRDefault="00C22FCC" w:rsidP="005C25E2">
      <w:pPr>
        <w:spacing w:line="360" w:lineRule="auto"/>
        <w:jc w:val="both"/>
        <w:rPr>
          <w:rFonts w:cs="Times New Roman"/>
          <w:szCs w:val="24"/>
        </w:rPr>
      </w:pPr>
      <w:r w:rsidRPr="00010B33">
        <w:rPr>
          <w:rFonts w:cs="Times New Roman"/>
          <w:bCs/>
          <w:szCs w:val="24"/>
        </w:rPr>
        <w:t xml:space="preserve">In the economy of Bangladesh, most individuals prefer to reserve funds and so banks are always found with an excess of the fund. So, in the banking industry bargaining power of suppliers is low. </w:t>
      </w:r>
    </w:p>
    <w:p w14:paraId="63BC74DB" w14:textId="77777777" w:rsidR="00C22FCC" w:rsidRPr="00010B33" w:rsidRDefault="00C22FCC" w:rsidP="005C25E2">
      <w:pPr>
        <w:spacing w:line="360" w:lineRule="auto"/>
        <w:jc w:val="both"/>
        <w:rPr>
          <w:rFonts w:cs="Times New Roman"/>
          <w:szCs w:val="24"/>
        </w:rPr>
      </w:pPr>
      <w:r w:rsidRPr="00010B33">
        <w:rPr>
          <w:rFonts w:cs="Times New Roman"/>
          <w:b/>
          <w:bCs/>
          <w:szCs w:val="24"/>
        </w:rPr>
        <w:t xml:space="preserve">2 </w:t>
      </w:r>
      <w:r w:rsidRPr="00010B33">
        <w:rPr>
          <w:rFonts w:cs="Times New Roman"/>
          <w:b/>
          <w:bCs/>
          <w:szCs w:val="24"/>
          <w:u w:val="single"/>
        </w:rPr>
        <w:t>Threat of forwarding Integration:</w:t>
      </w:r>
    </w:p>
    <w:p w14:paraId="4FDBD218" w14:textId="77777777" w:rsidR="00C22FCC" w:rsidRPr="00010B33" w:rsidRDefault="00C22FCC" w:rsidP="005C25E2">
      <w:pPr>
        <w:spacing w:line="360" w:lineRule="auto"/>
        <w:jc w:val="both"/>
        <w:rPr>
          <w:rFonts w:cs="Times New Roman"/>
          <w:szCs w:val="24"/>
        </w:rPr>
      </w:pPr>
      <w:r w:rsidRPr="00010B33">
        <w:rPr>
          <w:rFonts w:cs="Times New Roman"/>
          <w:szCs w:val="24"/>
        </w:rPr>
        <w:t>At times banks might face danger from the supplier of the fund too. Large organizations possess threats for banks by forming another bank to store their funds. Bank generates cash by investing other money. Therefore, this can prompt an intensive rivalry for the bank while the acquisition of funds.  So, banks should give preference for better customer service while completing their day-to-day activities.</w:t>
      </w:r>
    </w:p>
    <w:p w14:paraId="3F17C912" w14:textId="77777777" w:rsidR="00C22FCC" w:rsidRPr="00010B33" w:rsidRDefault="00C22FCC" w:rsidP="005C25E2">
      <w:pPr>
        <w:pStyle w:val="Heading2"/>
        <w:numPr>
          <w:ilvl w:val="1"/>
          <w:numId w:val="35"/>
        </w:numPr>
      </w:pPr>
      <w:bookmarkStart w:id="24" w:name="_Toc70725928"/>
      <w:r w:rsidRPr="00010B33">
        <w:t>BUYER POWER</w:t>
      </w:r>
      <w:bookmarkEnd w:id="24"/>
    </w:p>
    <w:p w14:paraId="0E899607" w14:textId="508C3D35" w:rsidR="00C22FCC" w:rsidRPr="00010B33" w:rsidRDefault="0080551B" w:rsidP="005C25E2">
      <w:pPr>
        <w:spacing w:line="360" w:lineRule="auto"/>
        <w:jc w:val="both"/>
        <w:rPr>
          <w:rFonts w:cs="Times New Roman"/>
          <w:szCs w:val="24"/>
        </w:rPr>
      </w:pPr>
      <w:r>
        <w:rPr>
          <w:rFonts w:cs="Times New Roman"/>
          <w:szCs w:val="24"/>
        </w:rPr>
        <w:t xml:space="preserve">When it comes to </w:t>
      </w:r>
      <w:r w:rsidR="006A5199">
        <w:rPr>
          <w:rFonts w:cs="Times New Roman"/>
          <w:szCs w:val="24"/>
        </w:rPr>
        <w:t xml:space="preserve">the </w:t>
      </w:r>
      <w:r>
        <w:rPr>
          <w:rFonts w:cs="Times New Roman"/>
          <w:szCs w:val="24"/>
        </w:rPr>
        <w:t xml:space="preserve">banking industry, buyers are those customers who take </w:t>
      </w:r>
      <w:r w:rsidR="006A5199">
        <w:rPr>
          <w:rFonts w:cs="Times New Roman"/>
          <w:szCs w:val="24"/>
        </w:rPr>
        <w:t xml:space="preserve">a </w:t>
      </w:r>
      <w:r>
        <w:rPr>
          <w:rFonts w:cs="Times New Roman"/>
          <w:szCs w:val="24"/>
        </w:rPr>
        <w:t>loan from the bank</w:t>
      </w:r>
      <w:r w:rsidRPr="00D9335C">
        <w:rPr>
          <w:rFonts w:cs="Times New Roman"/>
          <w:szCs w:val="24"/>
        </w:rPr>
        <w:t>. The following factors</w:t>
      </w:r>
      <w:r>
        <w:rPr>
          <w:rFonts w:cs="Times New Roman"/>
          <w:szCs w:val="24"/>
        </w:rPr>
        <w:t xml:space="preserve"> are known as the bargaining power of those buyers:</w:t>
      </w:r>
    </w:p>
    <w:p w14:paraId="4F4D3FE4" w14:textId="77777777" w:rsidR="00C22FCC" w:rsidRPr="00451552" w:rsidRDefault="00C22FCC" w:rsidP="005C25E2">
      <w:pPr>
        <w:pStyle w:val="ListParagraph"/>
        <w:numPr>
          <w:ilvl w:val="0"/>
          <w:numId w:val="38"/>
        </w:numPr>
        <w:spacing w:line="360" w:lineRule="auto"/>
        <w:jc w:val="both"/>
        <w:rPr>
          <w:rFonts w:cs="Times New Roman"/>
          <w:szCs w:val="24"/>
        </w:rPr>
      </w:pPr>
      <w:r w:rsidRPr="00451552">
        <w:rPr>
          <w:rFonts w:cs="Times New Roman"/>
          <w:b/>
          <w:bCs/>
          <w:szCs w:val="24"/>
        </w:rPr>
        <w:t xml:space="preserve"> </w:t>
      </w:r>
      <w:r w:rsidR="00F97A4B">
        <w:rPr>
          <w:rFonts w:cs="Times New Roman"/>
          <w:b/>
          <w:bCs/>
          <w:szCs w:val="24"/>
          <w:u w:val="single"/>
        </w:rPr>
        <w:t>The n</w:t>
      </w:r>
      <w:r w:rsidRPr="00451552">
        <w:rPr>
          <w:rFonts w:cs="Times New Roman"/>
          <w:b/>
          <w:bCs/>
          <w:szCs w:val="24"/>
          <w:u w:val="single"/>
        </w:rPr>
        <w:t>umber of Loan Applicants:</w:t>
      </w:r>
    </w:p>
    <w:p w14:paraId="6198F441" w14:textId="77777777" w:rsidR="00C22FCC" w:rsidRPr="00010B33" w:rsidRDefault="00C22FCC" w:rsidP="005C25E2">
      <w:pPr>
        <w:spacing w:line="360" w:lineRule="auto"/>
        <w:jc w:val="both"/>
        <w:rPr>
          <w:rFonts w:cs="Times New Roman"/>
          <w:szCs w:val="24"/>
        </w:rPr>
      </w:pPr>
      <w:r w:rsidRPr="00010B33">
        <w:rPr>
          <w:rFonts w:cs="Times New Roman"/>
          <w:szCs w:val="24"/>
        </w:rPr>
        <w:lastRenderedPageBreak/>
        <w:t>In the economy of Bangladesh, there are not sufficient candidates for business loans. For lots of variables, investment is also not expanding. Hence, banks are using their inactive cash by providing mostly personal loans. The reduced number of loan applicants increasing the business rivalry among the banks.</w:t>
      </w:r>
    </w:p>
    <w:p w14:paraId="43DF4711" w14:textId="77777777" w:rsidR="00C22FCC" w:rsidRPr="00451552" w:rsidRDefault="00C22FCC" w:rsidP="005C25E2">
      <w:pPr>
        <w:pStyle w:val="ListParagraph"/>
        <w:numPr>
          <w:ilvl w:val="0"/>
          <w:numId w:val="38"/>
        </w:numPr>
        <w:spacing w:line="360" w:lineRule="auto"/>
        <w:jc w:val="both"/>
        <w:rPr>
          <w:rFonts w:cs="Times New Roman"/>
          <w:szCs w:val="24"/>
        </w:rPr>
      </w:pPr>
      <w:r w:rsidRPr="00451552">
        <w:rPr>
          <w:rFonts w:cs="Times New Roman"/>
          <w:b/>
          <w:bCs/>
          <w:szCs w:val="24"/>
        </w:rPr>
        <w:t xml:space="preserve"> </w:t>
      </w:r>
      <w:r w:rsidRPr="00451552">
        <w:rPr>
          <w:rFonts w:cs="Times New Roman"/>
          <w:b/>
          <w:bCs/>
          <w:szCs w:val="24"/>
          <w:u w:val="single"/>
        </w:rPr>
        <w:t>Switching Cost:</w:t>
      </w:r>
    </w:p>
    <w:p w14:paraId="67B62EC4" w14:textId="77777777" w:rsidR="007A0122" w:rsidRPr="00010B33" w:rsidRDefault="00C22FCC" w:rsidP="005C25E2">
      <w:pPr>
        <w:spacing w:line="360" w:lineRule="auto"/>
        <w:jc w:val="both"/>
        <w:rPr>
          <w:rFonts w:cs="Times New Roman"/>
          <w:szCs w:val="24"/>
        </w:rPr>
      </w:pPr>
      <w:r w:rsidRPr="00010B33">
        <w:rPr>
          <w:rFonts w:cs="Times New Roman"/>
          <w:szCs w:val="24"/>
        </w:rPr>
        <w:t xml:space="preserve">Switching cost in the banking industry is extremely small. So if the lenders do not get find suitable terms and conditions for their loan they can effectively switch one bank to another as most of the banks providing at the same pre-determined interest rate. Competitiveness among the banks is high as the </w:t>
      </w:r>
      <w:r w:rsidR="007A0122" w:rsidRPr="00010B33">
        <w:rPr>
          <w:rFonts w:cs="Times New Roman"/>
          <w:szCs w:val="24"/>
        </w:rPr>
        <w:t>lenders are</w:t>
      </w:r>
      <w:r w:rsidRPr="00010B33">
        <w:rPr>
          <w:rFonts w:cs="Times New Roman"/>
          <w:szCs w:val="24"/>
        </w:rPr>
        <w:t xml:space="preserve"> easily changing one bank to another in search of lower interest rates or for many other reasons.</w:t>
      </w:r>
    </w:p>
    <w:p w14:paraId="532CFC01" w14:textId="77777777" w:rsidR="00C22FCC" w:rsidRPr="00906AA9" w:rsidRDefault="00C22FCC" w:rsidP="005C25E2">
      <w:pPr>
        <w:pStyle w:val="ListParagraph"/>
        <w:numPr>
          <w:ilvl w:val="0"/>
          <w:numId w:val="38"/>
        </w:numPr>
        <w:spacing w:line="360" w:lineRule="auto"/>
        <w:jc w:val="both"/>
        <w:rPr>
          <w:rFonts w:cs="Times New Roman"/>
          <w:szCs w:val="24"/>
        </w:rPr>
      </w:pPr>
      <w:r w:rsidRPr="00906AA9">
        <w:rPr>
          <w:rFonts w:cs="Times New Roman"/>
          <w:b/>
          <w:bCs/>
          <w:szCs w:val="24"/>
        </w:rPr>
        <w:t xml:space="preserve"> </w:t>
      </w:r>
      <w:r w:rsidRPr="00906AA9">
        <w:rPr>
          <w:rFonts w:cs="Times New Roman"/>
          <w:b/>
          <w:bCs/>
          <w:szCs w:val="24"/>
          <w:u w:val="single"/>
        </w:rPr>
        <w:t>T</w:t>
      </w:r>
      <w:r w:rsidR="00F97A4B">
        <w:rPr>
          <w:rFonts w:cs="Times New Roman"/>
          <w:b/>
          <w:bCs/>
          <w:szCs w:val="24"/>
          <w:u w:val="single"/>
        </w:rPr>
        <w:t>he t</w:t>
      </w:r>
      <w:r w:rsidRPr="00906AA9">
        <w:rPr>
          <w:rFonts w:cs="Times New Roman"/>
          <w:b/>
          <w:bCs/>
          <w:szCs w:val="24"/>
          <w:u w:val="single"/>
        </w:rPr>
        <w:t>hreat of Backward Integration</w:t>
      </w:r>
    </w:p>
    <w:p w14:paraId="7FCC944A" w14:textId="77777777" w:rsidR="00C22FCC" w:rsidRPr="00010B33" w:rsidRDefault="00C22FCC" w:rsidP="005C25E2">
      <w:pPr>
        <w:spacing w:line="360" w:lineRule="auto"/>
        <w:jc w:val="both"/>
        <w:rPr>
          <w:rFonts w:cs="Times New Roman"/>
          <w:szCs w:val="24"/>
        </w:rPr>
      </w:pPr>
      <w:r w:rsidRPr="00010B33">
        <w:rPr>
          <w:rFonts w:cs="Times New Roman"/>
          <w:szCs w:val="24"/>
        </w:rPr>
        <w:t>At times big companies create intimidation for banks. They possess a fear of forming another bank from which they can borrow money at a much lower rate. As a result, this industry is a constant pressure for backward integration from the enormous company of the country.</w:t>
      </w:r>
    </w:p>
    <w:p w14:paraId="6661EA98" w14:textId="77777777" w:rsidR="00C22FCC" w:rsidRPr="00010B33" w:rsidRDefault="00C22FCC" w:rsidP="005C25E2">
      <w:pPr>
        <w:pStyle w:val="Heading2"/>
        <w:numPr>
          <w:ilvl w:val="1"/>
          <w:numId w:val="35"/>
        </w:numPr>
      </w:pPr>
      <w:bookmarkStart w:id="25" w:name="_Toc70725929"/>
      <w:r w:rsidRPr="00010B33">
        <w:t>THREAT OF SUBSTITUTES</w:t>
      </w:r>
      <w:bookmarkEnd w:id="25"/>
    </w:p>
    <w:p w14:paraId="5571B20B" w14:textId="32D50A6F" w:rsidR="00C22FCC" w:rsidRPr="00010B33" w:rsidRDefault="0080551B" w:rsidP="005C25E2">
      <w:pPr>
        <w:spacing w:line="360" w:lineRule="auto"/>
        <w:jc w:val="both"/>
        <w:rPr>
          <w:rFonts w:cs="Times New Roman"/>
          <w:szCs w:val="24"/>
        </w:rPr>
      </w:pPr>
      <w:r w:rsidRPr="0080551B">
        <w:rPr>
          <w:rFonts w:cs="Times New Roman"/>
          <w:szCs w:val="24"/>
        </w:rPr>
        <w:t>The risk of substitute items has expanded within the industry of banking. The industry ha</w:t>
      </w:r>
      <w:r w:rsidR="006A5199">
        <w:rPr>
          <w:rFonts w:cs="Times New Roman"/>
          <w:szCs w:val="24"/>
        </w:rPr>
        <w:t>s</w:t>
      </w:r>
      <w:r w:rsidRPr="0080551B">
        <w:rPr>
          <w:rFonts w:cs="Times New Roman"/>
          <w:szCs w:val="24"/>
        </w:rPr>
        <w:t xml:space="preserve"> started to propose specialized money-related facilities which were customary as they were accessible from banks as the company’s exterior. Paid ahead of time charge cards, and online loan specialists offer a huge number of choices that fetched and other major banks an impressive sum of income. Banks have activities </w:t>
      </w:r>
      <w:r w:rsidR="006A5199">
        <w:rPr>
          <w:rFonts w:cs="Times New Roman"/>
          <w:szCs w:val="24"/>
        </w:rPr>
        <w:t>that</w:t>
      </w:r>
      <w:r w:rsidRPr="0080551B">
        <w:rPr>
          <w:rFonts w:cs="Times New Roman"/>
          <w:szCs w:val="24"/>
        </w:rPr>
        <w:t xml:space="preserve"> incorporate a division that centers on little trade lending. Moreover, it can build up unused claim advanced wallet benefit</w:t>
      </w:r>
      <w:r w:rsidR="006A5199">
        <w:rPr>
          <w:rFonts w:cs="Times New Roman"/>
          <w:szCs w:val="24"/>
        </w:rPr>
        <w:t>s</w:t>
      </w:r>
      <w:r w:rsidR="00C22FCC" w:rsidRPr="00010B33">
        <w:rPr>
          <w:rFonts w:cs="Times New Roman"/>
          <w:szCs w:val="24"/>
        </w:rPr>
        <w:t>.</w:t>
      </w:r>
    </w:p>
    <w:p w14:paraId="05C82E42" w14:textId="77777777" w:rsidR="00C22FCC" w:rsidRPr="00010B33" w:rsidRDefault="00C22FCC" w:rsidP="005C25E2">
      <w:pPr>
        <w:pStyle w:val="Heading2"/>
        <w:numPr>
          <w:ilvl w:val="1"/>
          <w:numId w:val="35"/>
        </w:numPr>
      </w:pPr>
      <w:r w:rsidRPr="00010B33">
        <w:t xml:space="preserve"> </w:t>
      </w:r>
      <w:bookmarkStart w:id="26" w:name="_Toc70725930"/>
      <w:r w:rsidRPr="00010B33">
        <w:t>INDUSTRY RIVALRY</w:t>
      </w:r>
      <w:bookmarkEnd w:id="26"/>
    </w:p>
    <w:p w14:paraId="6BA360C8" w14:textId="0A7BBAD1" w:rsidR="00C22FCC" w:rsidRPr="00010B33" w:rsidRDefault="00C22FCC" w:rsidP="005C25E2">
      <w:pPr>
        <w:spacing w:line="360" w:lineRule="auto"/>
        <w:jc w:val="both"/>
        <w:rPr>
          <w:rFonts w:cs="Times New Roman"/>
          <w:szCs w:val="24"/>
        </w:rPr>
      </w:pPr>
      <w:r w:rsidRPr="00010B33">
        <w:rPr>
          <w:rFonts w:cs="Times New Roman"/>
          <w:szCs w:val="24"/>
        </w:rPr>
        <w:t xml:space="preserve">As the number of banks is emerging day by day it is increasing the intensity of rivalry among the organizations. To sustain and grow in this situation each of the banks attempting to gain a competitive advantage over their rival's banks. In this stiff competitive environment, banks are trying to stand alone by offering attractive packages and offers to their customers. </w:t>
      </w:r>
      <w:r w:rsidR="00F97A4B">
        <w:rPr>
          <w:rFonts w:cs="Times New Roman"/>
          <w:szCs w:val="24"/>
        </w:rPr>
        <w:t>The b</w:t>
      </w:r>
      <w:r w:rsidRPr="00010B33">
        <w:rPr>
          <w:rFonts w:cs="Times New Roman"/>
          <w:szCs w:val="24"/>
        </w:rPr>
        <w:t>ank is also spending on market research to gain a clear insight into the service they provide to their clients</w:t>
      </w:r>
    </w:p>
    <w:p w14:paraId="75C4CB72" w14:textId="77777777" w:rsidR="00C22FCC" w:rsidRPr="00010B33" w:rsidRDefault="00C22FCC" w:rsidP="005C25E2">
      <w:pPr>
        <w:spacing w:line="360" w:lineRule="auto"/>
        <w:jc w:val="both"/>
        <w:rPr>
          <w:rFonts w:cs="Times New Roman"/>
          <w:szCs w:val="24"/>
        </w:rPr>
      </w:pPr>
      <w:r w:rsidRPr="00010B33">
        <w:rPr>
          <w:rFonts w:cs="Times New Roman"/>
          <w:szCs w:val="24"/>
        </w:rPr>
        <w:t>The factors that influenced these rivalries are given below:</w:t>
      </w:r>
    </w:p>
    <w:p w14:paraId="19BDB8BF" w14:textId="77777777" w:rsidR="00C22FCC" w:rsidRPr="00010B33" w:rsidRDefault="00C22FCC" w:rsidP="005C25E2">
      <w:pPr>
        <w:spacing w:line="360" w:lineRule="auto"/>
        <w:jc w:val="both"/>
        <w:rPr>
          <w:rFonts w:cs="Times New Roman"/>
          <w:szCs w:val="24"/>
        </w:rPr>
      </w:pPr>
      <w:r w:rsidRPr="00010B33">
        <w:rPr>
          <w:rFonts w:cs="Times New Roman"/>
          <w:b/>
          <w:bCs/>
          <w:szCs w:val="24"/>
          <w:u w:val="single"/>
        </w:rPr>
        <w:t>Competitive Structure of the Banking Sector:</w:t>
      </w:r>
    </w:p>
    <w:p w14:paraId="1E653342" w14:textId="77777777" w:rsidR="007A0122" w:rsidRPr="00010B33" w:rsidRDefault="00C22FCC" w:rsidP="005C25E2">
      <w:pPr>
        <w:spacing w:line="360" w:lineRule="auto"/>
        <w:jc w:val="both"/>
        <w:rPr>
          <w:rFonts w:cs="Times New Roman"/>
          <w:szCs w:val="24"/>
        </w:rPr>
      </w:pPr>
      <w:r w:rsidRPr="00010B33">
        <w:rPr>
          <w:rFonts w:cs="Times New Roman"/>
          <w:szCs w:val="24"/>
        </w:rPr>
        <w:lastRenderedPageBreak/>
        <w:t>Our banking industry has attributes of a lower entry barrier and the same kind of product offering which is known as fragmented in nature. Price is the only factor that distinguishes one bank from another as all operate through pre-determined interest rates. . A horrendous price war usually starts after the entrance of a new competitor typically leads to a circumstance of overabundance limit. Our banking industry ought to face enormous prices within several years. In general, a divided industry builds rivalry, and it likewise pushes down by and large industrial profitability.</w:t>
      </w:r>
    </w:p>
    <w:p w14:paraId="2B6C2379" w14:textId="77777777" w:rsidR="00C22FCC" w:rsidRPr="00010B33" w:rsidRDefault="00C22FCC" w:rsidP="005C25E2">
      <w:pPr>
        <w:spacing w:line="360" w:lineRule="auto"/>
        <w:jc w:val="both"/>
        <w:rPr>
          <w:rFonts w:cs="Times New Roman"/>
          <w:b/>
          <w:szCs w:val="24"/>
          <w:u w:val="single"/>
        </w:rPr>
      </w:pPr>
      <w:r w:rsidRPr="00010B33">
        <w:rPr>
          <w:rFonts w:cs="Times New Roman"/>
          <w:b/>
          <w:szCs w:val="24"/>
          <w:u w:val="single"/>
        </w:rPr>
        <w:t xml:space="preserve">Demand </w:t>
      </w:r>
      <w:r w:rsidR="00906AA9" w:rsidRPr="00010B33">
        <w:rPr>
          <w:rFonts w:cs="Times New Roman"/>
          <w:b/>
          <w:szCs w:val="24"/>
          <w:u w:val="single"/>
        </w:rPr>
        <w:t>Conditions:</w:t>
      </w:r>
    </w:p>
    <w:p w14:paraId="6E99B125" w14:textId="77777777" w:rsidR="00C22FCC" w:rsidRPr="00010B33" w:rsidRDefault="00C22FCC" w:rsidP="005C25E2">
      <w:pPr>
        <w:spacing w:line="360" w:lineRule="auto"/>
        <w:jc w:val="both"/>
        <w:rPr>
          <w:rFonts w:cs="Times New Roman"/>
          <w:szCs w:val="24"/>
        </w:rPr>
      </w:pPr>
      <w:r w:rsidRPr="00010B33">
        <w:rPr>
          <w:rFonts w:cs="Times New Roman"/>
          <w:szCs w:val="24"/>
        </w:rPr>
        <w:t>Overall demand for the banking industry is increasing at an agreeable rate. The increase in demand means less rivalry as one bank is selling more without removing the market share of the other. But it is not quite certain the pattern for demand will remain the same over the year.</w:t>
      </w:r>
    </w:p>
    <w:p w14:paraId="192DD0A1" w14:textId="77777777" w:rsidR="00C22FCC" w:rsidRPr="00010B33" w:rsidRDefault="00C22FCC" w:rsidP="005C25E2">
      <w:pPr>
        <w:spacing w:line="360" w:lineRule="auto"/>
        <w:jc w:val="both"/>
        <w:rPr>
          <w:rFonts w:cs="Times New Roman"/>
          <w:b/>
          <w:szCs w:val="24"/>
          <w:u w:val="single"/>
        </w:rPr>
      </w:pPr>
      <w:r w:rsidRPr="00010B33">
        <w:rPr>
          <w:rFonts w:cs="Times New Roman"/>
          <w:b/>
          <w:szCs w:val="24"/>
          <w:u w:val="single"/>
        </w:rPr>
        <w:t xml:space="preserve">Exit Barriers </w:t>
      </w:r>
    </w:p>
    <w:p w14:paraId="0DA97174" w14:textId="77777777" w:rsidR="00C22FCC" w:rsidRPr="00010B33" w:rsidRDefault="00C22FCC" w:rsidP="005C25E2">
      <w:pPr>
        <w:spacing w:line="360" w:lineRule="auto"/>
        <w:jc w:val="both"/>
        <w:rPr>
          <w:rFonts w:cs="Times New Roman"/>
          <w:szCs w:val="24"/>
        </w:rPr>
      </w:pPr>
      <w:r w:rsidRPr="00010B33">
        <w:rPr>
          <w:rFonts w:cs="Times New Roman"/>
          <w:szCs w:val="24"/>
        </w:rPr>
        <w:t xml:space="preserve">Exit barriers are economic, strategic, and emotional factors. High exit barriers mean companies are locked in unprofitable circumstances. For many people bank has become a sensitive connection of their regular daily lives. So, many banks are still running despite facing consistent loss over the years. Few banks are large to the </w:t>
      </w:r>
      <w:r w:rsidR="00906AA9" w:rsidRPr="00010B33">
        <w:rPr>
          <w:rFonts w:cs="Times New Roman"/>
          <w:szCs w:val="24"/>
        </w:rPr>
        <w:t>extent</w:t>
      </w:r>
      <w:r w:rsidRPr="00010B33">
        <w:rPr>
          <w:rFonts w:cs="Times New Roman"/>
          <w:szCs w:val="24"/>
        </w:rPr>
        <w:t xml:space="preserve"> that closing any of them will hurt the entire economy as it will create an impact on foreign and domestic trade. Hence, Exit barriers for our banking industry are extremely high.</w:t>
      </w:r>
    </w:p>
    <w:p w14:paraId="38723520" w14:textId="77777777" w:rsidR="00C22FCC" w:rsidRPr="00010B33" w:rsidRDefault="00C22FCC" w:rsidP="005C25E2">
      <w:pPr>
        <w:pStyle w:val="Heading2"/>
        <w:numPr>
          <w:ilvl w:val="1"/>
          <w:numId w:val="35"/>
        </w:numPr>
      </w:pPr>
      <w:bookmarkStart w:id="27" w:name="_Toc70725931"/>
      <w:r w:rsidRPr="00010B33">
        <w:t>CHALLENGES AND OPPORTUNITIES</w:t>
      </w:r>
      <w:bookmarkEnd w:id="27"/>
    </w:p>
    <w:p w14:paraId="106CD921" w14:textId="77777777" w:rsidR="00C22FCC" w:rsidRPr="00010B33" w:rsidRDefault="00C22FCC" w:rsidP="005C25E2">
      <w:pPr>
        <w:spacing w:line="360" w:lineRule="auto"/>
        <w:jc w:val="both"/>
        <w:rPr>
          <w:rFonts w:cs="Times New Roman"/>
          <w:b/>
          <w:szCs w:val="24"/>
          <w:u w:val="single"/>
        </w:rPr>
      </w:pPr>
      <w:r w:rsidRPr="00010B33">
        <w:rPr>
          <w:rFonts w:cs="Times New Roman"/>
          <w:b/>
          <w:szCs w:val="24"/>
          <w:u w:val="single"/>
        </w:rPr>
        <w:t>Challenges</w:t>
      </w:r>
    </w:p>
    <w:p w14:paraId="377B58E3" w14:textId="77777777" w:rsidR="001E28CF" w:rsidRPr="001E28CF" w:rsidRDefault="001E28CF" w:rsidP="001E28CF">
      <w:pPr>
        <w:spacing w:line="360" w:lineRule="auto"/>
        <w:jc w:val="both"/>
        <w:rPr>
          <w:rFonts w:cs="Times New Roman"/>
          <w:szCs w:val="24"/>
        </w:rPr>
      </w:pPr>
      <w:r w:rsidRPr="001E28CF">
        <w:rPr>
          <w:rFonts w:cs="Times New Roman"/>
          <w:szCs w:val="24"/>
        </w:rPr>
        <w:t>Since its establishment, the Islamic Banking structure has been embraced by everyone in general, yet it still has many obstacles to overcome until it can assert to be an organization accomplished of addressing the needs of global business markets. During my research on the differentiation of conventional banking from Islamic banking, I classified some challenges for Islamic banking as shown below-</w:t>
      </w:r>
    </w:p>
    <w:p w14:paraId="120DC7EC" w14:textId="77777777" w:rsidR="001E28CF" w:rsidRPr="001E28CF" w:rsidRDefault="001E28CF" w:rsidP="001E28CF">
      <w:pPr>
        <w:numPr>
          <w:ilvl w:val="0"/>
          <w:numId w:val="5"/>
        </w:numPr>
        <w:spacing w:line="360" w:lineRule="auto"/>
        <w:jc w:val="both"/>
        <w:rPr>
          <w:rFonts w:cs="Times New Roman"/>
          <w:szCs w:val="24"/>
        </w:rPr>
      </w:pPr>
      <w:r w:rsidRPr="001E28CF">
        <w:rPr>
          <w:rFonts w:cs="Times New Roman"/>
          <w:szCs w:val="24"/>
        </w:rPr>
        <w:t>The lack of the Islamic money market, the inadequate skilled personnel, the lack of legal supervisory framework, and the lack of link institutions are some of the illustration restrictions on the practice of Islamic banking.</w:t>
      </w:r>
    </w:p>
    <w:p w14:paraId="35BB58D7" w14:textId="77777777" w:rsidR="001E28CF" w:rsidRPr="001E28CF" w:rsidRDefault="001E28CF" w:rsidP="001E28CF">
      <w:pPr>
        <w:numPr>
          <w:ilvl w:val="0"/>
          <w:numId w:val="5"/>
        </w:numPr>
        <w:spacing w:line="360" w:lineRule="auto"/>
        <w:jc w:val="both"/>
        <w:rPr>
          <w:rFonts w:cs="Times New Roman"/>
          <w:szCs w:val="24"/>
        </w:rPr>
      </w:pPr>
      <w:r w:rsidRPr="001E28CF">
        <w:rPr>
          <w:rFonts w:cs="Times New Roman"/>
          <w:szCs w:val="24"/>
        </w:rPr>
        <w:t xml:space="preserve">The risk for people of sharing the loss from </w:t>
      </w:r>
      <w:proofErr w:type="spellStart"/>
      <w:r w:rsidRPr="001E28CF">
        <w:rPr>
          <w:rFonts w:cs="Times New Roman"/>
          <w:szCs w:val="24"/>
        </w:rPr>
        <w:t>Mudaraba</w:t>
      </w:r>
      <w:proofErr w:type="spellEnd"/>
      <w:r w:rsidRPr="001E28CF">
        <w:rPr>
          <w:rFonts w:cs="Times New Roman"/>
          <w:szCs w:val="24"/>
        </w:rPr>
        <w:t xml:space="preserve"> deposits.</w:t>
      </w:r>
    </w:p>
    <w:p w14:paraId="6F4BFB1B" w14:textId="7CAFC4BD" w:rsidR="001E28CF" w:rsidRPr="001E28CF" w:rsidRDefault="001E28CF" w:rsidP="001E28CF">
      <w:pPr>
        <w:numPr>
          <w:ilvl w:val="0"/>
          <w:numId w:val="5"/>
        </w:numPr>
        <w:spacing w:line="360" w:lineRule="auto"/>
        <w:jc w:val="both"/>
        <w:rPr>
          <w:rFonts w:cs="Times New Roman"/>
          <w:szCs w:val="24"/>
        </w:rPr>
      </w:pPr>
      <w:r w:rsidRPr="001E28CF">
        <w:rPr>
          <w:rFonts w:cs="Times New Roman"/>
          <w:szCs w:val="24"/>
        </w:rPr>
        <w:lastRenderedPageBreak/>
        <w:t xml:space="preserve">Also, some of the investment customers, including Muslims, do not have any Shariah knowledge, particularly concerning </w:t>
      </w:r>
      <w:proofErr w:type="spellStart"/>
      <w:r w:rsidRPr="001E28CF">
        <w:rPr>
          <w:rFonts w:cs="Times New Roman"/>
          <w:szCs w:val="24"/>
        </w:rPr>
        <w:t>Riba</w:t>
      </w:r>
      <w:proofErr w:type="spellEnd"/>
      <w:r w:rsidRPr="001E28CF">
        <w:rPr>
          <w:rFonts w:cs="Times New Roman"/>
          <w:szCs w:val="24"/>
        </w:rPr>
        <w:t>, permissible, and prohibition</w:t>
      </w:r>
      <w:r w:rsidR="006A5199">
        <w:rPr>
          <w:rFonts w:cs="Times New Roman"/>
          <w:szCs w:val="24"/>
        </w:rPr>
        <w:t>,</w:t>
      </w:r>
      <w:r w:rsidRPr="001E28CF">
        <w:rPr>
          <w:rFonts w:cs="Times New Roman"/>
          <w:szCs w:val="24"/>
        </w:rPr>
        <w:t xml:space="preserve"> etc. in financial transactions. Unfortunately, it has become a difficult task, excluding the general understanding of Shariah and making clients understand the concept of Islamic principles of halal and haram.</w:t>
      </w:r>
    </w:p>
    <w:p w14:paraId="50ED3431" w14:textId="77777777" w:rsidR="001E28CF" w:rsidRPr="001E28CF" w:rsidRDefault="001E28CF" w:rsidP="001E28CF">
      <w:pPr>
        <w:numPr>
          <w:ilvl w:val="0"/>
          <w:numId w:val="5"/>
        </w:numPr>
        <w:spacing w:line="360" w:lineRule="auto"/>
        <w:jc w:val="both"/>
        <w:rPr>
          <w:rFonts w:cs="Times New Roman"/>
          <w:szCs w:val="24"/>
        </w:rPr>
      </w:pPr>
      <w:r w:rsidRPr="001E28CF">
        <w:rPr>
          <w:rFonts w:cs="Times New Roman"/>
          <w:szCs w:val="24"/>
        </w:rPr>
        <w:t>It is a challenging task as the majority of the people of the country even Muslim does not have sound knowledge of Shariah Knowledge</w:t>
      </w:r>
    </w:p>
    <w:p w14:paraId="36F81F88" w14:textId="77777777" w:rsidR="001E28CF" w:rsidRPr="001E28CF" w:rsidRDefault="001E28CF" w:rsidP="001E28CF">
      <w:pPr>
        <w:numPr>
          <w:ilvl w:val="0"/>
          <w:numId w:val="5"/>
        </w:numPr>
        <w:spacing w:line="360" w:lineRule="auto"/>
        <w:jc w:val="both"/>
        <w:rPr>
          <w:rFonts w:cs="Times New Roman"/>
          <w:szCs w:val="24"/>
        </w:rPr>
      </w:pPr>
      <w:r w:rsidRPr="001E28CF">
        <w:rPr>
          <w:rFonts w:cs="Times New Roman"/>
          <w:szCs w:val="24"/>
        </w:rPr>
        <w:t>Traditional Bank operates on pre-determined fixed rate wheels the rate of return of Islamic varies from time to time.</w:t>
      </w:r>
    </w:p>
    <w:p w14:paraId="67DE752D" w14:textId="77777777" w:rsidR="001E28CF" w:rsidRPr="001E28CF" w:rsidRDefault="001E28CF" w:rsidP="001E28CF">
      <w:pPr>
        <w:numPr>
          <w:ilvl w:val="0"/>
          <w:numId w:val="5"/>
        </w:numPr>
        <w:spacing w:line="360" w:lineRule="auto"/>
        <w:jc w:val="both"/>
        <w:rPr>
          <w:rFonts w:cs="Times New Roman"/>
          <w:szCs w:val="24"/>
        </w:rPr>
      </w:pPr>
      <w:r w:rsidRPr="001E28CF">
        <w:rPr>
          <w:rFonts w:cs="Times New Roman"/>
          <w:szCs w:val="24"/>
        </w:rPr>
        <w:t xml:space="preserve">As a result of the implementation of restricted methods of investment, </w:t>
      </w:r>
      <w:proofErr w:type="spellStart"/>
      <w:r w:rsidRPr="001E28CF">
        <w:rPr>
          <w:rFonts w:cs="Times New Roman"/>
          <w:szCs w:val="24"/>
        </w:rPr>
        <w:t>Bai-Murabaha</w:t>
      </w:r>
      <w:proofErr w:type="spellEnd"/>
      <w:r w:rsidRPr="001E28CF">
        <w:rPr>
          <w:rFonts w:cs="Times New Roman"/>
          <w:szCs w:val="24"/>
        </w:rPr>
        <w:t xml:space="preserve"> </w:t>
      </w:r>
      <w:proofErr w:type="spellStart"/>
      <w:r w:rsidRPr="001E28CF">
        <w:rPr>
          <w:rFonts w:cs="Times New Roman"/>
          <w:szCs w:val="24"/>
        </w:rPr>
        <w:t>Bai-Muajjal</w:t>
      </w:r>
      <w:proofErr w:type="spellEnd"/>
      <w:r w:rsidRPr="001E28CF">
        <w:rPr>
          <w:rFonts w:cs="Times New Roman"/>
          <w:szCs w:val="24"/>
        </w:rPr>
        <w:t xml:space="preserve"> has not still been able to point out the differences to the general public.</w:t>
      </w:r>
    </w:p>
    <w:p w14:paraId="36977FBB" w14:textId="77777777" w:rsidR="00C22FCC" w:rsidRPr="00010B33" w:rsidRDefault="00C22FCC" w:rsidP="005C25E2">
      <w:pPr>
        <w:spacing w:line="360" w:lineRule="auto"/>
        <w:jc w:val="both"/>
        <w:rPr>
          <w:rFonts w:cs="Times New Roman"/>
          <w:b/>
          <w:szCs w:val="24"/>
          <w:u w:val="single"/>
        </w:rPr>
      </w:pPr>
      <w:r w:rsidRPr="00010B33">
        <w:rPr>
          <w:rFonts w:cs="Times New Roman"/>
          <w:b/>
          <w:szCs w:val="24"/>
          <w:u w:val="single"/>
        </w:rPr>
        <w:t>Opportunities</w:t>
      </w:r>
    </w:p>
    <w:p w14:paraId="6D0BFDD3" w14:textId="77777777" w:rsidR="00C22FCC" w:rsidRPr="00010B33" w:rsidRDefault="00C22FCC" w:rsidP="005C25E2">
      <w:pPr>
        <w:spacing w:line="360" w:lineRule="auto"/>
        <w:jc w:val="both"/>
        <w:rPr>
          <w:rFonts w:cs="Times New Roman"/>
          <w:szCs w:val="24"/>
        </w:rPr>
      </w:pPr>
      <w:r w:rsidRPr="00010B33">
        <w:rPr>
          <w:rFonts w:cs="Times New Roman"/>
          <w:szCs w:val="24"/>
        </w:rPr>
        <w:t>To retain and evolve the system including its moral and value-added system, the Islamic framework must seek to address the opportunities which disrupt the general flow of their development and sustainability. However, the opportunities may be as follows:-</w:t>
      </w:r>
    </w:p>
    <w:p w14:paraId="00158024" w14:textId="77777777" w:rsidR="00C22FCC" w:rsidRPr="00010B33" w:rsidRDefault="00C22FCC" w:rsidP="005C25E2">
      <w:pPr>
        <w:pStyle w:val="ListParagraph"/>
        <w:numPr>
          <w:ilvl w:val="0"/>
          <w:numId w:val="6"/>
        </w:numPr>
        <w:spacing w:line="360" w:lineRule="auto"/>
        <w:jc w:val="both"/>
        <w:rPr>
          <w:rFonts w:cs="Times New Roman"/>
          <w:szCs w:val="24"/>
        </w:rPr>
      </w:pPr>
      <w:r w:rsidRPr="00010B33">
        <w:rPr>
          <w:rFonts w:cs="Times New Roman"/>
          <w:szCs w:val="24"/>
        </w:rPr>
        <w:t>It has greater potential as people of the country have trust and dependability on them.</w:t>
      </w:r>
    </w:p>
    <w:p w14:paraId="53E19B8D" w14:textId="77777777" w:rsidR="00C22FCC" w:rsidRPr="00010B33" w:rsidRDefault="00C22FCC" w:rsidP="005C25E2">
      <w:pPr>
        <w:pStyle w:val="ListParagraph"/>
        <w:numPr>
          <w:ilvl w:val="0"/>
          <w:numId w:val="6"/>
        </w:numPr>
        <w:spacing w:line="360" w:lineRule="auto"/>
        <w:jc w:val="both"/>
        <w:rPr>
          <w:rFonts w:cs="Times New Roman"/>
          <w:szCs w:val="24"/>
        </w:rPr>
      </w:pPr>
      <w:r w:rsidRPr="00010B33">
        <w:rPr>
          <w:rFonts w:cs="Times New Roman"/>
          <w:szCs w:val="24"/>
        </w:rPr>
        <w:t xml:space="preserve">It can build socio-economic infrastructure and employment opportunities </w:t>
      </w:r>
    </w:p>
    <w:p w14:paraId="11194C17" w14:textId="77777777" w:rsidR="00C22FCC" w:rsidRPr="00010B33" w:rsidRDefault="00C22FCC" w:rsidP="005C25E2">
      <w:pPr>
        <w:pStyle w:val="ListParagraph"/>
        <w:numPr>
          <w:ilvl w:val="0"/>
          <w:numId w:val="6"/>
        </w:numPr>
        <w:spacing w:line="360" w:lineRule="auto"/>
        <w:jc w:val="both"/>
        <w:rPr>
          <w:rFonts w:cs="Times New Roman"/>
          <w:szCs w:val="24"/>
        </w:rPr>
      </w:pPr>
      <w:r w:rsidRPr="00010B33">
        <w:rPr>
          <w:rFonts w:cs="Times New Roman"/>
          <w:szCs w:val="24"/>
        </w:rPr>
        <w:t>Eliminate inequalities and  ensure justice in the economy</w:t>
      </w:r>
    </w:p>
    <w:p w14:paraId="1288C3A2" w14:textId="77777777" w:rsidR="00C22FCC" w:rsidRPr="00010B33" w:rsidRDefault="00C22FCC" w:rsidP="005C25E2">
      <w:pPr>
        <w:pStyle w:val="ListParagraph"/>
        <w:numPr>
          <w:ilvl w:val="0"/>
          <w:numId w:val="6"/>
        </w:numPr>
        <w:spacing w:line="360" w:lineRule="auto"/>
        <w:jc w:val="both"/>
        <w:rPr>
          <w:rFonts w:cs="Times New Roman"/>
          <w:szCs w:val="24"/>
        </w:rPr>
      </w:pPr>
      <w:r w:rsidRPr="00010B33">
        <w:rPr>
          <w:rFonts w:cs="Times New Roman"/>
          <w:szCs w:val="24"/>
        </w:rPr>
        <w:t>It involves a critical evaluation by the Islamic Banks as to whether they are controlled by the Shariah Council and by the skilled individuals who are rehearsing Muslims.</w:t>
      </w:r>
    </w:p>
    <w:p w14:paraId="23C5D6F3" w14:textId="77777777" w:rsidR="00C22FCC" w:rsidRPr="00010B33" w:rsidRDefault="00C22FCC" w:rsidP="005C25E2">
      <w:pPr>
        <w:pStyle w:val="ListParagraph"/>
        <w:numPr>
          <w:ilvl w:val="0"/>
          <w:numId w:val="6"/>
        </w:numPr>
        <w:spacing w:line="360" w:lineRule="auto"/>
        <w:jc w:val="both"/>
        <w:rPr>
          <w:rFonts w:cs="Times New Roman"/>
          <w:szCs w:val="24"/>
        </w:rPr>
      </w:pPr>
      <w:r w:rsidRPr="00010B33">
        <w:rPr>
          <w:rFonts w:cs="Times New Roman"/>
          <w:szCs w:val="24"/>
        </w:rPr>
        <w:t>The ambition, drive, far-sightedness, and unwavering endeavors of the individuals who have been correlated with the system may give it an incredible lift and momentum.</w:t>
      </w:r>
    </w:p>
    <w:p w14:paraId="77D3EB7C" w14:textId="77777777" w:rsidR="00C22FCC" w:rsidRPr="00010B33" w:rsidRDefault="00C22FCC" w:rsidP="005C25E2">
      <w:pPr>
        <w:pStyle w:val="ListParagraph"/>
        <w:numPr>
          <w:ilvl w:val="0"/>
          <w:numId w:val="6"/>
        </w:numPr>
        <w:spacing w:line="360" w:lineRule="auto"/>
        <w:jc w:val="both"/>
        <w:rPr>
          <w:rFonts w:cs="Times New Roman"/>
          <w:szCs w:val="24"/>
        </w:rPr>
      </w:pPr>
      <w:r w:rsidRPr="00010B33">
        <w:rPr>
          <w:rFonts w:cs="Times New Roman"/>
          <w:szCs w:val="24"/>
        </w:rPr>
        <w:t xml:space="preserve">Staff should be adequately trained </w:t>
      </w:r>
    </w:p>
    <w:p w14:paraId="17FDF1A1" w14:textId="77777777" w:rsidR="00C22FCC" w:rsidRPr="00010B33" w:rsidRDefault="00C22FCC" w:rsidP="005C25E2">
      <w:pPr>
        <w:pStyle w:val="ListParagraph"/>
        <w:numPr>
          <w:ilvl w:val="0"/>
          <w:numId w:val="6"/>
        </w:numPr>
        <w:spacing w:line="360" w:lineRule="auto"/>
        <w:jc w:val="both"/>
        <w:rPr>
          <w:rFonts w:cs="Times New Roman"/>
          <w:szCs w:val="24"/>
        </w:rPr>
      </w:pPr>
      <w:r w:rsidRPr="00010B33">
        <w:rPr>
          <w:rFonts w:cs="Times New Roman"/>
          <w:szCs w:val="24"/>
        </w:rPr>
        <w:t xml:space="preserve">The assessment and management of Central Bank and its enormous Islamic banking training course both domestically and overseas should be equivalently aware of the different operating strategies </w:t>
      </w:r>
    </w:p>
    <w:p w14:paraId="042B7174" w14:textId="77777777" w:rsidR="00C22FCC" w:rsidRPr="00010B33" w:rsidRDefault="00C22FCC" w:rsidP="005C25E2">
      <w:pPr>
        <w:pStyle w:val="ListParagraph"/>
        <w:numPr>
          <w:ilvl w:val="0"/>
          <w:numId w:val="6"/>
        </w:numPr>
        <w:spacing w:line="360" w:lineRule="auto"/>
        <w:jc w:val="both"/>
        <w:rPr>
          <w:rFonts w:cs="Times New Roman"/>
          <w:szCs w:val="24"/>
        </w:rPr>
      </w:pPr>
      <w:r w:rsidRPr="00010B33">
        <w:rPr>
          <w:rFonts w:cs="Times New Roman"/>
          <w:szCs w:val="24"/>
        </w:rPr>
        <w:t>People should be persuaded and acknowledged to justify the actual essence and instruction of Islamic banking. They should identify the core contrast between Islamic and Non-Islamic banking.</w:t>
      </w:r>
    </w:p>
    <w:p w14:paraId="11AC18F4" w14:textId="77777777" w:rsidR="00C22FCC" w:rsidRPr="00010B33" w:rsidRDefault="00C22FCC" w:rsidP="005C25E2">
      <w:pPr>
        <w:pStyle w:val="ListParagraph"/>
        <w:numPr>
          <w:ilvl w:val="0"/>
          <w:numId w:val="6"/>
        </w:numPr>
        <w:spacing w:line="360" w:lineRule="auto"/>
        <w:jc w:val="both"/>
        <w:rPr>
          <w:rFonts w:cs="Times New Roman"/>
          <w:szCs w:val="24"/>
        </w:rPr>
      </w:pPr>
      <w:r w:rsidRPr="00010B33">
        <w:rPr>
          <w:rFonts w:cs="Times New Roman"/>
          <w:szCs w:val="24"/>
        </w:rPr>
        <w:lastRenderedPageBreak/>
        <w:t>For the rapid growth and development of the structure, it requires a legal and regulatory framework and also link institution need to be addressed</w:t>
      </w:r>
    </w:p>
    <w:p w14:paraId="124609C2" w14:textId="77777777" w:rsidR="00C22FCC" w:rsidRPr="00010B33" w:rsidRDefault="00C22FCC" w:rsidP="005C25E2">
      <w:pPr>
        <w:spacing w:line="360" w:lineRule="auto"/>
        <w:jc w:val="both"/>
        <w:rPr>
          <w:rFonts w:cs="Times New Roman"/>
          <w:szCs w:val="24"/>
        </w:rPr>
      </w:pPr>
    </w:p>
    <w:p w14:paraId="23F10509" w14:textId="77777777" w:rsidR="00C22FCC" w:rsidRPr="00010B33" w:rsidRDefault="00C22FCC" w:rsidP="005C25E2">
      <w:pPr>
        <w:spacing w:line="360" w:lineRule="auto"/>
        <w:jc w:val="both"/>
        <w:rPr>
          <w:rFonts w:cs="Times New Roman"/>
          <w:szCs w:val="24"/>
        </w:rPr>
      </w:pPr>
    </w:p>
    <w:p w14:paraId="705AEE87" w14:textId="77777777" w:rsidR="00C22FCC" w:rsidRPr="00010B33" w:rsidRDefault="00C22FCC" w:rsidP="005C25E2">
      <w:pPr>
        <w:spacing w:line="360" w:lineRule="auto"/>
        <w:jc w:val="both"/>
        <w:rPr>
          <w:rFonts w:cs="Times New Roman"/>
          <w:szCs w:val="24"/>
        </w:rPr>
      </w:pPr>
    </w:p>
    <w:p w14:paraId="6B7D9D16" w14:textId="77777777" w:rsidR="00957A35" w:rsidRDefault="00957A35" w:rsidP="005C25E2">
      <w:pPr>
        <w:spacing w:line="360" w:lineRule="auto"/>
        <w:jc w:val="both"/>
        <w:rPr>
          <w:rFonts w:cs="Times New Roman"/>
          <w:szCs w:val="24"/>
        </w:rPr>
        <w:sectPr w:rsidR="00957A35" w:rsidSect="009C20D1">
          <w:headerReference w:type="default" r:id="rId31"/>
          <w:pgSz w:w="11909" w:h="16834" w:code="9"/>
          <w:pgMar w:top="1440" w:right="1440" w:bottom="1440" w:left="1440" w:header="720" w:footer="720" w:gutter="0"/>
          <w:cols w:space="720"/>
          <w:docGrid w:linePitch="360"/>
        </w:sectPr>
      </w:pPr>
    </w:p>
    <w:p w14:paraId="4D00527F" w14:textId="77777777" w:rsidR="00C22FCC" w:rsidRPr="00010B33" w:rsidRDefault="00C22FCC" w:rsidP="005C25E2">
      <w:pPr>
        <w:spacing w:line="360" w:lineRule="auto"/>
        <w:jc w:val="both"/>
        <w:rPr>
          <w:rFonts w:cs="Times New Roman"/>
          <w:szCs w:val="24"/>
        </w:rPr>
      </w:pPr>
    </w:p>
    <w:p w14:paraId="4D22076E" w14:textId="310B27BF" w:rsidR="00C22FCC" w:rsidRPr="005C4462" w:rsidRDefault="00C22FCC" w:rsidP="005C25E2">
      <w:pPr>
        <w:spacing w:line="360" w:lineRule="auto"/>
        <w:jc w:val="both"/>
        <w:rPr>
          <w:rFonts w:cs="Times New Roman"/>
          <w:szCs w:val="24"/>
        </w:rPr>
      </w:pPr>
    </w:p>
    <w:p w14:paraId="2D83E513" w14:textId="77777777" w:rsidR="00C22FCC" w:rsidRPr="00010B33" w:rsidRDefault="00C22FCC" w:rsidP="005C25E2">
      <w:pPr>
        <w:spacing w:line="360" w:lineRule="auto"/>
        <w:jc w:val="both"/>
        <w:rPr>
          <w:rFonts w:cs="Times New Roman"/>
          <w:color w:val="1F497D" w:themeColor="text2"/>
          <w:szCs w:val="24"/>
        </w:rPr>
      </w:pPr>
    </w:p>
    <w:p w14:paraId="37F7C2C6" w14:textId="77777777" w:rsidR="00C22FCC" w:rsidRPr="00010B33" w:rsidRDefault="00C22FCC" w:rsidP="005C25E2">
      <w:pPr>
        <w:spacing w:line="360" w:lineRule="auto"/>
        <w:jc w:val="both"/>
        <w:rPr>
          <w:rFonts w:cs="Times New Roman"/>
          <w:color w:val="1F497D" w:themeColor="text2"/>
          <w:szCs w:val="24"/>
        </w:rPr>
      </w:pPr>
    </w:p>
    <w:p w14:paraId="36F7FA99" w14:textId="0516C78F" w:rsidR="00C22FCC" w:rsidRPr="00010B33" w:rsidRDefault="005C4462" w:rsidP="005C25E2">
      <w:pPr>
        <w:spacing w:line="360" w:lineRule="auto"/>
        <w:jc w:val="both"/>
        <w:rPr>
          <w:rFonts w:cs="Times New Roman"/>
          <w:b/>
          <w:color w:val="000000" w:themeColor="text1"/>
          <w:szCs w:val="24"/>
          <w:u w:val="single"/>
        </w:rPr>
      </w:pPr>
      <w:r>
        <w:rPr>
          <w:rFonts w:cs="Times New Roman"/>
          <w:noProof/>
          <w:szCs w:val="24"/>
        </w:rPr>
        <w:drawing>
          <wp:inline distT="0" distB="0" distL="0" distR="0" wp14:anchorId="721B3CF3" wp14:editId="19FE2EFD">
            <wp:extent cx="5733415" cy="288544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pter 3.pn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733415" cy="2885440"/>
                    </a:xfrm>
                    <a:prstGeom prst="rect">
                      <a:avLst/>
                    </a:prstGeom>
                  </pic:spPr>
                </pic:pic>
              </a:graphicData>
            </a:graphic>
          </wp:inline>
        </w:drawing>
      </w:r>
    </w:p>
    <w:p w14:paraId="6255A329" w14:textId="10EA3C44" w:rsidR="00C22FCC" w:rsidRPr="00010B33" w:rsidRDefault="00C22FCC" w:rsidP="005C25E2">
      <w:pPr>
        <w:spacing w:line="360" w:lineRule="auto"/>
        <w:jc w:val="both"/>
        <w:rPr>
          <w:rFonts w:cs="Times New Roman"/>
          <w:color w:val="000000" w:themeColor="text1"/>
          <w:szCs w:val="24"/>
        </w:rPr>
      </w:pPr>
    </w:p>
    <w:p w14:paraId="0A614519" w14:textId="55D30242" w:rsidR="00C22FCC" w:rsidRPr="00010B33" w:rsidRDefault="00C22FCC" w:rsidP="005C25E2">
      <w:pPr>
        <w:spacing w:line="360" w:lineRule="auto"/>
        <w:jc w:val="both"/>
        <w:rPr>
          <w:rFonts w:cs="Times New Roman"/>
          <w:color w:val="000000" w:themeColor="text1"/>
          <w:szCs w:val="24"/>
        </w:rPr>
      </w:pPr>
    </w:p>
    <w:p w14:paraId="50A48475" w14:textId="77777777" w:rsidR="00957A35" w:rsidRDefault="00957A35" w:rsidP="005C25E2">
      <w:pPr>
        <w:pStyle w:val="Heading1"/>
        <w:sectPr w:rsidR="00957A35" w:rsidSect="009C20D1">
          <w:headerReference w:type="default" r:id="rId33"/>
          <w:pgSz w:w="11909" w:h="16834" w:code="9"/>
          <w:pgMar w:top="1440" w:right="1440" w:bottom="1440" w:left="1440" w:header="720" w:footer="720" w:gutter="0"/>
          <w:cols w:space="720"/>
          <w:docGrid w:linePitch="360"/>
        </w:sectPr>
      </w:pPr>
    </w:p>
    <w:p w14:paraId="527A5511" w14:textId="77777777" w:rsidR="00C22FCC" w:rsidRPr="00010B33" w:rsidRDefault="000B284B" w:rsidP="005C25E2">
      <w:pPr>
        <w:pStyle w:val="Heading1"/>
      </w:pPr>
      <w:bookmarkStart w:id="28" w:name="_Toc70725932"/>
      <w:r w:rsidRPr="00010B33">
        <w:lastRenderedPageBreak/>
        <w:t>CHAPTER-3 |</w:t>
      </w:r>
      <w:r w:rsidR="00C22FCC" w:rsidRPr="00010B33">
        <w:t>ANALYSIS OF THE ORGANIZATION</w:t>
      </w:r>
      <w:bookmarkEnd w:id="28"/>
    </w:p>
    <w:p w14:paraId="3A1E61D7" w14:textId="77777777" w:rsidR="00C22FCC" w:rsidRPr="00010B33" w:rsidRDefault="00C22FCC" w:rsidP="005C25E2">
      <w:pPr>
        <w:pStyle w:val="Heading2"/>
      </w:pPr>
      <w:bookmarkStart w:id="29" w:name="_Toc70725933"/>
      <w:r w:rsidRPr="00010B33">
        <w:t>OVERVIEW AND HISTORY</w:t>
      </w:r>
      <w:bookmarkEnd w:id="29"/>
    </w:p>
    <w:p w14:paraId="13F416DC" w14:textId="7CA1FCFD" w:rsidR="0057279F" w:rsidRPr="0057279F" w:rsidRDefault="0057279F" w:rsidP="0057279F">
      <w:pPr>
        <w:spacing w:line="360" w:lineRule="auto"/>
        <w:jc w:val="both"/>
        <w:rPr>
          <w:rFonts w:cs="Times New Roman"/>
          <w:szCs w:val="24"/>
        </w:rPr>
      </w:pPr>
      <w:r w:rsidRPr="0057279F">
        <w:rPr>
          <w:rFonts w:cs="Times New Roman"/>
          <w:szCs w:val="24"/>
        </w:rPr>
        <w:t>Social Islami Bank Limited (SIBL) has been a financial institution service of the 2nd gen based on the "Shariah" concept since 22 November 1995. . SIBL comprise</w:t>
      </w:r>
      <w:r w:rsidR="006A5199">
        <w:rPr>
          <w:rFonts w:cs="Times New Roman"/>
          <w:szCs w:val="24"/>
        </w:rPr>
        <w:t>d</w:t>
      </w:r>
      <w:r w:rsidRPr="0057279F">
        <w:rPr>
          <w:rFonts w:cs="Times New Roman"/>
          <w:szCs w:val="24"/>
        </w:rPr>
        <w:t xml:space="preserve"> of: </w:t>
      </w:r>
    </w:p>
    <w:p w14:paraId="161DB1CB" w14:textId="77777777" w:rsidR="0057279F" w:rsidRPr="0057279F" w:rsidRDefault="0057279F" w:rsidP="006A5199">
      <w:pPr>
        <w:numPr>
          <w:ilvl w:val="0"/>
          <w:numId w:val="47"/>
        </w:numPr>
        <w:spacing w:line="360" w:lineRule="auto"/>
        <w:jc w:val="both"/>
        <w:rPr>
          <w:rFonts w:cs="Times New Roman"/>
          <w:szCs w:val="24"/>
        </w:rPr>
      </w:pPr>
      <w:r w:rsidRPr="0057279F">
        <w:rPr>
          <w:rFonts w:cs="Times New Roman"/>
          <w:szCs w:val="24"/>
        </w:rPr>
        <w:t>SIBL Limited Securities.</w:t>
      </w:r>
    </w:p>
    <w:p w14:paraId="0C3A713F" w14:textId="77777777" w:rsidR="0057279F" w:rsidRPr="0057279F" w:rsidRDefault="0057279F" w:rsidP="006A5199">
      <w:pPr>
        <w:numPr>
          <w:ilvl w:val="0"/>
          <w:numId w:val="47"/>
        </w:numPr>
        <w:spacing w:line="360" w:lineRule="auto"/>
        <w:jc w:val="both"/>
        <w:rPr>
          <w:rFonts w:cs="Times New Roman"/>
          <w:szCs w:val="24"/>
        </w:rPr>
      </w:pPr>
      <w:r w:rsidRPr="0057279F">
        <w:rPr>
          <w:rFonts w:cs="Times New Roman"/>
          <w:szCs w:val="24"/>
        </w:rPr>
        <w:t>Investment SIBL Limited.</w:t>
      </w:r>
    </w:p>
    <w:p w14:paraId="39172FB7" w14:textId="4A28BC30" w:rsidR="0057279F" w:rsidRPr="0057279F" w:rsidRDefault="0057279F" w:rsidP="0057279F">
      <w:pPr>
        <w:spacing w:line="360" w:lineRule="auto"/>
        <w:jc w:val="both"/>
        <w:rPr>
          <w:rFonts w:cs="Times New Roman"/>
          <w:szCs w:val="24"/>
        </w:rPr>
      </w:pPr>
      <w:r w:rsidRPr="0057279F">
        <w:rPr>
          <w:rFonts w:cs="Times New Roman"/>
          <w:szCs w:val="24"/>
        </w:rPr>
        <w:t>SIBL operating intently with its esteemed customer and stakeholders to provide them with the one-stop services, get right of entry to the very modern-day usage of technology Its unmatched client services has created them alone within the industry. They tend to build long-term business partnerships with our consumers serving them to grow profitable. SIBL serves across the nation with a who</w:t>
      </w:r>
      <w:r w:rsidR="00AB542A">
        <w:rPr>
          <w:rFonts w:cs="Times New Roman"/>
          <w:szCs w:val="24"/>
        </w:rPr>
        <w:t>p</w:t>
      </w:r>
      <w:r w:rsidRPr="0057279F">
        <w:rPr>
          <w:rFonts w:cs="Times New Roman"/>
          <w:szCs w:val="24"/>
        </w:rPr>
        <w:t xml:space="preserve">ping 3125 employees working in 161 branches also 50 sub-branches. </w:t>
      </w:r>
      <w:r>
        <w:rPr>
          <w:rFonts w:cs="Times New Roman"/>
          <w:szCs w:val="24"/>
        </w:rPr>
        <w:t>They</w:t>
      </w:r>
      <w:r w:rsidRPr="0057279F">
        <w:rPr>
          <w:rFonts w:cs="Times New Roman"/>
          <w:szCs w:val="24"/>
        </w:rPr>
        <w:t xml:space="preserve"> also have 156 Agent Banking outlets and they are providing services to secluded zones in the country. The financial sector is an economic barometer of a country. SIBL being the pioneer in the business has been endowed with the responsibility of the county’s agricultural, commercial and industrial development for the sake of the overall growth of the economy. They create local income opportunities while discouraging inner migration, also, they empower and refine families that are in poor condition. To increase the overall productivity of the country SIBL extensively provides monetary services for the import and export sector of the business. In terms of </w:t>
      </w:r>
      <w:r w:rsidR="006A5199">
        <w:rPr>
          <w:rFonts w:cs="Times New Roman"/>
          <w:szCs w:val="24"/>
        </w:rPr>
        <w:t xml:space="preserve">the </w:t>
      </w:r>
      <w:r w:rsidRPr="0057279F">
        <w:rPr>
          <w:rFonts w:cs="Times New Roman"/>
          <w:szCs w:val="24"/>
        </w:rPr>
        <w:t>non-formal corporate area, this bank would be giving Waqf certificate</w:t>
      </w:r>
      <w:r w:rsidR="006A5199">
        <w:rPr>
          <w:rFonts w:cs="Times New Roman"/>
          <w:szCs w:val="24"/>
        </w:rPr>
        <w:t>s</w:t>
      </w:r>
      <w:r w:rsidRPr="0057279F">
        <w:rPr>
          <w:rFonts w:cs="Times New Roman"/>
          <w:szCs w:val="24"/>
        </w:rPr>
        <w:t xml:space="preserve"> and managing as well as developing Waqf and Mosque properties and trust reserves. In terms of formal corporate area, the bank offers vari</w:t>
      </w:r>
      <w:r>
        <w:rPr>
          <w:rFonts w:cs="Times New Roman"/>
          <w:szCs w:val="24"/>
        </w:rPr>
        <w:t>eties</w:t>
      </w:r>
      <w:r w:rsidRPr="0057279F">
        <w:rPr>
          <w:rFonts w:cs="Times New Roman"/>
          <w:szCs w:val="24"/>
        </w:rPr>
        <w:t xml:space="preserve"> of banking administrations, e.g., financing exchanges, different sorts of deposits and investments accounts, giving </w:t>
      </w:r>
      <w:r w:rsidR="006A5199">
        <w:rPr>
          <w:rFonts w:cs="Times New Roman"/>
          <w:szCs w:val="24"/>
        </w:rPr>
        <w:t xml:space="preserve">the </w:t>
      </w:r>
      <w:r w:rsidRPr="0057279F">
        <w:rPr>
          <w:rFonts w:cs="Times New Roman"/>
          <w:szCs w:val="24"/>
        </w:rPr>
        <w:t>letter of assurance, health projects, opening LOC, sorting the bills which affect the foreign and domestic exchanges</w:t>
      </w:r>
      <w:r w:rsidR="006A5199">
        <w:rPr>
          <w:rFonts w:cs="Times New Roman"/>
          <w:szCs w:val="24"/>
        </w:rPr>
        <w:t>,</w:t>
      </w:r>
      <w:r w:rsidRPr="0057279F">
        <w:rPr>
          <w:rFonts w:cs="Times New Roman"/>
          <w:szCs w:val="24"/>
        </w:rPr>
        <w:t xml:space="preserve"> etc. In this way with these bank helps the possibilities in the business area has expanded like never before.  </w:t>
      </w:r>
    </w:p>
    <w:p w14:paraId="498E514D" w14:textId="77777777" w:rsidR="0057279F" w:rsidRPr="0057279F" w:rsidRDefault="0057279F" w:rsidP="0057279F">
      <w:pPr>
        <w:spacing w:line="360" w:lineRule="auto"/>
        <w:jc w:val="both"/>
        <w:rPr>
          <w:rFonts w:cs="Times New Roman"/>
          <w:szCs w:val="24"/>
        </w:rPr>
      </w:pPr>
      <w:r w:rsidRPr="0057279F">
        <w:rPr>
          <w:rFonts w:cs="Times New Roman"/>
          <w:szCs w:val="24"/>
        </w:rPr>
        <w:t xml:space="preserve">Social Islami Bank Limited has restored its push to comfort its organization with more situated zones involving SME banking and Argo-money, with attention on looking for substitute dispersion stages for SMS banking and portable settlement installment frameworks and at last acquainting them with disseminating SIBL administrations to clients' doorsteps. </w:t>
      </w:r>
      <w:r w:rsidRPr="0057279F">
        <w:rPr>
          <w:rFonts w:cs="Times New Roman"/>
          <w:szCs w:val="24"/>
        </w:rPr>
        <w:lastRenderedPageBreak/>
        <w:t>To improve its market, SIBL has just presented web banking and dispatched some new items. The schemes of SIBL are</w:t>
      </w:r>
    </w:p>
    <w:p w14:paraId="73D1DE4C" w14:textId="77777777" w:rsidR="0057279F" w:rsidRPr="0057279F" w:rsidRDefault="0057279F" w:rsidP="0057279F">
      <w:pPr>
        <w:numPr>
          <w:ilvl w:val="0"/>
          <w:numId w:val="7"/>
        </w:numPr>
        <w:spacing w:line="360" w:lineRule="auto"/>
        <w:jc w:val="both"/>
        <w:rPr>
          <w:rFonts w:cs="Times New Roman"/>
          <w:szCs w:val="24"/>
        </w:rPr>
      </w:pPr>
      <w:r w:rsidRPr="0057279F">
        <w:rPr>
          <w:rFonts w:cs="Times New Roman"/>
          <w:szCs w:val="24"/>
        </w:rPr>
        <w:t>Sonali Din.</w:t>
      </w:r>
    </w:p>
    <w:p w14:paraId="5549F5F4" w14:textId="77777777" w:rsidR="0057279F" w:rsidRPr="0057279F" w:rsidRDefault="0057279F" w:rsidP="0057279F">
      <w:pPr>
        <w:numPr>
          <w:ilvl w:val="0"/>
          <w:numId w:val="7"/>
        </w:numPr>
        <w:spacing w:line="360" w:lineRule="auto"/>
        <w:jc w:val="both"/>
        <w:rPr>
          <w:rFonts w:cs="Times New Roman"/>
          <w:szCs w:val="24"/>
        </w:rPr>
      </w:pPr>
      <w:proofErr w:type="spellStart"/>
      <w:r w:rsidRPr="0057279F">
        <w:rPr>
          <w:rFonts w:cs="Times New Roman"/>
          <w:szCs w:val="24"/>
        </w:rPr>
        <w:t>Shukher</w:t>
      </w:r>
      <w:proofErr w:type="spellEnd"/>
      <w:r w:rsidRPr="0057279F">
        <w:rPr>
          <w:rFonts w:cs="Times New Roman"/>
          <w:szCs w:val="24"/>
        </w:rPr>
        <w:t xml:space="preserve"> </w:t>
      </w:r>
      <w:proofErr w:type="spellStart"/>
      <w:r w:rsidRPr="0057279F">
        <w:rPr>
          <w:rFonts w:cs="Times New Roman"/>
          <w:szCs w:val="24"/>
        </w:rPr>
        <w:t>Thikana</w:t>
      </w:r>
      <w:proofErr w:type="spellEnd"/>
      <w:r w:rsidRPr="0057279F">
        <w:rPr>
          <w:rFonts w:cs="Times New Roman"/>
          <w:szCs w:val="24"/>
        </w:rPr>
        <w:t>.</w:t>
      </w:r>
    </w:p>
    <w:p w14:paraId="116D84A9" w14:textId="77777777" w:rsidR="0057279F" w:rsidRPr="0057279F" w:rsidRDefault="0057279F" w:rsidP="0057279F">
      <w:pPr>
        <w:numPr>
          <w:ilvl w:val="0"/>
          <w:numId w:val="7"/>
        </w:numPr>
        <w:spacing w:line="360" w:lineRule="auto"/>
        <w:jc w:val="both"/>
        <w:rPr>
          <w:rFonts w:cs="Times New Roman"/>
          <w:szCs w:val="24"/>
        </w:rPr>
      </w:pPr>
      <w:proofErr w:type="spellStart"/>
      <w:r w:rsidRPr="0057279F">
        <w:rPr>
          <w:rFonts w:cs="Times New Roman"/>
          <w:szCs w:val="24"/>
        </w:rPr>
        <w:t>Sabuj</w:t>
      </w:r>
      <w:proofErr w:type="spellEnd"/>
      <w:r w:rsidRPr="0057279F">
        <w:rPr>
          <w:rFonts w:cs="Times New Roman"/>
          <w:szCs w:val="24"/>
        </w:rPr>
        <w:t xml:space="preserve"> </w:t>
      </w:r>
      <w:proofErr w:type="spellStart"/>
      <w:r w:rsidRPr="0057279F">
        <w:rPr>
          <w:rFonts w:cs="Times New Roman"/>
          <w:szCs w:val="24"/>
        </w:rPr>
        <w:t>Chhaya</w:t>
      </w:r>
      <w:proofErr w:type="spellEnd"/>
      <w:r w:rsidRPr="0057279F">
        <w:rPr>
          <w:rFonts w:cs="Times New Roman"/>
          <w:szCs w:val="24"/>
        </w:rPr>
        <w:t>.</w:t>
      </w:r>
    </w:p>
    <w:p w14:paraId="3186F3E7" w14:textId="77777777" w:rsidR="0057279F" w:rsidRPr="0057279F" w:rsidRDefault="0057279F" w:rsidP="0057279F">
      <w:pPr>
        <w:numPr>
          <w:ilvl w:val="0"/>
          <w:numId w:val="7"/>
        </w:numPr>
        <w:spacing w:line="360" w:lineRule="auto"/>
        <w:jc w:val="both"/>
        <w:rPr>
          <w:rFonts w:cs="Times New Roman"/>
          <w:szCs w:val="24"/>
        </w:rPr>
      </w:pPr>
      <w:proofErr w:type="spellStart"/>
      <w:r w:rsidRPr="0057279F">
        <w:rPr>
          <w:rFonts w:cs="Times New Roman"/>
          <w:szCs w:val="24"/>
        </w:rPr>
        <w:t>Sabuj</w:t>
      </w:r>
      <w:proofErr w:type="spellEnd"/>
      <w:r w:rsidRPr="0057279F">
        <w:rPr>
          <w:rFonts w:cs="Times New Roman"/>
          <w:szCs w:val="24"/>
        </w:rPr>
        <w:t xml:space="preserve"> </w:t>
      </w:r>
      <w:proofErr w:type="spellStart"/>
      <w:r w:rsidRPr="0057279F">
        <w:rPr>
          <w:rFonts w:cs="Times New Roman"/>
          <w:szCs w:val="24"/>
        </w:rPr>
        <w:t>Shayanho</w:t>
      </w:r>
      <w:proofErr w:type="spellEnd"/>
      <w:r w:rsidRPr="0057279F">
        <w:rPr>
          <w:rFonts w:cs="Times New Roman"/>
          <w:szCs w:val="24"/>
        </w:rPr>
        <w:t>.</w:t>
      </w:r>
    </w:p>
    <w:p w14:paraId="2147BAB7" w14:textId="77777777" w:rsidR="0057279F" w:rsidRPr="0057279F" w:rsidRDefault="0057279F" w:rsidP="0057279F">
      <w:pPr>
        <w:numPr>
          <w:ilvl w:val="0"/>
          <w:numId w:val="7"/>
        </w:numPr>
        <w:spacing w:line="360" w:lineRule="auto"/>
        <w:jc w:val="both"/>
        <w:rPr>
          <w:rFonts w:cs="Times New Roman"/>
          <w:szCs w:val="24"/>
        </w:rPr>
      </w:pPr>
      <w:proofErr w:type="spellStart"/>
      <w:r w:rsidRPr="0057279F">
        <w:rPr>
          <w:rFonts w:cs="Times New Roman"/>
          <w:szCs w:val="24"/>
        </w:rPr>
        <w:t>Subarnalata</w:t>
      </w:r>
      <w:proofErr w:type="spellEnd"/>
      <w:r w:rsidRPr="0057279F">
        <w:rPr>
          <w:rFonts w:cs="Times New Roman"/>
          <w:szCs w:val="24"/>
        </w:rPr>
        <w:t xml:space="preserve"> </w:t>
      </w:r>
      <w:proofErr w:type="spellStart"/>
      <w:r w:rsidRPr="0057279F">
        <w:rPr>
          <w:rFonts w:cs="Times New Roman"/>
          <w:szCs w:val="24"/>
        </w:rPr>
        <w:t>Subornalekha</w:t>
      </w:r>
      <w:proofErr w:type="spellEnd"/>
      <w:r w:rsidRPr="0057279F">
        <w:rPr>
          <w:rFonts w:cs="Times New Roman"/>
          <w:szCs w:val="24"/>
        </w:rPr>
        <w:t>.</w:t>
      </w:r>
    </w:p>
    <w:p w14:paraId="15D892F7" w14:textId="38E46625" w:rsidR="00C22FCC" w:rsidRPr="00981107" w:rsidRDefault="0057279F" w:rsidP="0057279F">
      <w:pPr>
        <w:numPr>
          <w:ilvl w:val="0"/>
          <w:numId w:val="7"/>
        </w:numPr>
        <w:spacing w:line="360" w:lineRule="auto"/>
        <w:jc w:val="both"/>
        <w:rPr>
          <w:rFonts w:cs="Times New Roman"/>
          <w:szCs w:val="24"/>
        </w:rPr>
      </w:pPr>
      <w:r w:rsidRPr="0057279F">
        <w:rPr>
          <w:rFonts w:cs="Times New Roman"/>
          <w:szCs w:val="24"/>
        </w:rPr>
        <w:t>Sanchita.</w:t>
      </w:r>
    </w:p>
    <w:p w14:paraId="308ACE8B" w14:textId="77777777" w:rsidR="00C22FCC" w:rsidRPr="00010B33" w:rsidRDefault="00C22FCC" w:rsidP="005C25E2">
      <w:pPr>
        <w:spacing w:line="360" w:lineRule="auto"/>
        <w:jc w:val="both"/>
        <w:rPr>
          <w:rFonts w:cs="Times New Roman"/>
          <w:szCs w:val="24"/>
        </w:rPr>
      </w:pPr>
      <w:r w:rsidRPr="00010B33">
        <w:rPr>
          <w:rFonts w:cs="Times New Roman"/>
          <w:szCs w:val="24"/>
        </w:rPr>
        <w:t>And the service is Zameel ATM Debit Card.</w:t>
      </w:r>
    </w:p>
    <w:p w14:paraId="582288E8" w14:textId="72A0EC2E" w:rsidR="00C22FCC" w:rsidRDefault="00C22FCC" w:rsidP="005C25E2">
      <w:pPr>
        <w:spacing w:line="360" w:lineRule="auto"/>
        <w:jc w:val="both"/>
        <w:rPr>
          <w:rFonts w:cs="Times New Roman"/>
          <w:color w:val="333333"/>
          <w:szCs w:val="24"/>
          <w:shd w:val="clear" w:color="auto" w:fill="FFFFFF"/>
        </w:rPr>
      </w:pPr>
      <w:r w:rsidRPr="00010B33">
        <w:rPr>
          <w:rFonts w:cs="Times New Roman"/>
          <w:szCs w:val="24"/>
        </w:rPr>
        <w:t xml:space="preserve">Social Islami Bank Ltd (SIBL) was founded the year 1995 as an open constrained organization which is occupied with Shariah-based business keeping money in the nation and its normal way of doing things are essentially not exactly equivalent to other standard banks. This is the second-era pioneer Social Islami Bank in this nation giving web-based saving money offices to its clients. It registered under the Companies Act with its registered under the Company Act with its registered office 7-8, </w:t>
      </w:r>
      <w:proofErr w:type="spellStart"/>
      <w:r w:rsidRPr="00010B33">
        <w:rPr>
          <w:rFonts w:cs="Times New Roman"/>
          <w:szCs w:val="24"/>
        </w:rPr>
        <w:t>Motijheel</w:t>
      </w:r>
      <w:proofErr w:type="spellEnd"/>
      <w:r w:rsidRPr="00010B33">
        <w:rPr>
          <w:rFonts w:cs="Times New Roman"/>
          <w:szCs w:val="24"/>
        </w:rPr>
        <w:t xml:space="preserve"> C/A, and Dhaka, Bangladesh. At the time of incorporation, the authorized capital and the paid-up capital of SIBL were respectively TK 10000 and 7031.42 million</w:t>
      </w:r>
      <w:r w:rsidRPr="00010B33">
        <w:rPr>
          <w:rFonts w:cs="Times New Roman"/>
          <w:color w:val="333333"/>
          <w:szCs w:val="24"/>
          <w:shd w:val="clear" w:color="auto" w:fill="FFFFFF"/>
        </w:rPr>
        <w:t>.</w:t>
      </w:r>
    </w:p>
    <w:p w14:paraId="3FEB0107" w14:textId="71E910CA" w:rsidR="00C22FCC" w:rsidRPr="00010B33" w:rsidRDefault="00C22FCC" w:rsidP="005C25E2">
      <w:pPr>
        <w:spacing w:line="360" w:lineRule="auto"/>
        <w:jc w:val="both"/>
        <w:rPr>
          <w:rFonts w:cs="Times New Roman"/>
          <w:b/>
          <w:color w:val="4F81BD" w:themeColor="accent1"/>
          <w:szCs w:val="24"/>
        </w:rPr>
      </w:pPr>
      <w:r w:rsidRPr="00010B33">
        <w:rPr>
          <w:rFonts w:cs="Times New Roman"/>
          <w:b/>
          <w:szCs w:val="24"/>
        </w:rPr>
        <w:t xml:space="preserve">Vision of SIBL </w:t>
      </w:r>
    </w:p>
    <w:p w14:paraId="35932DBB" w14:textId="77777777" w:rsidR="00C22FCC" w:rsidRPr="00010B33" w:rsidRDefault="00C22FCC" w:rsidP="005C25E2">
      <w:pPr>
        <w:pStyle w:val="ListParagraph"/>
        <w:numPr>
          <w:ilvl w:val="0"/>
          <w:numId w:val="8"/>
        </w:numPr>
        <w:spacing w:line="360" w:lineRule="auto"/>
        <w:jc w:val="both"/>
        <w:rPr>
          <w:rFonts w:cs="Times New Roman"/>
          <w:b/>
          <w:szCs w:val="24"/>
        </w:rPr>
      </w:pPr>
      <w:r w:rsidRPr="00010B33">
        <w:rPr>
          <w:rFonts w:cs="Times New Roman"/>
          <w:b/>
          <w:szCs w:val="24"/>
        </w:rPr>
        <w:t>Working together for a caring society.</w:t>
      </w:r>
    </w:p>
    <w:p w14:paraId="6A4E1DA5" w14:textId="77777777" w:rsidR="00C22FCC" w:rsidRPr="00010B33" w:rsidRDefault="00C22FCC" w:rsidP="005C25E2">
      <w:pPr>
        <w:spacing w:line="360" w:lineRule="auto"/>
        <w:jc w:val="both"/>
        <w:rPr>
          <w:rFonts w:cs="Times New Roman"/>
          <w:b/>
          <w:szCs w:val="24"/>
        </w:rPr>
      </w:pPr>
      <w:r w:rsidRPr="00010B33">
        <w:rPr>
          <w:rFonts w:cs="Times New Roman"/>
          <w:b/>
          <w:szCs w:val="24"/>
        </w:rPr>
        <w:t>Mission of SIBL</w:t>
      </w:r>
    </w:p>
    <w:p w14:paraId="51D4446B" w14:textId="77777777" w:rsidR="00C22FCC" w:rsidRPr="00010B33" w:rsidRDefault="00C22FCC" w:rsidP="005C25E2">
      <w:pPr>
        <w:pStyle w:val="ListParagraph"/>
        <w:numPr>
          <w:ilvl w:val="0"/>
          <w:numId w:val="9"/>
        </w:numPr>
        <w:spacing w:line="360" w:lineRule="auto"/>
        <w:jc w:val="both"/>
        <w:rPr>
          <w:rFonts w:cs="Times New Roman"/>
          <w:szCs w:val="24"/>
        </w:rPr>
      </w:pPr>
      <w:r w:rsidRPr="00010B33">
        <w:rPr>
          <w:rFonts w:cs="Times New Roman"/>
          <w:szCs w:val="24"/>
        </w:rPr>
        <w:t>High-quality financial services using new technologies.</w:t>
      </w:r>
    </w:p>
    <w:p w14:paraId="575191EA" w14:textId="77777777" w:rsidR="00C22FCC" w:rsidRPr="00010B33" w:rsidRDefault="00C22FCC" w:rsidP="005C25E2">
      <w:pPr>
        <w:pStyle w:val="ListParagraph"/>
        <w:numPr>
          <w:ilvl w:val="0"/>
          <w:numId w:val="9"/>
        </w:numPr>
        <w:spacing w:line="360" w:lineRule="auto"/>
        <w:jc w:val="both"/>
        <w:rPr>
          <w:rFonts w:cs="Times New Roman"/>
          <w:szCs w:val="24"/>
        </w:rPr>
      </w:pPr>
      <w:r w:rsidRPr="00010B33">
        <w:rPr>
          <w:rFonts w:cs="Times New Roman"/>
          <w:szCs w:val="24"/>
        </w:rPr>
        <w:t>Establishing a banking model for three sectors.</w:t>
      </w:r>
    </w:p>
    <w:p w14:paraId="6F579E10" w14:textId="77777777" w:rsidR="00C22FCC" w:rsidRPr="00010B33" w:rsidRDefault="00C22FCC" w:rsidP="005C25E2">
      <w:pPr>
        <w:pStyle w:val="ListParagraph"/>
        <w:numPr>
          <w:ilvl w:val="0"/>
          <w:numId w:val="9"/>
        </w:numPr>
        <w:spacing w:line="360" w:lineRule="auto"/>
        <w:jc w:val="both"/>
        <w:rPr>
          <w:rFonts w:cs="Times New Roman"/>
          <w:szCs w:val="24"/>
        </w:rPr>
      </w:pPr>
      <w:r w:rsidRPr="00010B33">
        <w:rPr>
          <w:rFonts w:cs="Times New Roman"/>
          <w:szCs w:val="24"/>
        </w:rPr>
        <w:t>Quick, reliable, and fulfilling customer service.</w:t>
      </w:r>
    </w:p>
    <w:p w14:paraId="0F57C6C6" w14:textId="77777777" w:rsidR="00C22FCC" w:rsidRPr="00010B33" w:rsidRDefault="00C22FCC" w:rsidP="005C25E2">
      <w:pPr>
        <w:pStyle w:val="ListParagraph"/>
        <w:numPr>
          <w:ilvl w:val="0"/>
          <w:numId w:val="9"/>
        </w:numPr>
        <w:spacing w:line="360" w:lineRule="auto"/>
        <w:jc w:val="both"/>
        <w:rPr>
          <w:rFonts w:cs="Times New Roman"/>
          <w:szCs w:val="24"/>
        </w:rPr>
      </w:pPr>
      <w:r w:rsidRPr="00010B33">
        <w:rPr>
          <w:rFonts w:cs="Times New Roman"/>
          <w:szCs w:val="24"/>
        </w:rPr>
        <w:t>Innovative Islamic banking products introduction</w:t>
      </w:r>
    </w:p>
    <w:p w14:paraId="35715041" w14:textId="77777777" w:rsidR="00C22FCC" w:rsidRPr="00010B33" w:rsidRDefault="00C22FCC" w:rsidP="005C25E2">
      <w:pPr>
        <w:pStyle w:val="ListParagraph"/>
        <w:numPr>
          <w:ilvl w:val="0"/>
          <w:numId w:val="9"/>
        </w:numPr>
        <w:spacing w:line="360" w:lineRule="auto"/>
        <w:jc w:val="both"/>
        <w:rPr>
          <w:rFonts w:cs="Times New Roman"/>
          <w:szCs w:val="24"/>
        </w:rPr>
      </w:pPr>
      <w:r w:rsidRPr="00010B33">
        <w:rPr>
          <w:rFonts w:cs="Times New Roman"/>
          <w:szCs w:val="24"/>
        </w:rPr>
        <w:t xml:space="preserve">Adjusted and feasible development procedure. </w:t>
      </w:r>
    </w:p>
    <w:p w14:paraId="57209B8A" w14:textId="77777777" w:rsidR="00C22FCC" w:rsidRPr="00010B33" w:rsidRDefault="00C22FCC" w:rsidP="005C25E2">
      <w:pPr>
        <w:pStyle w:val="ListParagraph"/>
        <w:numPr>
          <w:ilvl w:val="0"/>
          <w:numId w:val="9"/>
        </w:numPr>
        <w:spacing w:line="360" w:lineRule="auto"/>
        <w:jc w:val="both"/>
        <w:rPr>
          <w:rFonts w:cs="Times New Roman"/>
          <w:szCs w:val="24"/>
        </w:rPr>
      </w:pPr>
      <w:r w:rsidRPr="00010B33">
        <w:rPr>
          <w:rFonts w:cs="Times New Roman"/>
          <w:szCs w:val="24"/>
        </w:rPr>
        <w:t xml:space="preserve">Ideal profit for investors' value </w:t>
      </w:r>
    </w:p>
    <w:p w14:paraId="18FBD361" w14:textId="77777777" w:rsidR="00C22FCC" w:rsidRPr="00010B33" w:rsidRDefault="00C22FCC" w:rsidP="005C25E2">
      <w:pPr>
        <w:pStyle w:val="ListParagraph"/>
        <w:numPr>
          <w:ilvl w:val="0"/>
          <w:numId w:val="9"/>
        </w:numPr>
        <w:spacing w:line="360" w:lineRule="auto"/>
        <w:jc w:val="both"/>
        <w:rPr>
          <w:rFonts w:cs="Times New Roman"/>
          <w:szCs w:val="24"/>
        </w:rPr>
      </w:pPr>
      <w:r w:rsidRPr="00010B33">
        <w:rPr>
          <w:rFonts w:cs="Times New Roman"/>
          <w:szCs w:val="24"/>
        </w:rPr>
        <w:t>To recruit and maintain human capital of high quality</w:t>
      </w:r>
    </w:p>
    <w:p w14:paraId="0FE8E657" w14:textId="77777777" w:rsidR="00C22FCC" w:rsidRPr="00010B33" w:rsidRDefault="00C22FCC" w:rsidP="005C25E2">
      <w:pPr>
        <w:pStyle w:val="ListParagraph"/>
        <w:numPr>
          <w:ilvl w:val="0"/>
          <w:numId w:val="9"/>
        </w:numPr>
        <w:spacing w:line="360" w:lineRule="auto"/>
        <w:jc w:val="both"/>
        <w:rPr>
          <w:rFonts w:cs="Times New Roman"/>
          <w:szCs w:val="24"/>
        </w:rPr>
      </w:pPr>
      <w:r w:rsidRPr="00010B33">
        <w:rPr>
          <w:rFonts w:cs="Times New Roman"/>
          <w:szCs w:val="24"/>
        </w:rPr>
        <w:lastRenderedPageBreak/>
        <w:t>Empowering real poor families and building jobs for local wages.</w:t>
      </w:r>
    </w:p>
    <w:p w14:paraId="74D9509F" w14:textId="77777777" w:rsidR="00C22FCC" w:rsidRPr="00010B33" w:rsidRDefault="00C22FCC" w:rsidP="005C25E2">
      <w:pPr>
        <w:pStyle w:val="ListParagraph"/>
        <w:numPr>
          <w:ilvl w:val="0"/>
          <w:numId w:val="9"/>
        </w:numPr>
        <w:spacing w:line="360" w:lineRule="auto"/>
        <w:jc w:val="both"/>
        <w:rPr>
          <w:rFonts w:cs="Times New Roman"/>
          <w:szCs w:val="24"/>
        </w:rPr>
      </w:pPr>
      <w:r w:rsidRPr="00010B33">
        <w:rPr>
          <w:rFonts w:cs="Times New Roman"/>
          <w:szCs w:val="24"/>
        </w:rPr>
        <w:t>Offering help for social welfare associations via assembling assets and social administrations.</w:t>
      </w:r>
    </w:p>
    <w:p w14:paraId="4FF6ECBB" w14:textId="77777777" w:rsidR="00C22FCC" w:rsidRPr="00010B33" w:rsidRDefault="00C22FCC" w:rsidP="005C25E2">
      <w:pPr>
        <w:spacing w:line="360" w:lineRule="auto"/>
        <w:jc w:val="both"/>
        <w:rPr>
          <w:rFonts w:cs="Times New Roman"/>
          <w:b/>
          <w:szCs w:val="24"/>
        </w:rPr>
      </w:pPr>
      <w:r w:rsidRPr="00010B33">
        <w:rPr>
          <w:rFonts w:cs="Times New Roman"/>
          <w:b/>
          <w:szCs w:val="24"/>
        </w:rPr>
        <w:t xml:space="preserve">Motto/Slogan of SIBL </w:t>
      </w:r>
    </w:p>
    <w:p w14:paraId="687F3A85" w14:textId="7CEB0616" w:rsidR="00C22FCC" w:rsidRPr="00010B33" w:rsidRDefault="00C22FCC" w:rsidP="005C25E2">
      <w:pPr>
        <w:spacing w:line="360" w:lineRule="auto"/>
        <w:jc w:val="both"/>
        <w:rPr>
          <w:rFonts w:cs="Times New Roman"/>
          <w:szCs w:val="24"/>
        </w:rPr>
      </w:pPr>
      <w:r w:rsidRPr="00010B33">
        <w:rPr>
          <w:rFonts w:cs="Times New Roman"/>
          <w:szCs w:val="24"/>
        </w:rPr>
        <w:t>The slogan of SIBL Bank is "</w:t>
      </w:r>
      <w:proofErr w:type="spellStart"/>
      <w:r w:rsidRPr="00010B33">
        <w:rPr>
          <w:rFonts w:cs="Times New Roman"/>
          <w:szCs w:val="24"/>
        </w:rPr>
        <w:t>Utkorsho</w:t>
      </w:r>
      <w:proofErr w:type="spellEnd"/>
      <w:r w:rsidRPr="00010B33">
        <w:rPr>
          <w:rFonts w:cs="Times New Roman"/>
          <w:szCs w:val="24"/>
        </w:rPr>
        <w:t xml:space="preserve"> </w:t>
      </w:r>
      <w:proofErr w:type="spellStart"/>
      <w:r w:rsidRPr="00010B33">
        <w:rPr>
          <w:rFonts w:cs="Times New Roman"/>
          <w:szCs w:val="24"/>
        </w:rPr>
        <w:t>obiram</w:t>
      </w:r>
      <w:proofErr w:type="spellEnd"/>
      <w:r w:rsidRPr="00010B33">
        <w:rPr>
          <w:rFonts w:cs="Times New Roman"/>
          <w:szCs w:val="24"/>
        </w:rPr>
        <w:t>". These two words are Bengali words that represent “Journey towards Excellence” on the organization</w:t>
      </w:r>
    </w:p>
    <w:p w14:paraId="5C09717A" w14:textId="5E77548A" w:rsidR="00A60A62" w:rsidRDefault="00AB542A" w:rsidP="00A60A62">
      <w:pPr>
        <w:keepNext/>
        <w:spacing w:line="360" w:lineRule="auto"/>
      </w:pPr>
      <w:r>
        <w:rPr>
          <w:rFonts w:cs="Times New Roman"/>
          <w:noProof/>
          <w:color w:val="333333"/>
          <w:szCs w:val="24"/>
          <w:shd w:val="clear" w:color="auto" w:fill="FFFFFF"/>
        </w:rPr>
        <w:drawing>
          <wp:anchor distT="0" distB="0" distL="114300" distR="114300" simplePos="0" relativeHeight="251658240" behindDoc="0" locked="0" layoutInCell="1" allowOverlap="1" wp14:anchorId="4DD0619C" wp14:editId="22F31737">
            <wp:simplePos x="0" y="0"/>
            <wp:positionH relativeFrom="margin">
              <wp:posOffset>-41275</wp:posOffset>
            </wp:positionH>
            <wp:positionV relativeFrom="margin">
              <wp:posOffset>2139315</wp:posOffset>
            </wp:positionV>
            <wp:extent cx="4339590" cy="1882775"/>
            <wp:effectExtent l="0" t="0" r="3810" b="317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339590" cy="1882775"/>
                    </a:xfrm>
                    <a:prstGeom prst="rect">
                      <a:avLst/>
                    </a:prstGeom>
                    <a:noFill/>
                  </pic:spPr>
                </pic:pic>
              </a:graphicData>
            </a:graphic>
            <wp14:sizeRelH relativeFrom="margin">
              <wp14:pctWidth>0</wp14:pctWidth>
            </wp14:sizeRelH>
            <wp14:sizeRelV relativeFrom="margin">
              <wp14:pctHeight>0</wp14:pctHeight>
            </wp14:sizeRelV>
          </wp:anchor>
        </w:drawing>
      </w:r>
    </w:p>
    <w:p w14:paraId="62CE4DBA" w14:textId="77777777" w:rsidR="00AB542A" w:rsidRDefault="00AB542A" w:rsidP="00A60A62">
      <w:pPr>
        <w:pStyle w:val="Caption"/>
        <w:rPr>
          <w:sz w:val="22"/>
          <w:szCs w:val="22"/>
        </w:rPr>
      </w:pPr>
    </w:p>
    <w:p w14:paraId="1F88D3FB" w14:textId="77777777" w:rsidR="00AB542A" w:rsidRDefault="00AB542A" w:rsidP="00A60A62">
      <w:pPr>
        <w:pStyle w:val="Caption"/>
        <w:rPr>
          <w:sz w:val="22"/>
          <w:szCs w:val="22"/>
        </w:rPr>
      </w:pPr>
    </w:p>
    <w:p w14:paraId="5F38FDE0" w14:textId="77777777" w:rsidR="00AB542A" w:rsidRDefault="00AB542A" w:rsidP="00A60A62">
      <w:pPr>
        <w:pStyle w:val="Caption"/>
        <w:rPr>
          <w:sz w:val="22"/>
          <w:szCs w:val="22"/>
        </w:rPr>
      </w:pPr>
    </w:p>
    <w:p w14:paraId="28707556" w14:textId="77777777" w:rsidR="00AB542A" w:rsidRDefault="00AB542A" w:rsidP="00A60A62">
      <w:pPr>
        <w:pStyle w:val="Caption"/>
        <w:rPr>
          <w:sz w:val="22"/>
          <w:szCs w:val="22"/>
        </w:rPr>
      </w:pPr>
    </w:p>
    <w:p w14:paraId="7D521A7D" w14:textId="77777777" w:rsidR="00AB542A" w:rsidRDefault="00AB542A" w:rsidP="00A60A62">
      <w:pPr>
        <w:pStyle w:val="Caption"/>
        <w:rPr>
          <w:sz w:val="22"/>
          <w:szCs w:val="22"/>
        </w:rPr>
      </w:pPr>
    </w:p>
    <w:p w14:paraId="51CF1ABB" w14:textId="77777777" w:rsidR="00AB542A" w:rsidRDefault="00AB542A" w:rsidP="00A60A62">
      <w:pPr>
        <w:pStyle w:val="Caption"/>
        <w:rPr>
          <w:sz w:val="22"/>
          <w:szCs w:val="22"/>
        </w:rPr>
      </w:pPr>
    </w:p>
    <w:p w14:paraId="11415260" w14:textId="77777777" w:rsidR="00AB542A" w:rsidRDefault="00AB542A" w:rsidP="00A60A62">
      <w:pPr>
        <w:pStyle w:val="Caption"/>
        <w:rPr>
          <w:sz w:val="22"/>
          <w:szCs w:val="22"/>
        </w:rPr>
      </w:pPr>
    </w:p>
    <w:p w14:paraId="0FBED600" w14:textId="52C60C2A" w:rsidR="00F755A5" w:rsidRPr="00A60A62" w:rsidRDefault="00A60A62" w:rsidP="00A60A62">
      <w:pPr>
        <w:pStyle w:val="Caption"/>
        <w:rPr>
          <w:rFonts w:cs="Times New Roman"/>
          <w:sz w:val="22"/>
          <w:szCs w:val="22"/>
        </w:rPr>
      </w:pPr>
      <w:bookmarkStart w:id="30" w:name="_Toc70724707"/>
      <w:r w:rsidRPr="00A60A62">
        <w:rPr>
          <w:sz w:val="22"/>
          <w:szCs w:val="22"/>
        </w:rPr>
        <w:t xml:space="preserve">Figure </w:t>
      </w:r>
      <w:r w:rsidRPr="00A60A62">
        <w:rPr>
          <w:sz w:val="22"/>
          <w:szCs w:val="22"/>
        </w:rPr>
        <w:fldChar w:fldCharType="begin"/>
      </w:r>
      <w:r w:rsidRPr="00A60A62">
        <w:rPr>
          <w:sz w:val="22"/>
          <w:szCs w:val="22"/>
        </w:rPr>
        <w:instrText xml:space="preserve"> SEQ Figure \* ARABIC </w:instrText>
      </w:r>
      <w:r w:rsidRPr="00A60A62">
        <w:rPr>
          <w:sz w:val="22"/>
          <w:szCs w:val="22"/>
        </w:rPr>
        <w:fldChar w:fldCharType="separate"/>
      </w:r>
      <w:r w:rsidR="00E87025">
        <w:rPr>
          <w:noProof/>
          <w:sz w:val="22"/>
          <w:szCs w:val="22"/>
        </w:rPr>
        <w:t>7</w:t>
      </w:r>
      <w:r w:rsidRPr="00A60A62">
        <w:rPr>
          <w:sz w:val="22"/>
          <w:szCs w:val="22"/>
        </w:rPr>
        <w:fldChar w:fldCharType="end"/>
      </w:r>
      <w:r w:rsidRPr="00A60A62">
        <w:rPr>
          <w:sz w:val="22"/>
          <w:szCs w:val="22"/>
        </w:rPr>
        <w:t xml:space="preserve"> Logo of SIBL</w:t>
      </w:r>
      <w:bookmarkEnd w:id="30"/>
    </w:p>
    <w:p w14:paraId="6A95B798" w14:textId="0810CBE7" w:rsidR="00F755A5" w:rsidRDefault="00F755A5" w:rsidP="005C25E2">
      <w:pPr>
        <w:spacing w:line="360" w:lineRule="auto"/>
        <w:jc w:val="both"/>
        <w:rPr>
          <w:rFonts w:cs="Times New Roman"/>
          <w:szCs w:val="24"/>
        </w:rPr>
      </w:pPr>
    </w:p>
    <w:p w14:paraId="54E493D6" w14:textId="69D1D01A" w:rsidR="00C22FCC" w:rsidRPr="00010B33" w:rsidRDefault="00C22FCC" w:rsidP="005C25E2">
      <w:pPr>
        <w:spacing w:line="360" w:lineRule="auto"/>
        <w:jc w:val="both"/>
        <w:rPr>
          <w:rFonts w:cs="Times New Roman"/>
          <w:b/>
          <w:szCs w:val="24"/>
        </w:rPr>
      </w:pPr>
      <w:r w:rsidRPr="00010B33">
        <w:rPr>
          <w:rFonts w:cs="Times New Roman"/>
          <w:b/>
          <w:szCs w:val="24"/>
        </w:rPr>
        <w:t>Core Values of SIBL</w:t>
      </w:r>
    </w:p>
    <w:p w14:paraId="60084E02" w14:textId="119A5B44" w:rsidR="00C22FCC" w:rsidRPr="00010B33" w:rsidRDefault="00F755A5" w:rsidP="005C25E2">
      <w:pPr>
        <w:spacing w:line="360" w:lineRule="auto"/>
        <w:jc w:val="both"/>
        <w:rPr>
          <w:rFonts w:cs="Times New Roman"/>
          <w:szCs w:val="24"/>
        </w:rPr>
      </w:pPr>
      <w:r>
        <w:rPr>
          <w:noProof/>
        </w:rPr>
        <mc:AlternateContent>
          <mc:Choice Requires="wps">
            <w:drawing>
              <wp:anchor distT="0" distB="0" distL="114300" distR="114300" simplePos="0" relativeHeight="251656192" behindDoc="0" locked="0" layoutInCell="1" allowOverlap="1" wp14:anchorId="69ABF5E0" wp14:editId="334CE126">
                <wp:simplePos x="0" y="0"/>
                <wp:positionH relativeFrom="column">
                  <wp:posOffset>57150</wp:posOffset>
                </wp:positionH>
                <wp:positionV relativeFrom="paragraph">
                  <wp:posOffset>2341245</wp:posOffset>
                </wp:positionV>
                <wp:extent cx="4229100" cy="635"/>
                <wp:effectExtent l="0" t="0" r="0" b="0"/>
                <wp:wrapSquare wrapText="bothSides"/>
                <wp:docPr id="22" name="Text Box 22"/>
                <wp:cNvGraphicFramePr/>
                <a:graphic xmlns:a="http://schemas.openxmlformats.org/drawingml/2006/main">
                  <a:graphicData uri="http://schemas.microsoft.com/office/word/2010/wordprocessingShape">
                    <wps:wsp>
                      <wps:cNvSpPr txBox="1"/>
                      <wps:spPr>
                        <a:xfrm>
                          <a:off x="0" y="0"/>
                          <a:ext cx="4229100" cy="635"/>
                        </a:xfrm>
                        <a:prstGeom prst="rect">
                          <a:avLst/>
                        </a:prstGeom>
                        <a:solidFill>
                          <a:prstClr val="white"/>
                        </a:solidFill>
                        <a:ln>
                          <a:noFill/>
                        </a:ln>
                      </wps:spPr>
                      <wps:txbx>
                        <w:txbxContent>
                          <w:p w14:paraId="4CD48FB8" w14:textId="3D052DE3" w:rsidR="00FF7473" w:rsidRPr="00F755A5" w:rsidRDefault="00FF7473" w:rsidP="00F755A5">
                            <w:pPr>
                              <w:pStyle w:val="Caption"/>
                              <w:rPr>
                                <w:rFonts w:cs="Times New Roman"/>
                                <w:noProof/>
                                <w:sz w:val="24"/>
                                <w:szCs w:val="24"/>
                              </w:rPr>
                            </w:pPr>
                            <w:bookmarkStart w:id="31" w:name="_Toc70724708"/>
                            <w:r w:rsidRPr="00F755A5">
                              <w:rPr>
                                <w:sz w:val="24"/>
                                <w:szCs w:val="24"/>
                              </w:rPr>
                              <w:t xml:space="preserve">Figure </w:t>
                            </w:r>
                            <w:r w:rsidRPr="00F755A5">
                              <w:rPr>
                                <w:sz w:val="24"/>
                                <w:szCs w:val="24"/>
                              </w:rPr>
                              <w:fldChar w:fldCharType="begin"/>
                            </w:r>
                            <w:r w:rsidRPr="00F755A5">
                              <w:rPr>
                                <w:sz w:val="24"/>
                                <w:szCs w:val="24"/>
                              </w:rPr>
                              <w:instrText xml:space="preserve"> SEQ Figure \* ARABIC </w:instrText>
                            </w:r>
                            <w:r w:rsidRPr="00F755A5">
                              <w:rPr>
                                <w:sz w:val="24"/>
                                <w:szCs w:val="24"/>
                              </w:rPr>
                              <w:fldChar w:fldCharType="separate"/>
                            </w:r>
                            <w:r>
                              <w:rPr>
                                <w:noProof/>
                                <w:sz w:val="24"/>
                                <w:szCs w:val="24"/>
                              </w:rPr>
                              <w:t>8</w:t>
                            </w:r>
                            <w:r w:rsidRPr="00F755A5">
                              <w:rPr>
                                <w:sz w:val="24"/>
                                <w:szCs w:val="24"/>
                              </w:rPr>
                              <w:fldChar w:fldCharType="end"/>
                            </w:r>
                            <w:r w:rsidRPr="00F755A5">
                              <w:rPr>
                                <w:sz w:val="24"/>
                                <w:szCs w:val="24"/>
                              </w:rPr>
                              <w:t xml:space="preserve"> Core values of SIBL</w:t>
                            </w:r>
                            <w:bookmarkEnd w:id="31"/>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id="Text Box 22" o:spid="_x0000_s1027" type="#_x0000_t202" style="position:absolute;left:0;text-align:left;margin-left:4.5pt;margin-top:184.35pt;width:333pt;height:.05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" stroked="f">
                <v:textbox style="mso-fit-shape-to-text:t" inset="0,0,0,0">
                  <w:txbxContent>
                    <w:p w14:paraId="4CD48FB8" w14:textId="3D052DE3" w:rsidR="00FF7473" w:rsidRPr="00F755A5" w:rsidRDefault="00FF7473" w:rsidP="00F755A5">
                      <w:pPr>
                        <w:pStyle w:val="Caption"/>
                        <w:rPr>
                          <w:rFonts w:cs="Times New Roman"/>
                          <w:noProof/>
                          <w:sz w:val="24"/>
                          <w:szCs w:val="24"/>
                        </w:rPr>
                      </w:pPr>
                      <w:bookmarkStart w:id="32" w:name="_Toc70724708"/>
                      <w:r w:rsidRPr="00F755A5">
                        <w:rPr>
                          <w:sz w:val="24"/>
                          <w:szCs w:val="24"/>
                        </w:rPr>
                        <w:t xml:space="preserve">Figure </w:t>
                      </w:r>
                      <w:r w:rsidRPr="00F755A5">
                        <w:rPr>
                          <w:sz w:val="24"/>
                          <w:szCs w:val="24"/>
                        </w:rPr>
                        <w:fldChar w:fldCharType="begin"/>
                      </w:r>
                      <w:r w:rsidRPr="00F755A5">
                        <w:rPr>
                          <w:sz w:val="24"/>
                          <w:szCs w:val="24"/>
                        </w:rPr>
                        <w:instrText xml:space="preserve"> SEQ Figure \* ARABIC </w:instrText>
                      </w:r>
                      <w:r w:rsidRPr="00F755A5">
                        <w:rPr>
                          <w:sz w:val="24"/>
                          <w:szCs w:val="24"/>
                        </w:rPr>
                        <w:fldChar w:fldCharType="separate"/>
                      </w:r>
                      <w:r>
                        <w:rPr>
                          <w:noProof/>
                          <w:sz w:val="24"/>
                          <w:szCs w:val="24"/>
                        </w:rPr>
                        <w:t>8</w:t>
                      </w:r>
                      <w:r w:rsidRPr="00F755A5">
                        <w:rPr>
                          <w:sz w:val="24"/>
                          <w:szCs w:val="24"/>
                        </w:rPr>
                        <w:fldChar w:fldCharType="end"/>
                      </w:r>
                      <w:r w:rsidRPr="00F755A5">
                        <w:rPr>
                          <w:sz w:val="24"/>
                          <w:szCs w:val="24"/>
                        </w:rPr>
                        <w:t xml:space="preserve"> Core values of SIBL</w:t>
                      </w:r>
                      <w:bookmarkEnd w:id="32"/>
                    </w:p>
                  </w:txbxContent>
                </v:textbox>
                <w10:wrap type="square"/>
              </v:shape>
            </w:pict>
          </mc:Fallback>
        </mc:AlternateContent>
      </w:r>
      <w:r w:rsidRPr="00010B33">
        <w:rPr>
          <w:rFonts w:cs="Times New Roman"/>
          <w:noProof/>
          <w:szCs w:val="24"/>
        </w:rPr>
        <w:drawing>
          <wp:anchor distT="0" distB="0" distL="114300" distR="114300" simplePos="0" relativeHeight="251644928" behindDoc="0" locked="0" layoutInCell="1" allowOverlap="1" wp14:anchorId="38766EA9" wp14:editId="2766365D">
            <wp:simplePos x="0" y="0"/>
            <wp:positionH relativeFrom="column">
              <wp:posOffset>57150</wp:posOffset>
            </wp:positionH>
            <wp:positionV relativeFrom="paragraph">
              <wp:posOffset>7620</wp:posOffset>
            </wp:positionV>
            <wp:extent cx="4229100" cy="2276475"/>
            <wp:effectExtent l="57150" t="0" r="57150" b="47625"/>
            <wp:wrapSquare wrapText="bothSides"/>
            <wp:docPr id="54" name="Diagram 5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5" r:lo="rId36" r:qs="rId37" r:cs="rId38"/>
              </a:graphicData>
            </a:graphic>
            <wp14:sizeRelV relativeFrom="margin">
              <wp14:pctHeight>0</wp14:pctHeight>
            </wp14:sizeRelV>
          </wp:anchor>
        </w:drawing>
      </w:r>
    </w:p>
    <w:p w14:paraId="3BD088C6" w14:textId="754ED874" w:rsidR="00F755A5" w:rsidRPr="00A60A62" w:rsidRDefault="00F755A5" w:rsidP="00A60A62">
      <w:pPr>
        <w:keepNext/>
        <w:spacing w:line="360" w:lineRule="auto"/>
        <w:jc w:val="both"/>
        <w:rPr>
          <w:rFonts w:cs="Times New Roman"/>
          <w:szCs w:val="24"/>
        </w:rPr>
      </w:pPr>
      <w:r>
        <w:rPr>
          <w:rFonts w:cs="Times New Roman"/>
          <w:szCs w:val="24"/>
        </w:rPr>
        <w:br w:type="textWrapping" w:clear="all"/>
      </w:r>
    </w:p>
    <w:p w14:paraId="61265BD5" w14:textId="77777777" w:rsidR="005C25E2" w:rsidRDefault="005C25E2" w:rsidP="005C25E2">
      <w:pPr>
        <w:pStyle w:val="ListParagraph"/>
        <w:numPr>
          <w:ilvl w:val="0"/>
          <w:numId w:val="41"/>
        </w:numPr>
        <w:spacing w:after="160" w:line="360" w:lineRule="auto"/>
        <w:jc w:val="both"/>
        <w:rPr>
          <w:rFonts w:cs="Times New Roman"/>
          <w:szCs w:val="24"/>
        </w:rPr>
      </w:pPr>
      <w:r w:rsidRPr="0075251B">
        <w:rPr>
          <w:rFonts w:cs="Times New Roman"/>
          <w:szCs w:val="24"/>
        </w:rPr>
        <w:t xml:space="preserve">Honesty: </w:t>
      </w:r>
    </w:p>
    <w:p w14:paraId="179DE3CE" w14:textId="77777777" w:rsidR="005C25E2" w:rsidRDefault="005C25E2" w:rsidP="005C25E2">
      <w:pPr>
        <w:pStyle w:val="ListParagraph"/>
        <w:spacing w:after="160" w:line="360" w:lineRule="auto"/>
        <w:jc w:val="both"/>
        <w:rPr>
          <w:rFonts w:cs="Times New Roman"/>
          <w:szCs w:val="24"/>
        </w:rPr>
      </w:pPr>
      <w:r>
        <w:rPr>
          <w:rFonts w:cs="Times New Roman"/>
          <w:szCs w:val="24"/>
        </w:rPr>
        <w:lastRenderedPageBreak/>
        <w:t>SIBL’s honesty policy is derived from the core manual. They strictly follow this in all of their services.</w:t>
      </w:r>
    </w:p>
    <w:p w14:paraId="1F391F1E" w14:textId="77777777" w:rsidR="005C25E2" w:rsidRDefault="005C25E2" w:rsidP="005C25E2">
      <w:pPr>
        <w:pStyle w:val="ListParagraph"/>
        <w:numPr>
          <w:ilvl w:val="0"/>
          <w:numId w:val="41"/>
        </w:numPr>
        <w:spacing w:after="160" w:line="360" w:lineRule="auto"/>
        <w:jc w:val="both"/>
        <w:rPr>
          <w:rFonts w:cs="Times New Roman"/>
          <w:szCs w:val="24"/>
        </w:rPr>
      </w:pPr>
      <w:r>
        <w:rPr>
          <w:rFonts w:cs="Times New Roman"/>
          <w:szCs w:val="24"/>
        </w:rPr>
        <w:t xml:space="preserve">Transparency: </w:t>
      </w:r>
    </w:p>
    <w:p w14:paraId="6D6B8E19" w14:textId="77117E00" w:rsidR="005C25E2" w:rsidRDefault="006A5199" w:rsidP="005C25E2">
      <w:pPr>
        <w:pStyle w:val="ListParagraph"/>
        <w:spacing w:after="160" w:line="360" w:lineRule="auto"/>
        <w:jc w:val="both"/>
        <w:rPr>
          <w:rFonts w:cs="Times New Roman"/>
          <w:szCs w:val="24"/>
        </w:rPr>
      </w:pPr>
      <w:r>
        <w:rPr>
          <w:rFonts w:cs="Times New Roman"/>
          <w:szCs w:val="24"/>
        </w:rPr>
        <w:t>T</w:t>
      </w:r>
      <w:r w:rsidR="005C25E2">
        <w:rPr>
          <w:rFonts w:cs="Times New Roman"/>
          <w:szCs w:val="24"/>
        </w:rPr>
        <w:t>o build trust, SIBL follows the transparency decree, and they abide by this rule.</w:t>
      </w:r>
    </w:p>
    <w:p w14:paraId="52374ADE" w14:textId="77777777" w:rsidR="005C25E2" w:rsidRDefault="005C25E2" w:rsidP="005C25E2">
      <w:pPr>
        <w:pStyle w:val="ListParagraph"/>
        <w:numPr>
          <w:ilvl w:val="0"/>
          <w:numId w:val="41"/>
        </w:numPr>
        <w:spacing w:after="160" w:line="360" w:lineRule="auto"/>
        <w:jc w:val="both"/>
        <w:rPr>
          <w:rFonts w:cs="Times New Roman"/>
          <w:szCs w:val="24"/>
        </w:rPr>
      </w:pPr>
      <w:r>
        <w:rPr>
          <w:rFonts w:cs="Times New Roman"/>
          <w:szCs w:val="24"/>
        </w:rPr>
        <w:t xml:space="preserve">Efficiency: </w:t>
      </w:r>
    </w:p>
    <w:p w14:paraId="2E40152B" w14:textId="4EBB912E" w:rsidR="005C25E2" w:rsidRDefault="006A5199" w:rsidP="005C25E2">
      <w:pPr>
        <w:pStyle w:val="ListParagraph"/>
        <w:spacing w:after="160" w:line="360" w:lineRule="auto"/>
        <w:jc w:val="both"/>
        <w:rPr>
          <w:rFonts w:cs="Times New Roman"/>
          <w:szCs w:val="24"/>
        </w:rPr>
      </w:pPr>
      <w:r>
        <w:rPr>
          <w:rFonts w:cs="Times New Roman"/>
          <w:szCs w:val="24"/>
        </w:rPr>
        <w:t>Perfectly doing any job</w:t>
      </w:r>
      <w:r w:rsidR="005C25E2">
        <w:rPr>
          <w:rFonts w:cs="Times New Roman"/>
          <w:szCs w:val="24"/>
        </w:rPr>
        <w:t xml:space="preserve"> entails efficiency. SIBL opt</w:t>
      </w:r>
      <w:r>
        <w:rPr>
          <w:rFonts w:cs="Times New Roman"/>
          <w:szCs w:val="24"/>
        </w:rPr>
        <w:t>s</w:t>
      </w:r>
      <w:r w:rsidR="005C25E2">
        <w:rPr>
          <w:rFonts w:cs="Times New Roman"/>
          <w:szCs w:val="24"/>
        </w:rPr>
        <w:t xml:space="preserve"> for delivering service with satisfaction.</w:t>
      </w:r>
    </w:p>
    <w:p w14:paraId="6B78E963" w14:textId="77777777" w:rsidR="005C25E2" w:rsidRDefault="005C25E2" w:rsidP="005C25E2">
      <w:pPr>
        <w:pStyle w:val="ListParagraph"/>
        <w:numPr>
          <w:ilvl w:val="0"/>
          <w:numId w:val="41"/>
        </w:numPr>
        <w:spacing w:after="160" w:line="360" w:lineRule="auto"/>
        <w:jc w:val="both"/>
        <w:rPr>
          <w:rFonts w:cs="Times New Roman"/>
          <w:szCs w:val="24"/>
        </w:rPr>
      </w:pPr>
      <w:r w:rsidRPr="00110A92">
        <w:rPr>
          <w:rFonts w:cs="Times New Roman"/>
          <w:szCs w:val="24"/>
        </w:rPr>
        <w:t xml:space="preserve">Accountability: </w:t>
      </w:r>
    </w:p>
    <w:p w14:paraId="189E61D8" w14:textId="57EE07C0" w:rsidR="005C25E2" w:rsidRDefault="005C25E2" w:rsidP="005C25E2">
      <w:pPr>
        <w:pStyle w:val="ListParagraph"/>
        <w:spacing w:after="160" w:line="360" w:lineRule="auto"/>
        <w:jc w:val="both"/>
        <w:rPr>
          <w:rFonts w:cs="Times New Roman"/>
          <w:szCs w:val="24"/>
        </w:rPr>
      </w:pPr>
      <w:r w:rsidRPr="00110A92">
        <w:rPr>
          <w:rFonts w:cs="Times New Roman"/>
          <w:szCs w:val="24"/>
        </w:rPr>
        <w:t>Being responsible for any action and removing mistrust is a way of being accountable and SIBL always tr</w:t>
      </w:r>
      <w:r w:rsidR="006A5199">
        <w:rPr>
          <w:rFonts w:cs="Times New Roman"/>
          <w:szCs w:val="24"/>
        </w:rPr>
        <w:t>ies</w:t>
      </w:r>
      <w:r w:rsidRPr="00110A92">
        <w:rPr>
          <w:rFonts w:cs="Times New Roman"/>
          <w:szCs w:val="24"/>
        </w:rPr>
        <w:t xml:space="preserve"> to be accountable for it.</w:t>
      </w:r>
    </w:p>
    <w:p w14:paraId="0F1C5E15" w14:textId="77777777" w:rsidR="005C25E2" w:rsidRDefault="005C25E2" w:rsidP="005C25E2">
      <w:pPr>
        <w:pStyle w:val="ListParagraph"/>
        <w:numPr>
          <w:ilvl w:val="0"/>
          <w:numId w:val="41"/>
        </w:numPr>
        <w:spacing w:after="160" w:line="360" w:lineRule="auto"/>
        <w:jc w:val="both"/>
        <w:rPr>
          <w:rFonts w:cs="Times New Roman"/>
          <w:szCs w:val="24"/>
        </w:rPr>
      </w:pPr>
      <w:r>
        <w:rPr>
          <w:rFonts w:cs="Times New Roman"/>
          <w:szCs w:val="24"/>
        </w:rPr>
        <w:t xml:space="preserve">Religiousness: </w:t>
      </w:r>
    </w:p>
    <w:p w14:paraId="4E521176" w14:textId="25BC8B17" w:rsidR="005C25E2" w:rsidRDefault="005C25E2" w:rsidP="005C25E2">
      <w:pPr>
        <w:pStyle w:val="ListParagraph"/>
        <w:spacing w:after="160" w:line="360" w:lineRule="auto"/>
        <w:jc w:val="both"/>
        <w:rPr>
          <w:rFonts w:cs="Times New Roman"/>
          <w:szCs w:val="24"/>
        </w:rPr>
      </w:pPr>
      <w:r>
        <w:rPr>
          <w:rFonts w:cs="Times New Roman"/>
          <w:szCs w:val="24"/>
        </w:rPr>
        <w:t xml:space="preserve">Along with improving economic prosperity, SIBL boosts ethics </w:t>
      </w:r>
      <w:r w:rsidR="006A5199">
        <w:rPr>
          <w:rFonts w:cs="Times New Roman"/>
          <w:szCs w:val="24"/>
        </w:rPr>
        <w:t>by</w:t>
      </w:r>
      <w:r>
        <w:rPr>
          <w:rFonts w:cs="Times New Roman"/>
          <w:szCs w:val="24"/>
        </w:rPr>
        <w:t xml:space="preserve"> religious perspective.</w:t>
      </w:r>
    </w:p>
    <w:p w14:paraId="3D74C0CC" w14:textId="77777777" w:rsidR="005C25E2" w:rsidRDefault="005C25E2" w:rsidP="005C25E2">
      <w:pPr>
        <w:pStyle w:val="ListParagraph"/>
        <w:numPr>
          <w:ilvl w:val="0"/>
          <w:numId w:val="41"/>
        </w:numPr>
        <w:spacing w:after="160" w:line="360" w:lineRule="auto"/>
        <w:jc w:val="both"/>
        <w:rPr>
          <w:rFonts w:cs="Times New Roman"/>
          <w:szCs w:val="24"/>
        </w:rPr>
      </w:pPr>
      <w:r>
        <w:rPr>
          <w:rFonts w:cs="Times New Roman"/>
          <w:szCs w:val="24"/>
        </w:rPr>
        <w:t>Innovation:</w:t>
      </w:r>
    </w:p>
    <w:p w14:paraId="43151F49" w14:textId="5F07E75A" w:rsidR="005C25E2" w:rsidRDefault="005C25E2" w:rsidP="005C25E2">
      <w:pPr>
        <w:pStyle w:val="ListParagraph"/>
        <w:spacing w:after="160" w:line="360" w:lineRule="auto"/>
        <w:jc w:val="both"/>
        <w:rPr>
          <w:rFonts w:cs="Times New Roman"/>
          <w:szCs w:val="24"/>
        </w:rPr>
      </w:pPr>
      <w:r>
        <w:rPr>
          <w:rFonts w:cs="Times New Roman"/>
          <w:szCs w:val="24"/>
        </w:rPr>
        <w:t xml:space="preserve"> SIBL tries to be innovative towards </w:t>
      </w:r>
      <w:r w:rsidR="006A5199">
        <w:rPr>
          <w:rFonts w:cs="Times New Roman"/>
          <w:szCs w:val="24"/>
        </w:rPr>
        <w:t>its</w:t>
      </w:r>
      <w:r>
        <w:rPr>
          <w:rFonts w:cs="Times New Roman"/>
          <w:szCs w:val="24"/>
        </w:rPr>
        <w:t xml:space="preserve"> customers and keep an open mind towards any progression of life.</w:t>
      </w:r>
    </w:p>
    <w:p w14:paraId="1C5E10CF" w14:textId="77777777" w:rsidR="005C25E2" w:rsidRDefault="005C25E2" w:rsidP="005C25E2">
      <w:pPr>
        <w:pStyle w:val="ListParagraph"/>
        <w:numPr>
          <w:ilvl w:val="0"/>
          <w:numId w:val="41"/>
        </w:numPr>
        <w:spacing w:after="160" w:line="360" w:lineRule="auto"/>
        <w:jc w:val="both"/>
        <w:rPr>
          <w:rFonts w:cs="Times New Roman"/>
          <w:szCs w:val="24"/>
        </w:rPr>
      </w:pPr>
      <w:r>
        <w:rPr>
          <w:rFonts w:cs="Times New Roman"/>
          <w:szCs w:val="24"/>
        </w:rPr>
        <w:t>Flexibility:</w:t>
      </w:r>
    </w:p>
    <w:p w14:paraId="5FB78E25" w14:textId="293D7CA2" w:rsidR="005C25E2" w:rsidRDefault="005C25E2" w:rsidP="005C25E2">
      <w:pPr>
        <w:pStyle w:val="ListParagraph"/>
        <w:spacing w:after="160" w:line="360" w:lineRule="auto"/>
        <w:jc w:val="both"/>
        <w:rPr>
          <w:rFonts w:cs="Times New Roman"/>
          <w:szCs w:val="24"/>
        </w:rPr>
      </w:pPr>
      <w:r>
        <w:rPr>
          <w:rFonts w:cs="Times New Roman"/>
          <w:szCs w:val="24"/>
        </w:rPr>
        <w:t xml:space="preserve"> To get greater satisfaction and understanding from the customer</w:t>
      </w:r>
      <w:r w:rsidR="006A5199">
        <w:rPr>
          <w:rFonts w:cs="Times New Roman"/>
          <w:szCs w:val="24"/>
        </w:rPr>
        <w:t>'</w:t>
      </w:r>
      <w:r>
        <w:rPr>
          <w:rFonts w:cs="Times New Roman"/>
          <w:szCs w:val="24"/>
        </w:rPr>
        <w:t>s flexibility plays a crucial role. SIBL always opt</w:t>
      </w:r>
      <w:r w:rsidR="006A5199">
        <w:rPr>
          <w:rFonts w:cs="Times New Roman"/>
          <w:szCs w:val="24"/>
        </w:rPr>
        <w:t>s</w:t>
      </w:r>
      <w:r>
        <w:rPr>
          <w:rFonts w:cs="Times New Roman"/>
          <w:szCs w:val="24"/>
        </w:rPr>
        <w:t xml:space="preserve"> for the quality of </w:t>
      </w:r>
      <w:r w:rsidR="006A5199">
        <w:rPr>
          <w:rFonts w:cs="Times New Roman"/>
          <w:szCs w:val="24"/>
        </w:rPr>
        <w:t>its</w:t>
      </w:r>
      <w:r>
        <w:rPr>
          <w:rFonts w:cs="Times New Roman"/>
          <w:szCs w:val="24"/>
        </w:rPr>
        <w:t xml:space="preserve"> services.</w:t>
      </w:r>
    </w:p>
    <w:p w14:paraId="1FD4FD15" w14:textId="77777777" w:rsidR="005C25E2" w:rsidRDefault="005C25E2" w:rsidP="005C25E2">
      <w:pPr>
        <w:pStyle w:val="ListParagraph"/>
        <w:numPr>
          <w:ilvl w:val="0"/>
          <w:numId w:val="41"/>
        </w:numPr>
        <w:spacing w:after="160" w:line="360" w:lineRule="auto"/>
        <w:jc w:val="both"/>
        <w:rPr>
          <w:rFonts w:cs="Times New Roman"/>
          <w:szCs w:val="24"/>
        </w:rPr>
      </w:pPr>
      <w:r>
        <w:rPr>
          <w:rFonts w:cs="Times New Roman"/>
          <w:szCs w:val="24"/>
        </w:rPr>
        <w:t xml:space="preserve">Security: </w:t>
      </w:r>
    </w:p>
    <w:p w14:paraId="48FDC7B9" w14:textId="77777777" w:rsidR="005C25E2" w:rsidRDefault="005C25E2" w:rsidP="005C25E2">
      <w:pPr>
        <w:pStyle w:val="ListParagraph"/>
        <w:spacing w:after="160" w:line="360" w:lineRule="auto"/>
        <w:jc w:val="both"/>
        <w:rPr>
          <w:rFonts w:cs="Times New Roman"/>
          <w:szCs w:val="24"/>
        </w:rPr>
      </w:pPr>
      <w:r>
        <w:rPr>
          <w:rFonts w:cs="Times New Roman"/>
          <w:szCs w:val="24"/>
        </w:rPr>
        <w:t>SIBL ensures that customers feel secure with their services and trust them fully.</w:t>
      </w:r>
    </w:p>
    <w:p w14:paraId="4AE3EDC8" w14:textId="77777777" w:rsidR="005C25E2" w:rsidRDefault="005C25E2" w:rsidP="005C25E2">
      <w:pPr>
        <w:pStyle w:val="ListParagraph"/>
        <w:numPr>
          <w:ilvl w:val="0"/>
          <w:numId w:val="41"/>
        </w:numPr>
        <w:spacing w:after="160" w:line="360" w:lineRule="auto"/>
        <w:jc w:val="both"/>
        <w:rPr>
          <w:rFonts w:cs="Times New Roman"/>
          <w:szCs w:val="24"/>
        </w:rPr>
      </w:pPr>
      <w:r>
        <w:rPr>
          <w:rFonts w:cs="Times New Roman"/>
          <w:szCs w:val="24"/>
        </w:rPr>
        <w:t>Technology:</w:t>
      </w:r>
    </w:p>
    <w:p w14:paraId="2525E8E0" w14:textId="36E3171D" w:rsidR="005C25E2" w:rsidRDefault="005C25E2" w:rsidP="005C25E2">
      <w:pPr>
        <w:pStyle w:val="ListParagraph"/>
        <w:spacing w:after="160" w:line="360" w:lineRule="auto"/>
        <w:jc w:val="both"/>
        <w:rPr>
          <w:rFonts w:cs="Times New Roman"/>
          <w:szCs w:val="24"/>
        </w:rPr>
      </w:pPr>
      <w:r>
        <w:rPr>
          <w:rFonts w:cs="Times New Roman"/>
          <w:szCs w:val="24"/>
        </w:rPr>
        <w:t xml:space="preserve"> SIBL progresses with the latest technological advancement to give their customers the easiest and efficient way to complete any functions.</w:t>
      </w:r>
    </w:p>
    <w:p w14:paraId="3A639D56" w14:textId="77777777" w:rsidR="00C22FCC" w:rsidRDefault="00C22FCC" w:rsidP="005C25E2">
      <w:pPr>
        <w:spacing w:line="360" w:lineRule="auto"/>
        <w:ind w:left="360"/>
        <w:jc w:val="both"/>
        <w:rPr>
          <w:rFonts w:cs="Times New Roman"/>
          <w:b/>
          <w:szCs w:val="24"/>
        </w:rPr>
      </w:pPr>
    </w:p>
    <w:p w14:paraId="7B8104D0" w14:textId="77777777" w:rsidR="00961EDA" w:rsidRDefault="001C1643" w:rsidP="00961EDA">
      <w:pPr>
        <w:keepNext/>
        <w:spacing w:line="360" w:lineRule="auto"/>
        <w:jc w:val="both"/>
      </w:pPr>
      <w:r w:rsidRPr="00010B33">
        <w:rPr>
          <w:rFonts w:cs="Times New Roman"/>
          <w:noProof/>
          <w:szCs w:val="24"/>
        </w:rPr>
        <w:lastRenderedPageBreak/>
        <w:drawing>
          <wp:inline distT="0" distB="0" distL="0" distR="0" wp14:anchorId="7733B938" wp14:editId="1740532C">
            <wp:extent cx="3505200" cy="485140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ganogram of SIBL.png"/>
                    <pic:cNvPicPr/>
                  </pic:nvPicPr>
                  <pic:blipFill>
                    <a:blip r:embed="rId40">
                      <a:extLst>
                        <a:ext uri="{28A0092B-C50C-407E-A947-70E740481C1C}">
                          <a14:useLocalDpi xmlns:a14="http://schemas.microsoft.com/office/drawing/2010/main" val="0"/>
                        </a:ext>
                      </a:extLst>
                    </a:blip>
                    <a:stretch>
                      <a:fillRect/>
                    </a:stretch>
                  </pic:blipFill>
                  <pic:spPr>
                    <a:xfrm>
                      <a:off x="0" y="0"/>
                      <a:ext cx="3505200" cy="4851400"/>
                    </a:xfrm>
                    <a:prstGeom prst="rect">
                      <a:avLst/>
                    </a:prstGeom>
                  </pic:spPr>
                </pic:pic>
              </a:graphicData>
            </a:graphic>
          </wp:inline>
        </w:drawing>
      </w:r>
    </w:p>
    <w:p w14:paraId="1A97BC6B" w14:textId="4ACC2F13" w:rsidR="001C1643" w:rsidRDefault="00961EDA" w:rsidP="00961EDA">
      <w:pPr>
        <w:pStyle w:val="Caption"/>
        <w:jc w:val="both"/>
        <w:rPr>
          <w:sz w:val="24"/>
          <w:szCs w:val="24"/>
        </w:rPr>
      </w:pPr>
      <w:bookmarkStart w:id="33" w:name="_Toc70724709"/>
      <w:r w:rsidRPr="00961EDA">
        <w:rPr>
          <w:sz w:val="24"/>
          <w:szCs w:val="24"/>
        </w:rPr>
        <w:t xml:space="preserve">Figure </w:t>
      </w:r>
      <w:r w:rsidRPr="00961EDA">
        <w:rPr>
          <w:sz w:val="24"/>
          <w:szCs w:val="24"/>
        </w:rPr>
        <w:fldChar w:fldCharType="begin"/>
      </w:r>
      <w:r w:rsidRPr="00961EDA">
        <w:rPr>
          <w:sz w:val="24"/>
          <w:szCs w:val="24"/>
        </w:rPr>
        <w:instrText xml:space="preserve"> SEQ Figure \* ARABIC </w:instrText>
      </w:r>
      <w:r w:rsidRPr="00961EDA">
        <w:rPr>
          <w:sz w:val="24"/>
          <w:szCs w:val="24"/>
        </w:rPr>
        <w:fldChar w:fldCharType="separate"/>
      </w:r>
      <w:r w:rsidR="00E87025">
        <w:rPr>
          <w:noProof/>
          <w:sz w:val="24"/>
          <w:szCs w:val="24"/>
        </w:rPr>
        <w:t>9</w:t>
      </w:r>
      <w:r w:rsidRPr="00961EDA">
        <w:rPr>
          <w:sz w:val="24"/>
          <w:szCs w:val="24"/>
        </w:rPr>
        <w:fldChar w:fldCharType="end"/>
      </w:r>
      <w:r w:rsidRPr="00961EDA">
        <w:rPr>
          <w:sz w:val="24"/>
          <w:szCs w:val="24"/>
        </w:rPr>
        <w:t xml:space="preserve"> Organogram of SIBL</w:t>
      </w:r>
      <w:bookmarkEnd w:id="33"/>
    </w:p>
    <w:p w14:paraId="285A4EC5" w14:textId="4F9028A9" w:rsidR="005C4462" w:rsidRPr="005C4462" w:rsidRDefault="008C4D06" w:rsidP="008C4D06">
      <w:r>
        <w:t>Figure 9 illustrate</w:t>
      </w:r>
      <w:r w:rsidR="006A5199">
        <w:t>s</w:t>
      </w:r>
      <w:r>
        <w:t xml:space="preserve"> the organogram structure of SIBL. It represents the hierarchical relationship between the employees. It’s a chain of command that start</w:t>
      </w:r>
      <w:r w:rsidR="006A5199">
        <w:t>s</w:t>
      </w:r>
      <w:r>
        <w:t xml:space="preserve"> with </w:t>
      </w:r>
      <w:r w:rsidR="006A5199">
        <w:t xml:space="preserve">the </w:t>
      </w:r>
      <w:r>
        <w:t>managing director at the top and ends with the assistant officer at the bottom</w:t>
      </w:r>
    </w:p>
    <w:p w14:paraId="4A2415FC" w14:textId="77777777" w:rsidR="00C22FCC" w:rsidRPr="00010B33" w:rsidRDefault="00C22FCC" w:rsidP="005C25E2">
      <w:pPr>
        <w:pStyle w:val="Heading2"/>
        <w:rPr>
          <w:b/>
        </w:rPr>
      </w:pPr>
      <w:bookmarkStart w:id="34" w:name="_Toc70725934"/>
      <w:r w:rsidRPr="00010B33">
        <w:t>TREND AND GROWTH</w:t>
      </w:r>
      <w:bookmarkEnd w:id="34"/>
    </w:p>
    <w:p w14:paraId="40CDB043" w14:textId="7535B1F6" w:rsidR="00A60A62" w:rsidRPr="008C4D06" w:rsidRDefault="00C22FCC" w:rsidP="005C25E2">
      <w:pPr>
        <w:spacing w:line="360" w:lineRule="auto"/>
        <w:jc w:val="both"/>
        <w:rPr>
          <w:rFonts w:cs="Times New Roman"/>
          <w:szCs w:val="24"/>
        </w:rPr>
      </w:pPr>
      <w:r w:rsidRPr="00010B33">
        <w:rPr>
          <w:rFonts w:cs="Times New Roman"/>
          <w:szCs w:val="24"/>
        </w:rPr>
        <w:t>There are several important figures to show the impact of trend and growth of SIBL it will be described as below:</w:t>
      </w:r>
    </w:p>
    <w:p w14:paraId="6C53A2AB" w14:textId="1661CBA1" w:rsidR="00F875C2" w:rsidRDefault="00C22FCC" w:rsidP="005C25E2">
      <w:pPr>
        <w:spacing w:line="360" w:lineRule="auto"/>
        <w:jc w:val="both"/>
        <w:rPr>
          <w:rFonts w:cs="Times New Roman"/>
          <w:b/>
          <w:szCs w:val="24"/>
          <w:u w:val="single"/>
        </w:rPr>
      </w:pPr>
      <w:r w:rsidRPr="00010B33">
        <w:rPr>
          <w:rFonts w:cs="Times New Roman"/>
          <w:b/>
          <w:szCs w:val="24"/>
          <w:u w:val="single"/>
        </w:rPr>
        <w:t>Business Growth:</w:t>
      </w:r>
    </w:p>
    <w:p w14:paraId="5502F23E" w14:textId="7526CB56" w:rsidR="00C22FCC" w:rsidRPr="00F875C2" w:rsidRDefault="00C22FCC" w:rsidP="005C25E2">
      <w:pPr>
        <w:spacing w:line="360" w:lineRule="auto"/>
        <w:jc w:val="both"/>
        <w:rPr>
          <w:rFonts w:cs="Times New Roman"/>
          <w:b/>
          <w:szCs w:val="24"/>
          <w:u w:val="single"/>
        </w:rPr>
      </w:pPr>
      <w:r w:rsidRPr="00010B33">
        <w:rPr>
          <w:rFonts w:cs="Times New Roman"/>
          <w:b/>
          <w:szCs w:val="24"/>
        </w:rPr>
        <w:t>Deposits</w:t>
      </w:r>
    </w:p>
    <w:p w14:paraId="70F0DCA2" w14:textId="77777777" w:rsidR="00F875C2" w:rsidRDefault="001C1643" w:rsidP="00F875C2">
      <w:pPr>
        <w:keepNext/>
        <w:spacing w:line="360" w:lineRule="auto"/>
        <w:jc w:val="both"/>
      </w:pPr>
      <w:r>
        <w:rPr>
          <w:noProof/>
        </w:rPr>
        <w:lastRenderedPageBreak/>
        <w:drawing>
          <wp:inline distT="0" distB="0" distL="0" distR="0" wp14:anchorId="6A6F5E5E" wp14:editId="19C37A1B">
            <wp:extent cx="3781425" cy="1885950"/>
            <wp:effectExtent l="0" t="0" r="9525" b="1905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6D140B83" w14:textId="48A0AE57" w:rsidR="001C1643" w:rsidRPr="00F875C2" w:rsidRDefault="00F875C2" w:rsidP="00F875C2">
      <w:pPr>
        <w:pStyle w:val="Caption"/>
        <w:jc w:val="both"/>
        <w:rPr>
          <w:rFonts w:cs="Times New Roman"/>
          <w:sz w:val="24"/>
          <w:szCs w:val="24"/>
        </w:rPr>
      </w:pPr>
      <w:bookmarkStart w:id="35" w:name="_Toc70724710"/>
      <w:r w:rsidRPr="00F875C2">
        <w:rPr>
          <w:sz w:val="24"/>
          <w:szCs w:val="24"/>
        </w:rPr>
        <w:t xml:space="preserve">Figure </w:t>
      </w:r>
      <w:r w:rsidRPr="00F875C2">
        <w:rPr>
          <w:sz w:val="24"/>
          <w:szCs w:val="24"/>
        </w:rPr>
        <w:fldChar w:fldCharType="begin"/>
      </w:r>
      <w:r w:rsidRPr="00F875C2">
        <w:rPr>
          <w:sz w:val="24"/>
          <w:szCs w:val="24"/>
        </w:rPr>
        <w:instrText xml:space="preserve"> SEQ Figure \* ARABIC </w:instrText>
      </w:r>
      <w:r w:rsidRPr="00F875C2">
        <w:rPr>
          <w:sz w:val="24"/>
          <w:szCs w:val="24"/>
        </w:rPr>
        <w:fldChar w:fldCharType="separate"/>
      </w:r>
      <w:r w:rsidR="00E87025">
        <w:rPr>
          <w:noProof/>
          <w:sz w:val="24"/>
          <w:szCs w:val="24"/>
        </w:rPr>
        <w:t>10</w:t>
      </w:r>
      <w:r w:rsidRPr="00F875C2">
        <w:rPr>
          <w:sz w:val="24"/>
          <w:szCs w:val="24"/>
        </w:rPr>
        <w:fldChar w:fldCharType="end"/>
      </w:r>
      <w:r w:rsidRPr="00F875C2">
        <w:rPr>
          <w:sz w:val="24"/>
          <w:szCs w:val="24"/>
        </w:rPr>
        <w:t xml:space="preserve"> Deposit over the years of SIBL</w:t>
      </w:r>
      <w:bookmarkEnd w:id="35"/>
    </w:p>
    <w:p w14:paraId="350A9C5F" w14:textId="6874B7EE" w:rsidR="001C1643" w:rsidRPr="001C1643" w:rsidRDefault="00C22FCC" w:rsidP="005C25E2">
      <w:pPr>
        <w:spacing w:line="360" w:lineRule="auto"/>
        <w:jc w:val="both"/>
        <w:rPr>
          <w:rFonts w:cs="Times New Roman"/>
          <w:szCs w:val="24"/>
        </w:rPr>
      </w:pPr>
      <w:r w:rsidRPr="00010B33">
        <w:rPr>
          <w:rFonts w:cs="Times New Roman"/>
          <w:szCs w:val="24"/>
        </w:rPr>
        <w:t>As we can see from figure</w:t>
      </w:r>
      <w:r w:rsidR="00A60A62">
        <w:rPr>
          <w:rFonts w:cs="Times New Roman"/>
          <w:szCs w:val="24"/>
        </w:rPr>
        <w:t xml:space="preserve"> 10,</w:t>
      </w:r>
      <w:r w:rsidRPr="00010B33">
        <w:rPr>
          <w:rFonts w:cs="Times New Roman"/>
          <w:szCs w:val="24"/>
        </w:rPr>
        <w:t xml:space="preserve"> deposits of SIBL proportionally increased over the years. From 2015 to 2018 deposits of SIBL increased proportionally around 20%. It illustrates that around those periods SIBL was able to attract new and retain customers. SIBL was able to attract new cash and new customers to its services. Therefore, the bank likely had more cash to lend which increase their earnings. Despite the fact, a loan is an asset for the bank, on the other hand, deposits are liabilities as the bank pay its financing cost to borrow money from the customer, though this cost is at a much lower rate than the bank are earned from the interest of the loan. In 2019 bank was only able to increase 8% deposits from the precedent year.</w:t>
      </w:r>
    </w:p>
    <w:p w14:paraId="581D43B6" w14:textId="71CA65BB" w:rsidR="00C22FCC" w:rsidRPr="00010B33" w:rsidRDefault="00C22FCC" w:rsidP="005C25E2">
      <w:pPr>
        <w:spacing w:line="360" w:lineRule="auto"/>
        <w:jc w:val="both"/>
        <w:rPr>
          <w:rFonts w:cs="Times New Roman"/>
          <w:b/>
          <w:szCs w:val="24"/>
        </w:rPr>
      </w:pPr>
      <w:r w:rsidRPr="00010B33">
        <w:rPr>
          <w:rFonts w:cs="Times New Roman"/>
          <w:b/>
          <w:szCs w:val="24"/>
        </w:rPr>
        <w:t>Investment:</w:t>
      </w:r>
    </w:p>
    <w:p w14:paraId="76F95C2B" w14:textId="77777777" w:rsidR="00F875C2" w:rsidRDefault="00F15E6E" w:rsidP="00F875C2">
      <w:pPr>
        <w:keepNext/>
        <w:spacing w:line="360" w:lineRule="auto"/>
        <w:jc w:val="both"/>
      </w:pPr>
      <w:r w:rsidRPr="00010B33">
        <w:rPr>
          <w:rFonts w:cs="Times New Roman"/>
          <w:noProof/>
          <w:szCs w:val="24"/>
        </w:rPr>
        <w:drawing>
          <wp:inline distT="0" distB="0" distL="0" distR="0" wp14:anchorId="64B8BE1E" wp14:editId="7B301D58">
            <wp:extent cx="4152900" cy="1933575"/>
            <wp:effectExtent l="0" t="0" r="19050" b="9525"/>
            <wp:docPr id="57" name="Chart 57"/>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75BB7BC0" w14:textId="2EC734E9" w:rsidR="00F15E6E" w:rsidRPr="00F875C2" w:rsidRDefault="00F875C2" w:rsidP="00F875C2">
      <w:pPr>
        <w:pStyle w:val="Caption"/>
        <w:jc w:val="both"/>
        <w:rPr>
          <w:rFonts w:cs="Times New Roman"/>
          <w:sz w:val="24"/>
          <w:szCs w:val="24"/>
        </w:rPr>
      </w:pPr>
      <w:bookmarkStart w:id="36" w:name="_Toc70724711"/>
      <w:r w:rsidRPr="00F875C2">
        <w:rPr>
          <w:sz w:val="24"/>
          <w:szCs w:val="24"/>
        </w:rPr>
        <w:t xml:space="preserve">Figure </w:t>
      </w:r>
      <w:r w:rsidRPr="00F875C2">
        <w:rPr>
          <w:sz w:val="24"/>
          <w:szCs w:val="24"/>
        </w:rPr>
        <w:fldChar w:fldCharType="begin"/>
      </w:r>
      <w:r w:rsidRPr="00F875C2">
        <w:rPr>
          <w:sz w:val="24"/>
          <w:szCs w:val="24"/>
        </w:rPr>
        <w:instrText xml:space="preserve"> SEQ Figure \* ARABIC </w:instrText>
      </w:r>
      <w:r w:rsidRPr="00F875C2">
        <w:rPr>
          <w:sz w:val="24"/>
          <w:szCs w:val="24"/>
        </w:rPr>
        <w:fldChar w:fldCharType="separate"/>
      </w:r>
      <w:r w:rsidR="00E87025">
        <w:rPr>
          <w:noProof/>
          <w:sz w:val="24"/>
          <w:szCs w:val="24"/>
        </w:rPr>
        <w:t>11</w:t>
      </w:r>
      <w:r w:rsidRPr="00F875C2">
        <w:rPr>
          <w:sz w:val="24"/>
          <w:szCs w:val="24"/>
        </w:rPr>
        <w:fldChar w:fldCharType="end"/>
      </w:r>
      <w:r w:rsidRPr="00F875C2">
        <w:rPr>
          <w:sz w:val="24"/>
          <w:szCs w:val="24"/>
        </w:rPr>
        <w:t xml:space="preserve"> Investment of SIBL over the years</w:t>
      </w:r>
      <w:bookmarkEnd w:id="36"/>
    </w:p>
    <w:p w14:paraId="280AE50D" w14:textId="60C10BD0" w:rsidR="00A60A62" w:rsidRPr="008C4D06" w:rsidRDefault="00C22FCC" w:rsidP="005C25E2">
      <w:pPr>
        <w:spacing w:line="360" w:lineRule="auto"/>
        <w:jc w:val="both"/>
        <w:rPr>
          <w:rFonts w:cs="Times New Roman"/>
          <w:szCs w:val="24"/>
        </w:rPr>
      </w:pPr>
      <w:r w:rsidRPr="00010B33">
        <w:rPr>
          <w:rFonts w:cs="Times New Roman"/>
          <w:szCs w:val="24"/>
        </w:rPr>
        <w:t xml:space="preserve">Investment is the process in which banks finance other businesses for their transaction. Bank as an agent earned income through commission. So, as we can see from </w:t>
      </w:r>
      <w:r w:rsidR="00A60A62">
        <w:rPr>
          <w:rFonts w:cs="Times New Roman"/>
          <w:szCs w:val="24"/>
        </w:rPr>
        <w:t>figure 11,</w:t>
      </w:r>
      <w:r w:rsidRPr="00010B33">
        <w:rPr>
          <w:rFonts w:cs="Times New Roman"/>
          <w:szCs w:val="24"/>
        </w:rPr>
        <w:t xml:space="preserve"> over the years from 2015 to 2019 there is a growth of around 121% for the bank through its investment activity. Hence, it means the bank is generating more money by </w:t>
      </w:r>
      <w:r w:rsidR="005C25E2">
        <w:rPr>
          <w:rFonts w:cs="Times New Roman"/>
          <w:szCs w:val="24"/>
        </w:rPr>
        <w:t>purchasing an asset for others</w:t>
      </w:r>
    </w:p>
    <w:p w14:paraId="72CEC31A" w14:textId="1198A552" w:rsidR="00AE3FA5" w:rsidRDefault="00AE3FA5" w:rsidP="005C25E2">
      <w:pPr>
        <w:spacing w:line="360" w:lineRule="auto"/>
        <w:jc w:val="both"/>
        <w:rPr>
          <w:rFonts w:cs="Times New Roman"/>
          <w:b/>
          <w:szCs w:val="24"/>
        </w:rPr>
      </w:pPr>
      <w:proofErr w:type="spellStart"/>
      <w:r>
        <w:rPr>
          <w:rFonts w:cs="Times New Roman"/>
          <w:b/>
          <w:szCs w:val="24"/>
        </w:rPr>
        <w:lastRenderedPageBreak/>
        <w:t>FX_Business</w:t>
      </w:r>
      <w:proofErr w:type="spellEnd"/>
      <w:r>
        <w:rPr>
          <w:rFonts w:cs="Times New Roman"/>
          <w:b/>
          <w:szCs w:val="24"/>
        </w:rPr>
        <w:t>:</w:t>
      </w:r>
    </w:p>
    <w:p w14:paraId="67F58839" w14:textId="77777777" w:rsidR="009B60EA" w:rsidRDefault="00AE3FA5" w:rsidP="009B60EA">
      <w:pPr>
        <w:keepNext/>
        <w:spacing w:line="360" w:lineRule="auto"/>
        <w:jc w:val="both"/>
      </w:pPr>
      <w:r w:rsidRPr="00010B33">
        <w:rPr>
          <w:rFonts w:cs="Times New Roman"/>
          <w:noProof/>
          <w:szCs w:val="24"/>
        </w:rPr>
        <w:drawing>
          <wp:inline distT="0" distB="0" distL="0" distR="0" wp14:anchorId="3F71A37A" wp14:editId="7FE2BA5E">
            <wp:extent cx="4876800" cy="2324100"/>
            <wp:effectExtent l="0" t="0" r="19050" b="19050"/>
            <wp:docPr id="58" name="Chart 58"/>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011FAB1E" w14:textId="77F67156" w:rsidR="00C57EFD" w:rsidRPr="009B60EA" w:rsidRDefault="009B60EA" w:rsidP="009B60EA">
      <w:pPr>
        <w:pStyle w:val="Caption"/>
        <w:jc w:val="both"/>
        <w:rPr>
          <w:rFonts w:cs="Times New Roman"/>
          <w:b w:val="0"/>
          <w:sz w:val="24"/>
          <w:szCs w:val="24"/>
        </w:rPr>
      </w:pPr>
      <w:bookmarkStart w:id="37" w:name="_Toc70724712"/>
      <w:r w:rsidRPr="009B60EA">
        <w:rPr>
          <w:sz w:val="24"/>
          <w:szCs w:val="24"/>
        </w:rPr>
        <w:t xml:space="preserve">Figure </w:t>
      </w:r>
      <w:r w:rsidRPr="009B60EA">
        <w:rPr>
          <w:sz w:val="24"/>
          <w:szCs w:val="24"/>
        </w:rPr>
        <w:fldChar w:fldCharType="begin"/>
      </w:r>
      <w:r w:rsidRPr="009B60EA">
        <w:rPr>
          <w:sz w:val="24"/>
          <w:szCs w:val="24"/>
        </w:rPr>
        <w:instrText xml:space="preserve"> SEQ Figure \* ARABIC </w:instrText>
      </w:r>
      <w:r w:rsidRPr="009B60EA">
        <w:rPr>
          <w:sz w:val="24"/>
          <w:szCs w:val="24"/>
        </w:rPr>
        <w:fldChar w:fldCharType="separate"/>
      </w:r>
      <w:r w:rsidR="00E87025">
        <w:rPr>
          <w:noProof/>
          <w:sz w:val="24"/>
          <w:szCs w:val="24"/>
        </w:rPr>
        <w:t>12</w:t>
      </w:r>
      <w:r w:rsidRPr="009B60EA">
        <w:rPr>
          <w:sz w:val="24"/>
          <w:szCs w:val="24"/>
        </w:rPr>
        <w:fldChar w:fldCharType="end"/>
      </w:r>
      <w:r w:rsidRPr="009B60EA">
        <w:rPr>
          <w:sz w:val="24"/>
          <w:szCs w:val="24"/>
        </w:rPr>
        <w:t xml:space="preserve"> FX business of SIBL over the last 5 years</w:t>
      </w:r>
      <w:bookmarkEnd w:id="37"/>
    </w:p>
    <w:p w14:paraId="36F45C51" w14:textId="2899198E" w:rsidR="0054117E" w:rsidRDefault="008C4D06" w:rsidP="005C25E2">
      <w:pPr>
        <w:spacing w:line="360" w:lineRule="auto"/>
        <w:jc w:val="both"/>
        <w:rPr>
          <w:rFonts w:cs="Times New Roman"/>
          <w:szCs w:val="24"/>
        </w:rPr>
      </w:pPr>
      <w:r>
        <w:rPr>
          <w:rFonts w:cs="Times New Roman"/>
          <w:szCs w:val="24"/>
        </w:rPr>
        <w:t xml:space="preserve">Figure 12 shows the FX </w:t>
      </w:r>
      <w:r w:rsidR="00C22FCC" w:rsidRPr="00010B33">
        <w:rPr>
          <w:rFonts w:cs="Times New Roman"/>
          <w:szCs w:val="24"/>
        </w:rPr>
        <w:t>department of the bank where it handles the foreign exchanges (also known as FX) market it is a worldwide market to exchange national currencies against one and another. Banks encourage ex exchanges for customers and participate in speculative transactions from their trading desks. As banks operate as dealers for clients, the spread of bids reflects the bank's profits. Speculation of currency sales is carried out to benefit from currency fluctuations. The aforementioned figure</w:t>
      </w:r>
      <w:r w:rsidR="00A60A62">
        <w:rPr>
          <w:rFonts w:cs="Times New Roman"/>
          <w:szCs w:val="24"/>
        </w:rPr>
        <w:t xml:space="preserve"> 12</w:t>
      </w:r>
      <w:r w:rsidR="00C22FCC" w:rsidRPr="00010B33">
        <w:rPr>
          <w:rFonts w:cs="Times New Roman"/>
          <w:szCs w:val="24"/>
        </w:rPr>
        <w:t xml:space="preserve"> illustrates</w:t>
      </w:r>
      <w:r w:rsidR="00A60A62">
        <w:rPr>
          <w:rFonts w:cs="Times New Roman"/>
          <w:szCs w:val="24"/>
        </w:rPr>
        <w:t>,</w:t>
      </w:r>
      <w:r w:rsidR="00C22FCC" w:rsidRPr="00010B33">
        <w:rPr>
          <w:rFonts w:cs="Times New Roman"/>
          <w:szCs w:val="24"/>
        </w:rPr>
        <w:t xml:space="preserve"> from 2015 to 2019 Bank has maintained a consistent hike in its FX operation.</w:t>
      </w:r>
    </w:p>
    <w:p w14:paraId="1476196D" w14:textId="77777777" w:rsidR="008C4D06" w:rsidRDefault="008C4D06" w:rsidP="005C25E2">
      <w:pPr>
        <w:spacing w:line="360" w:lineRule="auto"/>
        <w:jc w:val="both"/>
        <w:rPr>
          <w:rFonts w:cs="Times New Roman"/>
          <w:b/>
          <w:szCs w:val="24"/>
        </w:rPr>
      </w:pPr>
    </w:p>
    <w:p w14:paraId="652615BD" w14:textId="77777777" w:rsidR="00C57EFD" w:rsidRPr="0054117E" w:rsidRDefault="00C57EFD" w:rsidP="005C25E2">
      <w:pPr>
        <w:spacing w:line="360" w:lineRule="auto"/>
        <w:jc w:val="both"/>
        <w:rPr>
          <w:rFonts w:cs="Times New Roman"/>
          <w:szCs w:val="24"/>
        </w:rPr>
      </w:pPr>
      <w:r w:rsidRPr="00010B33">
        <w:rPr>
          <w:rFonts w:cs="Times New Roman"/>
          <w:b/>
          <w:szCs w:val="24"/>
        </w:rPr>
        <w:t>Profit after Tax:</w:t>
      </w:r>
    </w:p>
    <w:p w14:paraId="400F79E1" w14:textId="77777777" w:rsidR="00574C8B" w:rsidRDefault="00C57EFD" w:rsidP="00574C8B">
      <w:pPr>
        <w:keepNext/>
        <w:spacing w:line="360" w:lineRule="auto"/>
        <w:jc w:val="both"/>
      </w:pPr>
      <w:r w:rsidRPr="00010B33">
        <w:rPr>
          <w:rFonts w:cs="Times New Roman"/>
          <w:noProof/>
          <w:szCs w:val="24"/>
        </w:rPr>
        <w:drawing>
          <wp:inline distT="0" distB="0" distL="0" distR="0" wp14:anchorId="68B05809" wp14:editId="38149CAA">
            <wp:extent cx="4457700" cy="2419350"/>
            <wp:effectExtent l="0" t="0" r="19050" b="19050"/>
            <wp:docPr id="64" name="Chart 64"/>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011CD7FE" w14:textId="0C4567B9" w:rsidR="00C22FCC" w:rsidRPr="00574C8B" w:rsidRDefault="00574C8B" w:rsidP="00574C8B">
      <w:pPr>
        <w:pStyle w:val="Caption"/>
        <w:jc w:val="both"/>
        <w:rPr>
          <w:rFonts w:cs="Times New Roman"/>
          <w:sz w:val="24"/>
          <w:szCs w:val="24"/>
        </w:rPr>
      </w:pPr>
      <w:bookmarkStart w:id="38" w:name="_Toc70724713"/>
      <w:r w:rsidRPr="00574C8B">
        <w:rPr>
          <w:sz w:val="24"/>
          <w:szCs w:val="24"/>
        </w:rPr>
        <w:t xml:space="preserve">Figure </w:t>
      </w:r>
      <w:r w:rsidRPr="00574C8B">
        <w:rPr>
          <w:sz w:val="24"/>
          <w:szCs w:val="24"/>
        </w:rPr>
        <w:fldChar w:fldCharType="begin"/>
      </w:r>
      <w:r w:rsidRPr="00574C8B">
        <w:rPr>
          <w:sz w:val="24"/>
          <w:szCs w:val="24"/>
        </w:rPr>
        <w:instrText xml:space="preserve"> SEQ Figure \* ARABIC </w:instrText>
      </w:r>
      <w:r w:rsidRPr="00574C8B">
        <w:rPr>
          <w:sz w:val="24"/>
          <w:szCs w:val="24"/>
        </w:rPr>
        <w:fldChar w:fldCharType="separate"/>
      </w:r>
      <w:r w:rsidR="00E87025">
        <w:rPr>
          <w:noProof/>
          <w:sz w:val="24"/>
          <w:szCs w:val="24"/>
        </w:rPr>
        <w:t>13</w:t>
      </w:r>
      <w:r w:rsidRPr="00574C8B">
        <w:rPr>
          <w:sz w:val="24"/>
          <w:szCs w:val="24"/>
        </w:rPr>
        <w:fldChar w:fldCharType="end"/>
      </w:r>
      <w:r w:rsidRPr="00574C8B">
        <w:rPr>
          <w:sz w:val="24"/>
          <w:szCs w:val="24"/>
        </w:rPr>
        <w:t xml:space="preserve"> Profit after tax of SIBL over the last 5 years</w:t>
      </w:r>
      <w:bookmarkEnd w:id="38"/>
    </w:p>
    <w:p w14:paraId="4A96E711" w14:textId="68EF090B" w:rsidR="00C22FCC" w:rsidRPr="00010B33" w:rsidRDefault="00C22FCC" w:rsidP="005C25E2">
      <w:pPr>
        <w:spacing w:line="360" w:lineRule="auto"/>
        <w:jc w:val="both"/>
        <w:rPr>
          <w:rFonts w:cs="Times New Roman"/>
          <w:szCs w:val="24"/>
        </w:rPr>
      </w:pPr>
      <w:r w:rsidRPr="00010B33">
        <w:rPr>
          <w:rFonts w:cs="Times New Roman"/>
          <w:szCs w:val="24"/>
        </w:rPr>
        <w:lastRenderedPageBreak/>
        <w:t xml:space="preserve">The net operating profit after tax (NOPAT) is a financial measure that depicts what the bank accomplished through its core operation. As we can see from the graph, albeit of the positive trend but NOPAT for SIBL fluctuated over the years. </w:t>
      </w:r>
      <w:r w:rsidR="00A60A62">
        <w:rPr>
          <w:rFonts w:cs="Times New Roman"/>
          <w:szCs w:val="24"/>
        </w:rPr>
        <w:t>From figure 13 above we can see that, i</w:t>
      </w:r>
      <w:r w:rsidRPr="00010B33">
        <w:rPr>
          <w:rFonts w:cs="Times New Roman"/>
          <w:szCs w:val="24"/>
        </w:rPr>
        <w:t>n 2016 and 2017 NOPAT for the bank hike around 8.9% and 10.6% respectively from its precedent years. Although from 2017 to 2018 bank simulate a massive drop of 36% in its NOPAT. During the year 2019 bank was able to manage its resources efficiently and pick up its NOPAT by around 8.8% from the previous year.</w:t>
      </w:r>
    </w:p>
    <w:p w14:paraId="649023D1" w14:textId="77777777" w:rsidR="00E63BFD" w:rsidRDefault="00E63BFD" w:rsidP="005C25E2">
      <w:pPr>
        <w:spacing w:line="360" w:lineRule="auto"/>
        <w:jc w:val="both"/>
        <w:rPr>
          <w:rFonts w:cs="Times New Roman"/>
          <w:b/>
          <w:szCs w:val="24"/>
          <w:u w:val="single"/>
        </w:rPr>
      </w:pPr>
    </w:p>
    <w:p w14:paraId="1A2B4F12" w14:textId="058FB741" w:rsidR="00C22FCC" w:rsidRPr="001C1643" w:rsidRDefault="00C22FCC" w:rsidP="005C25E2">
      <w:pPr>
        <w:spacing w:line="360" w:lineRule="auto"/>
        <w:jc w:val="both"/>
        <w:rPr>
          <w:rFonts w:cs="Times New Roman"/>
          <w:b/>
          <w:szCs w:val="24"/>
          <w:u w:val="single"/>
        </w:rPr>
      </w:pPr>
      <w:r w:rsidRPr="001C1643">
        <w:rPr>
          <w:rFonts w:cs="Times New Roman"/>
          <w:b/>
          <w:szCs w:val="24"/>
          <w:u w:val="single"/>
        </w:rPr>
        <w:t>Entity Growth</w:t>
      </w:r>
    </w:p>
    <w:p w14:paraId="0A8526F4" w14:textId="77777777" w:rsidR="00C22FCC" w:rsidRPr="00010B33" w:rsidRDefault="00C22FCC" w:rsidP="005C25E2">
      <w:pPr>
        <w:spacing w:line="360" w:lineRule="auto"/>
        <w:jc w:val="both"/>
        <w:rPr>
          <w:rFonts w:cs="Times New Roman"/>
          <w:b/>
          <w:szCs w:val="24"/>
        </w:rPr>
      </w:pPr>
      <w:r w:rsidRPr="00010B33">
        <w:rPr>
          <w:rFonts w:cs="Times New Roman"/>
          <w:b/>
          <w:szCs w:val="24"/>
        </w:rPr>
        <w:t>Paid Up Capital:</w:t>
      </w:r>
    </w:p>
    <w:p w14:paraId="7ADF30A6" w14:textId="77777777" w:rsidR="005660F2" w:rsidRDefault="001C1643" w:rsidP="005660F2">
      <w:pPr>
        <w:keepNext/>
        <w:spacing w:line="360" w:lineRule="auto"/>
        <w:jc w:val="both"/>
      </w:pPr>
      <w:r w:rsidRPr="00010B33">
        <w:rPr>
          <w:rFonts w:cs="Times New Roman"/>
          <w:noProof/>
          <w:szCs w:val="24"/>
        </w:rPr>
        <w:drawing>
          <wp:inline distT="0" distB="0" distL="0" distR="0" wp14:anchorId="1AA25005" wp14:editId="09CAEA9F">
            <wp:extent cx="5676900" cy="2457450"/>
            <wp:effectExtent l="0" t="0" r="0" b="0"/>
            <wp:docPr id="65" name="Chart 65"/>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31342812" w14:textId="30A5B1F8" w:rsidR="001C1643" w:rsidRPr="005660F2" w:rsidRDefault="005660F2" w:rsidP="005660F2">
      <w:pPr>
        <w:pStyle w:val="Caption"/>
        <w:jc w:val="both"/>
        <w:rPr>
          <w:rFonts w:cs="Times New Roman"/>
          <w:sz w:val="24"/>
          <w:szCs w:val="24"/>
        </w:rPr>
      </w:pPr>
      <w:bookmarkStart w:id="39" w:name="_Toc70724714"/>
      <w:r w:rsidRPr="005660F2">
        <w:rPr>
          <w:sz w:val="24"/>
          <w:szCs w:val="24"/>
        </w:rPr>
        <w:t xml:space="preserve">Figure </w:t>
      </w:r>
      <w:r w:rsidRPr="005660F2">
        <w:rPr>
          <w:sz w:val="24"/>
          <w:szCs w:val="24"/>
        </w:rPr>
        <w:fldChar w:fldCharType="begin"/>
      </w:r>
      <w:r w:rsidRPr="005660F2">
        <w:rPr>
          <w:sz w:val="24"/>
          <w:szCs w:val="24"/>
        </w:rPr>
        <w:instrText xml:space="preserve"> SEQ Figure \* ARABIC </w:instrText>
      </w:r>
      <w:r w:rsidRPr="005660F2">
        <w:rPr>
          <w:sz w:val="24"/>
          <w:szCs w:val="24"/>
        </w:rPr>
        <w:fldChar w:fldCharType="separate"/>
      </w:r>
      <w:r w:rsidR="00E87025">
        <w:rPr>
          <w:noProof/>
          <w:sz w:val="24"/>
          <w:szCs w:val="24"/>
        </w:rPr>
        <w:t>14</w:t>
      </w:r>
      <w:r w:rsidRPr="005660F2">
        <w:rPr>
          <w:sz w:val="24"/>
          <w:szCs w:val="24"/>
        </w:rPr>
        <w:fldChar w:fldCharType="end"/>
      </w:r>
      <w:r w:rsidRPr="005660F2">
        <w:rPr>
          <w:sz w:val="24"/>
          <w:szCs w:val="24"/>
        </w:rPr>
        <w:t xml:space="preserve"> Paid</w:t>
      </w:r>
      <w:r w:rsidR="006A5199">
        <w:rPr>
          <w:sz w:val="24"/>
          <w:szCs w:val="24"/>
        </w:rPr>
        <w:t>-</w:t>
      </w:r>
      <w:r w:rsidRPr="005660F2">
        <w:rPr>
          <w:sz w:val="24"/>
          <w:szCs w:val="24"/>
        </w:rPr>
        <w:t>up capital of SIBL over the last 5 years</w:t>
      </w:r>
      <w:bookmarkEnd w:id="39"/>
    </w:p>
    <w:p w14:paraId="38F214AE" w14:textId="18333417" w:rsidR="00F97A4B" w:rsidRDefault="00F41A2C" w:rsidP="005C25E2">
      <w:pPr>
        <w:spacing w:line="360" w:lineRule="auto"/>
        <w:jc w:val="both"/>
        <w:rPr>
          <w:rFonts w:cs="Times New Roman"/>
          <w:szCs w:val="24"/>
        </w:rPr>
      </w:pPr>
      <w:r>
        <w:rPr>
          <w:rFonts w:cs="Times New Roman"/>
          <w:szCs w:val="24"/>
        </w:rPr>
        <w:t xml:space="preserve">Paid-up capital is </w:t>
      </w:r>
      <w:r w:rsidR="006A5199">
        <w:rPr>
          <w:rFonts w:cs="Times New Roman"/>
          <w:szCs w:val="24"/>
        </w:rPr>
        <w:t xml:space="preserve">a </w:t>
      </w:r>
      <w:r>
        <w:rPr>
          <w:rFonts w:cs="Times New Roman"/>
          <w:szCs w:val="24"/>
        </w:rPr>
        <w:t xml:space="preserve">benefit for the investors from their </w:t>
      </w:r>
      <w:r w:rsidR="00396E8F">
        <w:rPr>
          <w:rFonts w:cs="Times New Roman"/>
          <w:szCs w:val="24"/>
        </w:rPr>
        <w:t xml:space="preserve">portion </w:t>
      </w:r>
      <w:r>
        <w:rPr>
          <w:rFonts w:cs="Times New Roman"/>
          <w:szCs w:val="24"/>
        </w:rPr>
        <w:t xml:space="preserve">of the stock that is valued in cash. </w:t>
      </w:r>
      <w:r w:rsidR="00C22FCC" w:rsidRPr="00010B33">
        <w:rPr>
          <w:rFonts w:cs="Times New Roman"/>
          <w:szCs w:val="24"/>
        </w:rPr>
        <w:t xml:space="preserve"> Paid-up capital is generated </w:t>
      </w:r>
      <w:r>
        <w:rPr>
          <w:rFonts w:cs="Times New Roman"/>
          <w:szCs w:val="24"/>
        </w:rPr>
        <w:t xml:space="preserve">after the company explores </w:t>
      </w:r>
      <w:r w:rsidR="006A5199">
        <w:rPr>
          <w:rFonts w:cs="Times New Roman"/>
          <w:szCs w:val="24"/>
        </w:rPr>
        <w:t>its</w:t>
      </w:r>
      <w:r>
        <w:rPr>
          <w:rFonts w:cs="Times New Roman"/>
          <w:szCs w:val="24"/>
        </w:rPr>
        <w:t xml:space="preserve"> shares on </w:t>
      </w:r>
      <w:r w:rsidR="006A5199">
        <w:rPr>
          <w:rFonts w:cs="Times New Roman"/>
          <w:szCs w:val="24"/>
        </w:rPr>
        <w:t xml:space="preserve">the </w:t>
      </w:r>
      <w:r>
        <w:rPr>
          <w:rFonts w:cs="Times New Roman"/>
          <w:szCs w:val="24"/>
        </w:rPr>
        <w:t>primary market to sells its share directly to its investor,</w:t>
      </w:r>
      <w:r w:rsidR="00C22FCC" w:rsidRPr="00010B33">
        <w:rPr>
          <w:rFonts w:cs="Times New Roman"/>
          <w:szCs w:val="24"/>
        </w:rPr>
        <w:t xml:space="preserve"> typically through an initial public offering (IPO). The amount of paid-up capital of a company is the degree to which it relies on equity funding to finance its operations.</w:t>
      </w:r>
      <w:r>
        <w:rPr>
          <w:rFonts w:cs="Times New Roman"/>
          <w:szCs w:val="24"/>
        </w:rPr>
        <w:t xml:space="preserve"> </w:t>
      </w:r>
      <w:r w:rsidR="00AE15B5">
        <w:rPr>
          <w:rFonts w:cs="Times New Roman"/>
          <w:szCs w:val="24"/>
        </w:rPr>
        <w:t>Figure 14 demonstrates</w:t>
      </w:r>
      <w:r w:rsidR="00C22FCC" w:rsidRPr="00010B33">
        <w:rPr>
          <w:rFonts w:cs="Times New Roman"/>
          <w:szCs w:val="24"/>
        </w:rPr>
        <w:t xml:space="preserve"> </w:t>
      </w:r>
      <w:r w:rsidR="00AE15B5">
        <w:rPr>
          <w:rFonts w:cs="Times New Roman"/>
          <w:szCs w:val="24"/>
        </w:rPr>
        <w:t>t</w:t>
      </w:r>
      <w:r w:rsidR="00C22FCC" w:rsidRPr="00010B33">
        <w:rPr>
          <w:rFonts w:cs="Times New Roman"/>
          <w:szCs w:val="24"/>
        </w:rPr>
        <w:t>he Paid-up capital of SIBL is steady, only in the year 2019 and 2017 there was a h</w:t>
      </w:r>
      <w:r w:rsidR="0054117E">
        <w:rPr>
          <w:rFonts w:cs="Times New Roman"/>
          <w:szCs w:val="24"/>
        </w:rPr>
        <w:t>ike of 10% and 5% respectively,</w:t>
      </w:r>
    </w:p>
    <w:p w14:paraId="176AD199" w14:textId="57924186" w:rsidR="00C22FCC" w:rsidRPr="00010B33" w:rsidRDefault="00C22FCC" w:rsidP="005C25E2">
      <w:pPr>
        <w:spacing w:line="360" w:lineRule="auto"/>
        <w:jc w:val="both"/>
        <w:rPr>
          <w:rFonts w:cs="Times New Roman"/>
          <w:b/>
          <w:szCs w:val="24"/>
        </w:rPr>
      </w:pPr>
      <w:r w:rsidRPr="00010B33">
        <w:rPr>
          <w:rFonts w:cs="Times New Roman"/>
          <w:b/>
          <w:szCs w:val="24"/>
        </w:rPr>
        <w:t>Total Asset</w:t>
      </w:r>
    </w:p>
    <w:p w14:paraId="0E7199A2" w14:textId="77777777" w:rsidR="005A3BA3" w:rsidRDefault="00C22FCC" w:rsidP="005A3BA3">
      <w:pPr>
        <w:keepNext/>
        <w:spacing w:line="360" w:lineRule="auto"/>
        <w:jc w:val="both"/>
      </w:pPr>
      <w:r w:rsidRPr="00010B33">
        <w:rPr>
          <w:rFonts w:cs="Times New Roman"/>
          <w:noProof/>
          <w:szCs w:val="24"/>
        </w:rPr>
        <w:lastRenderedPageBreak/>
        <w:drawing>
          <wp:inline distT="0" distB="0" distL="0" distR="0" wp14:anchorId="60FD12D5" wp14:editId="48978677">
            <wp:extent cx="3943350" cy="2171700"/>
            <wp:effectExtent l="0" t="0" r="19050" b="19050"/>
            <wp:docPr id="66" name="Chart 66"/>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77F7AA4D" w14:textId="59A722B4" w:rsidR="00C22FCC" w:rsidRPr="005A3BA3" w:rsidRDefault="005A3BA3" w:rsidP="005A3BA3">
      <w:pPr>
        <w:pStyle w:val="Caption"/>
        <w:jc w:val="both"/>
        <w:rPr>
          <w:rFonts w:cs="Times New Roman"/>
          <w:sz w:val="24"/>
          <w:szCs w:val="24"/>
        </w:rPr>
      </w:pPr>
      <w:bookmarkStart w:id="40" w:name="_Toc70724715"/>
      <w:r w:rsidRPr="005A3BA3">
        <w:rPr>
          <w:sz w:val="24"/>
          <w:szCs w:val="24"/>
        </w:rPr>
        <w:t xml:space="preserve">Figure </w:t>
      </w:r>
      <w:r w:rsidRPr="005A3BA3">
        <w:rPr>
          <w:sz w:val="24"/>
          <w:szCs w:val="24"/>
        </w:rPr>
        <w:fldChar w:fldCharType="begin"/>
      </w:r>
      <w:r w:rsidRPr="005A3BA3">
        <w:rPr>
          <w:sz w:val="24"/>
          <w:szCs w:val="24"/>
        </w:rPr>
        <w:instrText xml:space="preserve"> SEQ Figure \* ARABIC </w:instrText>
      </w:r>
      <w:r w:rsidRPr="005A3BA3">
        <w:rPr>
          <w:sz w:val="24"/>
          <w:szCs w:val="24"/>
        </w:rPr>
        <w:fldChar w:fldCharType="separate"/>
      </w:r>
      <w:r w:rsidR="00E87025">
        <w:rPr>
          <w:noProof/>
          <w:sz w:val="24"/>
          <w:szCs w:val="24"/>
        </w:rPr>
        <w:t>15</w:t>
      </w:r>
      <w:r w:rsidRPr="005A3BA3">
        <w:rPr>
          <w:sz w:val="24"/>
          <w:szCs w:val="24"/>
        </w:rPr>
        <w:fldChar w:fldCharType="end"/>
      </w:r>
      <w:r w:rsidRPr="005A3BA3">
        <w:rPr>
          <w:sz w:val="24"/>
          <w:szCs w:val="24"/>
        </w:rPr>
        <w:t xml:space="preserve"> Total asset amount of SIBL over the last 5 years</w:t>
      </w:r>
      <w:bookmarkEnd w:id="40"/>
    </w:p>
    <w:p w14:paraId="78F71A81" w14:textId="4EDC7B86" w:rsidR="0054117E" w:rsidRPr="00F97A4B" w:rsidRDefault="00C22FCC" w:rsidP="005C25E2">
      <w:pPr>
        <w:spacing w:line="360" w:lineRule="auto"/>
        <w:jc w:val="both"/>
        <w:rPr>
          <w:rFonts w:cs="Times New Roman"/>
          <w:szCs w:val="24"/>
        </w:rPr>
      </w:pPr>
      <w:r w:rsidRPr="00010B33">
        <w:rPr>
          <w:rFonts w:cs="Times New Roman"/>
          <w:szCs w:val="24"/>
          <w:shd w:val="clear" w:color="auto" w:fill="FFFFFF"/>
        </w:rPr>
        <w:t>As figure</w:t>
      </w:r>
      <w:r w:rsidR="00BD7FF8">
        <w:rPr>
          <w:rFonts w:cs="Times New Roman"/>
          <w:szCs w:val="24"/>
          <w:shd w:val="clear" w:color="auto" w:fill="FFFFFF"/>
        </w:rPr>
        <w:t xml:space="preserve"> 15</w:t>
      </w:r>
      <w:r w:rsidRPr="00010B33">
        <w:rPr>
          <w:rFonts w:cs="Times New Roman"/>
          <w:szCs w:val="24"/>
          <w:shd w:val="clear" w:color="auto" w:fill="FFFFFF"/>
        </w:rPr>
        <w:t xml:space="preserve"> illustrate the total asset of the bank increased spontaneously by 17.15%, 26.42%, 21.36%</w:t>
      </w:r>
      <w:r w:rsidR="006A5199">
        <w:rPr>
          <w:rFonts w:cs="Times New Roman"/>
          <w:szCs w:val="24"/>
          <w:shd w:val="clear" w:color="auto" w:fill="FFFFFF"/>
        </w:rPr>
        <w:t>,</w:t>
      </w:r>
      <w:r w:rsidRPr="00010B33">
        <w:rPr>
          <w:rFonts w:cs="Times New Roman"/>
          <w:szCs w:val="24"/>
          <w:shd w:val="clear" w:color="auto" w:fill="FFFFFF"/>
        </w:rPr>
        <w:t xml:space="preserve"> and 11.20% </w:t>
      </w:r>
      <w:r w:rsidR="006A5199">
        <w:rPr>
          <w:rFonts w:cs="Times New Roman"/>
          <w:szCs w:val="24"/>
          <w:shd w:val="clear" w:color="auto" w:fill="FFFFFF"/>
        </w:rPr>
        <w:t>in</w:t>
      </w:r>
      <w:r w:rsidRPr="00010B33">
        <w:rPr>
          <w:rFonts w:cs="Times New Roman"/>
          <w:szCs w:val="24"/>
          <w:shd w:val="clear" w:color="auto" w:fill="FFFFFF"/>
        </w:rPr>
        <w:t xml:space="preserve"> the years of 2016, 2017, 2018</w:t>
      </w:r>
      <w:r w:rsidR="006A5199">
        <w:rPr>
          <w:rFonts w:cs="Times New Roman"/>
          <w:szCs w:val="24"/>
          <w:shd w:val="clear" w:color="auto" w:fill="FFFFFF"/>
        </w:rPr>
        <w:t>,</w:t>
      </w:r>
      <w:r w:rsidRPr="00010B33">
        <w:rPr>
          <w:rFonts w:cs="Times New Roman"/>
          <w:szCs w:val="24"/>
          <w:shd w:val="clear" w:color="auto" w:fill="FFFFFF"/>
        </w:rPr>
        <w:t xml:space="preserve"> and 2019 respectively from its precedent years.  </w:t>
      </w:r>
      <w:r w:rsidRPr="00010B33">
        <w:rPr>
          <w:rFonts w:cs="Times New Roman"/>
          <w:szCs w:val="24"/>
        </w:rPr>
        <w:t xml:space="preserve">Usually, expanding assets are an indication that the bank is growing, yet everybody can identify with the way that there is considerably more in the background than simply taking a gander at the assets. The objective is to decide how the asset growth </w:t>
      </w:r>
      <w:r w:rsidR="00F97A4B">
        <w:rPr>
          <w:rFonts w:cs="Times New Roman"/>
          <w:szCs w:val="24"/>
        </w:rPr>
        <w:t>of an organization is financed.</w:t>
      </w:r>
    </w:p>
    <w:p w14:paraId="24D16845" w14:textId="77777777" w:rsidR="00BD7FF8" w:rsidRDefault="00BD7FF8" w:rsidP="005C25E2">
      <w:pPr>
        <w:spacing w:line="360" w:lineRule="auto"/>
        <w:jc w:val="both"/>
        <w:rPr>
          <w:rFonts w:cs="Times New Roman"/>
          <w:b/>
          <w:szCs w:val="24"/>
          <w:shd w:val="clear" w:color="auto" w:fill="FFFFFF"/>
        </w:rPr>
      </w:pPr>
    </w:p>
    <w:p w14:paraId="0E1DC5E5" w14:textId="00570116" w:rsidR="00C22FCC" w:rsidRPr="00010B33" w:rsidRDefault="00C22FCC" w:rsidP="005C25E2">
      <w:pPr>
        <w:spacing w:line="360" w:lineRule="auto"/>
        <w:jc w:val="both"/>
        <w:rPr>
          <w:rFonts w:cs="Times New Roman"/>
          <w:b/>
          <w:szCs w:val="24"/>
          <w:shd w:val="clear" w:color="auto" w:fill="FFFFFF"/>
        </w:rPr>
      </w:pPr>
      <w:r w:rsidRPr="00010B33">
        <w:rPr>
          <w:rFonts w:cs="Times New Roman"/>
          <w:b/>
          <w:szCs w:val="24"/>
          <w:shd w:val="clear" w:color="auto" w:fill="FFFFFF"/>
        </w:rPr>
        <w:t>Total Capital:</w:t>
      </w:r>
    </w:p>
    <w:p w14:paraId="6749F194" w14:textId="77777777" w:rsidR="00F23811" w:rsidRDefault="0054117E" w:rsidP="00F23811">
      <w:pPr>
        <w:keepNext/>
        <w:spacing w:line="360" w:lineRule="auto"/>
        <w:jc w:val="both"/>
      </w:pPr>
      <w:r w:rsidRPr="00010B33">
        <w:rPr>
          <w:rFonts w:cs="Times New Roman"/>
          <w:noProof/>
          <w:szCs w:val="24"/>
        </w:rPr>
        <w:drawing>
          <wp:inline distT="0" distB="0" distL="0" distR="0" wp14:anchorId="0DC72429" wp14:editId="780E5F9D">
            <wp:extent cx="5257800" cy="2228850"/>
            <wp:effectExtent l="0" t="0" r="19050" b="19050"/>
            <wp:docPr id="67" name="Chart 67"/>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273D9E96" w14:textId="1B1A6E7E" w:rsidR="005224BC" w:rsidRPr="00F23811" w:rsidRDefault="00F23811" w:rsidP="00F23811">
      <w:pPr>
        <w:pStyle w:val="Caption"/>
        <w:jc w:val="both"/>
        <w:rPr>
          <w:rFonts w:cs="Times New Roman"/>
          <w:sz w:val="24"/>
          <w:szCs w:val="24"/>
        </w:rPr>
      </w:pPr>
      <w:bookmarkStart w:id="41" w:name="_Toc70724716"/>
      <w:r w:rsidRPr="00F23811">
        <w:rPr>
          <w:sz w:val="24"/>
          <w:szCs w:val="24"/>
        </w:rPr>
        <w:t xml:space="preserve">Figure </w:t>
      </w:r>
      <w:r w:rsidRPr="00F23811">
        <w:rPr>
          <w:sz w:val="24"/>
          <w:szCs w:val="24"/>
        </w:rPr>
        <w:fldChar w:fldCharType="begin"/>
      </w:r>
      <w:r w:rsidRPr="00F23811">
        <w:rPr>
          <w:sz w:val="24"/>
          <w:szCs w:val="24"/>
        </w:rPr>
        <w:instrText xml:space="preserve"> SEQ Figure \* ARABIC </w:instrText>
      </w:r>
      <w:r w:rsidRPr="00F23811">
        <w:rPr>
          <w:sz w:val="24"/>
          <w:szCs w:val="24"/>
        </w:rPr>
        <w:fldChar w:fldCharType="separate"/>
      </w:r>
      <w:r w:rsidR="00E87025">
        <w:rPr>
          <w:noProof/>
          <w:sz w:val="24"/>
          <w:szCs w:val="24"/>
        </w:rPr>
        <w:t>16</w:t>
      </w:r>
      <w:r w:rsidRPr="00F23811">
        <w:rPr>
          <w:sz w:val="24"/>
          <w:szCs w:val="24"/>
        </w:rPr>
        <w:fldChar w:fldCharType="end"/>
      </w:r>
      <w:r w:rsidRPr="00F23811">
        <w:rPr>
          <w:sz w:val="24"/>
          <w:szCs w:val="24"/>
        </w:rPr>
        <w:t xml:space="preserve"> Total capital amount of SIBL over the last 5 years</w:t>
      </w:r>
      <w:bookmarkEnd w:id="41"/>
    </w:p>
    <w:p w14:paraId="32AEA863" w14:textId="7439E715" w:rsidR="008C4D06" w:rsidRPr="00AB542A" w:rsidRDefault="00F41A2C" w:rsidP="005C25E2">
      <w:pPr>
        <w:spacing w:line="360" w:lineRule="auto"/>
        <w:jc w:val="both"/>
        <w:rPr>
          <w:rFonts w:cs="Times New Roman"/>
          <w:b/>
          <w:szCs w:val="24"/>
          <w:shd w:val="clear" w:color="auto" w:fill="FFFFFF"/>
        </w:rPr>
      </w:pPr>
      <w:r>
        <w:rPr>
          <w:rFonts w:cs="Times New Roman"/>
          <w:szCs w:val="24"/>
        </w:rPr>
        <w:t xml:space="preserve">Bank capital is an incentive to its investor and a primary reflection between its asset and liability. </w:t>
      </w:r>
      <w:r w:rsidR="00C22FCC" w:rsidRPr="00010B33">
        <w:rPr>
          <w:rFonts w:cs="Times New Roman"/>
          <w:szCs w:val="24"/>
        </w:rPr>
        <w:t xml:space="preserve">The purpose of the capital on the reserve is to deal with a specific measure of distress, before being in danger of getting insolvent. As the above </w:t>
      </w:r>
      <w:r w:rsidR="00BD7FF8">
        <w:rPr>
          <w:rFonts w:cs="Times New Roman"/>
          <w:szCs w:val="24"/>
        </w:rPr>
        <w:t xml:space="preserve">figure 16 </w:t>
      </w:r>
      <w:r w:rsidR="00C22FCC" w:rsidRPr="00010B33">
        <w:rPr>
          <w:rFonts w:cs="Times New Roman"/>
          <w:szCs w:val="24"/>
        </w:rPr>
        <w:t xml:space="preserve">is positively </w:t>
      </w:r>
      <w:r w:rsidR="00C22FCC" w:rsidRPr="00010B33">
        <w:rPr>
          <w:rFonts w:cs="Times New Roman"/>
          <w:szCs w:val="24"/>
        </w:rPr>
        <w:lastRenderedPageBreak/>
        <w:t>skewed it indicates banks always maintain its asset over liabilities in case of facing certain contingencies</w:t>
      </w:r>
    </w:p>
    <w:p w14:paraId="1FB90813" w14:textId="052ECE82" w:rsidR="00C22FCC" w:rsidRPr="00010B33" w:rsidRDefault="00C22FCC" w:rsidP="005C25E2">
      <w:pPr>
        <w:spacing w:line="360" w:lineRule="auto"/>
        <w:jc w:val="both"/>
        <w:rPr>
          <w:rFonts w:cs="Times New Roman"/>
          <w:b/>
          <w:szCs w:val="24"/>
        </w:rPr>
      </w:pPr>
      <w:r w:rsidRPr="00010B33">
        <w:rPr>
          <w:rFonts w:cs="Times New Roman"/>
          <w:b/>
          <w:szCs w:val="24"/>
        </w:rPr>
        <w:t>Total number of Branch and No. of employees:</w:t>
      </w:r>
    </w:p>
    <w:p w14:paraId="512C98B0" w14:textId="77777777" w:rsidR="00AD0586" w:rsidRDefault="0054117E" w:rsidP="00AD0586">
      <w:pPr>
        <w:keepNext/>
        <w:spacing w:line="360" w:lineRule="auto"/>
        <w:jc w:val="both"/>
      </w:pPr>
      <w:r w:rsidRPr="00010B33">
        <w:rPr>
          <w:rFonts w:cs="Times New Roman"/>
          <w:noProof/>
          <w:szCs w:val="24"/>
        </w:rPr>
        <w:drawing>
          <wp:inline distT="0" distB="0" distL="0" distR="0" wp14:anchorId="7217D17B" wp14:editId="5A7708D0">
            <wp:extent cx="4640580" cy="2171700"/>
            <wp:effectExtent l="0" t="0" r="26670" b="19050"/>
            <wp:docPr id="68" name="Chart 68"/>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18778038" w14:textId="6D2880DD" w:rsidR="00C22FCC" w:rsidRPr="00AD0586" w:rsidRDefault="00AD0586" w:rsidP="00AD0586">
      <w:pPr>
        <w:pStyle w:val="Caption"/>
        <w:jc w:val="both"/>
        <w:rPr>
          <w:rFonts w:cs="Times New Roman"/>
          <w:sz w:val="24"/>
          <w:szCs w:val="24"/>
        </w:rPr>
      </w:pPr>
      <w:bookmarkStart w:id="42" w:name="_Toc70724717"/>
      <w:r w:rsidRPr="00AD0586">
        <w:rPr>
          <w:sz w:val="24"/>
          <w:szCs w:val="24"/>
        </w:rPr>
        <w:t xml:space="preserve">Figure </w:t>
      </w:r>
      <w:r w:rsidRPr="00AD0586">
        <w:rPr>
          <w:sz w:val="24"/>
          <w:szCs w:val="24"/>
        </w:rPr>
        <w:fldChar w:fldCharType="begin"/>
      </w:r>
      <w:r w:rsidRPr="00AD0586">
        <w:rPr>
          <w:sz w:val="24"/>
          <w:szCs w:val="24"/>
        </w:rPr>
        <w:instrText xml:space="preserve"> SEQ Figure \* ARABIC </w:instrText>
      </w:r>
      <w:r w:rsidRPr="00AD0586">
        <w:rPr>
          <w:sz w:val="24"/>
          <w:szCs w:val="24"/>
        </w:rPr>
        <w:fldChar w:fldCharType="separate"/>
      </w:r>
      <w:r w:rsidR="00E87025">
        <w:rPr>
          <w:noProof/>
          <w:sz w:val="24"/>
          <w:szCs w:val="24"/>
        </w:rPr>
        <w:t>17</w:t>
      </w:r>
      <w:r w:rsidRPr="00AD0586">
        <w:rPr>
          <w:sz w:val="24"/>
          <w:szCs w:val="24"/>
        </w:rPr>
        <w:fldChar w:fldCharType="end"/>
      </w:r>
      <w:r w:rsidRPr="00AD0586">
        <w:rPr>
          <w:sz w:val="24"/>
          <w:szCs w:val="24"/>
        </w:rPr>
        <w:t xml:space="preserve"> Number of Branches of SIBL over the last 5 years</w:t>
      </w:r>
      <w:bookmarkEnd w:id="42"/>
    </w:p>
    <w:p w14:paraId="38AC6ECB" w14:textId="77777777" w:rsidR="00AD0586" w:rsidRDefault="00C22FCC" w:rsidP="00AD0586">
      <w:pPr>
        <w:keepNext/>
        <w:spacing w:line="360" w:lineRule="auto"/>
        <w:jc w:val="both"/>
      </w:pPr>
      <w:r w:rsidRPr="00010B33">
        <w:rPr>
          <w:rFonts w:cs="Times New Roman"/>
          <w:noProof/>
          <w:szCs w:val="24"/>
        </w:rPr>
        <w:drawing>
          <wp:inline distT="0" distB="0" distL="0" distR="0" wp14:anchorId="35E2E82F" wp14:editId="2399FA4B">
            <wp:extent cx="4572000" cy="2743200"/>
            <wp:effectExtent l="0" t="0" r="19050" b="19050"/>
            <wp:docPr id="69" name="Chart 69"/>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3B7EAA7A" w14:textId="4EE3B87A" w:rsidR="00C22FCC" w:rsidRPr="00AD0586" w:rsidRDefault="00AD0586" w:rsidP="00AD0586">
      <w:pPr>
        <w:pStyle w:val="Caption"/>
        <w:jc w:val="both"/>
        <w:rPr>
          <w:rFonts w:cs="Times New Roman"/>
          <w:sz w:val="24"/>
          <w:szCs w:val="24"/>
        </w:rPr>
      </w:pPr>
      <w:bookmarkStart w:id="43" w:name="_Toc70724718"/>
      <w:r w:rsidRPr="00AD0586">
        <w:rPr>
          <w:sz w:val="24"/>
          <w:szCs w:val="24"/>
        </w:rPr>
        <w:t xml:space="preserve">Figure </w:t>
      </w:r>
      <w:r w:rsidRPr="00AD0586">
        <w:rPr>
          <w:sz w:val="24"/>
          <w:szCs w:val="24"/>
        </w:rPr>
        <w:fldChar w:fldCharType="begin"/>
      </w:r>
      <w:r w:rsidRPr="00AD0586">
        <w:rPr>
          <w:sz w:val="24"/>
          <w:szCs w:val="24"/>
        </w:rPr>
        <w:instrText xml:space="preserve"> SEQ Figure \* ARABIC </w:instrText>
      </w:r>
      <w:r w:rsidRPr="00AD0586">
        <w:rPr>
          <w:sz w:val="24"/>
          <w:szCs w:val="24"/>
        </w:rPr>
        <w:fldChar w:fldCharType="separate"/>
      </w:r>
      <w:r w:rsidR="00E87025">
        <w:rPr>
          <w:noProof/>
          <w:sz w:val="24"/>
          <w:szCs w:val="24"/>
        </w:rPr>
        <w:t>18</w:t>
      </w:r>
      <w:r w:rsidRPr="00AD0586">
        <w:rPr>
          <w:sz w:val="24"/>
          <w:szCs w:val="24"/>
        </w:rPr>
        <w:fldChar w:fldCharType="end"/>
      </w:r>
      <w:r w:rsidRPr="00AD0586">
        <w:rPr>
          <w:sz w:val="24"/>
          <w:szCs w:val="24"/>
        </w:rPr>
        <w:t xml:space="preserve"> Number of employees of SIBL over the last 5 years</w:t>
      </w:r>
      <w:bookmarkEnd w:id="43"/>
    </w:p>
    <w:p w14:paraId="247AC989" w14:textId="5164FCD5" w:rsidR="0054117E" w:rsidRPr="00010B33" w:rsidRDefault="00BD7FF8" w:rsidP="005C25E2">
      <w:pPr>
        <w:spacing w:line="360" w:lineRule="auto"/>
        <w:jc w:val="both"/>
        <w:rPr>
          <w:rFonts w:cs="Times New Roman"/>
          <w:szCs w:val="24"/>
        </w:rPr>
      </w:pPr>
      <w:r>
        <w:rPr>
          <w:rFonts w:cs="Times New Roman"/>
          <w:szCs w:val="24"/>
        </w:rPr>
        <w:t>From figure 17 it can be seen that o</w:t>
      </w:r>
      <w:r w:rsidR="00C22FCC" w:rsidRPr="00010B33">
        <w:rPr>
          <w:rFonts w:cs="Times New Roman"/>
          <w:szCs w:val="24"/>
        </w:rPr>
        <w:t xml:space="preserve">ver the years SIBL consistently increases its number of branches to reach out to more customers and </w:t>
      </w:r>
      <w:r>
        <w:rPr>
          <w:rFonts w:cs="Times New Roman"/>
          <w:szCs w:val="24"/>
        </w:rPr>
        <w:t xml:space="preserve">from figure 18 it is </w:t>
      </w:r>
      <w:r w:rsidR="006A5199">
        <w:rPr>
          <w:rFonts w:cs="Times New Roman"/>
          <w:szCs w:val="24"/>
        </w:rPr>
        <w:t>s</w:t>
      </w:r>
      <w:r>
        <w:rPr>
          <w:rFonts w:cs="Times New Roman"/>
          <w:szCs w:val="24"/>
        </w:rPr>
        <w:t xml:space="preserve">hown that they have </w:t>
      </w:r>
      <w:r w:rsidR="00C22FCC" w:rsidRPr="00010B33">
        <w:rPr>
          <w:rFonts w:cs="Times New Roman"/>
          <w:szCs w:val="24"/>
        </w:rPr>
        <w:t>expan</w:t>
      </w:r>
      <w:r w:rsidR="006A5199">
        <w:rPr>
          <w:rFonts w:cs="Times New Roman"/>
          <w:szCs w:val="24"/>
        </w:rPr>
        <w:t>de</w:t>
      </w:r>
      <w:r w:rsidR="00C22FCC" w:rsidRPr="00010B33">
        <w:rPr>
          <w:rFonts w:cs="Times New Roman"/>
          <w:szCs w:val="24"/>
        </w:rPr>
        <w:t xml:space="preserve">d the number of employees to provide more efficient customer provide service. </w:t>
      </w:r>
    </w:p>
    <w:p w14:paraId="15924532" w14:textId="77777777" w:rsidR="00C22FCC" w:rsidRPr="00010B33" w:rsidRDefault="00C22FCC" w:rsidP="005C25E2">
      <w:pPr>
        <w:pStyle w:val="Heading2"/>
      </w:pPr>
      <w:bookmarkStart w:id="44" w:name="_Toc70725935"/>
      <w:r w:rsidRPr="00010B33">
        <w:t>CUSTOMER MIX</w:t>
      </w:r>
      <w:bookmarkEnd w:id="44"/>
    </w:p>
    <w:p w14:paraId="27753A06" w14:textId="77777777" w:rsidR="00C22FCC" w:rsidRPr="00010B33" w:rsidRDefault="00C22FCC" w:rsidP="005C25E2">
      <w:pPr>
        <w:spacing w:line="360" w:lineRule="auto"/>
        <w:jc w:val="both"/>
        <w:rPr>
          <w:rFonts w:cs="Times New Roman"/>
          <w:b/>
          <w:szCs w:val="24"/>
          <w:u w:val="single"/>
        </w:rPr>
      </w:pPr>
      <w:r w:rsidRPr="00010B33">
        <w:rPr>
          <w:rFonts w:cs="Times New Roman"/>
          <w:b/>
          <w:szCs w:val="24"/>
          <w:u w:val="single"/>
        </w:rPr>
        <w:t xml:space="preserve">Customer perception about the interest rate and profit: </w:t>
      </w:r>
    </w:p>
    <w:p w14:paraId="573FCE1F" w14:textId="77777777" w:rsidR="001B1EFE" w:rsidRPr="005D47D9" w:rsidRDefault="001B1EFE" w:rsidP="001B1EFE">
      <w:pPr>
        <w:spacing w:line="360" w:lineRule="auto"/>
        <w:jc w:val="both"/>
        <w:rPr>
          <w:rFonts w:cs="Times New Roman"/>
          <w:szCs w:val="24"/>
        </w:rPr>
      </w:pPr>
      <w:r w:rsidRPr="005D47D9">
        <w:rPr>
          <w:rFonts w:cs="Times New Roman"/>
          <w:szCs w:val="24"/>
        </w:rPr>
        <w:lastRenderedPageBreak/>
        <w:t>The view of interest rate and profit for the clients can be changing from individual to individual. Below the potential customers of SIBL has been mentioned:</w:t>
      </w:r>
    </w:p>
    <w:p w14:paraId="45D36237" w14:textId="60C66EAD" w:rsidR="001B1EFE" w:rsidRPr="005D47D9" w:rsidRDefault="001B1EFE" w:rsidP="001B1EFE">
      <w:pPr>
        <w:spacing w:line="360" w:lineRule="auto"/>
        <w:jc w:val="both"/>
        <w:rPr>
          <w:rFonts w:cs="Times New Roman"/>
          <w:szCs w:val="24"/>
        </w:rPr>
      </w:pPr>
      <w:r w:rsidRPr="00306A1B">
        <w:rPr>
          <w:rFonts w:cs="Times New Roman"/>
          <w:b/>
          <w:bCs/>
          <w:szCs w:val="24"/>
        </w:rPr>
        <w:t>Individuals who follow Islamic rules strictly:</w:t>
      </w:r>
      <w:r w:rsidR="00DA4779">
        <w:rPr>
          <w:rFonts w:cs="Times New Roman"/>
          <w:szCs w:val="24"/>
        </w:rPr>
        <w:t xml:space="preserve"> The clients with highly Islamic oriented mind believe accepting interest is prohibited find the result of speculation at Islamic banking model as a benefit for their business.</w:t>
      </w:r>
      <w:r w:rsidRPr="005D47D9">
        <w:rPr>
          <w:rFonts w:cs="Times New Roman"/>
          <w:szCs w:val="24"/>
        </w:rPr>
        <w:t xml:space="preserve"> </w:t>
      </w:r>
      <w:r w:rsidR="006A5199">
        <w:rPr>
          <w:rFonts w:cs="Times New Roman"/>
          <w:szCs w:val="24"/>
        </w:rPr>
        <w:t>T</w:t>
      </w:r>
      <w:r w:rsidRPr="005D47D9">
        <w:rPr>
          <w:rFonts w:cs="Times New Roman"/>
          <w:szCs w:val="24"/>
        </w:rPr>
        <w:t xml:space="preserve">o eliminate the possibility of doing </w:t>
      </w:r>
      <w:r w:rsidR="006A5199">
        <w:rPr>
          <w:rFonts w:cs="Times New Roman"/>
          <w:szCs w:val="24"/>
        </w:rPr>
        <w:t xml:space="preserve">a </w:t>
      </w:r>
      <w:r w:rsidRPr="005D47D9">
        <w:rPr>
          <w:rFonts w:cs="Times New Roman"/>
          <w:szCs w:val="24"/>
        </w:rPr>
        <w:t>haram majority of the customers of SIBL continue th</w:t>
      </w:r>
      <w:r w:rsidR="006F3DFB">
        <w:rPr>
          <w:rFonts w:cs="Times New Roman"/>
          <w:szCs w:val="24"/>
        </w:rPr>
        <w:t>eir banking functions with them</w:t>
      </w:r>
      <w:r w:rsidRPr="005D47D9">
        <w:rPr>
          <w:rFonts w:cs="Times New Roman"/>
          <w:szCs w:val="24"/>
        </w:rPr>
        <w:t>.</w:t>
      </w:r>
      <w:r w:rsidR="006F3DFB">
        <w:rPr>
          <w:rFonts w:cs="Times New Roman"/>
          <w:szCs w:val="24"/>
        </w:rPr>
        <w:t xml:space="preserve"> Due to the absence of interest, the client with highly Islamic values believes consider Interest as haram and outcome from the Islamic banks as </w:t>
      </w:r>
      <w:r w:rsidR="006A5199">
        <w:rPr>
          <w:rFonts w:cs="Times New Roman"/>
          <w:szCs w:val="24"/>
        </w:rPr>
        <w:t xml:space="preserve">a </w:t>
      </w:r>
      <w:r w:rsidR="006F3DFB">
        <w:rPr>
          <w:rFonts w:cs="Times New Roman"/>
          <w:szCs w:val="24"/>
        </w:rPr>
        <w:t>profit of the business.</w:t>
      </w:r>
      <w:r w:rsidRPr="005D47D9">
        <w:rPr>
          <w:rFonts w:cs="Times New Roman"/>
          <w:szCs w:val="24"/>
        </w:rPr>
        <w:t xml:space="preserve"> </w:t>
      </w:r>
      <w:r w:rsidR="006F3DFB">
        <w:rPr>
          <w:rFonts w:cs="Times New Roman"/>
          <w:szCs w:val="24"/>
        </w:rPr>
        <w:t>SIBL follows both the rules and regulation</w:t>
      </w:r>
      <w:r w:rsidR="006A5199">
        <w:rPr>
          <w:rFonts w:cs="Times New Roman"/>
          <w:szCs w:val="24"/>
        </w:rPr>
        <w:t>s</w:t>
      </w:r>
      <w:r w:rsidR="006F3DFB">
        <w:rPr>
          <w:rFonts w:cs="Times New Roman"/>
          <w:szCs w:val="24"/>
        </w:rPr>
        <w:t xml:space="preserve"> governed by </w:t>
      </w:r>
      <w:r w:rsidR="006A5199">
        <w:rPr>
          <w:rFonts w:cs="Times New Roman"/>
          <w:szCs w:val="24"/>
        </w:rPr>
        <w:t xml:space="preserve">the </w:t>
      </w:r>
      <w:r w:rsidR="006F3DFB">
        <w:rPr>
          <w:rFonts w:cs="Times New Roman"/>
          <w:szCs w:val="24"/>
        </w:rPr>
        <w:t xml:space="preserve">central bank of Bangladesh and also the Islamic business law known as </w:t>
      </w:r>
      <w:proofErr w:type="spellStart"/>
      <w:r w:rsidR="006F3DFB">
        <w:rPr>
          <w:rFonts w:cs="Times New Roman"/>
          <w:szCs w:val="24"/>
        </w:rPr>
        <w:t>Fiqh-ul-muamalat</w:t>
      </w:r>
      <w:proofErr w:type="spellEnd"/>
      <w:r w:rsidR="006F3DFB">
        <w:rPr>
          <w:rFonts w:cs="Times New Roman"/>
          <w:szCs w:val="24"/>
        </w:rPr>
        <w:t xml:space="preserve">. </w:t>
      </w:r>
      <w:r w:rsidRPr="005D47D9">
        <w:rPr>
          <w:rFonts w:cs="Times New Roman"/>
          <w:szCs w:val="24"/>
        </w:rPr>
        <w:t xml:space="preserve"> </w:t>
      </w:r>
      <w:r w:rsidR="006F3DFB">
        <w:rPr>
          <w:rFonts w:cs="Times New Roman"/>
          <w:szCs w:val="24"/>
        </w:rPr>
        <w:t xml:space="preserve">SIBL acknowledges the nature </w:t>
      </w:r>
      <w:r w:rsidR="00306BBC">
        <w:rPr>
          <w:rFonts w:cs="Times New Roman"/>
          <w:szCs w:val="24"/>
        </w:rPr>
        <w:t>time value of money and recognize</w:t>
      </w:r>
      <w:r w:rsidR="006A5199">
        <w:rPr>
          <w:rFonts w:cs="Times New Roman"/>
          <w:szCs w:val="24"/>
        </w:rPr>
        <w:t>s</w:t>
      </w:r>
      <w:r w:rsidR="00306BBC">
        <w:rPr>
          <w:rFonts w:cs="Times New Roman"/>
          <w:szCs w:val="24"/>
        </w:rPr>
        <w:t xml:space="preserve"> the value of money decreases with time. So they adjust this constraint by spending on </w:t>
      </w:r>
      <w:r w:rsidR="006A5199">
        <w:rPr>
          <w:rFonts w:cs="Times New Roman"/>
          <w:szCs w:val="24"/>
        </w:rPr>
        <w:t xml:space="preserve">a </w:t>
      </w:r>
      <w:r w:rsidR="00306BBC">
        <w:rPr>
          <w:rFonts w:cs="Times New Roman"/>
          <w:szCs w:val="24"/>
        </w:rPr>
        <w:t>project which has possible to expand by itself (in size, in progress</w:t>
      </w:r>
      <w:r w:rsidR="006A5199">
        <w:rPr>
          <w:rFonts w:cs="Times New Roman"/>
          <w:szCs w:val="24"/>
        </w:rPr>
        <w:t>,</w:t>
      </w:r>
      <w:r w:rsidR="00306BBC">
        <w:rPr>
          <w:rFonts w:cs="Times New Roman"/>
          <w:szCs w:val="24"/>
        </w:rPr>
        <w:t xml:space="preserve"> and so on). This model of business of SIBL can be attractive to the client with highly Islamic values.</w:t>
      </w:r>
    </w:p>
    <w:p w14:paraId="596BA17C" w14:textId="66E6760C" w:rsidR="001B1EFE" w:rsidRPr="005D47D9" w:rsidRDefault="001B1EFE" w:rsidP="001B1EFE">
      <w:pPr>
        <w:spacing w:line="360" w:lineRule="auto"/>
        <w:jc w:val="both"/>
        <w:rPr>
          <w:rFonts w:cs="Times New Roman"/>
          <w:szCs w:val="24"/>
        </w:rPr>
      </w:pPr>
      <w:r w:rsidRPr="00306A1B">
        <w:rPr>
          <w:rFonts w:cs="Times New Roman"/>
          <w:b/>
          <w:bCs/>
          <w:szCs w:val="24"/>
        </w:rPr>
        <w:t>Individuals who prioritize remittance flexibility:</w:t>
      </w:r>
      <w:r w:rsidRPr="005D47D9">
        <w:rPr>
          <w:rFonts w:cs="Times New Roman"/>
          <w:szCs w:val="24"/>
        </w:rPr>
        <w:t xml:space="preserve"> </w:t>
      </w:r>
      <w:r w:rsidR="006A5199">
        <w:rPr>
          <w:rFonts w:cs="Times New Roman"/>
          <w:szCs w:val="24"/>
        </w:rPr>
        <w:t>The r</w:t>
      </w:r>
      <w:r w:rsidRPr="005D47D9">
        <w:rPr>
          <w:rFonts w:cs="Times New Roman"/>
          <w:szCs w:val="24"/>
        </w:rPr>
        <w:t xml:space="preserve">emittance facility in SIBL is formable. </w:t>
      </w:r>
      <w:r w:rsidR="00306BBC" w:rsidRPr="005D47D9">
        <w:rPr>
          <w:rFonts w:cs="Times New Roman"/>
          <w:szCs w:val="24"/>
        </w:rPr>
        <w:t>Much flexibility</w:t>
      </w:r>
      <w:r w:rsidRPr="005D47D9">
        <w:rPr>
          <w:rFonts w:cs="Times New Roman"/>
          <w:szCs w:val="24"/>
        </w:rPr>
        <w:t xml:space="preserve"> </w:t>
      </w:r>
      <w:r w:rsidR="006A5199">
        <w:rPr>
          <w:rFonts w:cs="Times New Roman"/>
          <w:szCs w:val="24"/>
        </w:rPr>
        <w:t>is</w:t>
      </w:r>
      <w:r w:rsidRPr="005D47D9">
        <w:rPr>
          <w:rFonts w:cs="Times New Roman"/>
          <w:szCs w:val="24"/>
        </w:rPr>
        <w:t xml:space="preserve"> given to the customers banking with SIBL for remittance purpose</w:t>
      </w:r>
      <w:r w:rsidR="006A5199">
        <w:rPr>
          <w:rFonts w:cs="Times New Roman"/>
          <w:szCs w:val="24"/>
        </w:rPr>
        <w:t>s</w:t>
      </w:r>
      <w:r w:rsidRPr="005D47D9">
        <w:rPr>
          <w:rFonts w:cs="Times New Roman"/>
          <w:szCs w:val="24"/>
        </w:rPr>
        <w:t xml:space="preserve">. </w:t>
      </w:r>
    </w:p>
    <w:p w14:paraId="111EF328" w14:textId="480922C5" w:rsidR="001B1EFE" w:rsidRPr="005D47D9" w:rsidRDefault="001B1EFE" w:rsidP="001B1EFE">
      <w:pPr>
        <w:spacing w:line="360" w:lineRule="auto"/>
        <w:jc w:val="both"/>
        <w:rPr>
          <w:rFonts w:cs="Times New Roman"/>
          <w:szCs w:val="24"/>
        </w:rPr>
      </w:pPr>
      <w:r w:rsidRPr="00306A1B">
        <w:rPr>
          <w:rFonts w:cs="Times New Roman"/>
          <w:b/>
          <w:bCs/>
          <w:szCs w:val="24"/>
        </w:rPr>
        <w:t>Individuals supporting CSR:</w:t>
      </w:r>
      <w:r w:rsidRPr="005D47D9">
        <w:rPr>
          <w:rFonts w:cs="Times New Roman"/>
          <w:szCs w:val="24"/>
        </w:rPr>
        <w:t xml:space="preserve"> SIBL is well known for its various CSR activities, thus, the people who support </w:t>
      </w:r>
      <w:r w:rsidR="006A5199">
        <w:rPr>
          <w:rFonts w:cs="Times New Roman"/>
          <w:szCs w:val="24"/>
        </w:rPr>
        <w:t xml:space="preserve">the </w:t>
      </w:r>
      <w:r w:rsidRPr="005D47D9">
        <w:rPr>
          <w:rFonts w:cs="Times New Roman"/>
          <w:szCs w:val="24"/>
        </w:rPr>
        <w:t>wellbeing of different communities and environment</w:t>
      </w:r>
      <w:r w:rsidR="006A5199">
        <w:rPr>
          <w:rFonts w:cs="Times New Roman"/>
          <w:szCs w:val="24"/>
        </w:rPr>
        <w:t>, in general,</w:t>
      </w:r>
      <w:r w:rsidRPr="005D47D9">
        <w:rPr>
          <w:rFonts w:cs="Times New Roman"/>
          <w:szCs w:val="24"/>
        </w:rPr>
        <w:t xml:space="preserve"> prefer banking with SIBL.</w:t>
      </w:r>
    </w:p>
    <w:p w14:paraId="6B630897" w14:textId="77777777" w:rsidR="0054117E" w:rsidRPr="001B1EFE" w:rsidRDefault="001B1EFE" w:rsidP="001B1EFE">
      <w:pPr>
        <w:spacing w:line="360" w:lineRule="auto"/>
        <w:jc w:val="both"/>
        <w:rPr>
          <w:rFonts w:cs="Times New Roman"/>
          <w:szCs w:val="24"/>
        </w:rPr>
      </w:pPr>
      <w:r w:rsidRPr="00306A1B">
        <w:rPr>
          <w:rFonts w:cs="Times New Roman"/>
          <w:b/>
          <w:bCs/>
          <w:szCs w:val="24"/>
        </w:rPr>
        <w:t>Individuals who prefer joint account facilities:</w:t>
      </w:r>
      <w:r w:rsidRPr="005D47D9">
        <w:rPr>
          <w:rFonts w:cs="Times New Roman"/>
          <w:szCs w:val="24"/>
        </w:rPr>
        <w:t xml:space="preserve"> People who encourage investment in the Islamic Bank address interest rates as non-conventional business profit following the Islamic Guideline. A type of account where the account holder needs to share the profit of the investment from the account with Social Islamic Bank Ltd. (SIBL). The credit terms of this account 1, 3, 6, 12, 24 months period.</w:t>
      </w:r>
    </w:p>
    <w:p w14:paraId="514D787F" w14:textId="77777777" w:rsidR="00C22FCC" w:rsidRPr="00010B33" w:rsidRDefault="00C22FCC" w:rsidP="005C25E2">
      <w:pPr>
        <w:pStyle w:val="Heading2"/>
      </w:pPr>
      <w:bookmarkStart w:id="45" w:name="_Toc70725936"/>
      <w:r w:rsidRPr="00010B33">
        <w:t>PRODUCT AND SERVICE</w:t>
      </w:r>
      <w:bookmarkEnd w:id="45"/>
    </w:p>
    <w:p w14:paraId="7CF8A491" w14:textId="14231BAA" w:rsidR="009D7CE8" w:rsidRDefault="00306BBC" w:rsidP="005C25E2">
      <w:pPr>
        <w:spacing w:line="360" w:lineRule="auto"/>
        <w:jc w:val="both"/>
        <w:rPr>
          <w:rFonts w:cs="Times New Roman"/>
          <w:szCs w:val="24"/>
        </w:rPr>
      </w:pPr>
      <w:r w:rsidRPr="00306BBC">
        <w:rPr>
          <w:rFonts w:cs="Times New Roman"/>
          <w:szCs w:val="24"/>
        </w:rPr>
        <w:t xml:space="preserve">SIBL a business bank be liable for all conventional financial administrations, </w:t>
      </w:r>
      <w:r w:rsidR="00C22FCC" w:rsidRPr="00010B33">
        <w:rPr>
          <w:rFonts w:cs="Times New Roman"/>
          <w:szCs w:val="24"/>
        </w:rPr>
        <w:t xml:space="preserve">comprising a great diversity of savings and investment schemes products, foreign exchange, and ancillary services, </w:t>
      </w:r>
      <w:r w:rsidRPr="00306BBC">
        <w:rPr>
          <w:rFonts w:cs="Times New Roman"/>
          <w:szCs w:val="24"/>
        </w:rPr>
        <w:t>with the arrangement of cutting edge innovation and expert administration. The accompanying table 5 contains various results of the individual SIBL offices.</w:t>
      </w:r>
    </w:p>
    <w:p w14:paraId="32D2864C" w14:textId="2F807968" w:rsidR="00EB6AEB" w:rsidRPr="00EB6AEB" w:rsidRDefault="00EB6AEB" w:rsidP="00EB6AEB">
      <w:pPr>
        <w:pStyle w:val="Caption"/>
        <w:keepNext/>
        <w:jc w:val="both"/>
        <w:rPr>
          <w:sz w:val="24"/>
          <w:szCs w:val="24"/>
        </w:rPr>
      </w:pPr>
      <w:bookmarkStart w:id="46" w:name="_Toc70724688"/>
      <w:r w:rsidRPr="00EB6AEB">
        <w:rPr>
          <w:sz w:val="24"/>
          <w:szCs w:val="24"/>
        </w:rPr>
        <w:lastRenderedPageBreak/>
        <w:t xml:space="preserve">Table </w:t>
      </w:r>
      <w:r w:rsidRPr="00EB6AEB">
        <w:rPr>
          <w:sz w:val="24"/>
          <w:szCs w:val="24"/>
        </w:rPr>
        <w:fldChar w:fldCharType="begin"/>
      </w:r>
      <w:r w:rsidRPr="00EB6AEB">
        <w:rPr>
          <w:sz w:val="24"/>
          <w:szCs w:val="24"/>
        </w:rPr>
        <w:instrText xml:space="preserve"> SEQ Table \* ARABIC </w:instrText>
      </w:r>
      <w:r w:rsidRPr="00EB6AEB">
        <w:rPr>
          <w:sz w:val="24"/>
          <w:szCs w:val="24"/>
        </w:rPr>
        <w:fldChar w:fldCharType="separate"/>
      </w:r>
      <w:r w:rsidR="008D41F3">
        <w:rPr>
          <w:noProof/>
          <w:sz w:val="24"/>
          <w:szCs w:val="24"/>
        </w:rPr>
        <w:t>5</w:t>
      </w:r>
      <w:r w:rsidRPr="00EB6AEB">
        <w:rPr>
          <w:sz w:val="24"/>
          <w:szCs w:val="24"/>
        </w:rPr>
        <w:fldChar w:fldCharType="end"/>
      </w:r>
      <w:r w:rsidRPr="00EB6AEB">
        <w:rPr>
          <w:sz w:val="24"/>
          <w:szCs w:val="24"/>
        </w:rPr>
        <w:t xml:space="preserve"> Products of the respective SIBL departments</w:t>
      </w:r>
      <w:bookmarkEnd w:id="46"/>
    </w:p>
    <w:p w14:paraId="4452928E" w14:textId="77777777" w:rsidR="00AE3FA5" w:rsidRDefault="00AE3FA5" w:rsidP="005C25E2">
      <w:pPr>
        <w:spacing w:line="360" w:lineRule="auto"/>
        <w:jc w:val="both"/>
        <w:rPr>
          <w:rFonts w:cs="Times New Roman"/>
          <w:szCs w:val="24"/>
        </w:rPr>
      </w:pPr>
      <w:r>
        <w:rPr>
          <w:rFonts w:cs="Times New Roman"/>
          <w:noProof/>
          <w:szCs w:val="24"/>
        </w:rPr>
        <w:drawing>
          <wp:inline distT="0" distB="0" distL="0" distR="0" wp14:anchorId="52447815" wp14:editId="6523C3D8">
            <wp:extent cx="5943600" cy="4623435"/>
            <wp:effectExtent l="0" t="0" r="0" b="571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ducts and services.png"/>
                    <pic:cNvPicPr/>
                  </pic:nvPicPr>
                  <pic:blipFill>
                    <a:blip r:embed="rId50">
                      <a:extLst>
                        <a:ext uri="{28A0092B-C50C-407E-A947-70E740481C1C}">
                          <a14:useLocalDpi xmlns:a14="http://schemas.microsoft.com/office/drawing/2010/main" val="0"/>
                        </a:ext>
                      </a:extLst>
                    </a:blip>
                    <a:stretch>
                      <a:fillRect/>
                    </a:stretch>
                  </pic:blipFill>
                  <pic:spPr>
                    <a:xfrm>
                      <a:off x="0" y="0"/>
                      <a:ext cx="5943600" cy="4623435"/>
                    </a:xfrm>
                    <a:prstGeom prst="rect">
                      <a:avLst/>
                    </a:prstGeom>
                  </pic:spPr>
                </pic:pic>
              </a:graphicData>
            </a:graphic>
          </wp:inline>
        </w:drawing>
      </w:r>
    </w:p>
    <w:p w14:paraId="0697793E" w14:textId="77777777" w:rsidR="009D7CE8" w:rsidRDefault="009D7CE8" w:rsidP="005C25E2">
      <w:pPr>
        <w:spacing w:line="360" w:lineRule="auto"/>
        <w:jc w:val="both"/>
        <w:rPr>
          <w:rFonts w:eastAsia="Times New Roman" w:cs="Times New Roman"/>
          <w:b/>
          <w:color w:val="000000"/>
          <w:szCs w:val="24"/>
        </w:rPr>
      </w:pPr>
    </w:p>
    <w:p w14:paraId="2ECD37DD" w14:textId="748AA98D" w:rsidR="00C22FCC" w:rsidRPr="00AE3FA5" w:rsidRDefault="00AE3FA5" w:rsidP="005C25E2">
      <w:pPr>
        <w:spacing w:line="360" w:lineRule="auto"/>
        <w:jc w:val="both"/>
        <w:rPr>
          <w:rFonts w:cs="Times New Roman"/>
          <w:szCs w:val="24"/>
        </w:rPr>
      </w:pPr>
      <w:r>
        <w:rPr>
          <w:rFonts w:eastAsia="Times New Roman" w:cs="Times New Roman"/>
          <w:b/>
          <w:color w:val="000000"/>
          <w:szCs w:val="24"/>
        </w:rPr>
        <w:t>Ty</w:t>
      </w:r>
      <w:r w:rsidR="00C22FCC" w:rsidRPr="00010B33">
        <w:rPr>
          <w:rFonts w:eastAsia="Times New Roman" w:cs="Times New Roman"/>
          <w:b/>
          <w:color w:val="000000"/>
          <w:szCs w:val="24"/>
        </w:rPr>
        <w:t>pes of Deposit and other account</w:t>
      </w:r>
      <w:r>
        <w:rPr>
          <w:rFonts w:eastAsia="Times New Roman" w:cs="Times New Roman"/>
          <w:b/>
          <w:color w:val="000000"/>
          <w:szCs w:val="24"/>
        </w:rPr>
        <w:t xml:space="preserve"> offered to meet customer need-</w:t>
      </w:r>
    </w:p>
    <w:p w14:paraId="11E4F0CE" w14:textId="77777777" w:rsidR="00AE3FA5" w:rsidRDefault="00AE3FA5" w:rsidP="005C25E2">
      <w:pPr>
        <w:shd w:val="clear" w:color="auto" w:fill="FFFFFF"/>
        <w:spacing w:before="48" w:after="48" w:line="360" w:lineRule="auto"/>
        <w:jc w:val="both"/>
        <w:rPr>
          <w:rFonts w:eastAsia="Times New Roman" w:cs="Times New Roman"/>
          <w:b/>
          <w:color w:val="000000"/>
          <w:szCs w:val="24"/>
          <w:u w:val="single"/>
        </w:rPr>
      </w:pPr>
      <w:proofErr w:type="spellStart"/>
      <w:r>
        <w:rPr>
          <w:rFonts w:eastAsia="Times New Roman" w:cs="Times New Roman"/>
          <w:b/>
          <w:color w:val="000000"/>
          <w:szCs w:val="24"/>
          <w:u w:val="single"/>
        </w:rPr>
        <w:t>Mudaraba</w:t>
      </w:r>
      <w:proofErr w:type="spellEnd"/>
      <w:r>
        <w:rPr>
          <w:rFonts w:eastAsia="Times New Roman" w:cs="Times New Roman"/>
          <w:b/>
          <w:color w:val="000000"/>
          <w:szCs w:val="24"/>
          <w:u w:val="single"/>
        </w:rPr>
        <w:t xml:space="preserve"> Saving Deposit: </w:t>
      </w:r>
    </w:p>
    <w:p w14:paraId="16F6C84F" w14:textId="77777777" w:rsidR="00AE3FA5" w:rsidRDefault="00AE3FA5" w:rsidP="005C25E2">
      <w:pPr>
        <w:shd w:val="clear" w:color="auto" w:fill="FFFFFF"/>
        <w:spacing w:before="48" w:after="48" w:line="360" w:lineRule="auto"/>
        <w:jc w:val="both"/>
        <w:rPr>
          <w:rFonts w:eastAsia="Times New Roman" w:cs="Times New Roman"/>
          <w:color w:val="000000"/>
          <w:szCs w:val="24"/>
        </w:rPr>
      </w:pPr>
      <w:r>
        <w:rPr>
          <w:rFonts w:eastAsia="Times New Roman" w:cs="Times New Roman"/>
          <w:color w:val="000000"/>
          <w:szCs w:val="24"/>
        </w:rPr>
        <w:t>The money of the account can be transferred from one client to another by the means of the institution. To open the account one introducer is mandated.  One individual or multiple people can jointly open this account. The depositor can only withdraw money either twice a week or 4 times a month.</w:t>
      </w:r>
    </w:p>
    <w:p w14:paraId="146F3E64" w14:textId="77777777" w:rsidR="00AE3FA5" w:rsidRDefault="00AE3FA5" w:rsidP="005C25E2">
      <w:pPr>
        <w:shd w:val="clear" w:color="auto" w:fill="FFFFFF"/>
        <w:spacing w:before="48" w:after="48" w:line="360" w:lineRule="auto"/>
        <w:jc w:val="both"/>
        <w:rPr>
          <w:rFonts w:eastAsia="Times New Roman" w:cs="Times New Roman"/>
          <w:b/>
          <w:color w:val="000000"/>
          <w:szCs w:val="24"/>
          <w:u w:val="single"/>
        </w:rPr>
      </w:pPr>
      <w:proofErr w:type="spellStart"/>
      <w:r w:rsidRPr="00AE3FA5">
        <w:rPr>
          <w:rFonts w:eastAsia="Times New Roman" w:cs="Times New Roman"/>
          <w:b/>
          <w:color w:val="000000"/>
          <w:szCs w:val="24"/>
          <w:u w:val="single"/>
        </w:rPr>
        <w:t>Mudaraba</w:t>
      </w:r>
      <w:proofErr w:type="spellEnd"/>
      <w:r w:rsidRPr="00AE3FA5">
        <w:rPr>
          <w:rFonts w:eastAsia="Times New Roman" w:cs="Times New Roman"/>
          <w:b/>
          <w:color w:val="000000"/>
          <w:szCs w:val="24"/>
          <w:u w:val="single"/>
        </w:rPr>
        <w:t xml:space="preserve"> Term Deposit</w:t>
      </w:r>
    </w:p>
    <w:p w14:paraId="0AB944F1" w14:textId="6B540A91" w:rsidR="00AE3FA5" w:rsidRDefault="00482E01" w:rsidP="005C25E2">
      <w:pPr>
        <w:shd w:val="clear" w:color="auto" w:fill="FFFFFF"/>
        <w:spacing w:before="48" w:after="48" w:line="360" w:lineRule="auto"/>
        <w:jc w:val="both"/>
        <w:rPr>
          <w:rFonts w:ascii="Arial" w:eastAsia="Times New Roman" w:hAnsi="Arial" w:cs="Arial"/>
          <w:color w:val="000000"/>
          <w:sz w:val="26"/>
          <w:szCs w:val="26"/>
        </w:rPr>
      </w:pPr>
      <w:r>
        <w:t>A type of account in which the profit from investment is agreed upon to be share with the bank,</w:t>
      </w:r>
      <w:r w:rsidRPr="00AE3FA5">
        <w:t xml:space="preserve"> </w:t>
      </w:r>
      <w:r>
        <w:t>t</w:t>
      </w:r>
      <w:r w:rsidR="00AE3FA5" w:rsidRPr="00AE3FA5">
        <w:t>he credit terms of this account 1, 3, 6, 12, 24 months period</w:t>
      </w:r>
      <w:r w:rsidR="00572FB2">
        <w:t xml:space="preserve">. </w:t>
      </w:r>
    </w:p>
    <w:p w14:paraId="00969763" w14:textId="77777777" w:rsidR="00AE3FA5" w:rsidRPr="00AE3FA5" w:rsidRDefault="00AE3FA5" w:rsidP="005C25E2">
      <w:pPr>
        <w:rPr>
          <w:b/>
          <w:u w:val="single"/>
        </w:rPr>
      </w:pPr>
      <w:r w:rsidRPr="00AE3FA5">
        <w:rPr>
          <w:b/>
          <w:u w:val="single"/>
        </w:rPr>
        <w:t> Al Wadiah Current Deposit</w:t>
      </w:r>
    </w:p>
    <w:p w14:paraId="2C3A6F88" w14:textId="7C831EE6" w:rsidR="00AE3FA5" w:rsidRPr="00013281" w:rsidRDefault="00482E01" w:rsidP="005C25E2">
      <w:pPr>
        <w:shd w:val="clear" w:color="auto" w:fill="FFFFFF"/>
        <w:spacing w:before="48" w:after="48" w:line="360" w:lineRule="auto"/>
        <w:jc w:val="both"/>
        <w:rPr>
          <w:rFonts w:eastAsia="Times New Roman" w:cs="Times New Roman"/>
          <w:color w:val="000000"/>
          <w:szCs w:val="24"/>
        </w:rPr>
      </w:pPr>
      <w:r>
        <w:rPr>
          <w:rFonts w:eastAsia="Times New Roman" w:cs="Times New Roman"/>
          <w:color w:val="000000"/>
          <w:szCs w:val="24"/>
        </w:rPr>
        <w:lastRenderedPageBreak/>
        <w:t xml:space="preserve">Bank has the permission to use the money for investment from the account but at its own risk. </w:t>
      </w:r>
      <w:r w:rsidR="00AE3FA5" w:rsidRPr="00013281">
        <w:rPr>
          <w:rFonts w:eastAsia="Times New Roman" w:cs="Times New Roman"/>
          <w:color w:val="000000"/>
          <w:szCs w:val="24"/>
        </w:rPr>
        <w:t xml:space="preserve">The </w:t>
      </w:r>
      <w:r>
        <w:rPr>
          <w:rFonts w:eastAsia="Times New Roman" w:cs="Times New Roman"/>
          <w:color w:val="000000"/>
          <w:szCs w:val="24"/>
        </w:rPr>
        <w:t>owner of the account</w:t>
      </w:r>
      <w:r w:rsidR="00AE3FA5" w:rsidRPr="00013281">
        <w:rPr>
          <w:rFonts w:eastAsia="Times New Roman" w:cs="Times New Roman"/>
          <w:color w:val="000000"/>
          <w:szCs w:val="24"/>
        </w:rPr>
        <w:t xml:space="preserve"> </w:t>
      </w:r>
      <w:r w:rsidR="006A5199">
        <w:rPr>
          <w:rFonts w:eastAsia="Times New Roman" w:cs="Times New Roman"/>
          <w:color w:val="000000"/>
          <w:szCs w:val="24"/>
        </w:rPr>
        <w:t>bare</w:t>
      </w:r>
      <w:r>
        <w:rPr>
          <w:rFonts w:eastAsia="Times New Roman" w:cs="Times New Roman"/>
          <w:color w:val="000000"/>
          <w:szCs w:val="24"/>
        </w:rPr>
        <w:t xml:space="preserve"> neither risk nor</w:t>
      </w:r>
      <w:r w:rsidR="00AE3FA5" w:rsidRPr="00013281">
        <w:rPr>
          <w:rFonts w:eastAsia="Times New Roman" w:cs="Times New Roman"/>
          <w:color w:val="000000"/>
          <w:szCs w:val="24"/>
        </w:rPr>
        <w:t xml:space="preserve"> any return from the investment done from the account. It is a current account that can be only open with proper instruction regulated by the bank and the minimum amount deposited by the depositor.</w:t>
      </w:r>
    </w:p>
    <w:p w14:paraId="58D58195" w14:textId="77777777" w:rsidR="00AE3FA5" w:rsidRDefault="00AE3FA5" w:rsidP="005C25E2">
      <w:pPr>
        <w:shd w:val="clear" w:color="auto" w:fill="FFFFFF"/>
        <w:spacing w:before="48" w:after="48" w:line="360" w:lineRule="auto"/>
        <w:jc w:val="both"/>
        <w:rPr>
          <w:rFonts w:eastAsia="Times New Roman" w:cs="Times New Roman"/>
          <w:b/>
          <w:color w:val="000000"/>
          <w:szCs w:val="24"/>
          <w:u w:val="single"/>
        </w:rPr>
      </w:pPr>
      <w:proofErr w:type="spellStart"/>
      <w:r>
        <w:rPr>
          <w:rFonts w:eastAsia="Times New Roman" w:cs="Times New Roman"/>
          <w:b/>
          <w:color w:val="000000"/>
          <w:szCs w:val="24"/>
          <w:u w:val="single"/>
        </w:rPr>
        <w:t>Mudaraba</w:t>
      </w:r>
      <w:proofErr w:type="spellEnd"/>
      <w:r>
        <w:rPr>
          <w:rFonts w:eastAsia="Times New Roman" w:cs="Times New Roman"/>
          <w:b/>
          <w:color w:val="000000"/>
          <w:szCs w:val="24"/>
          <w:u w:val="single"/>
        </w:rPr>
        <w:t xml:space="preserve"> Deposit Scheme</w:t>
      </w:r>
    </w:p>
    <w:p w14:paraId="11D919EB" w14:textId="77777777" w:rsidR="00AE3FA5" w:rsidRPr="00AE3FA5" w:rsidRDefault="00AE3FA5" w:rsidP="005C25E2">
      <w:pPr>
        <w:shd w:val="clear" w:color="auto" w:fill="FFFFFF"/>
        <w:spacing w:before="48" w:after="48" w:line="360" w:lineRule="auto"/>
        <w:jc w:val="both"/>
        <w:rPr>
          <w:rFonts w:eastAsia="Times New Roman" w:cs="Times New Roman"/>
          <w:color w:val="000000"/>
          <w:szCs w:val="24"/>
        </w:rPr>
      </w:pPr>
      <w:r>
        <w:rPr>
          <w:rFonts w:eastAsia="Times New Roman" w:cs="Times New Roman"/>
          <w:color w:val="000000"/>
          <w:szCs w:val="24"/>
        </w:rPr>
        <w:t>There are several schemes the bank provides to satisfy some of them is as follows:</w:t>
      </w:r>
    </w:p>
    <w:p w14:paraId="50C41400" w14:textId="7A66DEFF" w:rsidR="00C149C6" w:rsidRDefault="00C149C6" w:rsidP="00C149C6">
      <w:pPr>
        <w:pStyle w:val="ListParagraph"/>
        <w:numPr>
          <w:ilvl w:val="0"/>
          <w:numId w:val="42"/>
        </w:numPr>
        <w:spacing w:after="160" w:line="360" w:lineRule="auto"/>
        <w:jc w:val="both"/>
        <w:rPr>
          <w:rFonts w:cs="Times New Roman"/>
          <w:szCs w:val="24"/>
        </w:rPr>
      </w:pPr>
      <w:proofErr w:type="spellStart"/>
      <w:r w:rsidRPr="00E45877">
        <w:rPr>
          <w:rFonts w:cs="Times New Roman"/>
          <w:b/>
          <w:bCs/>
          <w:szCs w:val="24"/>
        </w:rPr>
        <w:t>Mudaraba</w:t>
      </w:r>
      <w:proofErr w:type="spellEnd"/>
      <w:r w:rsidRPr="00E45877">
        <w:rPr>
          <w:rFonts w:cs="Times New Roman"/>
          <w:b/>
          <w:bCs/>
          <w:szCs w:val="24"/>
        </w:rPr>
        <w:t xml:space="preserve"> Pension Saving Deposit:</w:t>
      </w:r>
      <w:r>
        <w:rPr>
          <w:rFonts w:cs="Times New Roman"/>
          <w:szCs w:val="24"/>
        </w:rPr>
        <w:t xml:space="preserve"> This deposit scheme can be opened by anyone above the age of 18 years old and whose mental condition is sound. There are several monthly savings rates, e.g., Tk. 100, Tk. 400, Tk. 500 and Tk. 1000. </w:t>
      </w:r>
      <w:r w:rsidR="00482E01">
        <w:rPr>
          <w:rFonts w:cs="Times New Roman"/>
          <w:szCs w:val="24"/>
        </w:rPr>
        <w:t>In this account</w:t>
      </w:r>
      <w:r w:rsidR="006A5199">
        <w:rPr>
          <w:rFonts w:cs="Times New Roman"/>
          <w:szCs w:val="24"/>
        </w:rPr>
        <w:t>,</w:t>
      </w:r>
      <w:r w:rsidR="00482E01">
        <w:rPr>
          <w:rFonts w:cs="Times New Roman"/>
          <w:szCs w:val="24"/>
        </w:rPr>
        <w:t xml:space="preserve"> money can be deposited by the owner at a fixed rate</w:t>
      </w:r>
      <w:r>
        <w:rPr>
          <w:rFonts w:cs="Times New Roman"/>
          <w:szCs w:val="24"/>
        </w:rPr>
        <w:t xml:space="preserve"> every month until it reaches its maturity. Upon reaching its maturity the depositor gets a fair amount of money back including profit. Either the depositor can withdraw the whole amount at a time or take it out monthly until it reaches the designated time.</w:t>
      </w:r>
    </w:p>
    <w:p w14:paraId="0D4036B8" w14:textId="244D0E7F" w:rsidR="00C149C6" w:rsidRDefault="00C149C6" w:rsidP="00C149C6">
      <w:pPr>
        <w:pStyle w:val="ListParagraph"/>
        <w:numPr>
          <w:ilvl w:val="0"/>
          <w:numId w:val="42"/>
        </w:numPr>
        <w:spacing w:after="160" w:line="360" w:lineRule="auto"/>
        <w:jc w:val="both"/>
        <w:rPr>
          <w:rFonts w:cs="Times New Roman"/>
          <w:szCs w:val="24"/>
        </w:rPr>
      </w:pPr>
      <w:proofErr w:type="spellStart"/>
      <w:r w:rsidRPr="00E45877">
        <w:rPr>
          <w:rFonts w:cs="Times New Roman"/>
          <w:b/>
          <w:bCs/>
          <w:szCs w:val="24"/>
        </w:rPr>
        <w:t>Mudaraba</w:t>
      </w:r>
      <w:proofErr w:type="spellEnd"/>
      <w:r w:rsidRPr="00E45877">
        <w:rPr>
          <w:rFonts w:cs="Times New Roman"/>
          <w:b/>
          <w:bCs/>
          <w:szCs w:val="24"/>
        </w:rPr>
        <w:t xml:space="preserve"> Hajj Saving Deposit:</w:t>
      </w:r>
      <w:r>
        <w:rPr>
          <w:rFonts w:cs="Times New Roman"/>
          <w:szCs w:val="24"/>
        </w:rPr>
        <w:t xml:space="preserve"> In this scheme</w:t>
      </w:r>
      <w:r w:rsidR="006A5199">
        <w:rPr>
          <w:rFonts w:cs="Times New Roman"/>
          <w:szCs w:val="24"/>
        </w:rPr>
        <w:t>,</w:t>
      </w:r>
      <w:r>
        <w:rPr>
          <w:rFonts w:cs="Times New Roman"/>
          <w:szCs w:val="24"/>
        </w:rPr>
        <w:t xml:space="preserve"> the account holder is known as Sahib-e-</w:t>
      </w:r>
      <w:proofErr w:type="spellStart"/>
      <w:r>
        <w:rPr>
          <w:rFonts w:cs="Times New Roman"/>
          <w:szCs w:val="24"/>
        </w:rPr>
        <w:t>mal</w:t>
      </w:r>
      <w:proofErr w:type="spellEnd"/>
      <w:r>
        <w:rPr>
          <w:rFonts w:cs="Times New Roman"/>
          <w:szCs w:val="24"/>
        </w:rPr>
        <w:t xml:space="preserve"> and the bank will be a </w:t>
      </w:r>
      <w:proofErr w:type="spellStart"/>
      <w:r>
        <w:rPr>
          <w:rFonts w:cs="Times New Roman"/>
          <w:szCs w:val="24"/>
        </w:rPr>
        <w:t>Mudarib</w:t>
      </w:r>
      <w:proofErr w:type="spellEnd"/>
      <w:r>
        <w:rPr>
          <w:rFonts w:cs="Times New Roman"/>
          <w:szCs w:val="24"/>
        </w:rPr>
        <w:t>. T</w:t>
      </w:r>
      <w:r w:rsidR="006A5199">
        <w:rPr>
          <w:rFonts w:cs="Times New Roman"/>
          <w:szCs w:val="24"/>
        </w:rPr>
        <w:t>he t</w:t>
      </w:r>
      <w:r>
        <w:rPr>
          <w:rFonts w:cs="Times New Roman"/>
          <w:szCs w:val="24"/>
        </w:rPr>
        <w:t xml:space="preserve">ime of this type of scheme ranges from 1 to 20 years. </w:t>
      </w:r>
      <w:r w:rsidR="006A5199">
        <w:rPr>
          <w:rFonts w:cs="Times New Roman"/>
          <w:szCs w:val="24"/>
        </w:rPr>
        <w:t>T</w:t>
      </w:r>
      <w:r>
        <w:rPr>
          <w:rFonts w:cs="Times New Roman"/>
          <w:szCs w:val="24"/>
        </w:rPr>
        <w:t>o open this account an introducer must be present. While opening the account any sum of installment can be chosen.</w:t>
      </w:r>
      <w:r w:rsidR="00E974C7">
        <w:rPr>
          <w:rFonts w:cs="Times New Roman"/>
          <w:szCs w:val="24"/>
        </w:rPr>
        <w:t xml:space="preserve"> Although </w:t>
      </w:r>
      <w:r w:rsidR="006A5199">
        <w:rPr>
          <w:rFonts w:cs="Times New Roman"/>
          <w:szCs w:val="24"/>
        </w:rPr>
        <w:t xml:space="preserve">the </w:t>
      </w:r>
      <w:r w:rsidR="00E974C7">
        <w:rPr>
          <w:rFonts w:cs="Times New Roman"/>
          <w:szCs w:val="24"/>
        </w:rPr>
        <w:t>owner of the account can facilitate the profit before reaching maturity as per the rule of Al-Wadiah</w:t>
      </w:r>
      <w:r w:rsidR="006A5199">
        <w:rPr>
          <w:rFonts w:cs="Times New Roman"/>
          <w:szCs w:val="24"/>
        </w:rPr>
        <w:t>'s</w:t>
      </w:r>
      <w:r w:rsidR="00E974C7">
        <w:rPr>
          <w:rFonts w:cs="Times New Roman"/>
          <w:szCs w:val="24"/>
        </w:rPr>
        <w:t xml:space="preserve"> current account.</w:t>
      </w:r>
      <w:r>
        <w:rPr>
          <w:rFonts w:cs="Times New Roman"/>
          <w:szCs w:val="24"/>
        </w:rPr>
        <w:t xml:space="preserve"> However, unless the account is at least six months old, no profit will be given in that case.</w:t>
      </w:r>
    </w:p>
    <w:p w14:paraId="737FE7D7" w14:textId="746EDEFC" w:rsidR="00C22FCC" w:rsidRPr="00C149C6" w:rsidRDefault="00C149C6" w:rsidP="005C25E2">
      <w:pPr>
        <w:pStyle w:val="ListParagraph"/>
        <w:numPr>
          <w:ilvl w:val="0"/>
          <w:numId w:val="42"/>
        </w:numPr>
        <w:spacing w:after="160" w:line="360" w:lineRule="auto"/>
        <w:jc w:val="both"/>
        <w:rPr>
          <w:rFonts w:cs="Times New Roman"/>
          <w:szCs w:val="24"/>
        </w:rPr>
      </w:pPr>
      <w:proofErr w:type="spellStart"/>
      <w:r w:rsidRPr="00E45877">
        <w:rPr>
          <w:rFonts w:cs="Times New Roman"/>
          <w:b/>
          <w:bCs/>
          <w:szCs w:val="24"/>
        </w:rPr>
        <w:t>Mudaraba</w:t>
      </w:r>
      <w:proofErr w:type="spellEnd"/>
      <w:r w:rsidRPr="00E45877">
        <w:rPr>
          <w:rFonts w:cs="Times New Roman"/>
          <w:b/>
          <w:bCs/>
          <w:szCs w:val="24"/>
        </w:rPr>
        <w:t xml:space="preserve"> </w:t>
      </w:r>
      <w:proofErr w:type="spellStart"/>
      <w:r w:rsidRPr="00E45877">
        <w:rPr>
          <w:rFonts w:cs="Times New Roman"/>
          <w:b/>
          <w:bCs/>
          <w:szCs w:val="24"/>
        </w:rPr>
        <w:t>Lakhopoti</w:t>
      </w:r>
      <w:proofErr w:type="spellEnd"/>
      <w:r w:rsidRPr="00E45877">
        <w:rPr>
          <w:rFonts w:cs="Times New Roman"/>
          <w:b/>
          <w:bCs/>
          <w:szCs w:val="24"/>
        </w:rPr>
        <w:t xml:space="preserve"> Deposit Scheme:</w:t>
      </w:r>
      <w:r>
        <w:rPr>
          <w:rFonts w:cs="Times New Roman"/>
          <w:szCs w:val="24"/>
        </w:rPr>
        <w:t xml:space="preserve"> </w:t>
      </w:r>
      <w:r w:rsidR="00E974C7">
        <w:rPr>
          <w:rFonts w:cs="Times New Roman"/>
          <w:szCs w:val="24"/>
        </w:rPr>
        <w:t xml:space="preserve">A </w:t>
      </w:r>
      <w:r>
        <w:rPr>
          <w:rFonts w:cs="Times New Roman"/>
          <w:szCs w:val="24"/>
        </w:rPr>
        <w:t>type of account</w:t>
      </w:r>
      <w:r w:rsidR="00E974C7">
        <w:rPr>
          <w:rFonts w:cs="Times New Roman"/>
          <w:szCs w:val="24"/>
        </w:rPr>
        <w:t xml:space="preserve"> where the owner</w:t>
      </w:r>
      <w:r>
        <w:rPr>
          <w:rFonts w:cs="Times New Roman"/>
          <w:szCs w:val="24"/>
        </w:rPr>
        <w:t xml:space="preserve"> by choosing any of the following monthly savings’ amount; Tk. 470, Tk. 1280, Tk. 2380, Tk. 3830</w:t>
      </w:r>
      <w:r w:rsidR="00E974C7">
        <w:rPr>
          <w:rFonts w:cs="Times New Roman"/>
          <w:szCs w:val="24"/>
        </w:rPr>
        <w:t xml:space="preserve"> can open the account</w:t>
      </w:r>
      <w:r>
        <w:rPr>
          <w:rFonts w:cs="Times New Roman"/>
          <w:szCs w:val="24"/>
        </w:rPr>
        <w:t xml:space="preserve">. This scheme’s duration can range from 2,3,5 or 1o years. </w:t>
      </w:r>
      <w:r w:rsidR="00E974C7">
        <w:rPr>
          <w:rFonts w:cs="Times New Roman"/>
          <w:szCs w:val="24"/>
        </w:rPr>
        <w:t xml:space="preserve">Unless the account is closed within 6 months, the owner can consume the profit even before the maturity as per </w:t>
      </w:r>
      <w:r w:rsidR="006A5199">
        <w:rPr>
          <w:rFonts w:cs="Times New Roman"/>
          <w:szCs w:val="24"/>
        </w:rPr>
        <w:t xml:space="preserve">the </w:t>
      </w:r>
      <w:r w:rsidR="00E974C7">
        <w:rPr>
          <w:rFonts w:cs="Times New Roman"/>
          <w:szCs w:val="24"/>
        </w:rPr>
        <w:t xml:space="preserve">rule of </w:t>
      </w:r>
      <w:r w:rsidR="006A5199">
        <w:rPr>
          <w:rFonts w:cs="Times New Roman"/>
          <w:szCs w:val="24"/>
        </w:rPr>
        <w:t xml:space="preserve">the </w:t>
      </w:r>
      <w:proofErr w:type="spellStart"/>
      <w:r w:rsidR="00E974C7">
        <w:rPr>
          <w:rFonts w:cs="Times New Roman"/>
          <w:szCs w:val="24"/>
        </w:rPr>
        <w:t>Mudraba</w:t>
      </w:r>
      <w:proofErr w:type="spellEnd"/>
      <w:r w:rsidR="00E974C7">
        <w:rPr>
          <w:rFonts w:cs="Times New Roman"/>
          <w:szCs w:val="24"/>
        </w:rPr>
        <w:t xml:space="preserve"> Saving Account.</w:t>
      </w:r>
      <w:r>
        <w:rPr>
          <w:rFonts w:cs="Times New Roman"/>
          <w:szCs w:val="24"/>
        </w:rPr>
        <w:t xml:space="preserve"> If the depositor continues the scheme for 1 year, then they have the benefit to take loan up to 80% of the deposited amount from the bank</w:t>
      </w:r>
    </w:p>
    <w:p w14:paraId="0CEE0963" w14:textId="77777777" w:rsidR="00C22FCC" w:rsidRDefault="00AE3FA5" w:rsidP="005C25E2">
      <w:pPr>
        <w:spacing w:line="360" w:lineRule="auto"/>
        <w:jc w:val="both"/>
        <w:rPr>
          <w:rFonts w:cs="Times New Roman"/>
          <w:noProof/>
          <w:szCs w:val="24"/>
        </w:rPr>
      </w:pPr>
      <w:r>
        <w:rPr>
          <w:rFonts w:cs="Times New Roman"/>
          <w:noProof/>
          <w:szCs w:val="24"/>
        </w:rPr>
        <w:t>Other types of services they provide are as follows:</w:t>
      </w:r>
    </w:p>
    <w:p w14:paraId="22EACC32" w14:textId="77777777" w:rsidR="00AE3FA5" w:rsidRPr="00AE3FA5" w:rsidRDefault="00AE3FA5" w:rsidP="005C25E2">
      <w:pPr>
        <w:pStyle w:val="ListParagraph"/>
        <w:numPr>
          <w:ilvl w:val="0"/>
          <w:numId w:val="39"/>
        </w:numPr>
        <w:spacing w:line="360" w:lineRule="auto"/>
        <w:jc w:val="both"/>
        <w:rPr>
          <w:rFonts w:cs="Times New Roman"/>
          <w:noProof/>
          <w:szCs w:val="24"/>
        </w:rPr>
      </w:pPr>
      <w:r w:rsidRPr="00AE3FA5">
        <w:rPr>
          <w:rFonts w:cs="Times New Roman"/>
          <w:noProof/>
          <w:szCs w:val="24"/>
        </w:rPr>
        <w:t>Online Banking</w:t>
      </w:r>
    </w:p>
    <w:p w14:paraId="24A85A9B" w14:textId="77777777" w:rsidR="00AE3FA5" w:rsidRPr="00AE3FA5" w:rsidRDefault="00AE3FA5" w:rsidP="005C25E2">
      <w:pPr>
        <w:pStyle w:val="ListParagraph"/>
        <w:numPr>
          <w:ilvl w:val="0"/>
          <w:numId w:val="39"/>
        </w:numPr>
        <w:spacing w:line="360" w:lineRule="auto"/>
        <w:jc w:val="both"/>
        <w:rPr>
          <w:rFonts w:cs="Times New Roman"/>
          <w:noProof/>
          <w:szCs w:val="24"/>
        </w:rPr>
      </w:pPr>
      <w:r w:rsidRPr="00AE3FA5">
        <w:rPr>
          <w:rFonts w:cs="Times New Roman"/>
          <w:noProof/>
          <w:szCs w:val="24"/>
        </w:rPr>
        <w:t>ATM Service</w:t>
      </w:r>
    </w:p>
    <w:p w14:paraId="69A8A7E0" w14:textId="77777777" w:rsidR="00AE3FA5" w:rsidRPr="00C149C6" w:rsidRDefault="00AE3FA5" w:rsidP="005C25E2">
      <w:pPr>
        <w:pStyle w:val="ListParagraph"/>
        <w:numPr>
          <w:ilvl w:val="0"/>
          <w:numId w:val="39"/>
        </w:numPr>
        <w:spacing w:line="360" w:lineRule="auto"/>
        <w:jc w:val="both"/>
        <w:rPr>
          <w:rFonts w:cs="Times New Roman"/>
          <w:szCs w:val="24"/>
        </w:rPr>
      </w:pPr>
      <w:r w:rsidRPr="00AE3FA5">
        <w:rPr>
          <w:rFonts w:cs="Times New Roman"/>
          <w:noProof/>
          <w:szCs w:val="24"/>
        </w:rPr>
        <w:t>Online Banking</w:t>
      </w:r>
    </w:p>
    <w:p w14:paraId="063D25BA" w14:textId="77777777" w:rsidR="00C22FCC" w:rsidRPr="0054117E" w:rsidRDefault="00C22FCC" w:rsidP="005C25E2">
      <w:pPr>
        <w:pStyle w:val="Heading2"/>
      </w:pPr>
      <w:bookmarkStart w:id="47" w:name="_Toc70725937"/>
      <w:r w:rsidRPr="0054117E">
        <w:lastRenderedPageBreak/>
        <w:t>OPERATION</w:t>
      </w:r>
      <w:bookmarkEnd w:id="47"/>
    </w:p>
    <w:p w14:paraId="72DD12E1" w14:textId="77777777" w:rsidR="00C22FCC" w:rsidRPr="00010B33" w:rsidRDefault="00C22FCC" w:rsidP="005C25E2">
      <w:pPr>
        <w:spacing w:line="360" w:lineRule="auto"/>
        <w:jc w:val="both"/>
        <w:rPr>
          <w:rFonts w:cs="Times New Roman"/>
          <w:b/>
          <w:szCs w:val="24"/>
        </w:rPr>
      </w:pPr>
      <w:r w:rsidRPr="00010B33">
        <w:rPr>
          <w:rFonts w:cs="Times New Roman"/>
          <w:b/>
          <w:szCs w:val="24"/>
        </w:rPr>
        <w:t>Overall Operational Goal</w:t>
      </w:r>
    </w:p>
    <w:p w14:paraId="262A386D" w14:textId="631D1F95" w:rsidR="00C22FCC" w:rsidRPr="00010B33" w:rsidRDefault="00306BBC" w:rsidP="005C25E2">
      <w:pPr>
        <w:spacing w:line="360" w:lineRule="auto"/>
        <w:jc w:val="both"/>
        <w:rPr>
          <w:rFonts w:cs="Times New Roman"/>
          <w:szCs w:val="24"/>
        </w:rPr>
      </w:pPr>
      <w:r>
        <w:rPr>
          <w:rFonts w:cs="Times New Roman"/>
          <w:szCs w:val="24"/>
        </w:rPr>
        <w:t xml:space="preserve">The </w:t>
      </w:r>
      <w:r w:rsidR="001D7ED3">
        <w:rPr>
          <w:rFonts w:cs="Times New Roman"/>
          <w:szCs w:val="24"/>
        </w:rPr>
        <w:t xml:space="preserve">important goals from </w:t>
      </w:r>
      <w:r w:rsidR="006A5199">
        <w:rPr>
          <w:rFonts w:cs="Times New Roman"/>
          <w:szCs w:val="24"/>
        </w:rPr>
        <w:t xml:space="preserve">an </w:t>
      </w:r>
      <w:r w:rsidR="001D7ED3">
        <w:rPr>
          <w:rFonts w:cs="Times New Roman"/>
          <w:szCs w:val="24"/>
        </w:rPr>
        <w:t>operational perspective as follows;</w:t>
      </w:r>
    </w:p>
    <w:p w14:paraId="3787E3BF" w14:textId="6AF20E57" w:rsidR="001D7ED3" w:rsidRPr="00010B33" w:rsidRDefault="001D7ED3" w:rsidP="005C25E2">
      <w:pPr>
        <w:pStyle w:val="ListParagraph"/>
        <w:numPr>
          <w:ilvl w:val="0"/>
          <w:numId w:val="31"/>
        </w:numPr>
        <w:spacing w:line="360" w:lineRule="auto"/>
        <w:jc w:val="both"/>
        <w:rPr>
          <w:rFonts w:cs="Times New Roman"/>
          <w:szCs w:val="24"/>
        </w:rPr>
      </w:pPr>
      <w:r>
        <w:rPr>
          <w:rFonts w:cs="Times New Roman"/>
          <w:szCs w:val="24"/>
        </w:rPr>
        <w:t>SIBL wants to create better opportunities to eliminate poverty and more income opportunities for the deprived people of the nations and enhance the upcoming generation of already privileged one</w:t>
      </w:r>
      <w:r w:rsidR="006A5199">
        <w:rPr>
          <w:rFonts w:cs="Times New Roman"/>
          <w:szCs w:val="24"/>
        </w:rPr>
        <w:t>s</w:t>
      </w:r>
      <w:r>
        <w:rPr>
          <w:rFonts w:cs="Times New Roman"/>
          <w:szCs w:val="24"/>
        </w:rPr>
        <w:t>.</w:t>
      </w:r>
    </w:p>
    <w:p w14:paraId="01317FCD" w14:textId="6850A208" w:rsidR="001D7ED3" w:rsidRPr="00010B33" w:rsidRDefault="001D7ED3" w:rsidP="001D7ED3">
      <w:pPr>
        <w:pStyle w:val="ListParagraph"/>
        <w:numPr>
          <w:ilvl w:val="0"/>
          <w:numId w:val="31"/>
        </w:numPr>
        <w:spacing w:line="360" w:lineRule="auto"/>
        <w:jc w:val="both"/>
        <w:rPr>
          <w:rFonts w:cs="Times New Roman"/>
          <w:szCs w:val="24"/>
        </w:rPr>
      </w:pPr>
      <w:r>
        <w:rPr>
          <w:rFonts w:cs="Times New Roman"/>
          <w:szCs w:val="24"/>
        </w:rPr>
        <w:t xml:space="preserve">Contributing to the economy will bring harmony and provide social protection for </w:t>
      </w:r>
      <w:r w:rsidR="006A5199">
        <w:rPr>
          <w:rFonts w:cs="Times New Roman"/>
          <w:szCs w:val="24"/>
        </w:rPr>
        <w:t xml:space="preserve">the </w:t>
      </w:r>
      <w:r>
        <w:rPr>
          <w:rFonts w:cs="Times New Roman"/>
          <w:szCs w:val="24"/>
        </w:rPr>
        <w:t>general public.</w:t>
      </w:r>
    </w:p>
    <w:p w14:paraId="1B4C038F" w14:textId="77777777" w:rsidR="00C22FCC" w:rsidRPr="00010B33" w:rsidRDefault="00C22FCC" w:rsidP="005C25E2">
      <w:pPr>
        <w:spacing w:line="360" w:lineRule="auto"/>
        <w:jc w:val="both"/>
        <w:rPr>
          <w:rFonts w:cs="Times New Roman"/>
          <w:b/>
          <w:szCs w:val="24"/>
        </w:rPr>
      </w:pPr>
      <w:r w:rsidRPr="00010B33">
        <w:rPr>
          <w:rFonts w:cs="Times New Roman"/>
          <w:b/>
          <w:szCs w:val="24"/>
        </w:rPr>
        <w:t>Objective of SIBL</w:t>
      </w:r>
    </w:p>
    <w:p w14:paraId="4E314397" w14:textId="77777777" w:rsidR="00C22FCC" w:rsidRPr="00010B33" w:rsidRDefault="00C22FCC" w:rsidP="005C25E2">
      <w:pPr>
        <w:spacing w:line="360" w:lineRule="auto"/>
        <w:jc w:val="both"/>
        <w:rPr>
          <w:rFonts w:cs="Times New Roman"/>
          <w:szCs w:val="24"/>
        </w:rPr>
      </w:pPr>
      <w:r w:rsidRPr="00010B33">
        <w:rPr>
          <w:rFonts w:cs="Times New Roman"/>
          <w:szCs w:val="24"/>
        </w:rPr>
        <w:t>The primary objective of SIBL is to maximize profit through consumer loyalty. SIBL has confirmed the most profit by delivering the most effective and enhanced client service together with other corporate products mentioned below:</w:t>
      </w:r>
    </w:p>
    <w:p w14:paraId="52FACC00" w14:textId="77777777" w:rsidR="00C22FCC" w:rsidRPr="00010B33" w:rsidRDefault="00C22FCC" w:rsidP="005C25E2">
      <w:pPr>
        <w:pStyle w:val="ListParagraph"/>
        <w:numPr>
          <w:ilvl w:val="0"/>
          <w:numId w:val="31"/>
        </w:numPr>
        <w:spacing w:line="360" w:lineRule="auto"/>
        <w:jc w:val="both"/>
        <w:rPr>
          <w:rFonts w:cs="Times New Roman"/>
          <w:szCs w:val="24"/>
        </w:rPr>
      </w:pPr>
      <w:r w:rsidRPr="00010B33">
        <w:rPr>
          <w:rFonts w:cs="Times New Roman"/>
          <w:szCs w:val="24"/>
        </w:rPr>
        <w:t>Providing clients with the simplest quality facilities and outcomes</w:t>
      </w:r>
    </w:p>
    <w:p w14:paraId="7A70F529" w14:textId="77777777" w:rsidR="00C22FCC" w:rsidRPr="00010B33" w:rsidRDefault="00C22FCC" w:rsidP="005C25E2">
      <w:pPr>
        <w:pStyle w:val="ListParagraph"/>
        <w:numPr>
          <w:ilvl w:val="0"/>
          <w:numId w:val="31"/>
        </w:numPr>
        <w:spacing w:line="360" w:lineRule="auto"/>
        <w:jc w:val="both"/>
        <w:rPr>
          <w:rFonts w:cs="Times New Roman"/>
          <w:szCs w:val="24"/>
        </w:rPr>
      </w:pPr>
      <w:r w:rsidRPr="00010B33">
        <w:rPr>
          <w:rFonts w:cs="Times New Roman"/>
          <w:szCs w:val="24"/>
        </w:rPr>
        <w:t>To continue with the elevated expectation of corporate and business ethics</w:t>
      </w:r>
    </w:p>
    <w:p w14:paraId="5A7A2BF1" w14:textId="77777777" w:rsidR="00C22FCC" w:rsidRPr="00010B33" w:rsidRDefault="00C22FCC" w:rsidP="005C25E2">
      <w:pPr>
        <w:pStyle w:val="ListParagraph"/>
        <w:numPr>
          <w:ilvl w:val="0"/>
          <w:numId w:val="31"/>
        </w:numPr>
        <w:spacing w:line="360" w:lineRule="auto"/>
        <w:jc w:val="both"/>
        <w:rPr>
          <w:rFonts w:cs="Times New Roman"/>
          <w:szCs w:val="24"/>
        </w:rPr>
      </w:pPr>
      <w:r w:rsidRPr="00010B33">
        <w:rPr>
          <w:rFonts w:cs="Times New Roman"/>
          <w:szCs w:val="24"/>
        </w:rPr>
        <w:t>To be the utmost productive bank in terms of the applying of technology</w:t>
      </w:r>
    </w:p>
    <w:p w14:paraId="1BF494BE" w14:textId="77777777" w:rsidR="00C22FCC" w:rsidRPr="00010B33" w:rsidRDefault="00C22FCC" w:rsidP="005C25E2">
      <w:pPr>
        <w:pStyle w:val="ListParagraph"/>
        <w:numPr>
          <w:ilvl w:val="0"/>
          <w:numId w:val="31"/>
        </w:numPr>
        <w:spacing w:line="360" w:lineRule="auto"/>
        <w:jc w:val="both"/>
        <w:rPr>
          <w:rFonts w:cs="Times New Roman"/>
          <w:szCs w:val="24"/>
        </w:rPr>
      </w:pPr>
      <w:r w:rsidRPr="00010B33">
        <w:rPr>
          <w:rFonts w:cs="Times New Roman"/>
          <w:szCs w:val="24"/>
        </w:rPr>
        <w:t>To contribute towards the event of capital</w:t>
      </w:r>
    </w:p>
    <w:p w14:paraId="10FB0ED9" w14:textId="77777777" w:rsidR="00C22FCC" w:rsidRPr="00010B33" w:rsidRDefault="00C22FCC" w:rsidP="005C25E2">
      <w:pPr>
        <w:pStyle w:val="ListParagraph"/>
        <w:numPr>
          <w:ilvl w:val="0"/>
          <w:numId w:val="31"/>
        </w:numPr>
        <w:spacing w:line="360" w:lineRule="auto"/>
        <w:jc w:val="both"/>
        <w:rPr>
          <w:rFonts w:cs="Times New Roman"/>
          <w:szCs w:val="24"/>
        </w:rPr>
      </w:pPr>
      <w:r w:rsidRPr="00010B33">
        <w:rPr>
          <w:rFonts w:cs="Times New Roman"/>
          <w:szCs w:val="24"/>
        </w:rPr>
        <w:t>Aiming for maintainable profit and well-adjusted growth</w:t>
      </w:r>
    </w:p>
    <w:p w14:paraId="0A755BCC" w14:textId="77777777" w:rsidR="00C22FCC" w:rsidRPr="00010B33" w:rsidRDefault="00C22FCC" w:rsidP="005C25E2">
      <w:pPr>
        <w:pStyle w:val="ListParagraph"/>
        <w:numPr>
          <w:ilvl w:val="0"/>
          <w:numId w:val="31"/>
        </w:numPr>
        <w:spacing w:line="360" w:lineRule="auto"/>
        <w:jc w:val="both"/>
        <w:rPr>
          <w:rFonts w:cs="Times New Roman"/>
          <w:szCs w:val="24"/>
        </w:rPr>
      </w:pPr>
      <w:r w:rsidRPr="00010B33">
        <w:rPr>
          <w:rFonts w:cs="Times New Roman"/>
          <w:szCs w:val="24"/>
        </w:rPr>
        <w:t>To worth and regard the clients and continue the agreeable banker-customer relationship</w:t>
      </w:r>
    </w:p>
    <w:p w14:paraId="4963B93F" w14:textId="2C52A43E" w:rsidR="00431D2E" w:rsidRDefault="00C22FCC" w:rsidP="00431D2E">
      <w:pPr>
        <w:pStyle w:val="ListParagraph"/>
        <w:numPr>
          <w:ilvl w:val="0"/>
          <w:numId w:val="31"/>
        </w:numPr>
        <w:spacing w:line="360" w:lineRule="auto"/>
        <w:jc w:val="both"/>
        <w:rPr>
          <w:rFonts w:cs="Times New Roman"/>
          <w:szCs w:val="24"/>
        </w:rPr>
      </w:pPr>
      <w:r w:rsidRPr="00010B33">
        <w:rPr>
          <w:rFonts w:cs="Times New Roman"/>
          <w:szCs w:val="24"/>
        </w:rPr>
        <w:t xml:space="preserve">To accomplish and continue the leading domestic market position in both </w:t>
      </w:r>
      <w:r w:rsidR="008C4D06">
        <w:rPr>
          <w:rFonts w:cs="Times New Roman"/>
          <w:szCs w:val="24"/>
        </w:rPr>
        <w:t>client and company finance are</w:t>
      </w:r>
      <w:r w:rsidR="00431D2E">
        <w:rPr>
          <w:rFonts w:cs="Times New Roman"/>
          <w:szCs w:val="24"/>
        </w:rPr>
        <w:t>a.</w:t>
      </w:r>
    </w:p>
    <w:p w14:paraId="0C68DDBE" w14:textId="11C68593" w:rsidR="00C22FCC" w:rsidRPr="00431D2E" w:rsidRDefault="00C22FCC" w:rsidP="00431D2E">
      <w:pPr>
        <w:pStyle w:val="Heading2"/>
      </w:pPr>
      <w:bookmarkStart w:id="48" w:name="_Toc70725938"/>
      <w:r w:rsidRPr="00010B33">
        <w:lastRenderedPageBreak/>
        <w:t>SWOT ANALYSIS</w:t>
      </w:r>
      <w:bookmarkEnd w:id="48"/>
    </w:p>
    <w:p w14:paraId="481A0052" w14:textId="77777777" w:rsidR="00C41A6C" w:rsidRDefault="00B8127A" w:rsidP="00C41A6C">
      <w:pPr>
        <w:keepNext/>
        <w:spacing w:line="360" w:lineRule="auto"/>
        <w:jc w:val="both"/>
      </w:pPr>
      <w:r w:rsidRPr="00010B33">
        <w:rPr>
          <w:rFonts w:cs="Times New Roman"/>
          <w:b/>
          <w:noProof/>
          <w:szCs w:val="24"/>
        </w:rPr>
        <w:drawing>
          <wp:inline distT="0" distB="0" distL="0" distR="0" wp14:anchorId="7F10E682" wp14:editId="281D22F1">
            <wp:extent cx="4115374" cy="3658111"/>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WOT analysis.png"/>
                    <pic:cNvPicPr/>
                  </pic:nvPicPr>
                  <pic:blipFill>
                    <a:blip r:embed="rId51">
                      <a:extLst>
                        <a:ext uri="{28A0092B-C50C-407E-A947-70E740481C1C}">
                          <a14:useLocalDpi xmlns:a14="http://schemas.microsoft.com/office/drawing/2010/main" val="0"/>
                        </a:ext>
                      </a:extLst>
                    </a:blip>
                    <a:stretch>
                      <a:fillRect/>
                    </a:stretch>
                  </pic:blipFill>
                  <pic:spPr>
                    <a:xfrm>
                      <a:off x="0" y="0"/>
                      <a:ext cx="4115374" cy="3658111"/>
                    </a:xfrm>
                    <a:prstGeom prst="rect">
                      <a:avLst/>
                    </a:prstGeom>
                  </pic:spPr>
                </pic:pic>
              </a:graphicData>
            </a:graphic>
          </wp:inline>
        </w:drawing>
      </w:r>
    </w:p>
    <w:p w14:paraId="2E0F6910" w14:textId="5FCA7830" w:rsidR="00C22FCC" w:rsidRPr="00C41A6C" w:rsidRDefault="00C41A6C" w:rsidP="00C41A6C">
      <w:pPr>
        <w:pStyle w:val="Caption"/>
        <w:jc w:val="both"/>
        <w:rPr>
          <w:rFonts w:cs="Times New Roman"/>
          <w:b w:val="0"/>
          <w:sz w:val="24"/>
          <w:szCs w:val="24"/>
        </w:rPr>
      </w:pPr>
      <w:bookmarkStart w:id="49" w:name="_Toc70724719"/>
      <w:r w:rsidRPr="00C41A6C">
        <w:rPr>
          <w:sz w:val="24"/>
          <w:szCs w:val="24"/>
        </w:rPr>
        <w:t xml:space="preserve">Figure </w:t>
      </w:r>
      <w:r w:rsidRPr="00C41A6C">
        <w:rPr>
          <w:sz w:val="24"/>
          <w:szCs w:val="24"/>
        </w:rPr>
        <w:fldChar w:fldCharType="begin"/>
      </w:r>
      <w:r w:rsidRPr="00C41A6C">
        <w:rPr>
          <w:sz w:val="24"/>
          <w:szCs w:val="24"/>
        </w:rPr>
        <w:instrText xml:space="preserve"> SEQ Figure \* ARABIC </w:instrText>
      </w:r>
      <w:r w:rsidRPr="00C41A6C">
        <w:rPr>
          <w:sz w:val="24"/>
          <w:szCs w:val="24"/>
        </w:rPr>
        <w:fldChar w:fldCharType="separate"/>
      </w:r>
      <w:r w:rsidR="00E87025">
        <w:rPr>
          <w:noProof/>
          <w:sz w:val="24"/>
          <w:szCs w:val="24"/>
        </w:rPr>
        <w:t>19</w:t>
      </w:r>
      <w:r w:rsidRPr="00C41A6C">
        <w:rPr>
          <w:sz w:val="24"/>
          <w:szCs w:val="24"/>
        </w:rPr>
        <w:fldChar w:fldCharType="end"/>
      </w:r>
      <w:r w:rsidRPr="00C41A6C">
        <w:rPr>
          <w:sz w:val="24"/>
          <w:szCs w:val="24"/>
        </w:rPr>
        <w:t xml:space="preserve"> SWOT analysis of SIBL</w:t>
      </w:r>
      <w:bookmarkEnd w:id="49"/>
    </w:p>
    <w:p w14:paraId="128EA487" w14:textId="77777777" w:rsidR="00C22FCC" w:rsidRPr="00010B33" w:rsidRDefault="00C22FCC" w:rsidP="005C25E2">
      <w:pPr>
        <w:spacing w:line="360" w:lineRule="auto"/>
        <w:jc w:val="both"/>
        <w:rPr>
          <w:rFonts w:cs="Times New Roman"/>
          <w:b/>
          <w:szCs w:val="24"/>
          <w:u w:val="single"/>
        </w:rPr>
      </w:pPr>
      <w:r w:rsidRPr="00010B33">
        <w:rPr>
          <w:rFonts w:cs="Times New Roman"/>
          <w:b/>
          <w:szCs w:val="24"/>
          <w:u w:val="single"/>
        </w:rPr>
        <w:t>STRENGTH</w:t>
      </w:r>
    </w:p>
    <w:p w14:paraId="054A8572" w14:textId="77777777" w:rsidR="00C22FCC" w:rsidRPr="00010B33" w:rsidRDefault="00C22FCC" w:rsidP="005C25E2">
      <w:pPr>
        <w:spacing w:line="360" w:lineRule="auto"/>
        <w:jc w:val="both"/>
        <w:rPr>
          <w:rFonts w:cs="Times New Roman"/>
          <w:szCs w:val="24"/>
        </w:rPr>
      </w:pPr>
      <w:r w:rsidRPr="00010B33">
        <w:rPr>
          <w:rFonts w:cs="Times New Roman"/>
          <w:b/>
          <w:szCs w:val="24"/>
        </w:rPr>
        <w:t>Honest and Dependable employees</w:t>
      </w:r>
      <w:r w:rsidRPr="00010B33">
        <w:rPr>
          <w:rFonts w:cs="Times New Roman"/>
          <w:szCs w:val="24"/>
        </w:rPr>
        <w:t xml:space="preserve">: All employees of the SIBL are reliable and trustworthy. They </w:t>
      </w:r>
      <w:r w:rsidR="00F97A4B">
        <w:rPr>
          <w:rFonts w:cs="Times New Roman"/>
          <w:szCs w:val="24"/>
        </w:rPr>
        <w:t>hav</w:t>
      </w:r>
      <w:r w:rsidRPr="00010B33">
        <w:rPr>
          <w:rFonts w:cs="Times New Roman"/>
          <w:szCs w:val="24"/>
        </w:rPr>
        <w:t>e constantly committed themselves to the customers for better client service.</w:t>
      </w:r>
    </w:p>
    <w:p w14:paraId="16EE14F3" w14:textId="0CD01313" w:rsidR="00C22FCC" w:rsidRPr="00010B33" w:rsidRDefault="00C22FCC" w:rsidP="005C25E2">
      <w:pPr>
        <w:spacing w:line="360" w:lineRule="auto"/>
        <w:jc w:val="both"/>
        <w:rPr>
          <w:rFonts w:cs="Times New Roman"/>
          <w:szCs w:val="24"/>
        </w:rPr>
      </w:pPr>
      <w:r w:rsidRPr="00010B33">
        <w:rPr>
          <w:rFonts w:cs="Times New Roman"/>
          <w:b/>
          <w:szCs w:val="24"/>
        </w:rPr>
        <w:t>People's religious sentiments</w:t>
      </w:r>
      <w:r w:rsidRPr="00010B33">
        <w:rPr>
          <w:rFonts w:cs="Times New Roman"/>
          <w:szCs w:val="24"/>
        </w:rPr>
        <w:t>.</w:t>
      </w:r>
      <w:r w:rsidR="00AA0956">
        <w:rPr>
          <w:rFonts w:cs="Times New Roman"/>
          <w:szCs w:val="24"/>
        </w:rPr>
        <w:t xml:space="preserve"> Bangladesh is a Muslim nation country and most of the people consider interest as a Haram. Therefore they prefer to choose an Islamic bank over </w:t>
      </w:r>
      <w:r w:rsidR="006A5199">
        <w:rPr>
          <w:rFonts w:cs="Times New Roman"/>
          <w:szCs w:val="24"/>
        </w:rPr>
        <w:t xml:space="preserve">a </w:t>
      </w:r>
      <w:r w:rsidR="00AA0956">
        <w:rPr>
          <w:rFonts w:cs="Times New Roman"/>
          <w:szCs w:val="24"/>
        </w:rPr>
        <w:t>conventional one. SIBL being one of the leading banks of the structure always provide service maintaining Shariah-based principle as well as the laws and regulation governed by the central banks.</w:t>
      </w:r>
    </w:p>
    <w:p w14:paraId="46A65A09" w14:textId="2578837D" w:rsidR="00C22FCC" w:rsidRPr="00010B33" w:rsidRDefault="00C22FCC" w:rsidP="005C25E2">
      <w:pPr>
        <w:spacing w:line="360" w:lineRule="auto"/>
        <w:jc w:val="both"/>
        <w:rPr>
          <w:rFonts w:cs="Times New Roman"/>
          <w:szCs w:val="24"/>
        </w:rPr>
      </w:pPr>
      <w:r w:rsidRPr="00010B33">
        <w:rPr>
          <w:rFonts w:cs="Times New Roman"/>
          <w:b/>
          <w:szCs w:val="24"/>
        </w:rPr>
        <w:t>Sufficient fund</w:t>
      </w:r>
      <w:r w:rsidRPr="00010B33">
        <w:rPr>
          <w:rFonts w:cs="Times New Roman"/>
          <w:szCs w:val="24"/>
        </w:rPr>
        <w:t>: Social Islami Bank Ltd. has sufficient fund</w:t>
      </w:r>
      <w:r w:rsidR="00F97A4B">
        <w:rPr>
          <w:rFonts w:cs="Times New Roman"/>
          <w:szCs w:val="24"/>
        </w:rPr>
        <w:t>s</w:t>
      </w:r>
      <w:r w:rsidRPr="00010B33">
        <w:rPr>
          <w:rFonts w:cs="Times New Roman"/>
          <w:szCs w:val="24"/>
        </w:rPr>
        <w:t xml:space="preserve">. That is the reason; they don’t need </w:t>
      </w:r>
      <w:r w:rsidR="00AA0956">
        <w:rPr>
          <w:rFonts w:cs="Times New Roman"/>
          <w:szCs w:val="24"/>
        </w:rPr>
        <w:t xml:space="preserve">to go outside and borrow money from external sources such as </w:t>
      </w:r>
      <w:r w:rsidR="006A5199">
        <w:rPr>
          <w:rFonts w:cs="Times New Roman"/>
          <w:szCs w:val="24"/>
        </w:rPr>
        <w:t xml:space="preserve">the </w:t>
      </w:r>
      <w:r w:rsidR="00AA0956">
        <w:rPr>
          <w:rFonts w:cs="Times New Roman"/>
          <w:szCs w:val="24"/>
        </w:rPr>
        <w:t>central bank or several others from the industry.</w:t>
      </w:r>
    </w:p>
    <w:p w14:paraId="75A35648" w14:textId="36404D75" w:rsidR="00B85448" w:rsidRPr="00431D2E" w:rsidRDefault="00AA0956" w:rsidP="005C25E2">
      <w:pPr>
        <w:spacing w:line="360" w:lineRule="auto"/>
        <w:jc w:val="both"/>
        <w:rPr>
          <w:rFonts w:cs="Times New Roman"/>
          <w:szCs w:val="24"/>
        </w:rPr>
      </w:pPr>
      <w:r>
        <w:rPr>
          <w:rFonts w:cs="Times New Roman"/>
          <w:b/>
          <w:szCs w:val="24"/>
        </w:rPr>
        <w:t>Availability o</w:t>
      </w:r>
      <w:r w:rsidR="006A5199">
        <w:rPr>
          <w:rFonts w:cs="Times New Roman"/>
          <w:b/>
          <w:szCs w:val="24"/>
        </w:rPr>
        <w:t>f</w:t>
      </w:r>
      <w:r>
        <w:rPr>
          <w:rFonts w:cs="Times New Roman"/>
          <w:b/>
          <w:szCs w:val="24"/>
        </w:rPr>
        <w:t xml:space="preserve"> investment financing</w:t>
      </w:r>
      <w:r w:rsidR="00C22FCC" w:rsidRPr="00010B33">
        <w:rPr>
          <w:rFonts w:cs="Times New Roman"/>
          <w:szCs w:val="24"/>
        </w:rPr>
        <w:t xml:space="preserve">: </w:t>
      </w:r>
      <w:r>
        <w:rPr>
          <w:rFonts w:cs="Times New Roman"/>
          <w:szCs w:val="24"/>
        </w:rPr>
        <w:t>SIBL always reserve</w:t>
      </w:r>
      <w:r w:rsidR="006A5199">
        <w:rPr>
          <w:rFonts w:cs="Times New Roman"/>
          <w:szCs w:val="24"/>
        </w:rPr>
        <w:t>s</w:t>
      </w:r>
      <w:r>
        <w:rPr>
          <w:rFonts w:cs="Times New Roman"/>
          <w:szCs w:val="24"/>
        </w:rPr>
        <w:t xml:space="preserve"> adequate fund</w:t>
      </w:r>
      <w:r w:rsidR="006A5199">
        <w:rPr>
          <w:rFonts w:cs="Times New Roman"/>
          <w:szCs w:val="24"/>
        </w:rPr>
        <w:t>s</w:t>
      </w:r>
      <w:r>
        <w:rPr>
          <w:rFonts w:cs="Times New Roman"/>
          <w:szCs w:val="24"/>
        </w:rPr>
        <w:t xml:space="preserve"> so they can provide finance on investment services. SIBL maintain their investment services quite highly productive to gain </w:t>
      </w:r>
      <w:r w:rsidR="006A5199">
        <w:rPr>
          <w:rFonts w:cs="Times New Roman"/>
          <w:szCs w:val="24"/>
        </w:rPr>
        <w:t xml:space="preserve">a </w:t>
      </w:r>
      <w:r>
        <w:rPr>
          <w:rFonts w:cs="Times New Roman"/>
          <w:szCs w:val="24"/>
        </w:rPr>
        <w:t xml:space="preserve">competitive advantage </w:t>
      </w:r>
      <w:r w:rsidR="006A5199">
        <w:rPr>
          <w:rFonts w:cs="Times New Roman"/>
          <w:szCs w:val="24"/>
        </w:rPr>
        <w:t>over</w:t>
      </w:r>
      <w:r>
        <w:rPr>
          <w:rFonts w:cs="Times New Roman"/>
          <w:szCs w:val="24"/>
        </w:rPr>
        <w:t xml:space="preserve"> any other bank </w:t>
      </w:r>
      <w:r w:rsidR="006A5199">
        <w:rPr>
          <w:rFonts w:cs="Times New Roman"/>
          <w:szCs w:val="24"/>
        </w:rPr>
        <w:t>in</w:t>
      </w:r>
      <w:r>
        <w:rPr>
          <w:rFonts w:cs="Times New Roman"/>
          <w:szCs w:val="24"/>
        </w:rPr>
        <w:t xml:space="preserve"> the industry.</w:t>
      </w:r>
    </w:p>
    <w:p w14:paraId="7A4D2FAB" w14:textId="635CAE9B" w:rsidR="00C22FCC" w:rsidRPr="00010B33" w:rsidRDefault="00C22FCC" w:rsidP="005C25E2">
      <w:pPr>
        <w:spacing w:line="360" w:lineRule="auto"/>
        <w:jc w:val="both"/>
        <w:rPr>
          <w:rFonts w:cs="Times New Roman"/>
          <w:b/>
          <w:szCs w:val="24"/>
          <w:u w:val="single"/>
        </w:rPr>
      </w:pPr>
      <w:r w:rsidRPr="00010B33">
        <w:rPr>
          <w:rFonts w:cs="Times New Roman"/>
          <w:b/>
          <w:szCs w:val="24"/>
          <w:u w:val="single"/>
        </w:rPr>
        <w:lastRenderedPageBreak/>
        <w:t xml:space="preserve">WEAKNESS </w:t>
      </w:r>
    </w:p>
    <w:p w14:paraId="7E2AA7A2" w14:textId="4CE430E4" w:rsidR="00C22FCC" w:rsidRPr="00010B33" w:rsidRDefault="00C22FCC" w:rsidP="005C25E2">
      <w:pPr>
        <w:spacing w:line="360" w:lineRule="auto"/>
        <w:jc w:val="both"/>
        <w:rPr>
          <w:rFonts w:cs="Times New Roman"/>
          <w:szCs w:val="24"/>
        </w:rPr>
      </w:pPr>
      <w:r w:rsidRPr="00010B33">
        <w:rPr>
          <w:rFonts w:cs="Times New Roman"/>
          <w:b/>
          <w:szCs w:val="24"/>
        </w:rPr>
        <w:t>Lack of sufficient employees</w:t>
      </w:r>
      <w:r w:rsidRPr="00010B33">
        <w:rPr>
          <w:rFonts w:cs="Times New Roman"/>
          <w:szCs w:val="24"/>
        </w:rPr>
        <w:t>:</w:t>
      </w:r>
      <w:r w:rsidR="000F5238">
        <w:rPr>
          <w:rFonts w:cs="Times New Roman"/>
          <w:szCs w:val="24"/>
        </w:rPr>
        <w:t xml:space="preserve"> SIBL has </w:t>
      </w:r>
      <w:r w:rsidR="006A5199">
        <w:rPr>
          <w:rFonts w:cs="Times New Roman"/>
          <w:szCs w:val="24"/>
        </w:rPr>
        <w:t xml:space="preserve">a </w:t>
      </w:r>
      <w:r w:rsidR="000F5238">
        <w:rPr>
          <w:rFonts w:cs="Times New Roman"/>
          <w:szCs w:val="24"/>
        </w:rPr>
        <w:t>limited number of employees compare</w:t>
      </w:r>
      <w:r w:rsidR="006A5199">
        <w:rPr>
          <w:rFonts w:cs="Times New Roman"/>
          <w:szCs w:val="24"/>
        </w:rPr>
        <w:t>d</w:t>
      </w:r>
      <w:r w:rsidR="000F5238">
        <w:rPr>
          <w:rFonts w:cs="Times New Roman"/>
          <w:szCs w:val="24"/>
        </w:rPr>
        <w:t xml:space="preserve"> to its operations. They don’t have enough employees to provide services to their clients. It sometimes aggravates </w:t>
      </w:r>
      <w:r w:rsidR="006A5199">
        <w:rPr>
          <w:rFonts w:cs="Times New Roman"/>
          <w:szCs w:val="24"/>
        </w:rPr>
        <w:t xml:space="preserve">the </w:t>
      </w:r>
      <w:r w:rsidR="000F5238">
        <w:rPr>
          <w:rFonts w:cs="Times New Roman"/>
          <w:szCs w:val="24"/>
        </w:rPr>
        <w:t>client and distort</w:t>
      </w:r>
      <w:r w:rsidR="006A5199">
        <w:rPr>
          <w:rFonts w:cs="Times New Roman"/>
          <w:szCs w:val="24"/>
        </w:rPr>
        <w:t>s</w:t>
      </w:r>
      <w:r w:rsidR="000F5238">
        <w:rPr>
          <w:rFonts w:cs="Times New Roman"/>
          <w:szCs w:val="24"/>
        </w:rPr>
        <w:t xml:space="preserve"> the images of SIBL. </w:t>
      </w:r>
    </w:p>
    <w:p w14:paraId="456DDD13" w14:textId="7F01F3F2" w:rsidR="00C22FCC" w:rsidRPr="00010B33" w:rsidRDefault="00C22FCC" w:rsidP="005C25E2">
      <w:pPr>
        <w:spacing w:line="360" w:lineRule="auto"/>
        <w:jc w:val="both"/>
        <w:rPr>
          <w:rFonts w:cs="Times New Roman"/>
          <w:szCs w:val="24"/>
        </w:rPr>
      </w:pPr>
      <w:r w:rsidRPr="00010B33">
        <w:rPr>
          <w:rFonts w:cs="Times New Roman"/>
          <w:b/>
          <w:szCs w:val="24"/>
        </w:rPr>
        <w:t xml:space="preserve">Shortage of </w:t>
      </w:r>
      <w:r w:rsidR="000F5238">
        <w:rPr>
          <w:rFonts w:cs="Times New Roman"/>
          <w:b/>
          <w:szCs w:val="24"/>
        </w:rPr>
        <w:t xml:space="preserve">innovations </w:t>
      </w:r>
      <w:r w:rsidR="000F5238" w:rsidRPr="00010B33">
        <w:rPr>
          <w:rFonts w:cs="Times New Roman"/>
          <w:b/>
          <w:szCs w:val="24"/>
        </w:rPr>
        <w:t>tools</w:t>
      </w:r>
      <w:r w:rsidRPr="00010B33">
        <w:rPr>
          <w:rFonts w:cs="Times New Roman"/>
          <w:szCs w:val="24"/>
        </w:rPr>
        <w:t xml:space="preserve">: SIBL </w:t>
      </w:r>
      <w:proofErr w:type="spellStart"/>
      <w:r w:rsidR="000F5238">
        <w:rPr>
          <w:rFonts w:cs="Times New Roman"/>
          <w:szCs w:val="24"/>
        </w:rPr>
        <w:t>SIBL</w:t>
      </w:r>
      <w:proofErr w:type="spellEnd"/>
      <w:r w:rsidR="000F5238">
        <w:rPr>
          <w:rFonts w:cs="Times New Roman"/>
          <w:szCs w:val="24"/>
        </w:rPr>
        <w:t xml:space="preserve"> is still not up-to</w:t>
      </w:r>
      <w:r w:rsidR="006A5199">
        <w:rPr>
          <w:rFonts w:cs="Times New Roman"/>
          <w:szCs w:val="24"/>
        </w:rPr>
        <w:t>-</w:t>
      </w:r>
      <w:r w:rsidR="000F5238">
        <w:rPr>
          <w:rFonts w:cs="Times New Roman"/>
          <w:szCs w:val="24"/>
        </w:rPr>
        <w:t>date with the ever</w:t>
      </w:r>
      <w:r w:rsidR="006A5199">
        <w:rPr>
          <w:rFonts w:cs="Times New Roman"/>
          <w:szCs w:val="24"/>
        </w:rPr>
        <w:t>-</w:t>
      </w:r>
      <w:r w:rsidR="000F5238">
        <w:rPr>
          <w:rFonts w:cs="Times New Roman"/>
          <w:szCs w:val="24"/>
        </w:rPr>
        <w:t xml:space="preserve">evolving technological advancement. Nowadays there </w:t>
      </w:r>
      <w:r w:rsidR="006A5199">
        <w:rPr>
          <w:rFonts w:cs="Times New Roman"/>
          <w:szCs w:val="24"/>
        </w:rPr>
        <w:t>is</w:t>
      </w:r>
      <w:r w:rsidR="000F5238">
        <w:rPr>
          <w:rFonts w:cs="Times New Roman"/>
          <w:szCs w:val="24"/>
        </w:rPr>
        <w:t xml:space="preserve"> </w:t>
      </w:r>
      <w:r w:rsidR="006A5199">
        <w:rPr>
          <w:rFonts w:cs="Times New Roman"/>
          <w:szCs w:val="24"/>
        </w:rPr>
        <w:t xml:space="preserve">a </w:t>
      </w:r>
      <w:r w:rsidR="000F5238">
        <w:rPr>
          <w:rFonts w:cs="Times New Roman"/>
          <w:szCs w:val="24"/>
        </w:rPr>
        <w:t>continu</w:t>
      </w:r>
      <w:r w:rsidR="006A5199">
        <w:rPr>
          <w:rFonts w:cs="Times New Roman"/>
          <w:szCs w:val="24"/>
        </w:rPr>
        <w:t>ou</w:t>
      </w:r>
      <w:r w:rsidR="000F5238">
        <w:rPr>
          <w:rFonts w:cs="Times New Roman"/>
          <w:szCs w:val="24"/>
        </w:rPr>
        <w:t>s progression of technological innovation but SIBL do</w:t>
      </w:r>
      <w:r w:rsidR="006A5199">
        <w:rPr>
          <w:rFonts w:cs="Times New Roman"/>
          <w:szCs w:val="24"/>
        </w:rPr>
        <w:t>es</w:t>
      </w:r>
      <w:r w:rsidR="000F5238">
        <w:rPr>
          <w:rFonts w:cs="Times New Roman"/>
          <w:szCs w:val="24"/>
        </w:rPr>
        <w:t>n’t prefer to go with the flow of this advancement. As a result</w:t>
      </w:r>
      <w:r w:rsidR="006A5199">
        <w:rPr>
          <w:rFonts w:cs="Times New Roman"/>
          <w:szCs w:val="24"/>
        </w:rPr>
        <w:t>,</w:t>
      </w:r>
      <w:r w:rsidR="000F5238">
        <w:rPr>
          <w:rFonts w:cs="Times New Roman"/>
          <w:szCs w:val="24"/>
        </w:rPr>
        <w:t xml:space="preserve"> they often refer as back-dated and it not only bother</w:t>
      </w:r>
      <w:r w:rsidR="006A5199">
        <w:rPr>
          <w:rFonts w:cs="Times New Roman"/>
          <w:szCs w:val="24"/>
        </w:rPr>
        <w:t>s</w:t>
      </w:r>
      <w:r w:rsidR="000F5238">
        <w:rPr>
          <w:rFonts w:cs="Times New Roman"/>
          <w:szCs w:val="24"/>
        </w:rPr>
        <w:t xml:space="preserve"> customer but also bring constraint on </w:t>
      </w:r>
      <w:r w:rsidR="006A5199">
        <w:rPr>
          <w:rFonts w:cs="Times New Roman"/>
          <w:szCs w:val="24"/>
        </w:rPr>
        <w:t xml:space="preserve">the </w:t>
      </w:r>
      <w:r w:rsidR="000F5238">
        <w:rPr>
          <w:rFonts w:cs="Times New Roman"/>
          <w:szCs w:val="24"/>
        </w:rPr>
        <w:t>productivity of employees.</w:t>
      </w:r>
    </w:p>
    <w:p w14:paraId="22C6F90C" w14:textId="1F1C9BA9" w:rsidR="00C22FCC" w:rsidRPr="00010B33" w:rsidRDefault="00A86A5D" w:rsidP="005C25E2">
      <w:pPr>
        <w:spacing w:line="360" w:lineRule="auto"/>
        <w:jc w:val="both"/>
        <w:rPr>
          <w:rFonts w:cs="Times New Roman"/>
          <w:szCs w:val="24"/>
        </w:rPr>
      </w:pPr>
      <w:r>
        <w:rPr>
          <w:rFonts w:cs="Times New Roman"/>
          <w:b/>
          <w:szCs w:val="24"/>
        </w:rPr>
        <w:t>Lack of competent employees</w:t>
      </w:r>
      <w:r w:rsidR="00C22FCC" w:rsidRPr="00010B33">
        <w:rPr>
          <w:rFonts w:cs="Times New Roman"/>
          <w:szCs w:val="24"/>
        </w:rPr>
        <w:t xml:space="preserve">: </w:t>
      </w:r>
      <w:r>
        <w:rPr>
          <w:rFonts w:cs="Times New Roman"/>
          <w:szCs w:val="24"/>
        </w:rPr>
        <w:t>To sustain and survive in this highly competitive industry SIBL require highly competent employees. The client of the business term</w:t>
      </w:r>
      <w:r w:rsidR="006A5199">
        <w:rPr>
          <w:rFonts w:cs="Times New Roman"/>
          <w:szCs w:val="24"/>
        </w:rPr>
        <w:t>s</w:t>
      </w:r>
      <w:r>
        <w:rPr>
          <w:rFonts w:cs="Times New Roman"/>
          <w:szCs w:val="24"/>
        </w:rPr>
        <w:t xml:space="preserve"> their employees in deficiency of skill compare</w:t>
      </w:r>
      <w:r w:rsidR="006A5199">
        <w:rPr>
          <w:rFonts w:cs="Times New Roman"/>
          <w:szCs w:val="24"/>
        </w:rPr>
        <w:t>d</w:t>
      </w:r>
      <w:r>
        <w:rPr>
          <w:rFonts w:cs="Times New Roman"/>
          <w:szCs w:val="24"/>
        </w:rPr>
        <w:t xml:space="preserve"> to other bank</w:t>
      </w:r>
      <w:r w:rsidR="006A5199">
        <w:rPr>
          <w:rFonts w:cs="Times New Roman"/>
          <w:szCs w:val="24"/>
        </w:rPr>
        <w:t>s</w:t>
      </w:r>
      <w:r>
        <w:rPr>
          <w:rFonts w:cs="Times New Roman"/>
          <w:szCs w:val="24"/>
        </w:rPr>
        <w:t xml:space="preserve"> in the industry. SIBL require</w:t>
      </w:r>
      <w:r w:rsidR="006A5199">
        <w:rPr>
          <w:rFonts w:cs="Times New Roman"/>
          <w:szCs w:val="24"/>
        </w:rPr>
        <w:t>s</w:t>
      </w:r>
      <w:r>
        <w:rPr>
          <w:rFonts w:cs="Times New Roman"/>
          <w:szCs w:val="24"/>
        </w:rPr>
        <w:t xml:space="preserve"> to appropriately train them and provide </w:t>
      </w:r>
      <w:r w:rsidR="006A5199">
        <w:rPr>
          <w:rFonts w:cs="Times New Roman"/>
          <w:szCs w:val="24"/>
        </w:rPr>
        <w:t xml:space="preserve">a </w:t>
      </w:r>
      <w:r>
        <w:rPr>
          <w:rFonts w:cs="Times New Roman"/>
          <w:szCs w:val="24"/>
        </w:rPr>
        <w:t>workshop to uplift their skills.</w:t>
      </w:r>
    </w:p>
    <w:p w14:paraId="464CFE5A" w14:textId="133621C7" w:rsidR="00C22FCC" w:rsidRDefault="00C22FCC" w:rsidP="005C25E2">
      <w:pPr>
        <w:spacing w:line="360" w:lineRule="auto"/>
        <w:jc w:val="both"/>
        <w:rPr>
          <w:rFonts w:cs="Times New Roman"/>
          <w:szCs w:val="24"/>
        </w:rPr>
      </w:pPr>
      <w:r w:rsidRPr="00010B33">
        <w:rPr>
          <w:rFonts w:cs="Times New Roman"/>
          <w:b/>
          <w:szCs w:val="24"/>
        </w:rPr>
        <w:t xml:space="preserve">Lake of </w:t>
      </w:r>
      <w:r w:rsidR="00A86A5D">
        <w:rPr>
          <w:rFonts w:cs="Times New Roman"/>
          <w:b/>
          <w:szCs w:val="24"/>
        </w:rPr>
        <w:t>promoting strategy</w:t>
      </w:r>
      <w:r w:rsidRPr="00010B33">
        <w:rPr>
          <w:rFonts w:cs="Times New Roman"/>
          <w:szCs w:val="24"/>
        </w:rPr>
        <w:t xml:space="preserve">: SIBL has </w:t>
      </w:r>
      <w:r w:rsidR="00F97A4B">
        <w:rPr>
          <w:rFonts w:cs="Times New Roman"/>
          <w:szCs w:val="24"/>
        </w:rPr>
        <w:t xml:space="preserve">a </w:t>
      </w:r>
      <w:r w:rsidRPr="00010B33">
        <w:rPr>
          <w:rFonts w:cs="Times New Roman"/>
          <w:szCs w:val="24"/>
        </w:rPr>
        <w:t>lack of advertising campaign compare</w:t>
      </w:r>
      <w:r w:rsidR="00F97A4B">
        <w:rPr>
          <w:rFonts w:cs="Times New Roman"/>
          <w:szCs w:val="24"/>
        </w:rPr>
        <w:t>d</w:t>
      </w:r>
      <w:r w:rsidRPr="00010B33">
        <w:rPr>
          <w:rFonts w:cs="Times New Roman"/>
          <w:szCs w:val="24"/>
        </w:rPr>
        <w:t xml:space="preserve"> to other banks. </w:t>
      </w:r>
    </w:p>
    <w:p w14:paraId="4A05F2E7" w14:textId="77777777" w:rsidR="00A86A5D" w:rsidRPr="00A86A5D" w:rsidRDefault="00A86A5D" w:rsidP="00A86A5D">
      <w:pPr>
        <w:spacing w:line="360" w:lineRule="auto"/>
        <w:jc w:val="both"/>
      </w:pPr>
    </w:p>
    <w:p w14:paraId="12C696FE" w14:textId="42ECB303" w:rsidR="00C22FCC" w:rsidRPr="00354CEB" w:rsidRDefault="00C22FCC" w:rsidP="00A86A5D">
      <w:pPr>
        <w:spacing w:line="360" w:lineRule="auto"/>
        <w:jc w:val="both"/>
        <w:rPr>
          <w:rFonts w:cs="Times New Roman"/>
          <w:b/>
          <w:szCs w:val="24"/>
          <w:u w:val="single"/>
        </w:rPr>
      </w:pPr>
      <w:r w:rsidRPr="00354CEB">
        <w:rPr>
          <w:b/>
          <w:u w:val="single"/>
        </w:rPr>
        <w:t>OPPOR</w:t>
      </w:r>
      <w:r w:rsidR="00354CEB">
        <w:rPr>
          <w:b/>
          <w:u w:val="single"/>
        </w:rPr>
        <w:t>TUNITY</w:t>
      </w:r>
    </w:p>
    <w:p w14:paraId="679B4F02" w14:textId="41F1CD34" w:rsidR="00C22FCC" w:rsidRPr="00010B33" w:rsidRDefault="00C22FCC" w:rsidP="005C25E2">
      <w:pPr>
        <w:spacing w:line="360" w:lineRule="auto"/>
        <w:jc w:val="both"/>
        <w:rPr>
          <w:rFonts w:cs="Times New Roman"/>
          <w:szCs w:val="24"/>
        </w:rPr>
      </w:pPr>
      <w:r w:rsidRPr="00010B33">
        <w:rPr>
          <w:rFonts w:cs="Times New Roman"/>
          <w:b/>
          <w:szCs w:val="24"/>
        </w:rPr>
        <w:t>Advanced and efficient service</w:t>
      </w:r>
      <w:r w:rsidR="00354CEB">
        <w:rPr>
          <w:rFonts w:cs="Times New Roman"/>
          <w:szCs w:val="24"/>
        </w:rPr>
        <w:t>: To comply with the competitive environment bank has to match and execute its customer more efficiently with the help of technological advancement.</w:t>
      </w:r>
    </w:p>
    <w:p w14:paraId="4C32FD88" w14:textId="77777777" w:rsidR="00C22FCC" w:rsidRPr="00010B33" w:rsidRDefault="00C22FCC" w:rsidP="005C25E2">
      <w:pPr>
        <w:spacing w:line="360" w:lineRule="auto"/>
        <w:jc w:val="both"/>
        <w:rPr>
          <w:rFonts w:cs="Times New Roman"/>
          <w:szCs w:val="24"/>
        </w:rPr>
      </w:pPr>
      <w:r w:rsidRPr="00010B33">
        <w:rPr>
          <w:rFonts w:cs="Times New Roman"/>
          <w:b/>
          <w:szCs w:val="24"/>
        </w:rPr>
        <w:t>Retaining massive consumer</w:t>
      </w:r>
      <w:r w:rsidR="00F97A4B">
        <w:rPr>
          <w:rFonts w:cs="Times New Roman"/>
          <w:b/>
          <w:szCs w:val="24"/>
        </w:rPr>
        <w:t>s</w:t>
      </w:r>
      <w:r w:rsidRPr="00010B33">
        <w:rPr>
          <w:rFonts w:cs="Times New Roman"/>
          <w:szCs w:val="24"/>
        </w:rPr>
        <w:t xml:space="preserve">:  SIBL has an enormous chance to seize most of the consumers by enhancing its banking services all across the country as </w:t>
      </w:r>
      <w:r w:rsidR="00F97A4B">
        <w:rPr>
          <w:rFonts w:cs="Times New Roman"/>
          <w:szCs w:val="24"/>
        </w:rPr>
        <w:t xml:space="preserve">the </w:t>
      </w:r>
      <w:r w:rsidRPr="00010B33">
        <w:rPr>
          <w:rFonts w:cs="Times New Roman"/>
          <w:szCs w:val="24"/>
        </w:rPr>
        <w:t xml:space="preserve">majority </w:t>
      </w:r>
      <w:r w:rsidR="00F97A4B">
        <w:rPr>
          <w:rFonts w:cs="Times New Roman"/>
          <w:szCs w:val="24"/>
        </w:rPr>
        <w:t xml:space="preserve">of </w:t>
      </w:r>
      <w:r w:rsidRPr="00010B33">
        <w:rPr>
          <w:rFonts w:cs="Times New Roman"/>
          <w:szCs w:val="24"/>
        </w:rPr>
        <w:t>people of Bangladesh religious minded.</w:t>
      </w:r>
    </w:p>
    <w:p w14:paraId="5B352345" w14:textId="278C5A85" w:rsidR="00C22FCC" w:rsidRPr="00010B33" w:rsidRDefault="00C22FCC" w:rsidP="005C25E2">
      <w:pPr>
        <w:spacing w:line="360" w:lineRule="auto"/>
        <w:jc w:val="both"/>
        <w:rPr>
          <w:rFonts w:cs="Times New Roman"/>
          <w:szCs w:val="24"/>
        </w:rPr>
      </w:pPr>
      <w:r w:rsidRPr="00010B33">
        <w:rPr>
          <w:rFonts w:cs="Times New Roman"/>
          <w:b/>
          <w:szCs w:val="24"/>
        </w:rPr>
        <w:t>Reduction of poverty</w:t>
      </w:r>
      <w:r w:rsidRPr="00010B33">
        <w:rPr>
          <w:rFonts w:cs="Times New Roman"/>
          <w:szCs w:val="24"/>
        </w:rPr>
        <w:t xml:space="preserve">: SIBL has a huge potential that could save the country’s vulnerable communities from being borrowing funds </w:t>
      </w:r>
      <w:r w:rsidR="00354CEB">
        <w:rPr>
          <w:rFonts w:cs="Times New Roman"/>
          <w:szCs w:val="24"/>
        </w:rPr>
        <w:t>that charge higher interest rates.</w:t>
      </w:r>
    </w:p>
    <w:p w14:paraId="2096F83E" w14:textId="1FD84130" w:rsidR="00C22FCC" w:rsidRPr="00C149C6" w:rsidRDefault="00C22FCC" w:rsidP="005C25E2">
      <w:pPr>
        <w:spacing w:line="360" w:lineRule="auto"/>
        <w:jc w:val="both"/>
        <w:rPr>
          <w:rFonts w:cs="Times New Roman"/>
          <w:szCs w:val="24"/>
        </w:rPr>
      </w:pPr>
      <w:r w:rsidRPr="00010B33">
        <w:rPr>
          <w:rFonts w:cs="Times New Roman"/>
          <w:b/>
          <w:szCs w:val="24"/>
        </w:rPr>
        <w:t>Distinctive Image</w:t>
      </w:r>
      <w:r w:rsidRPr="00010B33">
        <w:rPr>
          <w:rFonts w:cs="Times New Roman"/>
          <w:szCs w:val="24"/>
        </w:rPr>
        <w:t xml:space="preserve">: </w:t>
      </w:r>
      <w:r w:rsidR="00354CEB">
        <w:rPr>
          <w:rFonts w:cs="Times New Roman"/>
          <w:szCs w:val="24"/>
        </w:rPr>
        <w:t>SIBL already created a brand value of being a trustworthy bank. By using that value SIBL can attract more customers as people already belie</w:t>
      </w:r>
      <w:r w:rsidR="006A5199">
        <w:rPr>
          <w:rFonts w:cs="Times New Roman"/>
          <w:szCs w:val="24"/>
        </w:rPr>
        <w:t>ve</w:t>
      </w:r>
      <w:r w:rsidR="00354CEB">
        <w:rPr>
          <w:rFonts w:cs="Times New Roman"/>
          <w:szCs w:val="24"/>
        </w:rPr>
        <w:t xml:space="preserve"> their money will be protected under the hand of SIBL.</w:t>
      </w:r>
    </w:p>
    <w:p w14:paraId="5ABE24C2" w14:textId="77777777" w:rsidR="00C22FCC" w:rsidRPr="00010B33" w:rsidRDefault="00C22FCC" w:rsidP="005C25E2">
      <w:pPr>
        <w:spacing w:line="360" w:lineRule="auto"/>
        <w:jc w:val="both"/>
        <w:rPr>
          <w:rFonts w:cs="Times New Roman"/>
          <w:b/>
          <w:szCs w:val="24"/>
          <w:u w:val="single"/>
        </w:rPr>
      </w:pPr>
      <w:r w:rsidRPr="00010B33">
        <w:rPr>
          <w:rFonts w:cs="Times New Roman"/>
          <w:b/>
          <w:szCs w:val="24"/>
          <w:u w:val="single"/>
        </w:rPr>
        <w:t xml:space="preserve">THREATS </w:t>
      </w:r>
    </w:p>
    <w:p w14:paraId="4B951632" w14:textId="0EAD6CA8" w:rsidR="00C22FCC" w:rsidRPr="00010B33" w:rsidRDefault="00C22FCC" w:rsidP="005C25E2">
      <w:pPr>
        <w:spacing w:line="360" w:lineRule="auto"/>
        <w:jc w:val="both"/>
        <w:rPr>
          <w:rFonts w:cs="Times New Roman"/>
          <w:b/>
          <w:szCs w:val="24"/>
          <w:u w:val="single"/>
        </w:rPr>
      </w:pPr>
      <w:r w:rsidRPr="00010B33">
        <w:rPr>
          <w:rFonts w:cs="Times New Roman"/>
          <w:b/>
          <w:szCs w:val="24"/>
        </w:rPr>
        <w:lastRenderedPageBreak/>
        <w:t xml:space="preserve">Rules and </w:t>
      </w:r>
      <w:r w:rsidR="00F97A4B">
        <w:rPr>
          <w:rFonts w:cs="Times New Roman"/>
          <w:b/>
          <w:szCs w:val="24"/>
        </w:rPr>
        <w:t>R</w:t>
      </w:r>
      <w:r w:rsidRPr="00010B33">
        <w:rPr>
          <w:rFonts w:cs="Times New Roman"/>
          <w:b/>
          <w:szCs w:val="24"/>
        </w:rPr>
        <w:t>egulation</w:t>
      </w:r>
      <w:r w:rsidR="00F97A4B">
        <w:rPr>
          <w:rFonts w:cs="Times New Roman"/>
          <w:b/>
          <w:szCs w:val="24"/>
        </w:rPr>
        <w:t>s</w:t>
      </w:r>
      <w:r w:rsidRPr="00010B33">
        <w:rPr>
          <w:rFonts w:cs="Times New Roman"/>
          <w:szCs w:val="24"/>
        </w:rPr>
        <w:t xml:space="preserve">: </w:t>
      </w:r>
      <w:r w:rsidR="006115B9">
        <w:rPr>
          <w:rFonts w:cs="Times New Roman"/>
          <w:szCs w:val="24"/>
        </w:rPr>
        <w:t>Some of the traditional rules and regulation</w:t>
      </w:r>
      <w:r w:rsidR="006A5199">
        <w:rPr>
          <w:rFonts w:cs="Times New Roman"/>
          <w:szCs w:val="24"/>
        </w:rPr>
        <w:t>s</w:t>
      </w:r>
      <w:r w:rsidR="006115B9">
        <w:rPr>
          <w:rFonts w:cs="Times New Roman"/>
          <w:szCs w:val="24"/>
        </w:rPr>
        <w:t xml:space="preserve"> established by </w:t>
      </w:r>
      <w:r w:rsidR="006A5199">
        <w:rPr>
          <w:rFonts w:cs="Times New Roman"/>
          <w:szCs w:val="24"/>
        </w:rPr>
        <w:t xml:space="preserve">the </w:t>
      </w:r>
      <w:r w:rsidR="006115B9">
        <w:rPr>
          <w:rFonts w:cs="Times New Roman"/>
          <w:szCs w:val="24"/>
        </w:rPr>
        <w:t xml:space="preserve">central bank deviate </w:t>
      </w:r>
      <w:r w:rsidR="006A5199">
        <w:rPr>
          <w:rFonts w:cs="Times New Roman"/>
          <w:szCs w:val="24"/>
        </w:rPr>
        <w:t xml:space="preserve">from </w:t>
      </w:r>
      <w:r w:rsidR="006115B9">
        <w:rPr>
          <w:rFonts w:cs="Times New Roman"/>
          <w:szCs w:val="24"/>
        </w:rPr>
        <w:t>the structure of the Islamic principle of Islamic banks.</w:t>
      </w:r>
      <w:r w:rsidRPr="00010B33">
        <w:rPr>
          <w:rFonts w:cs="Times New Roman"/>
          <w:szCs w:val="24"/>
        </w:rPr>
        <w:t xml:space="preserve"> So they need to confront different issues to work their exercises as per the Islamic Shariah. </w:t>
      </w:r>
    </w:p>
    <w:p w14:paraId="31814F56" w14:textId="2E2E249A" w:rsidR="00C22FCC" w:rsidRPr="00010B33" w:rsidRDefault="00C22FCC" w:rsidP="005C25E2">
      <w:pPr>
        <w:spacing w:line="360" w:lineRule="auto"/>
        <w:jc w:val="both"/>
        <w:rPr>
          <w:rFonts w:cs="Times New Roman"/>
          <w:szCs w:val="24"/>
        </w:rPr>
      </w:pPr>
      <w:r w:rsidRPr="00010B33">
        <w:rPr>
          <w:rFonts w:cs="Times New Roman"/>
          <w:b/>
          <w:szCs w:val="24"/>
        </w:rPr>
        <w:t>Low pay structure</w:t>
      </w:r>
      <w:r w:rsidRPr="00010B33">
        <w:rPr>
          <w:rFonts w:cs="Times New Roman"/>
          <w:szCs w:val="24"/>
        </w:rPr>
        <w:t>: Now several of the Banks are recruiting fresh</w:t>
      </w:r>
      <w:r w:rsidR="00F97A4B">
        <w:rPr>
          <w:rFonts w:cs="Times New Roman"/>
          <w:szCs w:val="24"/>
        </w:rPr>
        <w:t>-</w:t>
      </w:r>
      <w:r w:rsidRPr="00010B33">
        <w:rPr>
          <w:rFonts w:cs="Times New Roman"/>
          <w:szCs w:val="24"/>
        </w:rPr>
        <w:t xml:space="preserve">faced expertise and skills people with great salaries where SIBL could not afford to employ </w:t>
      </w:r>
      <w:r w:rsidR="00F97A4B">
        <w:rPr>
          <w:rFonts w:cs="Times New Roman"/>
          <w:szCs w:val="24"/>
        </w:rPr>
        <w:t xml:space="preserve">a </w:t>
      </w:r>
      <w:r w:rsidRPr="00010B33">
        <w:rPr>
          <w:rFonts w:cs="Times New Roman"/>
          <w:szCs w:val="24"/>
        </w:rPr>
        <w:t xml:space="preserve">competent workforce because of </w:t>
      </w:r>
      <w:r w:rsidR="006A5199">
        <w:rPr>
          <w:rFonts w:cs="Times New Roman"/>
          <w:szCs w:val="24"/>
        </w:rPr>
        <w:t xml:space="preserve">the </w:t>
      </w:r>
      <w:r w:rsidRPr="00010B33">
        <w:rPr>
          <w:rFonts w:cs="Times New Roman"/>
          <w:szCs w:val="24"/>
        </w:rPr>
        <w:t>low pay structure.</w:t>
      </w:r>
    </w:p>
    <w:p w14:paraId="48CD618B" w14:textId="2E8CBEAF" w:rsidR="00C22FCC" w:rsidRPr="00010B33" w:rsidRDefault="00C22FCC" w:rsidP="005C25E2">
      <w:pPr>
        <w:spacing w:line="360" w:lineRule="auto"/>
        <w:jc w:val="both"/>
        <w:rPr>
          <w:rFonts w:cs="Times New Roman"/>
          <w:szCs w:val="24"/>
        </w:rPr>
      </w:pPr>
      <w:r w:rsidRPr="00010B33">
        <w:rPr>
          <w:rFonts w:cs="Times New Roman"/>
          <w:b/>
          <w:szCs w:val="24"/>
        </w:rPr>
        <w:t>Islamic banking system implemented by conventional banking</w:t>
      </w:r>
      <w:r w:rsidRPr="00010B33">
        <w:rPr>
          <w:rFonts w:cs="Times New Roman"/>
          <w:szCs w:val="24"/>
        </w:rPr>
        <w:t>:</w:t>
      </w:r>
      <w:r w:rsidR="006115B9">
        <w:rPr>
          <w:rFonts w:cs="Times New Roman"/>
          <w:szCs w:val="24"/>
        </w:rPr>
        <w:t xml:space="preserve"> Due to </w:t>
      </w:r>
      <w:r w:rsidR="006A5199">
        <w:rPr>
          <w:rFonts w:cs="Times New Roman"/>
          <w:szCs w:val="24"/>
        </w:rPr>
        <w:t xml:space="preserve">the </w:t>
      </w:r>
      <w:r w:rsidR="006115B9">
        <w:rPr>
          <w:rFonts w:cs="Times New Roman"/>
          <w:szCs w:val="24"/>
        </w:rPr>
        <w:t xml:space="preserve">rise of demand </w:t>
      </w:r>
      <w:r w:rsidR="006A5199">
        <w:rPr>
          <w:rFonts w:cs="Times New Roman"/>
          <w:szCs w:val="24"/>
        </w:rPr>
        <w:t>for</w:t>
      </w:r>
      <w:r w:rsidR="006115B9">
        <w:rPr>
          <w:rFonts w:cs="Times New Roman"/>
          <w:szCs w:val="24"/>
        </w:rPr>
        <w:t xml:space="preserve"> </w:t>
      </w:r>
      <w:r w:rsidR="006A5199">
        <w:rPr>
          <w:rFonts w:cs="Times New Roman"/>
          <w:szCs w:val="24"/>
        </w:rPr>
        <w:t xml:space="preserve">the </w:t>
      </w:r>
      <w:r w:rsidR="006115B9">
        <w:rPr>
          <w:rFonts w:cs="Times New Roman"/>
          <w:szCs w:val="24"/>
        </w:rPr>
        <w:t>Islamic banking system, some of the conventional banks already implement the structure. There are more others to follow. Hence it will increase the competition for SIBL.</w:t>
      </w:r>
    </w:p>
    <w:p w14:paraId="0A240065" w14:textId="77777777" w:rsidR="00C22FCC" w:rsidRPr="00010B33" w:rsidRDefault="00C22FCC" w:rsidP="005C25E2">
      <w:pPr>
        <w:pStyle w:val="Heading2"/>
      </w:pPr>
      <w:bookmarkStart w:id="50" w:name="_Toc70725939"/>
      <w:r w:rsidRPr="00010B33">
        <w:t>STEPS/STRATEGIES TO MEET THE CHALLENGES AND OPPORTUNITIES</w:t>
      </w:r>
      <w:bookmarkEnd w:id="50"/>
    </w:p>
    <w:p w14:paraId="222FCF93" w14:textId="77777777" w:rsidR="00C22FCC" w:rsidRPr="00010B33" w:rsidRDefault="00C22FCC" w:rsidP="005C25E2">
      <w:pPr>
        <w:spacing w:line="360" w:lineRule="auto"/>
        <w:jc w:val="both"/>
        <w:rPr>
          <w:rFonts w:cs="Times New Roman"/>
          <w:szCs w:val="24"/>
        </w:rPr>
      </w:pPr>
      <w:r w:rsidRPr="00010B33">
        <w:rPr>
          <w:rFonts w:cs="Times New Roman"/>
          <w:szCs w:val="24"/>
        </w:rPr>
        <w:t>Despite the fact Social Islami Bank Ltd. (SIBL) is operating well but does have some vital challenges to overcome which are recommended below:</w:t>
      </w:r>
    </w:p>
    <w:p w14:paraId="1F3B0CAD" w14:textId="77777777" w:rsidR="00C22FCC" w:rsidRPr="00010B33" w:rsidRDefault="00C22FCC" w:rsidP="005C25E2">
      <w:pPr>
        <w:pStyle w:val="ListParagraph"/>
        <w:numPr>
          <w:ilvl w:val="0"/>
          <w:numId w:val="26"/>
        </w:numPr>
        <w:spacing w:line="360" w:lineRule="auto"/>
        <w:jc w:val="both"/>
        <w:rPr>
          <w:rFonts w:cs="Times New Roman"/>
          <w:szCs w:val="24"/>
        </w:rPr>
      </w:pPr>
      <w:r w:rsidRPr="00010B33">
        <w:rPr>
          <w:rFonts w:cs="Times New Roman"/>
          <w:szCs w:val="24"/>
        </w:rPr>
        <w:t>It's a modern banking time. Every financial institution has been effectively leveraging innovative technologies. So, SIBL should use these technological innovations to maintain pace with the evolving time.</w:t>
      </w:r>
    </w:p>
    <w:p w14:paraId="37620D42" w14:textId="77777777" w:rsidR="00C22FCC" w:rsidRPr="00010B33" w:rsidRDefault="00C22FCC" w:rsidP="005C25E2">
      <w:pPr>
        <w:pStyle w:val="ListParagraph"/>
        <w:numPr>
          <w:ilvl w:val="0"/>
          <w:numId w:val="26"/>
        </w:numPr>
        <w:spacing w:line="360" w:lineRule="auto"/>
        <w:jc w:val="both"/>
        <w:rPr>
          <w:rFonts w:cs="Times New Roman"/>
          <w:szCs w:val="24"/>
        </w:rPr>
      </w:pPr>
      <w:r w:rsidRPr="00010B33">
        <w:rPr>
          <w:rFonts w:cs="Times New Roman"/>
          <w:szCs w:val="24"/>
        </w:rPr>
        <w:t>SIBL should seek to employ skilled executives which can turn the bank ahead.</w:t>
      </w:r>
    </w:p>
    <w:p w14:paraId="47A37099" w14:textId="77777777" w:rsidR="00C22FCC" w:rsidRPr="00010B33" w:rsidRDefault="00C22FCC" w:rsidP="005C25E2">
      <w:pPr>
        <w:pStyle w:val="ListParagraph"/>
        <w:numPr>
          <w:ilvl w:val="0"/>
          <w:numId w:val="26"/>
        </w:numPr>
        <w:spacing w:line="360" w:lineRule="auto"/>
        <w:jc w:val="both"/>
        <w:rPr>
          <w:rFonts w:cs="Times New Roman"/>
          <w:szCs w:val="24"/>
        </w:rPr>
      </w:pPr>
      <w:r w:rsidRPr="00010B33">
        <w:rPr>
          <w:rFonts w:cs="Times New Roman"/>
          <w:szCs w:val="24"/>
        </w:rPr>
        <w:t>Investment application by SIBL should be smoother than any other conventional bank.</w:t>
      </w:r>
    </w:p>
    <w:p w14:paraId="64236C54" w14:textId="77777777" w:rsidR="00C22FCC" w:rsidRPr="00010B33" w:rsidRDefault="00C22FCC" w:rsidP="005C25E2">
      <w:pPr>
        <w:pStyle w:val="ListParagraph"/>
        <w:numPr>
          <w:ilvl w:val="0"/>
          <w:numId w:val="26"/>
        </w:numPr>
        <w:spacing w:line="360" w:lineRule="auto"/>
        <w:jc w:val="both"/>
        <w:rPr>
          <w:rFonts w:cs="Times New Roman"/>
          <w:szCs w:val="24"/>
        </w:rPr>
      </w:pPr>
      <w:r w:rsidRPr="00010B33">
        <w:rPr>
          <w:rFonts w:cs="Times New Roman"/>
          <w:szCs w:val="24"/>
        </w:rPr>
        <w:t>SIBL could perhaps consider its investment schemes more alluring to high-return projects.</w:t>
      </w:r>
    </w:p>
    <w:p w14:paraId="3DFFCF0C" w14:textId="77777777" w:rsidR="00C22FCC" w:rsidRPr="00010B33" w:rsidRDefault="00C22FCC" w:rsidP="005C25E2">
      <w:pPr>
        <w:pStyle w:val="ListParagraph"/>
        <w:numPr>
          <w:ilvl w:val="0"/>
          <w:numId w:val="26"/>
        </w:numPr>
        <w:spacing w:line="360" w:lineRule="auto"/>
        <w:jc w:val="both"/>
        <w:rPr>
          <w:rFonts w:cs="Times New Roman"/>
          <w:szCs w:val="24"/>
        </w:rPr>
      </w:pPr>
      <w:r w:rsidRPr="00010B33">
        <w:rPr>
          <w:rFonts w:cs="Times New Roman"/>
          <w:szCs w:val="24"/>
        </w:rPr>
        <w:t>SIBL should anticipate the use of rural possibilities both in productivity and investment basis in the light of present socio-economic situations in Bangladesh. Powerful responsibilities and strengthening through experimentation and the introduction of effective concepts are the effective form</w:t>
      </w:r>
      <w:r w:rsidR="00F97A4B">
        <w:rPr>
          <w:rFonts w:cs="Times New Roman"/>
          <w:szCs w:val="24"/>
        </w:rPr>
        <w:t>s</w:t>
      </w:r>
      <w:r w:rsidRPr="00010B33">
        <w:rPr>
          <w:rFonts w:cs="Times New Roman"/>
          <w:szCs w:val="24"/>
        </w:rPr>
        <w:t xml:space="preserve"> to do this.</w:t>
      </w:r>
    </w:p>
    <w:p w14:paraId="19B6D4DB" w14:textId="77777777" w:rsidR="00C22FCC" w:rsidRPr="00010B33" w:rsidRDefault="00C22FCC" w:rsidP="005C25E2">
      <w:pPr>
        <w:pStyle w:val="ListParagraph"/>
        <w:numPr>
          <w:ilvl w:val="0"/>
          <w:numId w:val="26"/>
        </w:numPr>
        <w:spacing w:line="360" w:lineRule="auto"/>
        <w:jc w:val="both"/>
        <w:rPr>
          <w:rFonts w:cs="Times New Roman"/>
          <w:szCs w:val="24"/>
        </w:rPr>
      </w:pPr>
      <w:r w:rsidRPr="00010B33">
        <w:rPr>
          <w:rFonts w:cs="Times New Roman"/>
          <w:szCs w:val="24"/>
        </w:rPr>
        <w:t xml:space="preserve">SIBL should be received public attention to promoting the image of Shariah-based banks as PLS (profit-loss-sharing) banks. </w:t>
      </w:r>
    </w:p>
    <w:p w14:paraId="161092B4" w14:textId="77777777" w:rsidR="00C22FCC" w:rsidRPr="00010B33" w:rsidRDefault="00C22FCC" w:rsidP="005C25E2">
      <w:pPr>
        <w:pStyle w:val="ListParagraph"/>
        <w:numPr>
          <w:ilvl w:val="0"/>
          <w:numId w:val="26"/>
        </w:numPr>
        <w:spacing w:line="360" w:lineRule="auto"/>
        <w:jc w:val="both"/>
        <w:rPr>
          <w:rFonts w:cs="Times New Roman"/>
          <w:szCs w:val="24"/>
        </w:rPr>
      </w:pPr>
      <w:r w:rsidRPr="00010B33">
        <w:rPr>
          <w:rFonts w:cs="Times New Roman"/>
          <w:szCs w:val="24"/>
        </w:rPr>
        <w:t>SIBL can spread its range of financing by concentrating on the Shariah investment framework among bank officers; employers and clients through str</w:t>
      </w:r>
      <w:r w:rsidR="00F97A4B">
        <w:rPr>
          <w:rFonts w:cs="Times New Roman"/>
          <w:szCs w:val="24"/>
        </w:rPr>
        <w:t>ength</w:t>
      </w:r>
      <w:r w:rsidRPr="00010B33">
        <w:rPr>
          <w:rFonts w:cs="Times New Roman"/>
          <w:szCs w:val="24"/>
        </w:rPr>
        <w:t xml:space="preserve"> training, workshops.</w:t>
      </w:r>
    </w:p>
    <w:p w14:paraId="14D8BF43" w14:textId="77777777" w:rsidR="00C22FCC" w:rsidRPr="00010B33" w:rsidRDefault="00C22FCC" w:rsidP="005C25E2">
      <w:pPr>
        <w:pStyle w:val="ListParagraph"/>
        <w:numPr>
          <w:ilvl w:val="0"/>
          <w:numId w:val="26"/>
        </w:numPr>
        <w:spacing w:line="360" w:lineRule="auto"/>
        <w:jc w:val="both"/>
        <w:rPr>
          <w:rFonts w:cs="Times New Roman"/>
          <w:szCs w:val="24"/>
        </w:rPr>
      </w:pPr>
      <w:r w:rsidRPr="00010B33">
        <w:rPr>
          <w:rFonts w:cs="Times New Roman"/>
          <w:szCs w:val="24"/>
        </w:rPr>
        <w:t>SIBL should implement different financial modes as per the evolving requirements of consumers by carrying out extensive research and study.</w:t>
      </w:r>
    </w:p>
    <w:p w14:paraId="5A2E25D6" w14:textId="77777777" w:rsidR="001C1643" w:rsidRDefault="001C1643" w:rsidP="005C25E2">
      <w:pPr>
        <w:spacing w:line="360" w:lineRule="auto"/>
        <w:jc w:val="both"/>
        <w:rPr>
          <w:rFonts w:cs="Times New Roman"/>
          <w:szCs w:val="24"/>
        </w:rPr>
        <w:sectPr w:rsidR="001C1643" w:rsidSect="009C20D1">
          <w:headerReference w:type="default" r:id="rId52"/>
          <w:pgSz w:w="11909" w:h="16834" w:code="9"/>
          <w:pgMar w:top="1440" w:right="1440" w:bottom="1440" w:left="1440" w:header="720" w:footer="720" w:gutter="0"/>
          <w:pgNumType w:start="30"/>
          <w:cols w:space="720"/>
          <w:docGrid w:linePitch="360"/>
        </w:sectPr>
      </w:pPr>
    </w:p>
    <w:p w14:paraId="376E5AEF" w14:textId="77777777" w:rsidR="00C22FCC" w:rsidRPr="00010B33" w:rsidRDefault="00A13E5A" w:rsidP="005C25E2">
      <w:pPr>
        <w:spacing w:line="360" w:lineRule="auto"/>
        <w:jc w:val="both"/>
        <w:rPr>
          <w:rFonts w:cs="Times New Roman"/>
          <w:szCs w:val="24"/>
        </w:rPr>
      </w:pPr>
      <w:r>
        <w:rPr>
          <w:rFonts w:cs="Times New Roman"/>
          <w:noProof/>
          <w:szCs w:val="24"/>
        </w:rPr>
        <w:lastRenderedPageBreak/>
        <w:drawing>
          <wp:anchor distT="0" distB="0" distL="114300" distR="114300" simplePos="0" relativeHeight="251671552" behindDoc="0" locked="0" layoutInCell="1" allowOverlap="1" wp14:anchorId="3FC747F4" wp14:editId="7AB3E3C1">
            <wp:simplePos x="914400" y="914400"/>
            <wp:positionH relativeFrom="margin">
              <wp:align>center</wp:align>
            </wp:positionH>
            <wp:positionV relativeFrom="margin">
              <wp:align>center</wp:align>
            </wp:positionV>
            <wp:extent cx="5733415" cy="265049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ptter 4.png"/>
                    <pic:cNvPicPr/>
                  </pic:nvPicPr>
                  <pic:blipFill>
                    <a:blip r:embed="rId53">
                      <a:extLst>
                        <a:ext uri="{28A0092B-C50C-407E-A947-70E740481C1C}">
                          <a14:useLocalDpi xmlns:a14="http://schemas.microsoft.com/office/drawing/2010/main" val="0"/>
                        </a:ext>
                      </a:extLst>
                    </a:blip>
                    <a:stretch>
                      <a:fillRect/>
                    </a:stretch>
                  </pic:blipFill>
                  <pic:spPr>
                    <a:xfrm>
                      <a:off x="0" y="0"/>
                      <a:ext cx="5733415" cy="2650490"/>
                    </a:xfrm>
                    <a:prstGeom prst="rect">
                      <a:avLst/>
                    </a:prstGeom>
                  </pic:spPr>
                </pic:pic>
              </a:graphicData>
            </a:graphic>
          </wp:anchor>
        </w:drawing>
      </w:r>
    </w:p>
    <w:p w14:paraId="1FA354A6" w14:textId="77777777" w:rsidR="00C22FCC" w:rsidRPr="00010B33" w:rsidRDefault="00C22FCC" w:rsidP="005C25E2">
      <w:pPr>
        <w:spacing w:line="360" w:lineRule="auto"/>
        <w:jc w:val="both"/>
        <w:rPr>
          <w:rFonts w:cs="Times New Roman"/>
          <w:szCs w:val="24"/>
        </w:rPr>
      </w:pPr>
    </w:p>
    <w:p w14:paraId="57F32544" w14:textId="77777777" w:rsidR="00C22FCC" w:rsidRPr="00010B33" w:rsidRDefault="00C22FCC" w:rsidP="005C25E2">
      <w:pPr>
        <w:spacing w:line="360" w:lineRule="auto"/>
        <w:jc w:val="both"/>
        <w:rPr>
          <w:rFonts w:cs="Times New Roman"/>
          <w:szCs w:val="24"/>
        </w:rPr>
      </w:pPr>
    </w:p>
    <w:p w14:paraId="25E98E0D" w14:textId="77777777" w:rsidR="00C22FCC" w:rsidRPr="00010B33" w:rsidRDefault="00C22FCC" w:rsidP="005C25E2">
      <w:pPr>
        <w:spacing w:line="360" w:lineRule="auto"/>
        <w:jc w:val="both"/>
        <w:rPr>
          <w:rFonts w:cs="Times New Roman"/>
          <w:szCs w:val="24"/>
        </w:rPr>
      </w:pPr>
    </w:p>
    <w:p w14:paraId="0BFB553A" w14:textId="77777777" w:rsidR="00C22FCC" w:rsidRPr="00010B33" w:rsidRDefault="00C22FCC" w:rsidP="005C25E2">
      <w:pPr>
        <w:spacing w:line="360" w:lineRule="auto"/>
        <w:jc w:val="both"/>
        <w:rPr>
          <w:rFonts w:cs="Times New Roman"/>
          <w:szCs w:val="24"/>
        </w:rPr>
      </w:pPr>
    </w:p>
    <w:p w14:paraId="44015701" w14:textId="77777777" w:rsidR="00C22FCC" w:rsidRPr="00010B33" w:rsidRDefault="00C22FCC" w:rsidP="005C25E2">
      <w:pPr>
        <w:spacing w:line="360" w:lineRule="auto"/>
        <w:jc w:val="both"/>
        <w:rPr>
          <w:rFonts w:cs="Times New Roman"/>
          <w:szCs w:val="24"/>
        </w:rPr>
      </w:pPr>
    </w:p>
    <w:p w14:paraId="02739F67" w14:textId="77777777" w:rsidR="00A21665" w:rsidRPr="00010B33" w:rsidRDefault="00A21665" w:rsidP="005C25E2">
      <w:pPr>
        <w:spacing w:line="360" w:lineRule="auto"/>
        <w:jc w:val="both"/>
        <w:rPr>
          <w:rFonts w:cs="Times New Roman"/>
          <w:szCs w:val="24"/>
        </w:rPr>
      </w:pPr>
    </w:p>
    <w:p w14:paraId="28B6E452" w14:textId="77777777" w:rsidR="00A21665" w:rsidRPr="00010B33" w:rsidRDefault="00A21665" w:rsidP="005C25E2">
      <w:pPr>
        <w:spacing w:line="360" w:lineRule="auto"/>
        <w:jc w:val="both"/>
        <w:rPr>
          <w:rFonts w:cs="Times New Roman"/>
          <w:szCs w:val="24"/>
        </w:rPr>
      </w:pPr>
    </w:p>
    <w:p w14:paraId="0B61F696" w14:textId="77777777" w:rsidR="00A21665" w:rsidRPr="00010B33" w:rsidRDefault="00A21665" w:rsidP="005C25E2">
      <w:pPr>
        <w:spacing w:line="360" w:lineRule="auto"/>
        <w:jc w:val="both"/>
        <w:rPr>
          <w:rFonts w:cs="Times New Roman"/>
          <w:szCs w:val="24"/>
        </w:rPr>
      </w:pPr>
    </w:p>
    <w:p w14:paraId="483D85F9" w14:textId="77777777" w:rsidR="00C22FCC" w:rsidRPr="00010B33" w:rsidRDefault="00C22FCC" w:rsidP="005C25E2">
      <w:pPr>
        <w:spacing w:line="360" w:lineRule="auto"/>
        <w:jc w:val="both"/>
        <w:rPr>
          <w:rFonts w:cs="Times New Roman"/>
          <w:szCs w:val="24"/>
        </w:rPr>
      </w:pPr>
    </w:p>
    <w:p w14:paraId="7B49851C" w14:textId="77777777" w:rsidR="00C22FCC" w:rsidRPr="00010B33" w:rsidRDefault="00C22FCC" w:rsidP="005C25E2">
      <w:pPr>
        <w:spacing w:line="360" w:lineRule="auto"/>
        <w:jc w:val="both"/>
        <w:rPr>
          <w:rFonts w:cs="Times New Roman"/>
          <w:szCs w:val="24"/>
        </w:rPr>
      </w:pPr>
    </w:p>
    <w:p w14:paraId="4E847357" w14:textId="77777777" w:rsidR="00C22FCC" w:rsidRPr="00010B33" w:rsidRDefault="00C22FCC" w:rsidP="005C25E2">
      <w:pPr>
        <w:spacing w:line="360" w:lineRule="auto"/>
        <w:jc w:val="both"/>
        <w:rPr>
          <w:rFonts w:cs="Times New Roman"/>
          <w:szCs w:val="24"/>
        </w:rPr>
      </w:pPr>
    </w:p>
    <w:p w14:paraId="4A49A74C" w14:textId="77777777" w:rsidR="001C1643" w:rsidRDefault="001C1643" w:rsidP="005C25E2"/>
    <w:p w14:paraId="06A3EE85" w14:textId="77777777" w:rsidR="001C1643" w:rsidRDefault="001C1643" w:rsidP="005C25E2">
      <w:pPr>
        <w:pStyle w:val="Heading1"/>
        <w:sectPr w:rsidR="001C1643" w:rsidSect="009C20D1">
          <w:headerReference w:type="default" r:id="rId54"/>
          <w:pgSz w:w="11909" w:h="16834" w:code="9"/>
          <w:pgMar w:top="1440" w:right="1440" w:bottom="1440" w:left="1440" w:header="720" w:footer="720" w:gutter="0"/>
          <w:cols w:space="720"/>
          <w:docGrid w:linePitch="360"/>
        </w:sectPr>
      </w:pPr>
    </w:p>
    <w:p w14:paraId="5A022AF9" w14:textId="77777777" w:rsidR="00C22FCC" w:rsidRPr="00010B33" w:rsidRDefault="00622F42" w:rsidP="005C25E2">
      <w:pPr>
        <w:pStyle w:val="Heading1"/>
      </w:pPr>
      <w:bookmarkStart w:id="51" w:name="_Toc70725940"/>
      <w:r w:rsidRPr="00010B33">
        <w:lastRenderedPageBreak/>
        <w:t xml:space="preserve">CHAPTER-4| </w:t>
      </w:r>
      <w:r w:rsidR="00C22FCC" w:rsidRPr="00010B33">
        <w:t>INTERNSHIP EXPERIENCE</w:t>
      </w:r>
      <w:bookmarkEnd w:id="51"/>
    </w:p>
    <w:p w14:paraId="20377750" w14:textId="77777777" w:rsidR="00C22FCC" w:rsidRPr="00010B33" w:rsidRDefault="00C22FCC" w:rsidP="005C25E2">
      <w:pPr>
        <w:pStyle w:val="ListParagraph"/>
        <w:keepNext/>
        <w:keepLines/>
        <w:numPr>
          <w:ilvl w:val="1"/>
          <w:numId w:val="36"/>
        </w:numPr>
        <w:spacing w:before="200" w:after="0" w:line="360" w:lineRule="auto"/>
        <w:jc w:val="both"/>
        <w:outlineLvl w:val="1"/>
        <w:rPr>
          <w:rFonts w:eastAsiaTheme="majorEastAsia" w:cs="Times New Roman"/>
          <w:bCs/>
          <w:color w:val="4F81BD" w:themeColor="accent1"/>
          <w:szCs w:val="24"/>
        </w:rPr>
      </w:pPr>
      <w:r w:rsidRPr="00010B33">
        <w:rPr>
          <w:rFonts w:eastAsiaTheme="majorEastAsia" w:cs="Times New Roman"/>
          <w:bCs/>
          <w:color w:val="4F81BD" w:themeColor="accent1"/>
          <w:szCs w:val="24"/>
        </w:rPr>
        <w:t xml:space="preserve"> </w:t>
      </w:r>
      <w:bookmarkStart w:id="52" w:name="_Toc70725941"/>
      <w:r w:rsidRPr="00010B33">
        <w:rPr>
          <w:rFonts w:eastAsiaTheme="majorEastAsia" w:cs="Times New Roman"/>
          <w:bCs/>
          <w:color w:val="4F81BD" w:themeColor="accent1"/>
          <w:szCs w:val="24"/>
        </w:rPr>
        <w:t>POSITION, DUTIES, AND RESPONSIBILITIES</w:t>
      </w:r>
      <w:bookmarkEnd w:id="52"/>
    </w:p>
    <w:p w14:paraId="0AE8FE46" w14:textId="77777777" w:rsidR="00C22FCC" w:rsidRDefault="00C22FCC" w:rsidP="005C25E2">
      <w:pPr>
        <w:spacing w:line="360" w:lineRule="auto"/>
        <w:jc w:val="both"/>
        <w:rPr>
          <w:rFonts w:cs="Times New Roman"/>
          <w:szCs w:val="24"/>
        </w:rPr>
      </w:pPr>
      <w:r w:rsidRPr="00010B33">
        <w:rPr>
          <w:rFonts w:cs="Times New Roman"/>
          <w:szCs w:val="24"/>
        </w:rPr>
        <w:t xml:space="preserve">The internship </w:t>
      </w:r>
      <w:r w:rsidR="007D47FC">
        <w:rPr>
          <w:rFonts w:cs="Times New Roman"/>
          <w:szCs w:val="24"/>
        </w:rPr>
        <w:t xml:space="preserve">program </w:t>
      </w:r>
      <w:r w:rsidRPr="00010B33">
        <w:rPr>
          <w:rFonts w:cs="Times New Roman"/>
          <w:szCs w:val="24"/>
        </w:rPr>
        <w:t>help</w:t>
      </w:r>
      <w:r w:rsidR="007D47FC">
        <w:rPr>
          <w:rFonts w:cs="Times New Roman"/>
          <w:szCs w:val="24"/>
        </w:rPr>
        <w:t>s</w:t>
      </w:r>
      <w:r w:rsidRPr="00010B33">
        <w:rPr>
          <w:rFonts w:cs="Times New Roman"/>
          <w:szCs w:val="24"/>
        </w:rPr>
        <w:t xml:space="preserve"> students </w:t>
      </w:r>
      <w:r w:rsidR="007D47FC">
        <w:rPr>
          <w:rFonts w:cs="Times New Roman"/>
          <w:szCs w:val="24"/>
        </w:rPr>
        <w:t>understand</w:t>
      </w:r>
      <w:r w:rsidRPr="00010B33">
        <w:rPr>
          <w:rFonts w:cs="Times New Roman"/>
          <w:szCs w:val="24"/>
        </w:rPr>
        <w:t xml:space="preserve"> the organizational processes and to cope with the environments as professional staff. To accomplish my graduation from the United International University, I did my internship at the Social Islami Bank (SIBL, Dhanmondi branch).</w:t>
      </w:r>
      <w:r w:rsidR="007D47FC" w:rsidRPr="007D47FC">
        <w:rPr>
          <w:rFonts w:cs="Times New Roman"/>
          <w:szCs w:val="24"/>
        </w:rPr>
        <w:t xml:space="preserve"> </w:t>
      </w:r>
      <w:r w:rsidR="007D47FC" w:rsidRPr="00010B33">
        <w:rPr>
          <w:rFonts w:cs="Times New Roman"/>
          <w:szCs w:val="24"/>
        </w:rPr>
        <w:t xml:space="preserve">. I worked there </w:t>
      </w:r>
      <w:r w:rsidR="007D47FC">
        <w:rPr>
          <w:rFonts w:cs="Times New Roman"/>
          <w:szCs w:val="24"/>
        </w:rPr>
        <w:t xml:space="preserve">as an intern </w:t>
      </w:r>
      <w:r w:rsidR="007D47FC" w:rsidRPr="00010B33">
        <w:rPr>
          <w:rFonts w:cs="Times New Roman"/>
          <w:szCs w:val="24"/>
        </w:rPr>
        <w:t>for 3 months under the Foreign Trade Dep</w:t>
      </w:r>
      <w:r w:rsidR="007D47FC">
        <w:rPr>
          <w:rFonts w:cs="Times New Roman"/>
          <w:szCs w:val="24"/>
        </w:rPr>
        <w:t>artment</w:t>
      </w:r>
      <w:r w:rsidR="007D47FC" w:rsidRPr="00010B33">
        <w:rPr>
          <w:rFonts w:cs="Times New Roman"/>
          <w:szCs w:val="24"/>
        </w:rPr>
        <w:t xml:space="preserve">. </w:t>
      </w:r>
      <w:r w:rsidR="007D47FC">
        <w:rPr>
          <w:rFonts w:cs="Times New Roman"/>
          <w:szCs w:val="24"/>
        </w:rPr>
        <w:t xml:space="preserve">My core duty was to assist </w:t>
      </w:r>
      <w:r w:rsidRPr="00010B33">
        <w:rPr>
          <w:rFonts w:cs="Times New Roman"/>
          <w:szCs w:val="24"/>
        </w:rPr>
        <w:t xml:space="preserve">Mr. Shaheen Mahmood, Senior executive officer accountable </w:t>
      </w:r>
      <w:r w:rsidR="000562DD">
        <w:rPr>
          <w:rFonts w:cs="Times New Roman"/>
          <w:szCs w:val="24"/>
        </w:rPr>
        <w:t>for</w:t>
      </w:r>
      <w:r w:rsidRPr="00010B33">
        <w:rPr>
          <w:rFonts w:cs="Times New Roman"/>
          <w:szCs w:val="24"/>
        </w:rPr>
        <w:t xml:space="preserve"> the Department</w:t>
      </w:r>
      <w:r w:rsidR="007D47FC">
        <w:rPr>
          <w:rFonts w:cs="Times New Roman"/>
          <w:szCs w:val="24"/>
        </w:rPr>
        <w:t xml:space="preserve"> and all the officers</w:t>
      </w:r>
      <w:r w:rsidRPr="00010B33">
        <w:rPr>
          <w:rFonts w:cs="Times New Roman"/>
          <w:szCs w:val="24"/>
        </w:rPr>
        <w:t xml:space="preserve"> of Foreign Trade and Exchange. </w:t>
      </w:r>
    </w:p>
    <w:p w14:paraId="276F7E7A" w14:textId="77777777" w:rsidR="007D47FC" w:rsidRDefault="007D47FC" w:rsidP="005C25E2">
      <w:pPr>
        <w:spacing w:line="360" w:lineRule="auto"/>
        <w:jc w:val="both"/>
        <w:rPr>
          <w:rFonts w:cs="Times New Roman"/>
          <w:szCs w:val="24"/>
        </w:rPr>
      </w:pPr>
      <w:r>
        <w:rPr>
          <w:rFonts w:cs="Times New Roman"/>
          <w:szCs w:val="24"/>
        </w:rPr>
        <w:t>My main responsibilities of the work as follows:</w:t>
      </w:r>
    </w:p>
    <w:p w14:paraId="7B53C6E3" w14:textId="77777777" w:rsidR="00271331" w:rsidRDefault="00271331" w:rsidP="005C25E2">
      <w:pPr>
        <w:pStyle w:val="ListParagraph"/>
        <w:numPr>
          <w:ilvl w:val="0"/>
          <w:numId w:val="40"/>
        </w:numPr>
        <w:spacing w:line="360" w:lineRule="auto"/>
        <w:jc w:val="both"/>
      </w:pPr>
      <w:r>
        <w:t xml:space="preserve"> Entry the data of transaction in registers </w:t>
      </w:r>
    </w:p>
    <w:p w14:paraId="5801F7FC" w14:textId="77777777" w:rsidR="00271331" w:rsidRDefault="00271331" w:rsidP="005C25E2">
      <w:pPr>
        <w:pStyle w:val="ListParagraph"/>
        <w:numPr>
          <w:ilvl w:val="0"/>
          <w:numId w:val="40"/>
        </w:numPr>
        <w:spacing w:line="360" w:lineRule="auto"/>
        <w:jc w:val="both"/>
      </w:pPr>
      <w:r>
        <w:t>Updating the values of the trade-in server and register</w:t>
      </w:r>
    </w:p>
    <w:p w14:paraId="5E9372C2" w14:textId="77777777" w:rsidR="00271331" w:rsidRDefault="00271331" w:rsidP="005C25E2">
      <w:pPr>
        <w:pStyle w:val="ListParagraph"/>
        <w:numPr>
          <w:ilvl w:val="0"/>
          <w:numId w:val="40"/>
        </w:numPr>
        <w:spacing w:line="360" w:lineRule="auto"/>
        <w:jc w:val="both"/>
      </w:pPr>
      <w:r>
        <w:t xml:space="preserve">Construction L/C issue statement form </w:t>
      </w:r>
    </w:p>
    <w:p w14:paraId="59A6721D" w14:textId="77777777" w:rsidR="007D47FC" w:rsidRDefault="00271331" w:rsidP="005C25E2">
      <w:pPr>
        <w:pStyle w:val="ListParagraph"/>
        <w:numPr>
          <w:ilvl w:val="0"/>
          <w:numId w:val="40"/>
        </w:numPr>
        <w:spacing w:line="360" w:lineRule="auto"/>
        <w:jc w:val="both"/>
      </w:pPr>
      <w:r>
        <w:t>Compliance with officers in their regular activity.</w:t>
      </w:r>
    </w:p>
    <w:p w14:paraId="6174A31E" w14:textId="77777777" w:rsidR="00271331" w:rsidRDefault="00271331" w:rsidP="005C25E2">
      <w:pPr>
        <w:pStyle w:val="ListParagraph"/>
        <w:numPr>
          <w:ilvl w:val="0"/>
          <w:numId w:val="40"/>
        </w:numPr>
        <w:spacing w:line="360" w:lineRule="auto"/>
        <w:jc w:val="both"/>
      </w:pPr>
      <w:r>
        <w:t>Assist clients with Exp and Imp files</w:t>
      </w:r>
    </w:p>
    <w:p w14:paraId="52A294E8" w14:textId="77777777" w:rsidR="00271331" w:rsidRDefault="00271331" w:rsidP="005C25E2">
      <w:pPr>
        <w:pStyle w:val="ListParagraph"/>
        <w:numPr>
          <w:ilvl w:val="0"/>
          <w:numId w:val="40"/>
        </w:numPr>
        <w:spacing w:line="360" w:lineRule="auto"/>
        <w:jc w:val="both"/>
      </w:pPr>
      <w:r>
        <w:t>Maintaining the serial numbers of cheques</w:t>
      </w:r>
    </w:p>
    <w:p w14:paraId="42376E69" w14:textId="77777777" w:rsidR="007D47FC" w:rsidRDefault="00271331" w:rsidP="005C25E2">
      <w:pPr>
        <w:pStyle w:val="ListParagraph"/>
        <w:numPr>
          <w:ilvl w:val="0"/>
          <w:numId w:val="40"/>
        </w:numPr>
        <w:spacing w:line="360" w:lineRule="auto"/>
        <w:jc w:val="both"/>
      </w:pPr>
      <w:r>
        <w:t>Filters of cheque and vouchers</w:t>
      </w:r>
    </w:p>
    <w:p w14:paraId="63937BB9" w14:textId="77777777" w:rsidR="00271331" w:rsidRDefault="00271331" w:rsidP="005C25E2">
      <w:pPr>
        <w:pStyle w:val="ListParagraph"/>
        <w:numPr>
          <w:ilvl w:val="0"/>
          <w:numId w:val="40"/>
        </w:numPr>
        <w:spacing w:line="360" w:lineRule="auto"/>
        <w:jc w:val="both"/>
      </w:pPr>
      <w:r>
        <w:t>Maintenance of Customer</w:t>
      </w:r>
    </w:p>
    <w:p w14:paraId="2BFE5049" w14:textId="77777777" w:rsidR="007D47FC" w:rsidRPr="00271331" w:rsidRDefault="00271331" w:rsidP="005C25E2">
      <w:pPr>
        <w:pStyle w:val="ListParagraph"/>
        <w:numPr>
          <w:ilvl w:val="0"/>
          <w:numId w:val="40"/>
        </w:numPr>
        <w:spacing w:line="360" w:lineRule="auto"/>
        <w:jc w:val="both"/>
        <w:rPr>
          <w:rFonts w:cs="Times New Roman"/>
          <w:szCs w:val="24"/>
        </w:rPr>
      </w:pPr>
      <w:r>
        <w:t>Enlisting some documents</w:t>
      </w:r>
    </w:p>
    <w:p w14:paraId="565ABF75" w14:textId="77777777" w:rsidR="007D47FC" w:rsidRDefault="00271331" w:rsidP="005C25E2">
      <w:pPr>
        <w:pStyle w:val="ListParagraph"/>
        <w:numPr>
          <w:ilvl w:val="0"/>
          <w:numId w:val="40"/>
        </w:numPr>
        <w:spacing w:line="360" w:lineRule="auto"/>
        <w:jc w:val="both"/>
      </w:pPr>
      <w:r>
        <w:t>Working with L/C related paper</w:t>
      </w:r>
    </w:p>
    <w:p w14:paraId="726FDB85" w14:textId="77777777" w:rsidR="00A21665" w:rsidRPr="00010B33" w:rsidRDefault="00A21665" w:rsidP="005C25E2">
      <w:pPr>
        <w:pStyle w:val="Heading2"/>
        <w:numPr>
          <w:ilvl w:val="1"/>
          <w:numId w:val="36"/>
        </w:numPr>
      </w:pPr>
      <w:bookmarkStart w:id="53" w:name="_Toc70725942"/>
      <w:r w:rsidRPr="00010B33">
        <w:t>TRAINING</w:t>
      </w:r>
      <w:bookmarkEnd w:id="53"/>
    </w:p>
    <w:p w14:paraId="19DEEB18" w14:textId="23455B41" w:rsidR="009C20D1" w:rsidRPr="00010B33" w:rsidRDefault="00A21665" w:rsidP="005C25E2">
      <w:pPr>
        <w:spacing w:line="360" w:lineRule="auto"/>
        <w:jc w:val="both"/>
        <w:rPr>
          <w:rFonts w:cs="Times New Roman"/>
          <w:szCs w:val="24"/>
        </w:rPr>
      </w:pPr>
      <w:r w:rsidRPr="00010B33">
        <w:rPr>
          <w:rFonts w:cs="Times New Roman"/>
          <w:szCs w:val="24"/>
        </w:rPr>
        <w:t xml:space="preserve">The internship program is supposed to be a 'job learning program,' so there isn't any conventional training granted by the bank for the internship, but all the officials of the branch were adequately kind to quickly advise me the strategy for the allocated work. The Social Islami Bank has been one </w:t>
      </w:r>
      <w:r w:rsidR="00F97A4B">
        <w:rPr>
          <w:rFonts w:cs="Times New Roman"/>
          <w:szCs w:val="24"/>
        </w:rPr>
        <w:t>of</w:t>
      </w:r>
      <w:r w:rsidRPr="00010B33">
        <w:rPr>
          <w:rFonts w:cs="Times New Roman"/>
          <w:szCs w:val="24"/>
        </w:rPr>
        <w:t xml:space="preserve"> every of the simplest banks and it's a powerful market position. I used to be extremely fortunate enough to possess an internship position there. Right from the start of my three-month internship period, I used to be given some instructions and circulars to research the key operations of the bank. They always addressed every single question I asked and removed all my ambiguities. Entire departments are helpful personally. Across the full of my entire internship period, I’ve got had the chance to understand such a lot of individuals and also learn to speak with various individuals and the way to cope with </w:t>
      </w:r>
      <w:r w:rsidRPr="00010B33">
        <w:rPr>
          <w:rFonts w:cs="Times New Roman"/>
          <w:szCs w:val="24"/>
        </w:rPr>
        <w:lastRenderedPageBreak/>
        <w:t xml:space="preserve">different contexts. Therefore, I could say that the complete period of three months was an educational program on </w:t>
      </w:r>
      <w:r w:rsidR="00F97A4B">
        <w:rPr>
          <w:rFonts w:cs="Times New Roman"/>
          <w:szCs w:val="24"/>
        </w:rPr>
        <w:t xml:space="preserve">my </w:t>
      </w:r>
      <w:r w:rsidRPr="00010B33">
        <w:rPr>
          <w:rFonts w:cs="Times New Roman"/>
          <w:szCs w:val="24"/>
        </w:rPr>
        <w:t>behalf of me.</w:t>
      </w:r>
    </w:p>
    <w:p w14:paraId="2A5AE6C1" w14:textId="77777777" w:rsidR="00A21665" w:rsidRPr="00010B33" w:rsidRDefault="00A21665" w:rsidP="005C25E2">
      <w:pPr>
        <w:pStyle w:val="Heading2"/>
        <w:numPr>
          <w:ilvl w:val="1"/>
          <w:numId w:val="36"/>
        </w:numPr>
      </w:pPr>
      <w:bookmarkStart w:id="54" w:name="_Toc70725943"/>
      <w:r w:rsidRPr="00010B33">
        <w:t>CONTRIBUTION TO DEPARTMENTAL FUNCTIONS</w:t>
      </w:r>
      <w:bookmarkEnd w:id="54"/>
    </w:p>
    <w:p w14:paraId="17EDBE4E" w14:textId="16AA6DDC" w:rsidR="009C20D1" w:rsidRPr="00010B33" w:rsidRDefault="00A21665" w:rsidP="005C25E2">
      <w:pPr>
        <w:spacing w:line="360" w:lineRule="auto"/>
        <w:jc w:val="both"/>
        <w:rPr>
          <w:rFonts w:cs="Times New Roman"/>
          <w:szCs w:val="24"/>
        </w:rPr>
      </w:pPr>
      <w:r w:rsidRPr="00010B33">
        <w:rPr>
          <w:rFonts w:cs="Times New Roman"/>
          <w:szCs w:val="24"/>
        </w:rPr>
        <w:t xml:space="preserve">The main roles and responsibilities were to upload daily transactions online in Bangladesh Bank to capture the annual export and import data of Bangladesh. So if those data were uploaded accurately, within the database as indicated by its code, it'll be recorded within the Bangladesh Bank online system. This plays a big role because with this, the govt. of the nation </w:t>
      </w:r>
      <w:proofErr w:type="gramStart"/>
      <w:r w:rsidRPr="00010B33">
        <w:rPr>
          <w:rFonts w:cs="Times New Roman"/>
          <w:szCs w:val="24"/>
        </w:rPr>
        <w:t>are</w:t>
      </w:r>
      <w:proofErr w:type="gramEnd"/>
      <w:r w:rsidRPr="00010B33">
        <w:rPr>
          <w:rFonts w:cs="Times New Roman"/>
          <w:szCs w:val="24"/>
        </w:rPr>
        <w:t xml:space="preserve"> going to be able to ascertain what quantity export and import ha</w:t>
      </w:r>
      <w:r w:rsidR="007D47FC">
        <w:rPr>
          <w:rFonts w:cs="Times New Roman"/>
          <w:szCs w:val="24"/>
        </w:rPr>
        <w:t>ve</w:t>
      </w:r>
      <w:r w:rsidRPr="00010B33">
        <w:rPr>
          <w:rFonts w:cs="Times New Roman"/>
          <w:szCs w:val="24"/>
        </w:rPr>
        <w:t xml:space="preserve"> been done annuall</w:t>
      </w:r>
      <w:r w:rsidR="007D47FC">
        <w:rPr>
          <w:rFonts w:cs="Times New Roman"/>
          <w:szCs w:val="24"/>
        </w:rPr>
        <w:t>y</w:t>
      </w:r>
      <w:r w:rsidRPr="00010B33">
        <w:rPr>
          <w:rFonts w:cs="Times New Roman"/>
          <w:szCs w:val="24"/>
        </w:rPr>
        <w:t>.</w:t>
      </w:r>
    </w:p>
    <w:p w14:paraId="2380AC8C" w14:textId="77777777" w:rsidR="00A21665" w:rsidRPr="00010B33" w:rsidRDefault="00A21665" w:rsidP="005C25E2">
      <w:pPr>
        <w:pStyle w:val="Heading2"/>
        <w:numPr>
          <w:ilvl w:val="1"/>
          <w:numId w:val="36"/>
        </w:numPr>
      </w:pPr>
      <w:bookmarkStart w:id="55" w:name="_Toc70725944"/>
      <w:r w:rsidRPr="00010B33">
        <w:t>EVALUATION OF INTERNSHIP PERFORMANCE</w:t>
      </w:r>
      <w:bookmarkEnd w:id="55"/>
    </w:p>
    <w:p w14:paraId="1A684443" w14:textId="77777777" w:rsidR="00A21665" w:rsidRPr="00B85448" w:rsidRDefault="00A21665" w:rsidP="005C25E2">
      <w:pPr>
        <w:spacing w:line="360" w:lineRule="auto"/>
        <w:jc w:val="both"/>
        <w:rPr>
          <w:rFonts w:cs="Times New Roman"/>
          <w:szCs w:val="24"/>
        </w:rPr>
      </w:pPr>
      <w:r w:rsidRPr="00010B33">
        <w:rPr>
          <w:rFonts w:cs="Times New Roman"/>
          <w:szCs w:val="24"/>
        </w:rPr>
        <w:t>I was not an experienced employee nor been prepared officially but I had to figure with other experienced officers of the bank. I won't term my experience as "Work" rather it'll be more suitable as "Training". I’ve got given my complete specializ</w:t>
      </w:r>
      <w:r w:rsidR="00F97A4B">
        <w:rPr>
          <w:rFonts w:cs="Times New Roman"/>
          <w:szCs w:val="24"/>
        </w:rPr>
        <w:t>ation</w:t>
      </w:r>
      <w:r w:rsidRPr="00010B33">
        <w:rPr>
          <w:rFonts w:cs="Times New Roman"/>
          <w:szCs w:val="24"/>
        </w:rPr>
        <w:t xml:space="preserve"> in my work, and my work has indeed been admired by everyone, they lauded me as a tough worker and punctual. They often motivated me, despite my few errors. Be that because it may, whatever I did I’ve got gained a good deal of acknowledgment from the Branch Manager also as branch authorities for my truthfulness and basic knowledge about banking and management </w:t>
      </w:r>
      <w:r w:rsidR="007D47FC">
        <w:rPr>
          <w:rFonts w:cs="Times New Roman"/>
          <w:szCs w:val="24"/>
        </w:rPr>
        <w:t>and my quick learning capacity.</w:t>
      </w:r>
      <w:r w:rsidR="001C1643">
        <w:rPr>
          <w:rFonts w:cs="Times New Roman"/>
          <w:szCs w:val="24"/>
        </w:rPr>
        <w:t xml:space="preserve"> </w:t>
      </w:r>
      <w:r w:rsidRPr="00010B33">
        <w:rPr>
          <w:rFonts w:cs="Times New Roman"/>
          <w:szCs w:val="24"/>
        </w:rPr>
        <w:t xml:space="preserve">I’d state that these 3 months help to construct a build between my educational background and useful corporate </w:t>
      </w:r>
      <w:r w:rsidRPr="00B85448">
        <w:rPr>
          <w:rFonts w:cs="Times New Roman"/>
          <w:szCs w:val="24"/>
        </w:rPr>
        <w:t>world.</w:t>
      </w:r>
    </w:p>
    <w:p w14:paraId="2FE81F31" w14:textId="6D259887" w:rsidR="00B85448" w:rsidRDefault="00B85448" w:rsidP="00B85448">
      <w:pPr>
        <w:pStyle w:val="Caption"/>
        <w:keepNext/>
        <w:rPr>
          <w:sz w:val="24"/>
          <w:szCs w:val="24"/>
        </w:rPr>
      </w:pPr>
      <w:bookmarkStart w:id="56" w:name="_Toc70724689"/>
      <w:r w:rsidRPr="00B85448">
        <w:rPr>
          <w:sz w:val="24"/>
          <w:szCs w:val="24"/>
        </w:rPr>
        <w:lastRenderedPageBreak/>
        <w:t xml:space="preserve">Table </w:t>
      </w:r>
      <w:r w:rsidRPr="00B85448">
        <w:rPr>
          <w:sz w:val="24"/>
          <w:szCs w:val="24"/>
        </w:rPr>
        <w:fldChar w:fldCharType="begin"/>
      </w:r>
      <w:r w:rsidRPr="00B85448">
        <w:rPr>
          <w:sz w:val="24"/>
          <w:szCs w:val="24"/>
        </w:rPr>
        <w:instrText xml:space="preserve"> SEQ Table \* ARABIC </w:instrText>
      </w:r>
      <w:r w:rsidRPr="00B85448">
        <w:rPr>
          <w:sz w:val="24"/>
          <w:szCs w:val="24"/>
        </w:rPr>
        <w:fldChar w:fldCharType="separate"/>
      </w:r>
      <w:r w:rsidR="008D41F3">
        <w:rPr>
          <w:noProof/>
          <w:sz w:val="24"/>
          <w:szCs w:val="24"/>
        </w:rPr>
        <w:t>6</w:t>
      </w:r>
      <w:r w:rsidRPr="00B85448">
        <w:rPr>
          <w:sz w:val="24"/>
          <w:szCs w:val="24"/>
        </w:rPr>
        <w:fldChar w:fldCharType="end"/>
      </w:r>
      <w:r w:rsidRPr="00B85448">
        <w:rPr>
          <w:sz w:val="24"/>
          <w:szCs w:val="24"/>
        </w:rPr>
        <w:t xml:space="preserve"> Performance evaluation of SIBL</w:t>
      </w:r>
      <w:bookmarkEnd w:id="56"/>
    </w:p>
    <w:p w14:paraId="1B113F2E" w14:textId="2D3F9DCB" w:rsidR="00C149C6" w:rsidRPr="00431D2E" w:rsidRDefault="00431D2E" w:rsidP="00431D2E">
      <w:r>
        <w:rPr>
          <w:noProof/>
        </w:rPr>
        <w:drawing>
          <wp:inline distT="0" distB="0" distL="0" distR="0" wp14:anchorId="1344306D" wp14:editId="5D45108F">
            <wp:extent cx="5934074" cy="35909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1.png"/>
                    <pic:cNvPicPr/>
                  </pic:nvPicPr>
                  <pic:blipFill>
                    <a:blip r:embed="rId55">
                      <a:extLst>
                        <a:ext uri="{28A0092B-C50C-407E-A947-70E740481C1C}">
                          <a14:useLocalDpi xmlns:a14="http://schemas.microsoft.com/office/drawing/2010/main" val="0"/>
                        </a:ext>
                      </a:extLst>
                    </a:blip>
                    <a:stretch>
                      <a:fillRect/>
                    </a:stretch>
                  </pic:blipFill>
                  <pic:spPr>
                    <a:xfrm>
                      <a:off x="0" y="0"/>
                      <a:ext cx="5937013" cy="3592703"/>
                    </a:xfrm>
                    <a:prstGeom prst="rect">
                      <a:avLst/>
                    </a:prstGeom>
                  </pic:spPr>
                </pic:pic>
              </a:graphicData>
            </a:graphic>
          </wp:inline>
        </w:drawing>
      </w:r>
    </w:p>
    <w:p w14:paraId="7FB179D6" w14:textId="7775EED1" w:rsidR="00C149C6" w:rsidRPr="00010B33" w:rsidRDefault="00C149C6" w:rsidP="005C25E2">
      <w:pPr>
        <w:spacing w:line="360" w:lineRule="auto"/>
        <w:jc w:val="both"/>
        <w:rPr>
          <w:rFonts w:cs="Times New Roman"/>
          <w:szCs w:val="24"/>
        </w:rPr>
      </w:pPr>
      <w:r>
        <w:rPr>
          <w:rFonts w:cs="Times New Roman"/>
          <w:szCs w:val="24"/>
        </w:rPr>
        <w:t>In table</w:t>
      </w:r>
      <w:r w:rsidR="007D1A81">
        <w:rPr>
          <w:rFonts w:cs="Times New Roman"/>
          <w:szCs w:val="24"/>
        </w:rPr>
        <w:t xml:space="preserve"> 6,</w:t>
      </w:r>
      <w:r>
        <w:rPr>
          <w:rFonts w:cs="Times New Roman"/>
          <w:szCs w:val="24"/>
        </w:rPr>
        <w:t xml:space="preserve"> my supervisor listed me with good attendance,</w:t>
      </w:r>
      <w:r w:rsidR="006115B9">
        <w:rPr>
          <w:rFonts w:cs="Times New Roman"/>
          <w:szCs w:val="24"/>
        </w:rPr>
        <w:t xml:space="preserve"> </w:t>
      </w:r>
      <w:r>
        <w:rPr>
          <w:rFonts w:cs="Times New Roman"/>
          <w:szCs w:val="24"/>
        </w:rPr>
        <w:t>Quality of Work, initiative</w:t>
      </w:r>
      <w:r w:rsidR="006A5199">
        <w:rPr>
          <w:rFonts w:cs="Times New Roman"/>
          <w:szCs w:val="24"/>
        </w:rPr>
        <w:t>,</w:t>
      </w:r>
      <w:r>
        <w:rPr>
          <w:rFonts w:cs="Times New Roman"/>
          <w:szCs w:val="24"/>
        </w:rPr>
        <w:t xml:space="preserve"> and interpersonal skill</w:t>
      </w:r>
      <w:r w:rsidR="006A5199">
        <w:rPr>
          <w:rFonts w:cs="Times New Roman"/>
          <w:szCs w:val="24"/>
        </w:rPr>
        <w:t>s</w:t>
      </w:r>
      <w:r>
        <w:rPr>
          <w:rFonts w:cs="Times New Roman"/>
          <w:szCs w:val="24"/>
        </w:rPr>
        <w:t xml:space="preserve"> he </w:t>
      </w:r>
      <w:r w:rsidR="006A5199">
        <w:rPr>
          <w:rFonts w:cs="Times New Roman"/>
          <w:szCs w:val="24"/>
        </w:rPr>
        <w:t xml:space="preserve">was </w:t>
      </w:r>
      <w:r>
        <w:rPr>
          <w:rFonts w:cs="Times New Roman"/>
          <w:szCs w:val="24"/>
        </w:rPr>
        <w:t>also marked as excellent productivity, attitude</w:t>
      </w:r>
      <w:r w:rsidR="006A5199">
        <w:rPr>
          <w:rFonts w:cs="Times New Roman"/>
          <w:szCs w:val="24"/>
        </w:rPr>
        <w:t>,</w:t>
      </w:r>
      <w:r w:rsidR="001B1EFE">
        <w:rPr>
          <w:rFonts w:cs="Times New Roman"/>
          <w:szCs w:val="24"/>
        </w:rPr>
        <w:t xml:space="preserve"> and dependability. I am pretty satisfied with my evaluation and looking for a way to overcome my flaws</w:t>
      </w:r>
      <w:r w:rsidR="007D1A81">
        <w:rPr>
          <w:rFonts w:cs="Times New Roman"/>
          <w:szCs w:val="24"/>
        </w:rPr>
        <w:t>.</w:t>
      </w:r>
    </w:p>
    <w:p w14:paraId="569BF470" w14:textId="77777777" w:rsidR="00A21665" w:rsidRPr="00010B33" w:rsidRDefault="00A21665" w:rsidP="005C25E2">
      <w:pPr>
        <w:pStyle w:val="Heading2"/>
        <w:numPr>
          <w:ilvl w:val="1"/>
          <w:numId w:val="36"/>
        </w:numPr>
      </w:pPr>
      <w:bookmarkStart w:id="57" w:name="_Toc70725945"/>
      <w:r w:rsidRPr="00010B33">
        <w:t>SKILLS APPLIED</w:t>
      </w:r>
      <w:bookmarkEnd w:id="57"/>
    </w:p>
    <w:p w14:paraId="37FD4388" w14:textId="607FFE09" w:rsidR="001B1EFE" w:rsidRDefault="001B1EFE" w:rsidP="001B1EFE">
      <w:r>
        <w:t xml:space="preserve">From the internship experience in the Social Islami Bank Ltd. I have picked up a fair number of skills. To mention </w:t>
      </w:r>
      <w:r w:rsidR="006A5199">
        <w:t xml:space="preserve">a </w:t>
      </w:r>
      <w:r>
        <w:t xml:space="preserve">few, how the supervisors </w:t>
      </w:r>
      <w:r w:rsidR="006A5199">
        <w:t>systematically execute work</w:t>
      </w:r>
      <w:r>
        <w:t xml:space="preserve"> and cautiously. Below are given some of the new skills which I lea</w:t>
      </w:r>
      <w:r w:rsidR="006A5199">
        <w:t>r</w:t>
      </w:r>
      <w:r>
        <w:t>n</w:t>
      </w:r>
      <w:r w:rsidR="006A5199">
        <w:t>ed</w:t>
      </w:r>
      <w:r>
        <w:t xml:space="preserve"> from my experience working at SIBL:</w:t>
      </w:r>
    </w:p>
    <w:p w14:paraId="0A147FE4" w14:textId="526D5563" w:rsidR="001B1EFE" w:rsidRDefault="001B1EFE" w:rsidP="001B1EFE">
      <w:pPr>
        <w:pStyle w:val="ListParagraph"/>
        <w:numPr>
          <w:ilvl w:val="0"/>
          <w:numId w:val="44"/>
        </w:numPr>
      </w:pPr>
      <w:r>
        <w:t>I have learn</w:t>
      </w:r>
      <w:r w:rsidR="006A5199">
        <w:t>ed</w:t>
      </w:r>
      <w:r>
        <w:t xml:space="preserve"> to communicate with customers </w:t>
      </w:r>
      <w:r w:rsidR="006A5199">
        <w:t>effectively</w:t>
      </w:r>
      <w:r>
        <w:t xml:space="preserve"> from this internship experience. Each customer </w:t>
      </w:r>
      <w:r w:rsidR="006A5199">
        <w:t>is</w:t>
      </w:r>
      <w:r>
        <w:t xml:space="preserve"> </w:t>
      </w:r>
      <w:r w:rsidR="006A5199">
        <w:t xml:space="preserve">an </w:t>
      </w:r>
      <w:r>
        <w:t>individual who needs various sort</w:t>
      </w:r>
      <w:r w:rsidR="006A5199">
        <w:t>s</w:t>
      </w:r>
      <w:r>
        <w:t xml:space="preserve"> of services and help. I have learn</w:t>
      </w:r>
      <w:r w:rsidR="006A5199">
        <w:t>ed</w:t>
      </w:r>
      <w:r>
        <w:t xml:space="preserve"> to provide those specific needs to those customers.</w:t>
      </w:r>
    </w:p>
    <w:p w14:paraId="4F7B0C3E" w14:textId="77777777" w:rsidR="001B1EFE" w:rsidRDefault="001B1EFE" w:rsidP="001B1EFE">
      <w:pPr>
        <w:pStyle w:val="ListParagraph"/>
        <w:numPr>
          <w:ilvl w:val="0"/>
          <w:numId w:val="44"/>
        </w:numPr>
      </w:pPr>
      <w:r>
        <w:t>I have developed the practice of working 8 hours a day, which is the general custom of any corporate culture. So, from here I gained the knowledge of how a corporation runs on time.</w:t>
      </w:r>
    </w:p>
    <w:p w14:paraId="3E918C20" w14:textId="75848F0D" w:rsidR="001B1EFE" w:rsidRDefault="001B1EFE" w:rsidP="001B1EFE">
      <w:pPr>
        <w:pStyle w:val="ListParagraph"/>
        <w:numPr>
          <w:ilvl w:val="0"/>
          <w:numId w:val="44"/>
        </w:numPr>
      </w:pPr>
      <w:r>
        <w:t>I also learn</w:t>
      </w:r>
      <w:r w:rsidR="006A5199">
        <w:t>ed</w:t>
      </w:r>
      <w:r>
        <w:t xml:space="preserve"> how to continue the affiliation with supervisors and also the customers for </w:t>
      </w:r>
      <w:r w:rsidR="006A5199">
        <w:t>the</w:t>
      </w:r>
      <w:r>
        <w:t xml:space="preserve"> long term. This is a crucial part of any corporate life and bears significance for adjusting there. </w:t>
      </w:r>
    </w:p>
    <w:p w14:paraId="70B98D26" w14:textId="7970CF12" w:rsidR="001B1EFE" w:rsidRDefault="001B1EFE" w:rsidP="001B1EFE">
      <w:pPr>
        <w:pStyle w:val="ListParagraph"/>
        <w:numPr>
          <w:ilvl w:val="0"/>
          <w:numId w:val="44"/>
        </w:numPr>
      </w:pPr>
      <w:r>
        <w:t>I have learned to concentrate better from this internship experience. As I had to finish work within a stipulated time, so I had to give my full concentration on it.</w:t>
      </w:r>
    </w:p>
    <w:p w14:paraId="1968EFBB" w14:textId="19713355" w:rsidR="001B1EFE" w:rsidRDefault="001B1EFE" w:rsidP="001B1EFE">
      <w:pPr>
        <w:pStyle w:val="ListParagraph"/>
        <w:numPr>
          <w:ilvl w:val="0"/>
          <w:numId w:val="44"/>
        </w:numPr>
      </w:pPr>
      <w:r>
        <w:t>I learn</w:t>
      </w:r>
      <w:r w:rsidR="006A5199">
        <w:t>ed</w:t>
      </w:r>
      <w:r>
        <w:t xml:space="preserve"> how the individual branches of any corporation play a big role in the overall banking industry.</w:t>
      </w:r>
    </w:p>
    <w:p w14:paraId="69C19566" w14:textId="77777777" w:rsidR="001B1EFE" w:rsidRDefault="001B1EFE" w:rsidP="001B1EFE">
      <w:pPr>
        <w:pStyle w:val="ListParagraph"/>
        <w:numPr>
          <w:ilvl w:val="0"/>
          <w:numId w:val="44"/>
        </w:numPr>
      </w:pPr>
      <w:r>
        <w:lastRenderedPageBreak/>
        <w:t>I have developed the skill to cooperate with my colleagues from working as an intern at SIBL.</w:t>
      </w:r>
    </w:p>
    <w:p w14:paraId="428D5A4C" w14:textId="578DE10B" w:rsidR="001B1EFE" w:rsidRDefault="001B1EFE" w:rsidP="001B1EFE">
      <w:pPr>
        <w:pStyle w:val="ListParagraph"/>
        <w:numPr>
          <w:ilvl w:val="0"/>
          <w:numId w:val="44"/>
        </w:numPr>
      </w:pPr>
      <w:r>
        <w:t xml:space="preserve">Working as an intern at SIBL has boosted my confidence to complete any work </w:t>
      </w:r>
      <w:r w:rsidR="006A5199">
        <w:t>properly</w:t>
      </w:r>
      <w:r>
        <w:t>.</w:t>
      </w:r>
    </w:p>
    <w:p w14:paraId="43CDF332" w14:textId="77777777" w:rsidR="001B1EFE" w:rsidRPr="00FB1B0F" w:rsidRDefault="001B1EFE" w:rsidP="001B1EFE">
      <w:pPr>
        <w:pStyle w:val="ListParagraph"/>
      </w:pPr>
    </w:p>
    <w:p w14:paraId="4EF799FB" w14:textId="77777777" w:rsidR="00A21665" w:rsidRPr="00010B33" w:rsidRDefault="00A21665" w:rsidP="005C25E2">
      <w:pPr>
        <w:pStyle w:val="Heading2"/>
        <w:numPr>
          <w:ilvl w:val="1"/>
          <w:numId w:val="36"/>
        </w:numPr>
      </w:pPr>
      <w:bookmarkStart w:id="58" w:name="_Toc70725946"/>
      <w:r w:rsidRPr="00010B33">
        <w:t>NEW SKILLS DEVELOPED</w:t>
      </w:r>
      <w:bookmarkEnd w:id="58"/>
    </w:p>
    <w:p w14:paraId="0BDB23B4" w14:textId="4311B790" w:rsidR="00A21665" w:rsidRPr="00010B33" w:rsidRDefault="00A21665" w:rsidP="005C25E2">
      <w:pPr>
        <w:spacing w:line="360" w:lineRule="auto"/>
        <w:jc w:val="both"/>
        <w:rPr>
          <w:rFonts w:cs="Times New Roman"/>
          <w:szCs w:val="24"/>
        </w:rPr>
      </w:pPr>
      <w:r w:rsidRPr="00010B33">
        <w:rPr>
          <w:rFonts w:cs="Times New Roman"/>
          <w:szCs w:val="24"/>
        </w:rPr>
        <w:t xml:space="preserve">Each experience results in a path of innovation. Throughout my entire internship period, I’ve got countless new aptitudes </w:t>
      </w:r>
      <w:r w:rsidR="007D47FC">
        <w:rPr>
          <w:rFonts w:cs="Times New Roman"/>
          <w:szCs w:val="24"/>
        </w:rPr>
        <w:t xml:space="preserve">that will act as </w:t>
      </w:r>
      <w:r w:rsidRPr="00010B33">
        <w:rPr>
          <w:rFonts w:cs="Times New Roman"/>
          <w:szCs w:val="24"/>
        </w:rPr>
        <w:t>building blocks to my future. Before going into the bank, I’ve got little understanding of the bank, and now I’ve got a good deal of information o</w:t>
      </w:r>
      <w:r w:rsidR="007D47FC">
        <w:rPr>
          <w:rFonts w:cs="Times New Roman"/>
          <w:szCs w:val="24"/>
        </w:rPr>
        <w:t>n</w:t>
      </w:r>
      <w:r w:rsidRPr="00010B33">
        <w:rPr>
          <w:rFonts w:cs="Times New Roman"/>
          <w:szCs w:val="24"/>
        </w:rPr>
        <w:t xml:space="preserve"> the bank which will result in a stronger future. My senior officers and therefore the Deputy Manager </w:t>
      </w:r>
      <w:r w:rsidR="006115B9">
        <w:rPr>
          <w:rFonts w:cs="Times New Roman"/>
          <w:szCs w:val="24"/>
        </w:rPr>
        <w:t>were</w:t>
      </w:r>
      <w:r w:rsidRPr="00010B33">
        <w:rPr>
          <w:rFonts w:cs="Times New Roman"/>
          <w:szCs w:val="24"/>
        </w:rPr>
        <w:t xml:space="preserve"> so helpful and that they empower me all the time which helped me to assemble countless new abilities.</w:t>
      </w:r>
    </w:p>
    <w:p w14:paraId="70F56AFB" w14:textId="77777777" w:rsidR="00A21665" w:rsidRPr="00010B33" w:rsidRDefault="00A21665" w:rsidP="005C25E2">
      <w:pPr>
        <w:spacing w:line="360" w:lineRule="auto"/>
        <w:jc w:val="both"/>
        <w:rPr>
          <w:rFonts w:cs="Times New Roman"/>
          <w:szCs w:val="24"/>
        </w:rPr>
      </w:pPr>
      <w:r w:rsidRPr="00010B33">
        <w:rPr>
          <w:rFonts w:cs="Times New Roman"/>
          <w:szCs w:val="24"/>
        </w:rPr>
        <w:t xml:space="preserve">In three months of my internship with Social Islami Bank, Dhanmondi branch, I had the motivation to know housekeeping, file management, client trading, financial reporting, new computer tricks, business correspondence, etc. I realize that this type of professional development will assist me within the near career path, irrespective of as an employee or an entrepreneur. With the rules of my senior officers, I </w:t>
      </w:r>
      <w:r w:rsidR="00F97A4B">
        <w:rPr>
          <w:rFonts w:cs="Times New Roman"/>
          <w:szCs w:val="24"/>
        </w:rPr>
        <w:t>could</w:t>
      </w:r>
      <w:r w:rsidRPr="00010B33">
        <w:rPr>
          <w:rFonts w:cs="Times New Roman"/>
          <w:szCs w:val="24"/>
        </w:rPr>
        <w:t xml:space="preserve"> house my shortcoming that may certainly help in my near future.</w:t>
      </w:r>
    </w:p>
    <w:p w14:paraId="1216210A" w14:textId="77777777" w:rsidR="00A21665" w:rsidRPr="00010B33" w:rsidRDefault="00A21665" w:rsidP="005C25E2">
      <w:pPr>
        <w:pStyle w:val="Heading2"/>
        <w:numPr>
          <w:ilvl w:val="1"/>
          <w:numId w:val="36"/>
        </w:numPr>
      </w:pPr>
      <w:bookmarkStart w:id="59" w:name="_Toc70725947"/>
      <w:r w:rsidRPr="00010B33">
        <w:t>APPLICATION OF ACADEMIC KNOWLEDGE</w:t>
      </w:r>
      <w:bookmarkEnd w:id="59"/>
    </w:p>
    <w:p w14:paraId="75FE27DD" w14:textId="77777777" w:rsidR="00A21665" w:rsidRPr="00010B33" w:rsidRDefault="00A21665" w:rsidP="005C25E2">
      <w:pPr>
        <w:spacing w:line="360" w:lineRule="auto"/>
        <w:jc w:val="both"/>
        <w:rPr>
          <w:rFonts w:cs="Times New Roman"/>
          <w:szCs w:val="24"/>
        </w:rPr>
      </w:pPr>
      <w:r w:rsidRPr="00010B33">
        <w:rPr>
          <w:rFonts w:cs="Times New Roman"/>
          <w:szCs w:val="24"/>
        </w:rPr>
        <w:t>During my academic period, I had acquired knowledge of banking, management, finance, accounting, etc. sector, which assisted in my practical training during the internship period. I had to adjust to branch officials on the opening, closing, issuing of cheques, cash management, processing of loans, and documentation that required basic banking knowledge. On the opening day of the month, we had to manually calculate the interest of a number of the deposit and loan accounts on a sample basis that required financial knowledge. To touch the instruction one has to have management knowledge. Accounting knowledge could be a must to figure and understand banking operations.</w:t>
      </w:r>
    </w:p>
    <w:p w14:paraId="324C4212" w14:textId="77777777" w:rsidR="00A21665" w:rsidRPr="00010B33" w:rsidRDefault="00A21665" w:rsidP="005C25E2">
      <w:pPr>
        <w:spacing w:line="360" w:lineRule="auto"/>
        <w:jc w:val="both"/>
        <w:rPr>
          <w:rFonts w:cs="Times New Roman"/>
          <w:szCs w:val="24"/>
        </w:rPr>
      </w:pPr>
    </w:p>
    <w:p w14:paraId="328F7EE3" w14:textId="77777777" w:rsidR="00A21665" w:rsidRPr="00010B33" w:rsidRDefault="00A21665" w:rsidP="005C25E2">
      <w:pPr>
        <w:spacing w:line="360" w:lineRule="auto"/>
        <w:jc w:val="both"/>
        <w:rPr>
          <w:rFonts w:cs="Times New Roman"/>
          <w:szCs w:val="24"/>
        </w:rPr>
      </w:pPr>
    </w:p>
    <w:p w14:paraId="460395D8" w14:textId="77777777" w:rsidR="00A21665" w:rsidRPr="00010B33" w:rsidRDefault="00A21665" w:rsidP="005C25E2">
      <w:pPr>
        <w:spacing w:line="360" w:lineRule="auto"/>
        <w:jc w:val="both"/>
        <w:rPr>
          <w:rFonts w:cs="Times New Roman"/>
          <w:b/>
          <w:szCs w:val="24"/>
        </w:rPr>
      </w:pPr>
    </w:p>
    <w:p w14:paraId="12984EF9" w14:textId="77777777" w:rsidR="00A21665" w:rsidRPr="00010B33" w:rsidRDefault="00A21665" w:rsidP="005C25E2">
      <w:pPr>
        <w:spacing w:line="360" w:lineRule="auto"/>
        <w:jc w:val="both"/>
        <w:rPr>
          <w:rFonts w:cs="Times New Roman"/>
          <w:b/>
          <w:szCs w:val="24"/>
        </w:rPr>
      </w:pPr>
    </w:p>
    <w:p w14:paraId="781A4F37" w14:textId="77777777" w:rsidR="00983D1F" w:rsidRDefault="00983D1F" w:rsidP="005C25E2">
      <w:pPr>
        <w:spacing w:line="360" w:lineRule="auto"/>
        <w:jc w:val="both"/>
        <w:rPr>
          <w:rFonts w:cs="Times New Roman"/>
          <w:szCs w:val="24"/>
        </w:rPr>
        <w:sectPr w:rsidR="00983D1F" w:rsidSect="009C20D1">
          <w:headerReference w:type="default" r:id="rId56"/>
          <w:pgSz w:w="11909" w:h="16834" w:code="9"/>
          <w:pgMar w:top="1440" w:right="1440" w:bottom="1440" w:left="1440" w:header="720" w:footer="720" w:gutter="0"/>
          <w:pgNumType w:start="48"/>
          <w:cols w:space="720"/>
          <w:docGrid w:linePitch="360"/>
        </w:sectPr>
      </w:pPr>
    </w:p>
    <w:p w14:paraId="245DE9FE" w14:textId="77777777" w:rsidR="00A21665" w:rsidRPr="00010B33" w:rsidRDefault="00A21665" w:rsidP="005C25E2">
      <w:pPr>
        <w:spacing w:line="360" w:lineRule="auto"/>
        <w:jc w:val="both"/>
        <w:rPr>
          <w:rFonts w:cs="Times New Roman"/>
          <w:szCs w:val="24"/>
        </w:rPr>
      </w:pPr>
    </w:p>
    <w:p w14:paraId="41E6763D" w14:textId="77777777" w:rsidR="00A21665" w:rsidRPr="00010B33" w:rsidRDefault="00A21665" w:rsidP="005C25E2">
      <w:pPr>
        <w:spacing w:line="360" w:lineRule="auto"/>
        <w:jc w:val="both"/>
        <w:rPr>
          <w:rFonts w:cs="Times New Roman"/>
          <w:szCs w:val="24"/>
        </w:rPr>
      </w:pPr>
    </w:p>
    <w:p w14:paraId="4152C825" w14:textId="77777777" w:rsidR="00A21665" w:rsidRPr="00010B33" w:rsidRDefault="00A21665" w:rsidP="005C25E2">
      <w:pPr>
        <w:spacing w:line="360" w:lineRule="auto"/>
        <w:jc w:val="both"/>
        <w:rPr>
          <w:rFonts w:cs="Times New Roman"/>
          <w:szCs w:val="24"/>
        </w:rPr>
      </w:pPr>
    </w:p>
    <w:p w14:paraId="1FD4FFF2" w14:textId="77777777" w:rsidR="00A21665" w:rsidRPr="00010B33" w:rsidRDefault="00A21665" w:rsidP="005C25E2">
      <w:pPr>
        <w:spacing w:line="360" w:lineRule="auto"/>
        <w:jc w:val="both"/>
        <w:rPr>
          <w:rFonts w:cs="Times New Roman"/>
          <w:szCs w:val="24"/>
        </w:rPr>
      </w:pPr>
    </w:p>
    <w:p w14:paraId="496BABD9" w14:textId="02123A6D" w:rsidR="00A21665" w:rsidRPr="00010B33" w:rsidRDefault="00A21665" w:rsidP="005C25E2">
      <w:pPr>
        <w:spacing w:line="360" w:lineRule="auto"/>
        <w:jc w:val="both"/>
        <w:rPr>
          <w:rFonts w:cs="Times New Roman"/>
          <w:szCs w:val="24"/>
        </w:rPr>
      </w:pPr>
    </w:p>
    <w:p w14:paraId="42AC81DE" w14:textId="77777777" w:rsidR="00A21665" w:rsidRPr="00010B33" w:rsidRDefault="00A21665" w:rsidP="005C25E2">
      <w:pPr>
        <w:spacing w:line="360" w:lineRule="auto"/>
        <w:jc w:val="both"/>
        <w:rPr>
          <w:rFonts w:cs="Times New Roman"/>
          <w:szCs w:val="24"/>
        </w:rPr>
      </w:pPr>
    </w:p>
    <w:p w14:paraId="6EFEF9E9" w14:textId="77777777" w:rsidR="00A21665" w:rsidRPr="00010B33" w:rsidRDefault="00A21665" w:rsidP="005C25E2">
      <w:pPr>
        <w:spacing w:line="360" w:lineRule="auto"/>
        <w:jc w:val="both"/>
        <w:rPr>
          <w:rFonts w:cs="Times New Roman"/>
          <w:szCs w:val="24"/>
        </w:rPr>
      </w:pPr>
    </w:p>
    <w:p w14:paraId="46C65ECC" w14:textId="77777777" w:rsidR="00C22FCC" w:rsidRPr="00010B33" w:rsidRDefault="00C22FCC" w:rsidP="005C25E2">
      <w:pPr>
        <w:spacing w:line="360" w:lineRule="auto"/>
        <w:jc w:val="both"/>
        <w:rPr>
          <w:rFonts w:cs="Times New Roman"/>
          <w:szCs w:val="24"/>
        </w:rPr>
      </w:pPr>
    </w:p>
    <w:p w14:paraId="432F9B64" w14:textId="77777777" w:rsidR="00C22FCC" w:rsidRPr="00010B33" w:rsidRDefault="00C22FCC" w:rsidP="005C25E2">
      <w:pPr>
        <w:spacing w:line="360" w:lineRule="auto"/>
        <w:jc w:val="both"/>
        <w:rPr>
          <w:rFonts w:cs="Times New Roman"/>
          <w:szCs w:val="24"/>
        </w:rPr>
      </w:pPr>
    </w:p>
    <w:p w14:paraId="146918A8" w14:textId="10581049" w:rsidR="00C22FCC" w:rsidRPr="00010B33" w:rsidRDefault="00431D2E" w:rsidP="005C25E2">
      <w:pPr>
        <w:spacing w:line="360" w:lineRule="auto"/>
        <w:jc w:val="both"/>
        <w:rPr>
          <w:rFonts w:cs="Times New Roman"/>
          <w:szCs w:val="24"/>
        </w:rPr>
      </w:pPr>
      <w:r>
        <w:rPr>
          <w:rFonts w:cs="Times New Roman"/>
          <w:noProof/>
          <w:szCs w:val="24"/>
        </w:rPr>
        <w:drawing>
          <wp:inline distT="0" distB="0" distL="0" distR="0" wp14:anchorId="1441F0C0" wp14:editId="40BDB9A3">
            <wp:extent cx="5733415" cy="17653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pter 5.png"/>
                    <pic:cNvPicPr/>
                  </pic:nvPicPr>
                  <pic:blipFill>
                    <a:blip r:embed="rId57">
                      <a:extLst>
                        <a:ext uri="{28A0092B-C50C-407E-A947-70E740481C1C}">
                          <a14:useLocalDpi xmlns:a14="http://schemas.microsoft.com/office/drawing/2010/main" val="0"/>
                        </a:ext>
                      </a:extLst>
                    </a:blip>
                    <a:stretch>
                      <a:fillRect/>
                    </a:stretch>
                  </pic:blipFill>
                  <pic:spPr>
                    <a:xfrm>
                      <a:off x="0" y="0"/>
                      <a:ext cx="5733415" cy="1765300"/>
                    </a:xfrm>
                    <a:prstGeom prst="rect">
                      <a:avLst/>
                    </a:prstGeom>
                  </pic:spPr>
                </pic:pic>
              </a:graphicData>
            </a:graphic>
          </wp:inline>
        </w:drawing>
      </w:r>
    </w:p>
    <w:p w14:paraId="1EE3A9E5" w14:textId="77777777" w:rsidR="00C22FCC" w:rsidRPr="00010B33" w:rsidRDefault="00C22FCC" w:rsidP="005C25E2">
      <w:pPr>
        <w:spacing w:line="360" w:lineRule="auto"/>
        <w:jc w:val="both"/>
        <w:rPr>
          <w:rFonts w:cs="Times New Roman"/>
          <w:szCs w:val="24"/>
        </w:rPr>
      </w:pPr>
    </w:p>
    <w:p w14:paraId="1EF966E6" w14:textId="77777777" w:rsidR="00C22FCC" w:rsidRPr="00010B33" w:rsidRDefault="00C22FCC" w:rsidP="005C25E2">
      <w:pPr>
        <w:spacing w:line="360" w:lineRule="auto"/>
        <w:jc w:val="both"/>
        <w:rPr>
          <w:rFonts w:cs="Times New Roman"/>
          <w:szCs w:val="24"/>
        </w:rPr>
      </w:pPr>
    </w:p>
    <w:p w14:paraId="60ED3B94" w14:textId="77777777" w:rsidR="00C22FCC" w:rsidRPr="00010B33" w:rsidRDefault="00C22FCC" w:rsidP="005C25E2">
      <w:pPr>
        <w:spacing w:line="360" w:lineRule="auto"/>
        <w:jc w:val="both"/>
        <w:rPr>
          <w:rFonts w:cs="Times New Roman"/>
          <w:szCs w:val="24"/>
        </w:rPr>
      </w:pPr>
    </w:p>
    <w:p w14:paraId="0813752F" w14:textId="77777777" w:rsidR="00C22FCC" w:rsidRPr="00010B33" w:rsidRDefault="00C22FCC" w:rsidP="005C25E2">
      <w:pPr>
        <w:spacing w:line="360" w:lineRule="auto"/>
        <w:jc w:val="both"/>
        <w:rPr>
          <w:rFonts w:cs="Times New Roman"/>
          <w:szCs w:val="24"/>
        </w:rPr>
      </w:pPr>
    </w:p>
    <w:p w14:paraId="6D834C6F" w14:textId="77777777" w:rsidR="00C22FCC" w:rsidRPr="00010B33" w:rsidRDefault="00C22FCC" w:rsidP="005C25E2">
      <w:pPr>
        <w:spacing w:line="360" w:lineRule="auto"/>
        <w:jc w:val="both"/>
        <w:rPr>
          <w:rFonts w:cs="Times New Roman"/>
          <w:szCs w:val="24"/>
        </w:rPr>
      </w:pPr>
    </w:p>
    <w:p w14:paraId="61183FA6" w14:textId="77777777" w:rsidR="00983D1F" w:rsidRDefault="00983D1F" w:rsidP="005C25E2">
      <w:pPr>
        <w:pStyle w:val="Heading1"/>
        <w:sectPr w:rsidR="00983D1F" w:rsidSect="009C20D1">
          <w:headerReference w:type="default" r:id="rId58"/>
          <w:pgSz w:w="11909" w:h="16834" w:code="9"/>
          <w:pgMar w:top="1440" w:right="1440" w:bottom="1440" w:left="1440" w:header="720" w:footer="720" w:gutter="0"/>
          <w:cols w:space="720"/>
          <w:docGrid w:linePitch="360"/>
        </w:sectPr>
      </w:pPr>
    </w:p>
    <w:p w14:paraId="7A4EB0EC" w14:textId="77777777" w:rsidR="00C22FCC" w:rsidRPr="00010B33" w:rsidRDefault="00314326" w:rsidP="005C25E2">
      <w:pPr>
        <w:pStyle w:val="Heading1"/>
      </w:pPr>
      <w:bookmarkStart w:id="60" w:name="_Toc70725948"/>
      <w:r w:rsidRPr="00010B33">
        <w:lastRenderedPageBreak/>
        <w:t xml:space="preserve">CHAPTER-5| </w:t>
      </w:r>
      <w:r w:rsidR="00C22FCC" w:rsidRPr="00010B33">
        <w:t>RECOMMENDATIONS</w:t>
      </w:r>
      <w:bookmarkEnd w:id="60"/>
    </w:p>
    <w:p w14:paraId="37E643F9" w14:textId="77777777" w:rsidR="00C22FCC" w:rsidRPr="00010B33" w:rsidRDefault="00C22FCC" w:rsidP="005C25E2">
      <w:pPr>
        <w:pStyle w:val="Heading2"/>
        <w:numPr>
          <w:ilvl w:val="1"/>
          <w:numId w:val="37"/>
        </w:numPr>
      </w:pPr>
      <w:bookmarkStart w:id="61" w:name="_Toc70725949"/>
      <w:r w:rsidRPr="00010B33">
        <w:t>RECOMMENDATIONS FOR IMPROVING DEPARTMENTAL OPERATIONS</w:t>
      </w:r>
      <w:bookmarkEnd w:id="61"/>
    </w:p>
    <w:p w14:paraId="17CA7336" w14:textId="77777777" w:rsidR="00C22FCC" w:rsidRPr="00010B33" w:rsidRDefault="007D47FC" w:rsidP="005C25E2">
      <w:pPr>
        <w:spacing w:line="360" w:lineRule="auto"/>
        <w:jc w:val="both"/>
        <w:rPr>
          <w:rFonts w:cs="Times New Roman"/>
          <w:szCs w:val="24"/>
        </w:rPr>
      </w:pPr>
      <w:r>
        <w:rPr>
          <w:rFonts w:cs="Times New Roman"/>
          <w:szCs w:val="24"/>
        </w:rPr>
        <w:t xml:space="preserve">Despite being one of the best Islamic Banking organizations in the country, SIBL faces some obstacles to overcome to meet its true objectives. To sustain and compete as the best of the industry, here are some recommendations </w:t>
      </w:r>
      <w:proofErr w:type="spellStart"/>
      <w:r>
        <w:rPr>
          <w:rFonts w:cs="Times New Roman"/>
          <w:szCs w:val="24"/>
        </w:rPr>
        <w:t>SIBLmay</w:t>
      </w:r>
      <w:proofErr w:type="spellEnd"/>
      <w:r>
        <w:rPr>
          <w:rFonts w:cs="Times New Roman"/>
          <w:szCs w:val="24"/>
        </w:rPr>
        <w:t xml:space="preserve"> prompt to adapt:</w:t>
      </w:r>
    </w:p>
    <w:p w14:paraId="4CB2AA98" w14:textId="77777777" w:rsidR="00C22FCC" w:rsidRPr="00010B33" w:rsidRDefault="007D47FC" w:rsidP="005C25E2">
      <w:pPr>
        <w:pStyle w:val="ListParagraph"/>
        <w:numPr>
          <w:ilvl w:val="0"/>
          <w:numId w:val="17"/>
        </w:numPr>
        <w:spacing w:line="360" w:lineRule="auto"/>
        <w:jc w:val="both"/>
        <w:rPr>
          <w:rFonts w:cs="Times New Roman"/>
          <w:szCs w:val="24"/>
        </w:rPr>
      </w:pPr>
      <w:r>
        <w:rPr>
          <w:rFonts w:cs="Times New Roman"/>
          <w:szCs w:val="24"/>
        </w:rPr>
        <w:t>As one of the dynamic banks, SIBL should increase its attention to each of the departments.</w:t>
      </w:r>
    </w:p>
    <w:p w14:paraId="7D476A19" w14:textId="77777777" w:rsidR="00C22FCC" w:rsidRPr="00010B33" w:rsidRDefault="007D47FC" w:rsidP="005C25E2">
      <w:pPr>
        <w:pStyle w:val="ListParagraph"/>
        <w:numPr>
          <w:ilvl w:val="0"/>
          <w:numId w:val="17"/>
        </w:numPr>
        <w:spacing w:line="360" w:lineRule="auto"/>
        <w:jc w:val="both"/>
        <w:rPr>
          <w:rFonts w:cs="Times New Roman"/>
          <w:szCs w:val="24"/>
        </w:rPr>
      </w:pPr>
      <w:r>
        <w:rPr>
          <w:rFonts w:cs="Times New Roman"/>
          <w:szCs w:val="24"/>
        </w:rPr>
        <w:t>Due to technological advancement, SIBL requires installing the latest PC and an adequate number of laptops for legitimate operation.</w:t>
      </w:r>
    </w:p>
    <w:p w14:paraId="37BE3BF7" w14:textId="77777777" w:rsidR="00C22FCC" w:rsidRPr="00010B33" w:rsidRDefault="007D47FC" w:rsidP="005C25E2">
      <w:pPr>
        <w:pStyle w:val="ListParagraph"/>
        <w:numPr>
          <w:ilvl w:val="0"/>
          <w:numId w:val="17"/>
        </w:numPr>
        <w:spacing w:line="360" w:lineRule="auto"/>
        <w:jc w:val="both"/>
        <w:rPr>
          <w:rFonts w:cs="Times New Roman"/>
          <w:szCs w:val="24"/>
        </w:rPr>
      </w:pPr>
      <w:r>
        <w:rPr>
          <w:rFonts w:cs="Times New Roman"/>
          <w:szCs w:val="24"/>
        </w:rPr>
        <w:t>SIBL need to strengthen their marketing activities to grab more customers.</w:t>
      </w:r>
    </w:p>
    <w:p w14:paraId="180F4860" w14:textId="77777777" w:rsidR="00C22FCC" w:rsidRPr="00010B33" w:rsidRDefault="00C22FCC" w:rsidP="005C25E2">
      <w:pPr>
        <w:pStyle w:val="ListParagraph"/>
        <w:numPr>
          <w:ilvl w:val="0"/>
          <w:numId w:val="17"/>
        </w:numPr>
        <w:spacing w:line="360" w:lineRule="auto"/>
        <w:jc w:val="both"/>
        <w:rPr>
          <w:rFonts w:cs="Times New Roman"/>
          <w:szCs w:val="24"/>
        </w:rPr>
      </w:pPr>
      <w:r w:rsidRPr="00010B33">
        <w:rPr>
          <w:rFonts w:cs="Times New Roman"/>
          <w:szCs w:val="24"/>
        </w:rPr>
        <w:t xml:space="preserve">The management </w:t>
      </w:r>
      <w:r w:rsidR="007D47FC">
        <w:rPr>
          <w:rFonts w:cs="Times New Roman"/>
          <w:szCs w:val="24"/>
        </w:rPr>
        <w:t>needs to focus</w:t>
      </w:r>
      <w:r w:rsidRPr="00010B33">
        <w:rPr>
          <w:rFonts w:cs="Times New Roman"/>
          <w:szCs w:val="24"/>
        </w:rPr>
        <w:t xml:space="preserve"> on the promotion of the bank around its operations. For checking and reviewing of this current status of all the divisions for apart from their errors.</w:t>
      </w:r>
    </w:p>
    <w:p w14:paraId="1D5855F5" w14:textId="77777777" w:rsidR="00C22FCC" w:rsidRPr="00010B33" w:rsidRDefault="00C22FCC" w:rsidP="005C25E2">
      <w:pPr>
        <w:pStyle w:val="ListParagraph"/>
        <w:numPr>
          <w:ilvl w:val="0"/>
          <w:numId w:val="17"/>
        </w:numPr>
        <w:spacing w:line="360" w:lineRule="auto"/>
        <w:jc w:val="both"/>
        <w:rPr>
          <w:rFonts w:cs="Times New Roman"/>
          <w:szCs w:val="24"/>
        </w:rPr>
      </w:pPr>
      <w:r w:rsidRPr="00010B33">
        <w:rPr>
          <w:rFonts w:cs="Times New Roman"/>
          <w:szCs w:val="24"/>
        </w:rPr>
        <w:t xml:space="preserve">SIBL </w:t>
      </w:r>
      <w:r w:rsidR="007D47FC">
        <w:rPr>
          <w:rFonts w:cs="Times New Roman"/>
          <w:szCs w:val="24"/>
        </w:rPr>
        <w:t>requires to</w:t>
      </w:r>
      <w:r w:rsidRPr="00010B33">
        <w:rPr>
          <w:rFonts w:cs="Times New Roman"/>
          <w:szCs w:val="24"/>
        </w:rPr>
        <w:t xml:space="preserve"> designate customer profit officer’s overall branches. They solve customers’ problems, reply to the request of customers, etc.</w:t>
      </w:r>
    </w:p>
    <w:p w14:paraId="60E64BA1" w14:textId="77777777" w:rsidR="00C22FCC" w:rsidRPr="007D47FC" w:rsidRDefault="00C22FCC" w:rsidP="005C25E2">
      <w:pPr>
        <w:pStyle w:val="ListParagraph"/>
        <w:numPr>
          <w:ilvl w:val="0"/>
          <w:numId w:val="17"/>
        </w:numPr>
      </w:pPr>
      <w:r w:rsidRPr="00010B33">
        <w:rPr>
          <w:rFonts w:cs="Times New Roman"/>
          <w:szCs w:val="24"/>
        </w:rPr>
        <w:t>S</w:t>
      </w:r>
      <w:r w:rsidR="007D47FC" w:rsidRPr="007D47FC">
        <w:t xml:space="preserve"> </w:t>
      </w:r>
      <w:r w:rsidR="007D47FC" w:rsidRPr="00AC1103">
        <w:t xml:space="preserve">SIBL should </w:t>
      </w:r>
      <w:r w:rsidR="007D47FC">
        <w:t>distinct</w:t>
      </w:r>
      <w:r w:rsidR="007D47FC" w:rsidRPr="00AC1103">
        <w:t xml:space="preserve"> its </w:t>
      </w:r>
      <w:r w:rsidR="007D47FC">
        <w:t>services</w:t>
      </w:r>
      <w:r w:rsidR="007D47FC" w:rsidRPr="00AC1103">
        <w:t xml:space="preserve"> embracing </w:t>
      </w:r>
      <w:r w:rsidR="007D47FC">
        <w:t>technological innovation</w:t>
      </w:r>
      <w:r w:rsidR="007D47FC" w:rsidRPr="00AC1103">
        <w:t xml:space="preserve"> and </w:t>
      </w:r>
      <w:r w:rsidR="007D47FC">
        <w:t>diversif</w:t>
      </w:r>
      <w:r w:rsidR="00F97A4B">
        <w:t>ied</w:t>
      </w:r>
      <w:r w:rsidR="007D47FC">
        <w:t xml:space="preserve"> product</w:t>
      </w:r>
      <w:r w:rsidR="00F97A4B">
        <w:t>s</w:t>
      </w:r>
      <w:r w:rsidR="007D47FC">
        <w:t>.</w:t>
      </w:r>
    </w:p>
    <w:p w14:paraId="7DF03F18" w14:textId="77777777" w:rsidR="00C22FCC" w:rsidRPr="00010B33" w:rsidRDefault="00C22FCC" w:rsidP="005C25E2">
      <w:pPr>
        <w:pStyle w:val="ListParagraph"/>
        <w:numPr>
          <w:ilvl w:val="0"/>
          <w:numId w:val="17"/>
        </w:numPr>
        <w:spacing w:line="360" w:lineRule="auto"/>
        <w:jc w:val="both"/>
        <w:rPr>
          <w:rFonts w:cs="Times New Roman"/>
          <w:szCs w:val="24"/>
        </w:rPr>
      </w:pPr>
      <w:r w:rsidRPr="00010B33">
        <w:rPr>
          <w:rFonts w:cs="Times New Roman"/>
          <w:szCs w:val="24"/>
        </w:rPr>
        <w:t>To accomplish the target, a bank should shape up and follow satisfactory methods, enhances, and strategies for assessing the quality and also the adequacy of loan provision and reserve.</w:t>
      </w:r>
    </w:p>
    <w:p w14:paraId="04B1733C" w14:textId="77777777" w:rsidR="00C22FCC" w:rsidRPr="00010B33" w:rsidRDefault="00C22FCC" w:rsidP="005C25E2">
      <w:pPr>
        <w:pStyle w:val="ListParagraph"/>
        <w:numPr>
          <w:ilvl w:val="0"/>
          <w:numId w:val="17"/>
        </w:numPr>
        <w:spacing w:line="360" w:lineRule="auto"/>
        <w:jc w:val="both"/>
        <w:rPr>
          <w:rFonts w:cs="Times New Roman"/>
          <w:szCs w:val="24"/>
        </w:rPr>
      </w:pPr>
      <w:r w:rsidRPr="00010B33">
        <w:rPr>
          <w:rFonts w:cs="Times New Roman"/>
          <w:szCs w:val="24"/>
        </w:rPr>
        <w:t xml:space="preserve">To upgrade the image of the bank and to expect social responsibility, the bank </w:t>
      </w:r>
      <w:r w:rsidR="007D47FC">
        <w:rPr>
          <w:rFonts w:cs="Times New Roman"/>
          <w:szCs w:val="24"/>
        </w:rPr>
        <w:t>need</w:t>
      </w:r>
      <w:r w:rsidR="00F97A4B">
        <w:rPr>
          <w:rFonts w:cs="Times New Roman"/>
          <w:szCs w:val="24"/>
        </w:rPr>
        <w:t>s</w:t>
      </w:r>
      <w:r w:rsidR="007D47FC">
        <w:rPr>
          <w:rFonts w:cs="Times New Roman"/>
          <w:szCs w:val="24"/>
        </w:rPr>
        <w:t xml:space="preserve"> to</w:t>
      </w:r>
      <w:r w:rsidRPr="00010B33">
        <w:rPr>
          <w:rFonts w:cs="Times New Roman"/>
          <w:szCs w:val="24"/>
        </w:rPr>
        <w:t xml:space="preserve"> </w:t>
      </w:r>
      <w:r w:rsidR="007D47FC">
        <w:rPr>
          <w:rFonts w:cs="Times New Roman"/>
          <w:szCs w:val="24"/>
        </w:rPr>
        <w:t>interact</w:t>
      </w:r>
      <w:r w:rsidRPr="00010B33">
        <w:rPr>
          <w:rFonts w:cs="Times New Roman"/>
          <w:szCs w:val="24"/>
        </w:rPr>
        <w:t xml:space="preserve"> </w:t>
      </w:r>
      <w:r w:rsidR="007D47FC">
        <w:rPr>
          <w:rFonts w:cs="Times New Roman"/>
          <w:szCs w:val="24"/>
        </w:rPr>
        <w:t>with</w:t>
      </w:r>
      <w:r w:rsidRPr="00010B33">
        <w:rPr>
          <w:rFonts w:cs="Times New Roman"/>
          <w:szCs w:val="24"/>
        </w:rPr>
        <w:t xml:space="preserve"> numerous social programs sort of a</w:t>
      </w:r>
      <w:r w:rsidR="007D47FC">
        <w:rPr>
          <w:rFonts w:cs="Times New Roman"/>
          <w:szCs w:val="24"/>
        </w:rPr>
        <w:t>n</w:t>
      </w:r>
      <w:r w:rsidRPr="00010B33">
        <w:rPr>
          <w:rFonts w:cs="Times New Roman"/>
          <w:szCs w:val="24"/>
        </w:rPr>
        <w:t xml:space="preserve"> allowance to </w:t>
      </w:r>
      <w:r w:rsidR="007D47FC">
        <w:rPr>
          <w:rFonts w:cs="Times New Roman"/>
          <w:szCs w:val="24"/>
        </w:rPr>
        <w:t>improve</w:t>
      </w:r>
      <w:r w:rsidRPr="00010B33">
        <w:rPr>
          <w:rFonts w:cs="Times New Roman"/>
          <w:szCs w:val="24"/>
        </w:rPr>
        <w:t xml:space="preserve"> however worthy students, strengthening of the youngsters in degrading financial condition, Campaign against dowry and alternative social diabolical, etc.</w:t>
      </w:r>
    </w:p>
    <w:p w14:paraId="269E6D7C" w14:textId="77777777" w:rsidR="00C22FCC" w:rsidRPr="00010B33" w:rsidRDefault="00C22FCC" w:rsidP="005C25E2">
      <w:pPr>
        <w:pStyle w:val="ListParagraph"/>
        <w:numPr>
          <w:ilvl w:val="0"/>
          <w:numId w:val="17"/>
        </w:numPr>
        <w:spacing w:line="360" w:lineRule="auto"/>
        <w:jc w:val="both"/>
        <w:rPr>
          <w:rFonts w:cs="Times New Roman"/>
          <w:szCs w:val="24"/>
        </w:rPr>
      </w:pPr>
      <w:r w:rsidRPr="00010B33">
        <w:rPr>
          <w:rFonts w:cs="Times New Roman"/>
          <w:szCs w:val="24"/>
        </w:rPr>
        <w:t>They should move frontward the harmonization among the branches and Head Office.</w:t>
      </w:r>
    </w:p>
    <w:p w14:paraId="26DAF9BA" w14:textId="77777777" w:rsidR="00C22FCC" w:rsidRPr="00010B33" w:rsidRDefault="007D47FC" w:rsidP="005C25E2">
      <w:pPr>
        <w:pStyle w:val="ListParagraph"/>
        <w:numPr>
          <w:ilvl w:val="0"/>
          <w:numId w:val="17"/>
        </w:numPr>
        <w:spacing w:line="360" w:lineRule="auto"/>
        <w:jc w:val="both"/>
        <w:rPr>
          <w:rFonts w:cs="Times New Roman"/>
          <w:szCs w:val="24"/>
        </w:rPr>
      </w:pPr>
      <w:r>
        <w:rPr>
          <w:rFonts w:cs="Times New Roman"/>
          <w:szCs w:val="24"/>
        </w:rPr>
        <w:t>Dynamism and rapidity must be enhanced on the performance of its operation.</w:t>
      </w:r>
    </w:p>
    <w:p w14:paraId="39AB1994" w14:textId="77777777" w:rsidR="00C22FCC" w:rsidRPr="00010B33" w:rsidRDefault="00C22FCC" w:rsidP="005C25E2">
      <w:pPr>
        <w:spacing w:line="360" w:lineRule="auto"/>
        <w:jc w:val="both"/>
        <w:rPr>
          <w:rFonts w:cs="Times New Roman"/>
          <w:szCs w:val="24"/>
        </w:rPr>
      </w:pPr>
    </w:p>
    <w:p w14:paraId="740127C4" w14:textId="77777777" w:rsidR="00C22FCC" w:rsidRPr="00010B33" w:rsidRDefault="00C22FCC" w:rsidP="005C25E2">
      <w:pPr>
        <w:pStyle w:val="Heading2"/>
        <w:numPr>
          <w:ilvl w:val="1"/>
          <w:numId w:val="37"/>
        </w:numPr>
      </w:pPr>
      <w:bookmarkStart w:id="62" w:name="_Toc70725950"/>
      <w:r w:rsidRPr="00010B33">
        <w:t>RECOMMENDATIONS FOR IMPROVING SELF-PERFORMANCE</w:t>
      </w:r>
      <w:bookmarkEnd w:id="62"/>
    </w:p>
    <w:p w14:paraId="6B5F84B5" w14:textId="77777777" w:rsidR="00C22FCC" w:rsidRPr="00010B33" w:rsidRDefault="00C22FCC" w:rsidP="005C25E2">
      <w:pPr>
        <w:spacing w:line="360" w:lineRule="auto"/>
        <w:ind w:left="360"/>
        <w:jc w:val="both"/>
        <w:rPr>
          <w:rFonts w:cs="Times New Roman"/>
          <w:szCs w:val="24"/>
        </w:rPr>
      </w:pPr>
      <w:r w:rsidRPr="00010B33">
        <w:rPr>
          <w:rFonts w:cs="Times New Roman"/>
          <w:szCs w:val="24"/>
        </w:rPr>
        <w:t>As I was working beside experienced officials I had to find a few varieties which I was obscure about and I should progress myself in those areas:</w:t>
      </w:r>
    </w:p>
    <w:p w14:paraId="4A73135B" w14:textId="77777777" w:rsidR="00C22FCC" w:rsidRPr="00010B33" w:rsidRDefault="00C22FCC" w:rsidP="005C25E2">
      <w:pPr>
        <w:pStyle w:val="ListParagraph"/>
        <w:numPr>
          <w:ilvl w:val="0"/>
          <w:numId w:val="18"/>
        </w:numPr>
        <w:spacing w:line="360" w:lineRule="auto"/>
        <w:jc w:val="both"/>
        <w:rPr>
          <w:rFonts w:cs="Times New Roman"/>
          <w:szCs w:val="24"/>
        </w:rPr>
      </w:pPr>
      <w:r w:rsidRPr="00010B33">
        <w:rPr>
          <w:rFonts w:cs="Times New Roman"/>
          <w:szCs w:val="24"/>
        </w:rPr>
        <w:lastRenderedPageBreak/>
        <w:t xml:space="preserve"> Swift clarification of instruction into work thanks to the absenteeism of correct banking information.</w:t>
      </w:r>
    </w:p>
    <w:p w14:paraId="3BBA70C9" w14:textId="77777777" w:rsidR="00C22FCC" w:rsidRPr="00010B33" w:rsidRDefault="00C22FCC" w:rsidP="005C25E2">
      <w:pPr>
        <w:pStyle w:val="ListParagraph"/>
        <w:numPr>
          <w:ilvl w:val="0"/>
          <w:numId w:val="18"/>
        </w:numPr>
        <w:spacing w:line="360" w:lineRule="auto"/>
        <w:jc w:val="both"/>
        <w:rPr>
          <w:rFonts w:cs="Times New Roman"/>
          <w:szCs w:val="24"/>
        </w:rPr>
      </w:pPr>
      <w:r w:rsidRPr="00010B33">
        <w:rPr>
          <w:rFonts w:cs="Times New Roman"/>
          <w:szCs w:val="24"/>
        </w:rPr>
        <w:t xml:space="preserve"> Practical presentation in accounting associate degreed finance as customers bestowed a couple of unstructured money statements for an advance proposition and from those unstructured financial as bank officers I had to decide on useable resources.</w:t>
      </w:r>
    </w:p>
    <w:p w14:paraId="7A85A9FB" w14:textId="77777777" w:rsidR="00C22FCC" w:rsidRPr="00010B33" w:rsidRDefault="00C22FCC" w:rsidP="005C25E2">
      <w:pPr>
        <w:pStyle w:val="ListParagraph"/>
        <w:numPr>
          <w:ilvl w:val="0"/>
          <w:numId w:val="18"/>
        </w:numPr>
        <w:spacing w:line="360" w:lineRule="auto"/>
        <w:jc w:val="both"/>
        <w:rPr>
          <w:rFonts w:cs="Times New Roman"/>
          <w:szCs w:val="24"/>
        </w:rPr>
      </w:pPr>
      <w:r w:rsidRPr="00010B33">
        <w:rPr>
          <w:rFonts w:cs="Times New Roman"/>
          <w:szCs w:val="24"/>
        </w:rPr>
        <w:t>Coping up with Organizational Environment as banking culture varies intensely from the real culture being told around. Working in SIBL has made a difference for me to begin understanding how banking culture works as I have received top-notch encounters from working in SIBL</w:t>
      </w:r>
    </w:p>
    <w:p w14:paraId="74D6EFA7" w14:textId="77777777" w:rsidR="00C22FCC" w:rsidRPr="00010B33" w:rsidRDefault="00C22FCC" w:rsidP="005C25E2">
      <w:pPr>
        <w:spacing w:line="360" w:lineRule="auto"/>
        <w:jc w:val="both"/>
        <w:rPr>
          <w:rFonts w:cs="Times New Roman"/>
          <w:szCs w:val="24"/>
        </w:rPr>
      </w:pPr>
    </w:p>
    <w:p w14:paraId="445D2D93" w14:textId="77777777" w:rsidR="00983D1F" w:rsidRDefault="00983D1F" w:rsidP="005C25E2">
      <w:pPr>
        <w:spacing w:line="360" w:lineRule="auto"/>
        <w:jc w:val="both"/>
        <w:rPr>
          <w:rFonts w:cs="Times New Roman"/>
          <w:szCs w:val="24"/>
        </w:rPr>
        <w:sectPr w:rsidR="00983D1F" w:rsidSect="009C20D1">
          <w:headerReference w:type="default" r:id="rId59"/>
          <w:pgSz w:w="11909" w:h="16834" w:code="9"/>
          <w:pgMar w:top="1440" w:right="1440" w:bottom="1440" w:left="1440" w:header="720" w:footer="720" w:gutter="0"/>
          <w:pgNumType w:start="53"/>
          <w:cols w:space="720"/>
          <w:docGrid w:linePitch="360"/>
        </w:sectPr>
      </w:pPr>
    </w:p>
    <w:p w14:paraId="45AA27E2" w14:textId="77777777" w:rsidR="00C22FCC" w:rsidRPr="00010B33" w:rsidRDefault="00C22FCC" w:rsidP="005C25E2">
      <w:pPr>
        <w:spacing w:line="360" w:lineRule="auto"/>
        <w:jc w:val="both"/>
        <w:rPr>
          <w:rFonts w:cs="Times New Roman"/>
          <w:szCs w:val="24"/>
        </w:rPr>
      </w:pPr>
    </w:p>
    <w:p w14:paraId="2BC8EDE2" w14:textId="77777777" w:rsidR="00C22FCC" w:rsidRPr="00010B33" w:rsidRDefault="00C22FCC" w:rsidP="005C25E2">
      <w:pPr>
        <w:spacing w:line="360" w:lineRule="auto"/>
        <w:jc w:val="both"/>
        <w:rPr>
          <w:rFonts w:cs="Times New Roman"/>
          <w:szCs w:val="24"/>
        </w:rPr>
      </w:pPr>
    </w:p>
    <w:p w14:paraId="565AB657" w14:textId="77777777" w:rsidR="00C22FCC" w:rsidRPr="00010B33" w:rsidRDefault="00C22FCC" w:rsidP="005C25E2">
      <w:pPr>
        <w:spacing w:line="360" w:lineRule="auto"/>
        <w:jc w:val="both"/>
        <w:rPr>
          <w:rFonts w:cs="Times New Roman"/>
          <w:szCs w:val="24"/>
        </w:rPr>
      </w:pPr>
    </w:p>
    <w:p w14:paraId="71120D21" w14:textId="77777777" w:rsidR="00C22FCC" w:rsidRPr="00010B33" w:rsidRDefault="00C22FCC" w:rsidP="005C25E2">
      <w:pPr>
        <w:spacing w:line="360" w:lineRule="auto"/>
        <w:jc w:val="both"/>
        <w:rPr>
          <w:rFonts w:cs="Times New Roman"/>
          <w:szCs w:val="24"/>
        </w:rPr>
      </w:pPr>
    </w:p>
    <w:p w14:paraId="5C8EAFE9" w14:textId="77777777" w:rsidR="00C22FCC" w:rsidRPr="00010B33" w:rsidRDefault="00C22FCC" w:rsidP="005C25E2">
      <w:pPr>
        <w:spacing w:line="360" w:lineRule="auto"/>
        <w:jc w:val="both"/>
        <w:rPr>
          <w:rFonts w:cs="Times New Roman"/>
          <w:szCs w:val="24"/>
        </w:rPr>
      </w:pPr>
    </w:p>
    <w:p w14:paraId="68FF6079" w14:textId="77777777" w:rsidR="00C22FCC" w:rsidRPr="00010B33" w:rsidRDefault="00C22FCC" w:rsidP="005C25E2">
      <w:pPr>
        <w:spacing w:line="360" w:lineRule="auto"/>
        <w:jc w:val="both"/>
        <w:rPr>
          <w:rFonts w:cs="Times New Roman"/>
          <w:szCs w:val="24"/>
        </w:rPr>
      </w:pPr>
    </w:p>
    <w:p w14:paraId="2824F234" w14:textId="77777777" w:rsidR="00C22FCC" w:rsidRPr="00010B33" w:rsidRDefault="00C22FCC" w:rsidP="005C25E2">
      <w:pPr>
        <w:spacing w:line="360" w:lineRule="auto"/>
        <w:jc w:val="both"/>
        <w:rPr>
          <w:rFonts w:cs="Times New Roman"/>
          <w:szCs w:val="24"/>
        </w:rPr>
      </w:pPr>
    </w:p>
    <w:p w14:paraId="2C6C6C1D" w14:textId="77777777" w:rsidR="00C22FCC" w:rsidRPr="00010B33" w:rsidRDefault="00B8127A" w:rsidP="005C25E2">
      <w:pPr>
        <w:spacing w:line="360" w:lineRule="auto"/>
        <w:jc w:val="both"/>
        <w:rPr>
          <w:rFonts w:cs="Times New Roman"/>
          <w:szCs w:val="24"/>
        </w:rPr>
      </w:pPr>
      <w:r>
        <w:rPr>
          <w:rFonts w:cs="Times New Roman"/>
          <w:noProof/>
          <w:szCs w:val="24"/>
        </w:rPr>
        <w:drawing>
          <wp:inline distT="0" distB="0" distL="0" distR="0" wp14:anchorId="19E13213" wp14:editId="0107D78E">
            <wp:extent cx="5733415" cy="60198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pter 6.png"/>
                    <pic:cNvPicPr/>
                  </pic:nvPicPr>
                  <pic:blipFill>
                    <a:blip r:embed="rId60">
                      <a:extLst>
                        <a:ext uri="{28A0092B-C50C-407E-A947-70E740481C1C}">
                          <a14:useLocalDpi xmlns:a14="http://schemas.microsoft.com/office/drawing/2010/main" val="0"/>
                        </a:ext>
                      </a:extLst>
                    </a:blip>
                    <a:stretch>
                      <a:fillRect/>
                    </a:stretch>
                  </pic:blipFill>
                  <pic:spPr>
                    <a:xfrm>
                      <a:off x="0" y="0"/>
                      <a:ext cx="5733415" cy="601980"/>
                    </a:xfrm>
                    <a:prstGeom prst="rect">
                      <a:avLst/>
                    </a:prstGeom>
                  </pic:spPr>
                </pic:pic>
              </a:graphicData>
            </a:graphic>
          </wp:inline>
        </w:drawing>
      </w:r>
    </w:p>
    <w:p w14:paraId="567C695A" w14:textId="77777777" w:rsidR="00C22FCC" w:rsidRPr="00010B33" w:rsidRDefault="00C22FCC" w:rsidP="005C25E2">
      <w:pPr>
        <w:spacing w:line="360" w:lineRule="auto"/>
        <w:jc w:val="both"/>
        <w:rPr>
          <w:rFonts w:cs="Times New Roman"/>
          <w:szCs w:val="24"/>
        </w:rPr>
      </w:pPr>
    </w:p>
    <w:p w14:paraId="7DE29335" w14:textId="77777777" w:rsidR="00C22FCC" w:rsidRPr="00010B33" w:rsidRDefault="00C22FCC" w:rsidP="005C25E2">
      <w:pPr>
        <w:spacing w:line="360" w:lineRule="auto"/>
        <w:jc w:val="both"/>
        <w:rPr>
          <w:rFonts w:cs="Times New Roman"/>
          <w:szCs w:val="24"/>
        </w:rPr>
      </w:pPr>
    </w:p>
    <w:p w14:paraId="78365F92" w14:textId="77777777" w:rsidR="00C22FCC" w:rsidRDefault="00C22FCC" w:rsidP="005C25E2">
      <w:pPr>
        <w:spacing w:line="360" w:lineRule="auto"/>
        <w:jc w:val="both"/>
        <w:rPr>
          <w:rFonts w:cs="Times New Roman"/>
          <w:szCs w:val="24"/>
        </w:rPr>
      </w:pPr>
    </w:p>
    <w:p w14:paraId="58FD660A" w14:textId="77777777" w:rsidR="00983D1F" w:rsidRDefault="00983D1F" w:rsidP="005C25E2">
      <w:pPr>
        <w:spacing w:line="360" w:lineRule="auto"/>
        <w:jc w:val="both"/>
        <w:rPr>
          <w:rFonts w:cs="Times New Roman"/>
          <w:szCs w:val="24"/>
        </w:rPr>
      </w:pPr>
    </w:p>
    <w:p w14:paraId="0C406D2B" w14:textId="77777777" w:rsidR="00983D1F" w:rsidRDefault="00983D1F" w:rsidP="005C25E2">
      <w:pPr>
        <w:spacing w:line="360" w:lineRule="auto"/>
        <w:jc w:val="both"/>
        <w:rPr>
          <w:rFonts w:cs="Times New Roman"/>
          <w:szCs w:val="24"/>
        </w:rPr>
      </w:pPr>
    </w:p>
    <w:p w14:paraId="1EA8D4CD" w14:textId="77777777" w:rsidR="00983D1F" w:rsidRDefault="00983D1F" w:rsidP="005C25E2">
      <w:pPr>
        <w:spacing w:line="360" w:lineRule="auto"/>
        <w:jc w:val="both"/>
        <w:rPr>
          <w:rFonts w:cs="Times New Roman"/>
          <w:szCs w:val="24"/>
        </w:rPr>
      </w:pPr>
    </w:p>
    <w:p w14:paraId="4DF88F91" w14:textId="77777777" w:rsidR="00983D1F" w:rsidRDefault="00983D1F" w:rsidP="005C25E2">
      <w:pPr>
        <w:spacing w:line="360" w:lineRule="auto"/>
        <w:jc w:val="both"/>
        <w:rPr>
          <w:rFonts w:cs="Times New Roman"/>
          <w:szCs w:val="24"/>
        </w:rPr>
      </w:pPr>
    </w:p>
    <w:p w14:paraId="53A8985F" w14:textId="77777777" w:rsidR="00983D1F" w:rsidRDefault="00983D1F" w:rsidP="005C25E2">
      <w:pPr>
        <w:spacing w:line="360" w:lineRule="auto"/>
        <w:jc w:val="both"/>
        <w:rPr>
          <w:rFonts w:cs="Times New Roman"/>
          <w:szCs w:val="24"/>
        </w:rPr>
      </w:pPr>
    </w:p>
    <w:p w14:paraId="05EA6788" w14:textId="77777777" w:rsidR="00983D1F" w:rsidRDefault="00983D1F" w:rsidP="005C25E2">
      <w:pPr>
        <w:spacing w:line="360" w:lineRule="auto"/>
        <w:jc w:val="both"/>
        <w:rPr>
          <w:rFonts w:cs="Times New Roman"/>
          <w:szCs w:val="24"/>
        </w:rPr>
      </w:pPr>
    </w:p>
    <w:p w14:paraId="0C9278EB" w14:textId="77777777" w:rsidR="00983D1F" w:rsidRDefault="00983D1F" w:rsidP="005C25E2">
      <w:pPr>
        <w:spacing w:line="360" w:lineRule="auto"/>
        <w:jc w:val="both"/>
        <w:rPr>
          <w:rFonts w:cs="Times New Roman"/>
          <w:szCs w:val="24"/>
        </w:rPr>
      </w:pPr>
    </w:p>
    <w:p w14:paraId="6A357ECC" w14:textId="77777777" w:rsidR="00983D1F" w:rsidRPr="00010B33" w:rsidRDefault="00983D1F" w:rsidP="005C25E2">
      <w:pPr>
        <w:spacing w:line="360" w:lineRule="auto"/>
        <w:jc w:val="both"/>
        <w:rPr>
          <w:rFonts w:cs="Times New Roman"/>
          <w:szCs w:val="24"/>
        </w:rPr>
      </w:pPr>
    </w:p>
    <w:p w14:paraId="214E577D" w14:textId="77777777" w:rsidR="00A33FF7" w:rsidRDefault="00A33FF7" w:rsidP="005C25E2"/>
    <w:p w14:paraId="557F2828" w14:textId="77777777" w:rsidR="00A33FF7" w:rsidRPr="00A33FF7" w:rsidRDefault="00A33FF7" w:rsidP="005C25E2"/>
    <w:p w14:paraId="0A3466E5" w14:textId="77777777" w:rsidR="00983D1F" w:rsidRDefault="00983D1F" w:rsidP="005C25E2">
      <w:pPr>
        <w:pStyle w:val="Heading1"/>
        <w:sectPr w:rsidR="00983D1F" w:rsidSect="009C20D1">
          <w:headerReference w:type="default" r:id="rId61"/>
          <w:pgSz w:w="11909" w:h="16834" w:code="9"/>
          <w:pgMar w:top="1440" w:right="1440" w:bottom="1440" w:left="1440" w:header="720" w:footer="720" w:gutter="0"/>
          <w:cols w:space="720"/>
          <w:docGrid w:linePitch="360"/>
        </w:sectPr>
      </w:pPr>
    </w:p>
    <w:p w14:paraId="175C02EF" w14:textId="77777777" w:rsidR="00C22FCC" w:rsidRPr="00010B33" w:rsidRDefault="00314326" w:rsidP="005C25E2">
      <w:pPr>
        <w:pStyle w:val="Heading1"/>
      </w:pPr>
      <w:bookmarkStart w:id="63" w:name="_Toc70725951"/>
      <w:r w:rsidRPr="00010B33">
        <w:lastRenderedPageBreak/>
        <w:t xml:space="preserve">CHAPTER-6| </w:t>
      </w:r>
      <w:r w:rsidR="00C22FCC" w:rsidRPr="00010B33">
        <w:t>CONCLUSION</w:t>
      </w:r>
      <w:bookmarkEnd w:id="63"/>
    </w:p>
    <w:p w14:paraId="3FE956F4" w14:textId="77777777" w:rsidR="00C22FCC" w:rsidRPr="00010B33" w:rsidRDefault="00C22FCC" w:rsidP="005C25E2">
      <w:pPr>
        <w:spacing w:line="360" w:lineRule="auto"/>
        <w:jc w:val="both"/>
        <w:rPr>
          <w:rFonts w:cs="Times New Roman"/>
          <w:szCs w:val="24"/>
        </w:rPr>
      </w:pPr>
    </w:p>
    <w:p w14:paraId="75B99718" w14:textId="026142F1" w:rsidR="007D47FC" w:rsidRDefault="00C22FCC" w:rsidP="005C25E2">
      <w:pPr>
        <w:spacing w:line="360" w:lineRule="auto"/>
        <w:jc w:val="both"/>
        <w:rPr>
          <w:rFonts w:cs="Times New Roman"/>
          <w:szCs w:val="24"/>
        </w:rPr>
      </w:pPr>
      <w:r w:rsidRPr="00010B33">
        <w:rPr>
          <w:rFonts w:cs="Times New Roman"/>
          <w:szCs w:val="24"/>
        </w:rPr>
        <w:t xml:space="preserve">In the starting, the world wasn't familiar with Islamic banking. </w:t>
      </w:r>
      <w:r w:rsidR="007D47FC">
        <w:rPr>
          <w:rFonts w:cs="Times New Roman"/>
          <w:szCs w:val="24"/>
        </w:rPr>
        <w:t>Earlier only</w:t>
      </w:r>
      <w:r w:rsidRPr="00010B33">
        <w:rPr>
          <w:rFonts w:cs="Times New Roman"/>
          <w:szCs w:val="24"/>
        </w:rPr>
        <w:t xml:space="preserve"> the interest-based capitalist system was understood. The Islamic industry began to emerge with the </w:t>
      </w:r>
      <w:bookmarkStart w:id="64" w:name="_GoBack"/>
      <w:bookmarkEnd w:id="64"/>
      <w:r w:rsidRPr="00010B33">
        <w:rPr>
          <w:rFonts w:cs="Times New Roman"/>
          <w:szCs w:val="24"/>
        </w:rPr>
        <w:t>distinguish</w:t>
      </w:r>
      <w:r w:rsidR="007D47FC">
        <w:rPr>
          <w:rFonts w:cs="Times New Roman"/>
          <w:szCs w:val="24"/>
        </w:rPr>
        <w:t>ing</w:t>
      </w:r>
      <w:r w:rsidRPr="00010B33">
        <w:rPr>
          <w:rFonts w:cs="Times New Roman"/>
          <w:szCs w:val="24"/>
        </w:rPr>
        <w:t xml:space="preserve"> characteristics of a free system of interest. The central focus around that the Islamic industry consisted is that the straight takeoff from interest.</w:t>
      </w:r>
      <w:r w:rsidR="007D47FC">
        <w:rPr>
          <w:rFonts w:cs="Times New Roman"/>
          <w:szCs w:val="24"/>
        </w:rPr>
        <w:t xml:space="preserve"> Muslims around the world highly acknowledging this form of the banking system as it gives them reliability and trustworthiness</w:t>
      </w:r>
      <w:r w:rsidR="00983D1F">
        <w:rPr>
          <w:rFonts w:cs="Times New Roman"/>
          <w:szCs w:val="24"/>
        </w:rPr>
        <w:t xml:space="preserve"> although</w:t>
      </w:r>
      <w:r w:rsidR="007D47FC">
        <w:rPr>
          <w:rFonts w:cs="Times New Roman"/>
          <w:szCs w:val="24"/>
        </w:rPr>
        <w:t xml:space="preserve"> </w:t>
      </w:r>
      <w:r w:rsidR="00F97A4B">
        <w:rPr>
          <w:rFonts w:cs="Times New Roman"/>
          <w:szCs w:val="24"/>
        </w:rPr>
        <w:t xml:space="preserve">a </w:t>
      </w:r>
      <w:r w:rsidR="007D47FC">
        <w:rPr>
          <w:rFonts w:cs="Times New Roman"/>
          <w:szCs w:val="24"/>
        </w:rPr>
        <w:t>somewhat confusing structure specifically to non-</w:t>
      </w:r>
      <w:r w:rsidR="00983D1F">
        <w:rPr>
          <w:rFonts w:cs="Times New Roman"/>
          <w:szCs w:val="24"/>
        </w:rPr>
        <w:t>Muslim</w:t>
      </w:r>
      <w:r w:rsidR="007D47FC">
        <w:rPr>
          <w:rFonts w:cs="Times New Roman"/>
          <w:szCs w:val="24"/>
        </w:rPr>
        <w:t xml:space="preserve"> facing some challenges. If they can change some of their activities then </w:t>
      </w:r>
      <w:r w:rsidR="006A5199">
        <w:rPr>
          <w:rFonts w:cs="Times New Roman"/>
          <w:szCs w:val="24"/>
        </w:rPr>
        <w:t>they</w:t>
      </w:r>
      <w:r w:rsidR="007D47FC">
        <w:rPr>
          <w:rFonts w:cs="Times New Roman"/>
          <w:szCs w:val="24"/>
        </w:rPr>
        <w:t xml:space="preserve"> might get permission and recognition to operate in non-</w:t>
      </w:r>
      <w:r w:rsidR="00983D1F">
        <w:rPr>
          <w:rFonts w:cs="Times New Roman"/>
          <w:szCs w:val="24"/>
        </w:rPr>
        <w:t>Muslim</w:t>
      </w:r>
      <w:r w:rsidR="007D47FC">
        <w:rPr>
          <w:rFonts w:cs="Times New Roman"/>
          <w:szCs w:val="24"/>
        </w:rPr>
        <w:t xml:space="preserve"> countries as well.</w:t>
      </w:r>
      <w:r w:rsidR="007D47FC" w:rsidRPr="00010B33">
        <w:rPr>
          <w:rFonts w:cs="Times New Roman"/>
          <w:szCs w:val="24"/>
        </w:rPr>
        <w:t xml:space="preserve"> </w:t>
      </w:r>
      <w:r w:rsidR="007D47FC">
        <w:rPr>
          <w:rFonts w:cs="Times New Roman"/>
          <w:szCs w:val="24"/>
        </w:rPr>
        <w:t>Slowly but gradually the interest-free banking system began to emerge in Bangladesh as well. These adjusted-system components are all in place,</w:t>
      </w:r>
      <w:r w:rsidR="007D47FC" w:rsidRPr="008C5D80">
        <w:rPr>
          <w:rFonts w:cs="Times New Roman"/>
          <w:szCs w:val="24"/>
        </w:rPr>
        <w:t xml:space="preserve"> </w:t>
      </w:r>
      <w:r w:rsidR="007D47FC">
        <w:rPr>
          <w:rFonts w:cs="Times New Roman"/>
          <w:szCs w:val="24"/>
        </w:rPr>
        <w:t>now with the government's support with legal regulation, it has the potentiality to contribute more towards the economy of the country.</w:t>
      </w:r>
      <w:r w:rsidR="007D47FC" w:rsidRPr="007D47FC">
        <w:rPr>
          <w:rFonts w:cs="Times New Roman"/>
          <w:szCs w:val="24"/>
        </w:rPr>
        <w:t xml:space="preserve"> </w:t>
      </w:r>
      <w:r w:rsidR="007D47FC">
        <w:rPr>
          <w:rFonts w:cs="Times New Roman"/>
          <w:szCs w:val="24"/>
        </w:rPr>
        <w:t>Transforming some traditional banking into Islamic branches in Bangladesh indicates the great promise of the interest-free rate structure.</w:t>
      </w:r>
    </w:p>
    <w:p w14:paraId="6BE6665B" w14:textId="6851B64F" w:rsidR="00C22FCC" w:rsidRPr="00010B33" w:rsidRDefault="007D47FC" w:rsidP="005C25E2">
      <w:pPr>
        <w:spacing w:line="360" w:lineRule="auto"/>
        <w:jc w:val="both"/>
        <w:rPr>
          <w:rFonts w:cs="Times New Roman"/>
          <w:szCs w:val="24"/>
        </w:rPr>
      </w:pPr>
      <w:r w:rsidRPr="00BB147C">
        <w:t>Banking organizations have become one of the most essential sectors of the economy. Banks now provide a variety of services</w:t>
      </w:r>
      <w:r>
        <w:t xml:space="preserve"> to the people in general. All sorts of industries in the country are getting elevated with the helping of banking organizations.</w:t>
      </w:r>
      <w:r w:rsidRPr="00BB147C">
        <w:t xml:space="preserve"> </w:t>
      </w:r>
      <w:r>
        <w:t>Likewise,</w:t>
      </w:r>
      <w:r w:rsidR="00C22FCC" w:rsidRPr="00010B33">
        <w:rPr>
          <w:rFonts w:cs="Times New Roman"/>
          <w:szCs w:val="24"/>
        </w:rPr>
        <w:t xml:space="preserve"> SIBL is </w:t>
      </w:r>
      <w:r>
        <w:rPr>
          <w:rFonts w:cs="Times New Roman"/>
          <w:szCs w:val="24"/>
        </w:rPr>
        <w:t>also showing progression with its</w:t>
      </w:r>
      <w:r w:rsidR="00C22FCC" w:rsidRPr="00010B33">
        <w:rPr>
          <w:rFonts w:cs="Times New Roman"/>
          <w:szCs w:val="24"/>
        </w:rPr>
        <w:t xml:space="preserve"> </w:t>
      </w:r>
      <w:r>
        <w:rPr>
          <w:rFonts w:cs="Times New Roman"/>
          <w:szCs w:val="24"/>
        </w:rPr>
        <w:t>effective method of operation</w:t>
      </w:r>
      <w:r w:rsidR="00C22FCC" w:rsidRPr="00010B33">
        <w:rPr>
          <w:rFonts w:cs="Times New Roman"/>
          <w:szCs w:val="24"/>
        </w:rPr>
        <w:t xml:space="preserve">. Taken, all things </w:t>
      </w:r>
      <w:r>
        <w:rPr>
          <w:rFonts w:cs="Times New Roman"/>
          <w:szCs w:val="24"/>
        </w:rPr>
        <w:t>into consideration</w:t>
      </w:r>
      <w:r w:rsidR="00C22FCC" w:rsidRPr="00010B33">
        <w:rPr>
          <w:rFonts w:cs="Times New Roman"/>
          <w:szCs w:val="24"/>
        </w:rPr>
        <w:t xml:space="preserve">, it will firmly be aforementioned that the SIBL action program is coordinated towards the expansion of a very interactive economy </w:t>
      </w:r>
      <w:r>
        <w:rPr>
          <w:rFonts w:cs="Times New Roman"/>
          <w:szCs w:val="24"/>
        </w:rPr>
        <w:t>beyond</w:t>
      </w:r>
      <w:r w:rsidR="00C22FCC" w:rsidRPr="00010B33">
        <w:rPr>
          <w:rFonts w:cs="Times New Roman"/>
          <w:szCs w:val="24"/>
        </w:rPr>
        <w:t xml:space="preserve"> the far side </w:t>
      </w:r>
      <w:r>
        <w:rPr>
          <w:rFonts w:cs="Times New Roman"/>
          <w:szCs w:val="24"/>
        </w:rPr>
        <w:t>demand and supply laws of goods and services</w:t>
      </w:r>
      <w:r w:rsidR="00C22FCC" w:rsidRPr="00010B33">
        <w:rPr>
          <w:rFonts w:cs="Times New Roman"/>
          <w:szCs w:val="24"/>
        </w:rPr>
        <w:t xml:space="preserve">. The Social Islamic Bank's family empowering credit program is gaining ground at a grassroots level in </w:t>
      </w:r>
      <w:r>
        <w:rPr>
          <w:rFonts w:cs="Times New Roman"/>
          <w:szCs w:val="24"/>
        </w:rPr>
        <w:t>our</w:t>
      </w:r>
      <w:r w:rsidR="00C22FCC" w:rsidRPr="00010B33">
        <w:rPr>
          <w:rFonts w:cs="Times New Roman"/>
          <w:szCs w:val="24"/>
        </w:rPr>
        <w:t xml:space="preserve"> country. Within the SIBL </w:t>
      </w:r>
      <w:r>
        <w:rPr>
          <w:rFonts w:cs="Times New Roman"/>
          <w:szCs w:val="24"/>
        </w:rPr>
        <w:t>structure</w:t>
      </w:r>
      <w:r w:rsidR="00C22FCC" w:rsidRPr="00010B33">
        <w:rPr>
          <w:rFonts w:cs="Times New Roman"/>
          <w:szCs w:val="24"/>
        </w:rPr>
        <w:t xml:space="preserve">, credit expresses </w:t>
      </w:r>
      <w:r>
        <w:rPr>
          <w:rFonts w:cs="Times New Roman"/>
          <w:szCs w:val="24"/>
        </w:rPr>
        <w:t>a</w:t>
      </w:r>
      <w:r w:rsidR="00C22FCC" w:rsidRPr="00010B33">
        <w:rPr>
          <w:rFonts w:cs="Times New Roman"/>
          <w:szCs w:val="24"/>
        </w:rPr>
        <w:t xml:space="preserve"> whole lot of life and is directly connected to the social context and cultural context following Islamic law. There’s a superior chance of constructing provision</w:t>
      </w:r>
      <w:r>
        <w:rPr>
          <w:rFonts w:cs="Times New Roman"/>
          <w:szCs w:val="24"/>
        </w:rPr>
        <w:t>s</w:t>
      </w:r>
      <w:r w:rsidR="00C22FCC" w:rsidRPr="00010B33">
        <w:rPr>
          <w:rFonts w:cs="Times New Roman"/>
          <w:szCs w:val="24"/>
        </w:rPr>
        <w:t xml:space="preserve"> for social subsidies. De-secularization of credit might prompt the re-writing of </w:t>
      </w:r>
      <w:r>
        <w:rPr>
          <w:rFonts w:cs="Times New Roman"/>
          <w:szCs w:val="24"/>
        </w:rPr>
        <w:t xml:space="preserve">the </w:t>
      </w:r>
      <w:r w:rsidR="00C22FCC" w:rsidRPr="00010B33">
        <w:rPr>
          <w:rFonts w:cs="Times New Roman"/>
          <w:szCs w:val="24"/>
        </w:rPr>
        <w:t xml:space="preserve">latest economies. Thus, it's felt that the link between credit and social objectives and assignments can have comprehensive abstract implications for the look of another construct of </w:t>
      </w:r>
      <w:r>
        <w:rPr>
          <w:rFonts w:cs="Times New Roman"/>
          <w:szCs w:val="24"/>
        </w:rPr>
        <w:t xml:space="preserve">the </w:t>
      </w:r>
      <w:r w:rsidR="00C22FCC" w:rsidRPr="00010B33">
        <w:rPr>
          <w:rFonts w:cs="Times New Roman"/>
          <w:szCs w:val="24"/>
        </w:rPr>
        <w:t xml:space="preserve">latest theories of financial gain, output, and employment. SIBL offers services customized to the actual desires of the shoppers among the region of exchange, comers, and business, apart from the domestic network. Whereas services like Debit Cards, ATMs, and SWIFT payment systems area unit </w:t>
      </w:r>
      <w:r w:rsidR="00C22FCC" w:rsidRPr="00010B33">
        <w:rPr>
          <w:rFonts w:cs="Times New Roman"/>
          <w:szCs w:val="24"/>
        </w:rPr>
        <w:lastRenderedPageBreak/>
        <w:t xml:space="preserve">already in </w:t>
      </w:r>
      <w:r>
        <w:rPr>
          <w:rFonts w:cs="Times New Roman"/>
          <w:szCs w:val="24"/>
        </w:rPr>
        <w:t>place</w:t>
      </w:r>
      <w:r w:rsidR="00C22FCC" w:rsidRPr="00010B33">
        <w:rPr>
          <w:rFonts w:cs="Times New Roman"/>
          <w:szCs w:val="24"/>
        </w:rPr>
        <w:t xml:space="preserve">, the Bank plans to implement the online integrated industry with all advanced delivery channels within the future. </w:t>
      </w:r>
      <w:r>
        <w:rPr>
          <w:rFonts w:cs="Times New Roman"/>
          <w:szCs w:val="24"/>
        </w:rPr>
        <w:t>SIBL is always grateful to the government and Central Bank for showing them the upcoming prospect. It also never forget to show gratitude to esteemed customers and loyal employees. To become a market leader and accomplished the difficult task ahead it always looks forward to dynamic participation from the people associated with them.</w:t>
      </w:r>
    </w:p>
    <w:p w14:paraId="00F1ADF8" w14:textId="77777777" w:rsidR="00C22FCC" w:rsidRPr="00010B33" w:rsidRDefault="00C22FCC" w:rsidP="005C25E2">
      <w:pPr>
        <w:spacing w:line="360" w:lineRule="auto"/>
        <w:jc w:val="both"/>
        <w:rPr>
          <w:rFonts w:cs="Times New Roman"/>
          <w:szCs w:val="24"/>
        </w:rPr>
      </w:pPr>
    </w:p>
    <w:p w14:paraId="52ABAEC7" w14:textId="77777777" w:rsidR="00C22FCC" w:rsidRPr="00010B33" w:rsidRDefault="00C22FCC" w:rsidP="005C25E2">
      <w:pPr>
        <w:spacing w:line="360" w:lineRule="auto"/>
        <w:jc w:val="both"/>
        <w:rPr>
          <w:rFonts w:cs="Times New Roman"/>
          <w:szCs w:val="24"/>
        </w:rPr>
      </w:pPr>
    </w:p>
    <w:p w14:paraId="1F5CDE2A" w14:textId="77777777" w:rsidR="00C22FCC" w:rsidRPr="00010B33" w:rsidRDefault="00C22FCC" w:rsidP="005C25E2">
      <w:pPr>
        <w:spacing w:line="360" w:lineRule="auto"/>
        <w:jc w:val="both"/>
        <w:rPr>
          <w:rFonts w:cs="Times New Roman"/>
          <w:b/>
          <w:szCs w:val="24"/>
        </w:rPr>
      </w:pPr>
    </w:p>
    <w:p w14:paraId="111CF211" w14:textId="31E74768" w:rsidR="00983D1F" w:rsidRDefault="00983D1F" w:rsidP="007D1A81">
      <w:pPr>
        <w:rPr>
          <w:rFonts w:cs="Times New Roman"/>
          <w:b/>
          <w:szCs w:val="24"/>
        </w:rPr>
        <w:sectPr w:rsidR="00983D1F" w:rsidSect="009C20D1">
          <w:headerReference w:type="default" r:id="rId62"/>
          <w:pgSz w:w="11909" w:h="16834" w:code="9"/>
          <w:pgMar w:top="1440" w:right="1440" w:bottom="1440" w:left="1440" w:header="720" w:footer="720" w:gutter="0"/>
          <w:pgNumType w:start="56"/>
          <w:cols w:space="720"/>
          <w:docGrid w:linePitch="360"/>
        </w:sectPr>
      </w:pPr>
    </w:p>
    <w:p w14:paraId="1E7F42E8" w14:textId="77777777" w:rsidR="00C22FCC" w:rsidRPr="00010B33" w:rsidRDefault="00B8127A" w:rsidP="005C25E2">
      <w:pPr>
        <w:pStyle w:val="Heading1"/>
      </w:pPr>
      <w:bookmarkStart w:id="65" w:name="_Toc70725952"/>
      <w:r>
        <w:lastRenderedPageBreak/>
        <w:t>C</w:t>
      </w:r>
      <w:r w:rsidR="005261F7" w:rsidRPr="00010B33">
        <w:t xml:space="preserve">HAPTER-7| </w:t>
      </w:r>
      <w:r w:rsidR="00C22FCC" w:rsidRPr="00010B33">
        <w:t>REFERENCES:</w:t>
      </w:r>
      <w:bookmarkEnd w:id="65"/>
    </w:p>
    <w:p w14:paraId="133671C3" w14:textId="77777777" w:rsidR="00C22FCC" w:rsidRPr="00010B33" w:rsidRDefault="00C22FCC" w:rsidP="005C25E2">
      <w:pPr>
        <w:spacing w:line="360" w:lineRule="auto"/>
        <w:jc w:val="both"/>
        <w:rPr>
          <w:rFonts w:cs="Times New Roman"/>
          <w:szCs w:val="24"/>
        </w:rPr>
      </w:pPr>
    </w:p>
    <w:p w14:paraId="2AB6F126" w14:textId="77777777" w:rsidR="00C22FCC" w:rsidRPr="00010B33" w:rsidRDefault="00C22FCC" w:rsidP="005C25E2">
      <w:pPr>
        <w:pStyle w:val="ListParagraph"/>
        <w:numPr>
          <w:ilvl w:val="0"/>
          <w:numId w:val="25"/>
        </w:numPr>
        <w:spacing w:line="360" w:lineRule="auto"/>
        <w:rPr>
          <w:rFonts w:cs="Times New Roman"/>
          <w:szCs w:val="24"/>
        </w:rPr>
      </w:pPr>
      <w:r w:rsidRPr="00010B33">
        <w:rPr>
          <w:rFonts w:cs="Times New Roman"/>
          <w:szCs w:val="24"/>
        </w:rPr>
        <w:t>Alias. (2015), M. (2015). Impaired Financing Determinants of Islamic Banks in Malaysia. Impaired Financing Determinants of Islamic Banks in Malaysia. Information Management and Business Review. Doi: 7. 17-25. 10.22610/</w:t>
      </w:r>
      <w:r w:rsidR="00F97A4B">
        <w:rPr>
          <w:rFonts w:cs="Times New Roman"/>
          <w:szCs w:val="24"/>
        </w:rPr>
        <w:t>numbe</w:t>
      </w:r>
      <w:r w:rsidRPr="00010B33">
        <w:rPr>
          <w:rFonts w:cs="Times New Roman"/>
          <w:szCs w:val="24"/>
        </w:rPr>
        <w:t>r.v7i3.1149.</w:t>
      </w:r>
    </w:p>
    <w:p w14:paraId="474E1832" w14:textId="77777777" w:rsidR="00C22FCC" w:rsidRPr="00010B33" w:rsidRDefault="00C22FCC" w:rsidP="005C25E2">
      <w:pPr>
        <w:pStyle w:val="ListParagraph"/>
        <w:numPr>
          <w:ilvl w:val="0"/>
          <w:numId w:val="25"/>
        </w:numPr>
        <w:spacing w:line="360" w:lineRule="auto"/>
        <w:rPr>
          <w:rFonts w:cs="Times New Roman"/>
          <w:szCs w:val="24"/>
        </w:rPr>
      </w:pPr>
      <w:r w:rsidRPr="00010B33">
        <w:rPr>
          <w:rFonts w:cs="Times New Roman"/>
          <w:szCs w:val="24"/>
        </w:rPr>
        <w:t>EMI Calculator. (n.d.). Retrieved January 15, 2021, from https://www.siblbd.com/mudaraba-lakhopothi-deposit-scheme</w:t>
      </w:r>
    </w:p>
    <w:p w14:paraId="1A030464" w14:textId="77777777" w:rsidR="00C22FCC" w:rsidRPr="00010B33" w:rsidRDefault="00C22FCC" w:rsidP="005C25E2">
      <w:pPr>
        <w:pStyle w:val="ListParagraph"/>
        <w:numPr>
          <w:ilvl w:val="0"/>
          <w:numId w:val="25"/>
        </w:numPr>
        <w:spacing w:line="360" w:lineRule="auto"/>
        <w:rPr>
          <w:rFonts w:cs="Times New Roman"/>
          <w:szCs w:val="24"/>
        </w:rPr>
      </w:pPr>
      <w:proofErr w:type="spellStart"/>
      <w:r w:rsidRPr="00010B33">
        <w:rPr>
          <w:rFonts w:cs="Times New Roman"/>
          <w:szCs w:val="24"/>
        </w:rPr>
        <w:t>Islamic_banking_some_conceptual_issues</w:t>
      </w:r>
      <w:proofErr w:type="spellEnd"/>
      <w:r w:rsidRPr="00010B33">
        <w:rPr>
          <w:rFonts w:cs="Times New Roman"/>
          <w:szCs w:val="24"/>
        </w:rPr>
        <w:t>. (n.d.). Retrieved January 15, 2021, from https://www.islamibankbd.com/abtIBBL/cis_islamic_banking_some_conceptual_issues.php</w:t>
      </w:r>
    </w:p>
    <w:p w14:paraId="00CC3C16" w14:textId="77777777" w:rsidR="00C22FCC" w:rsidRPr="00010B33" w:rsidRDefault="00C22FCC" w:rsidP="005C25E2">
      <w:pPr>
        <w:pStyle w:val="ListParagraph"/>
        <w:numPr>
          <w:ilvl w:val="0"/>
          <w:numId w:val="25"/>
        </w:numPr>
        <w:spacing w:line="360" w:lineRule="auto"/>
        <w:rPr>
          <w:rFonts w:cs="Times New Roman"/>
          <w:szCs w:val="24"/>
        </w:rPr>
      </w:pPr>
      <w:r w:rsidRPr="00010B33">
        <w:rPr>
          <w:rFonts w:cs="Times New Roman"/>
          <w:szCs w:val="24"/>
        </w:rPr>
        <w:t>Maverick, J. (2020, August 28). Analyzing Porter's Five Forces on JPMorgan. Retrieved January 15, 2021, from https://www.investopedia.com/articles/markets/020916/analyzing-porters-five-forces-jpmorgan-chase-jpm.asp</w:t>
      </w:r>
    </w:p>
    <w:p w14:paraId="3629BD9B" w14:textId="77777777" w:rsidR="00C22FCC" w:rsidRPr="00010B33" w:rsidRDefault="00C22FCC" w:rsidP="005C25E2">
      <w:pPr>
        <w:pStyle w:val="ListParagraph"/>
        <w:numPr>
          <w:ilvl w:val="0"/>
          <w:numId w:val="25"/>
        </w:numPr>
        <w:spacing w:line="360" w:lineRule="auto"/>
        <w:rPr>
          <w:rFonts w:cs="Times New Roman"/>
          <w:szCs w:val="24"/>
        </w:rPr>
      </w:pPr>
      <w:proofErr w:type="spellStart"/>
      <w:r w:rsidRPr="00010B33">
        <w:rPr>
          <w:rFonts w:cs="Times New Roman"/>
          <w:szCs w:val="24"/>
        </w:rPr>
        <w:t>Mudaraba</w:t>
      </w:r>
      <w:proofErr w:type="spellEnd"/>
      <w:r w:rsidRPr="00010B33">
        <w:rPr>
          <w:rFonts w:cs="Times New Roman"/>
          <w:szCs w:val="24"/>
        </w:rPr>
        <w:t>-deposit-pension-scheme. (n.d.). Retrieved January 15, 2021, from https://www.siblbd.com/mudaraba-deposit-pension-scheme</w:t>
      </w:r>
    </w:p>
    <w:p w14:paraId="7A5BC430" w14:textId="77777777" w:rsidR="00C22FCC" w:rsidRPr="00010B33" w:rsidRDefault="00C22FCC" w:rsidP="005C25E2">
      <w:pPr>
        <w:pStyle w:val="ListParagraph"/>
        <w:numPr>
          <w:ilvl w:val="0"/>
          <w:numId w:val="25"/>
        </w:numPr>
        <w:spacing w:line="360" w:lineRule="auto"/>
        <w:rPr>
          <w:rFonts w:cs="Times New Roman"/>
          <w:szCs w:val="24"/>
        </w:rPr>
      </w:pPr>
      <w:proofErr w:type="spellStart"/>
      <w:r w:rsidRPr="00010B33">
        <w:rPr>
          <w:rFonts w:cs="Times New Roman"/>
          <w:szCs w:val="24"/>
        </w:rPr>
        <w:t>Mudaraba</w:t>
      </w:r>
      <w:proofErr w:type="spellEnd"/>
      <w:r w:rsidRPr="00010B33">
        <w:rPr>
          <w:rFonts w:cs="Times New Roman"/>
          <w:szCs w:val="24"/>
        </w:rPr>
        <w:t>-education-savings-scheme. (n.d.). Retrieved January 15, 2021, from https://www.siblbd.com/mudaraba-education-savings-scheme</w:t>
      </w:r>
    </w:p>
    <w:p w14:paraId="2D826BC9" w14:textId="77777777" w:rsidR="00C22FCC" w:rsidRPr="00010B33" w:rsidRDefault="00C22FCC" w:rsidP="005C25E2">
      <w:pPr>
        <w:pStyle w:val="ListParagraph"/>
        <w:numPr>
          <w:ilvl w:val="0"/>
          <w:numId w:val="25"/>
        </w:numPr>
        <w:spacing w:line="360" w:lineRule="auto"/>
        <w:rPr>
          <w:rFonts w:cs="Times New Roman"/>
          <w:szCs w:val="24"/>
        </w:rPr>
      </w:pPr>
      <w:r w:rsidRPr="00010B33">
        <w:rPr>
          <w:rFonts w:cs="Times New Roman"/>
          <w:szCs w:val="24"/>
        </w:rPr>
        <w:t>Sanchita-special-deposit-scheme. (n.d.). Retrieved January 15, 2021, from https://www.siblbd.com//sanchita-special-deposit-scheme</w:t>
      </w:r>
    </w:p>
    <w:p w14:paraId="7F6DCBB7" w14:textId="77777777" w:rsidR="00C22FCC" w:rsidRPr="00010B33" w:rsidRDefault="00C22FCC" w:rsidP="005C25E2">
      <w:pPr>
        <w:pStyle w:val="ListParagraph"/>
        <w:numPr>
          <w:ilvl w:val="0"/>
          <w:numId w:val="25"/>
        </w:numPr>
        <w:spacing w:line="360" w:lineRule="auto"/>
        <w:rPr>
          <w:rFonts w:cs="Times New Roman"/>
          <w:szCs w:val="24"/>
        </w:rPr>
      </w:pPr>
      <w:r w:rsidRPr="00010B33">
        <w:rPr>
          <w:rFonts w:cs="Times New Roman"/>
          <w:szCs w:val="24"/>
        </w:rPr>
        <w:t>Sharma, G. (2012, April 19). Pestel analysis: Banking sector. Retrieved January 15, 2021, from https://www.slideshare.net/Gstheproud007/pestel-analysis-banking-sector</w:t>
      </w:r>
    </w:p>
    <w:p w14:paraId="322D398C" w14:textId="77777777" w:rsidR="00C22FCC" w:rsidRPr="00010B33" w:rsidRDefault="00C22FCC" w:rsidP="005C25E2">
      <w:pPr>
        <w:pStyle w:val="ListParagraph"/>
        <w:numPr>
          <w:ilvl w:val="0"/>
          <w:numId w:val="25"/>
        </w:numPr>
        <w:spacing w:line="360" w:lineRule="auto"/>
        <w:rPr>
          <w:rFonts w:cs="Times New Roman"/>
          <w:szCs w:val="24"/>
        </w:rPr>
      </w:pPr>
      <w:r w:rsidRPr="00010B33">
        <w:rPr>
          <w:rFonts w:cs="Times New Roman"/>
          <w:szCs w:val="24"/>
        </w:rPr>
        <w:t>Www.bb.org.bd. (n.d.). Retrieved January 15, 2021, from https://www.bb.org.bd/fnansys/bankfi.php#:~:text=Scheduled%20Banks%3A%20The%20banks%20that,but%20are%20not%20Scheduled%20Banks.</w:t>
      </w:r>
    </w:p>
    <w:p w14:paraId="0C057253" w14:textId="77777777" w:rsidR="00C22FCC" w:rsidRPr="00010B33" w:rsidRDefault="00C22FCC" w:rsidP="005C25E2">
      <w:pPr>
        <w:pStyle w:val="ListParagraph"/>
        <w:numPr>
          <w:ilvl w:val="0"/>
          <w:numId w:val="25"/>
        </w:numPr>
        <w:spacing w:line="360" w:lineRule="auto"/>
        <w:rPr>
          <w:rFonts w:cs="Times New Roman"/>
          <w:szCs w:val="24"/>
        </w:rPr>
      </w:pPr>
      <w:r w:rsidRPr="00010B33">
        <w:rPr>
          <w:rFonts w:cs="Times New Roman"/>
          <w:szCs w:val="24"/>
        </w:rPr>
        <w:t xml:space="preserve">Www.islamic-banking.com. (n.d.). Retrieved January 01, 2021, from </w:t>
      </w:r>
      <w:r w:rsidR="007B2A7F" w:rsidRPr="00010B33">
        <w:rPr>
          <w:rFonts w:cs="Times New Roman"/>
          <w:szCs w:val="24"/>
        </w:rPr>
        <w:t>https://www.islamic-banking.com/explore/islamic-finance/islamic-banking</w:t>
      </w:r>
    </w:p>
    <w:p w14:paraId="47FF920C" w14:textId="77777777" w:rsidR="007B2A7F" w:rsidRDefault="007B2A7F" w:rsidP="005C25E2">
      <w:pPr>
        <w:pStyle w:val="ListParagraph"/>
        <w:numPr>
          <w:ilvl w:val="0"/>
          <w:numId w:val="25"/>
        </w:numPr>
        <w:spacing w:line="360" w:lineRule="auto"/>
        <w:rPr>
          <w:rFonts w:cs="Times New Roman"/>
          <w:szCs w:val="24"/>
        </w:rPr>
      </w:pPr>
      <w:r w:rsidRPr="00010B33">
        <w:rPr>
          <w:rFonts w:cs="Times New Roman"/>
          <w:szCs w:val="24"/>
        </w:rPr>
        <w:t xml:space="preserve">SIBL profile. (n.d.). Retrieved January 18, 2021, from </w:t>
      </w:r>
      <w:hyperlink r:id="rId63" w:history="1">
        <w:r w:rsidR="00940B9F" w:rsidRPr="0042455F">
          <w:rPr>
            <w:rStyle w:val="Hyperlink"/>
            <w:rFonts w:cs="Times New Roman"/>
            <w:szCs w:val="24"/>
          </w:rPr>
          <w:t>https://www.siblbd.com/about/profile</w:t>
        </w:r>
      </w:hyperlink>
    </w:p>
    <w:p w14:paraId="3292C388" w14:textId="77777777" w:rsidR="002D55CA" w:rsidRPr="00F97A4B" w:rsidRDefault="00940B9F" w:rsidP="005C25E2">
      <w:pPr>
        <w:pStyle w:val="ListParagraph"/>
        <w:numPr>
          <w:ilvl w:val="0"/>
          <w:numId w:val="25"/>
        </w:numPr>
        <w:spacing w:line="360" w:lineRule="auto"/>
        <w:rPr>
          <w:rStyle w:val="Hyperlink"/>
          <w:rFonts w:cs="Times New Roman"/>
          <w:color w:val="auto"/>
          <w:szCs w:val="24"/>
          <w:u w:val="none"/>
        </w:rPr>
      </w:pPr>
      <w:r w:rsidRPr="00940B9F">
        <w:rPr>
          <w:rFonts w:eastAsia="Times New Roman" w:cs="Times New Roman"/>
          <w:szCs w:val="24"/>
        </w:rPr>
        <w:t>Developments of Islamic Banking in Bangladesh*. (n.d.).</w:t>
      </w:r>
      <w:r w:rsidR="007F7D14" w:rsidRPr="007F7D14">
        <w:rPr>
          <w:rFonts w:cs="Times New Roman"/>
          <w:szCs w:val="24"/>
        </w:rPr>
        <w:t xml:space="preserve"> </w:t>
      </w:r>
      <w:r w:rsidR="007F7D14" w:rsidRPr="00010B33">
        <w:rPr>
          <w:rFonts w:cs="Times New Roman"/>
          <w:szCs w:val="24"/>
        </w:rPr>
        <w:t xml:space="preserve">Retrieved January 18, 2021, from </w:t>
      </w:r>
      <w:r w:rsidR="007F7D14" w:rsidRPr="00F97A4B">
        <w:rPr>
          <w:rFonts w:cs="Times New Roman"/>
          <w:szCs w:val="24"/>
        </w:rPr>
        <w:t>https://www.bb.org.bd/pub/quaterly/islamic_banking/apr_jun_2019.pdf</w:t>
      </w:r>
    </w:p>
    <w:sectPr w:rsidR="002D55CA" w:rsidRPr="00F97A4B" w:rsidSect="009C20D1">
      <w:footerReference w:type="default" r:id="rId64"/>
      <w:pgSz w:w="11909" w:h="16834" w:code="9"/>
      <w:pgMar w:top="1440" w:right="1440" w:bottom="1440" w:left="1440" w:header="720" w:footer="720" w:gutter="0"/>
      <w:pgNumType w:start="58"/>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27A4971" w14:textId="77777777" w:rsidR="00A205CD" w:rsidRDefault="00A205CD" w:rsidP="00FC3F31">
      <w:pPr>
        <w:spacing w:after="0" w:line="240" w:lineRule="auto"/>
      </w:pPr>
      <w:r>
        <w:separator/>
      </w:r>
    </w:p>
  </w:endnote>
  <w:endnote w:type="continuationSeparator" w:id="0">
    <w:p w14:paraId="0655FF01" w14:textId="77777777" w:rsidR="00A205CD" w:rsidRDefault="00A205CD" w:rsidP="00FC3F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59583013"/>
      <w:docPartObj>
        <w:docPartGallery w:val="Page Numbers (Bottom of Page)"/>
        <w:docPartUnique/>
      </w:docPartObj>
    </w:sdtPr>
    <w:sdtEndPr>
      <w:rPr>
        <w:color w:val="7F7F7F" w:themeColor="background1" w:themeShade="7F"/>
        <w:spacing w:val="60"/>
      </w:rPr>
    </w:sdtEndPr>
    <w:sdtContent>
      <w:p w14:paraId="26D790F0" w14:textId="4DE74C28" w:rsidR="00FF7473" w:rsidRDefault="00FF7473">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BD4A0B" w:rsidRPr="00BD4A0B">
          <w:rPr>
            <w:b/>
            <w:bCs/>
            <w:noProof/>
          </w:rPr>
          <w:t>1</w:t>
        </w:r>
        <w:r>
          <w:rPr>
            <w:b/>
            <w:bCs/>
            <w:noProof/>
          </w:rPr>
          <w:fldChar w:fldCharType="end"/>
        </w:r>
        <w:r>
          <w:rPr>
            <w:b/>
            <w:bCs/>
          </w:rPr>
          <w:t xml:space="preserve"> | </w:t>
        </w:r>
        <w:r>
          <w:rPr>
            <w:color w:val="7F7F7F" w:themeColor="background1" w:themeShade="7F"/>
            <w:spacing w:val="60"/>
          </w:rPr>
          <w:t>Page</w:t>
        </w:r>
      </w:p>
    </w:sdtContent>
  </w:sdt>
  <w:p w14:paraId="315884FA" w14:textId="77777777" w:rsidR="00FF7473" w:rsidRDefault="00FF747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5E63BB" w14:textId="77777777" w:rsidR="00FF7473" w:rsidRDefault="00FF747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4080977" w14:textId="77777777" w:rsidR="00A205CD" w:rsidRDefault="00A205CD" w:rsidP="00FC3F31">
      <w:pPr>
        <w:spacing w:after="0" w:line="240" w:lineRule="auto"/>
      </w:pPr>
      <w:r>
        <w:separator/>
      </w:r>
    </w:p>
  </w:footnote>
  <w:footnote w:type="continuationSeparator" w:id="0">
    <w:p w14:paraId="11E41692" w14:textId="77777777" w:rsidR="00A205CD" w:rsidRDefault="00A205CD" w:rsidP="00FC3F3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9B1B3F" w14:textId="77777777" w:rsidR="00FF7473" w:rsidRDefault="00FF747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AB58AE" w14:textId="77777777" w:rsidR="00FF7473" w:rsidRDefault="00FF747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9402A4" w14:textId="77777777" w:rsidR="00FF7473" w:rsidRDefault="00FF747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403030" w14:textId="77777777" w:rsidR="00FF7473" w:rsidRDefault="00FF7473">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E934E3" w14:textId="77777777" w:rsidR="00FF7473" w:rsidRDefault="00FF7473">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6F950E7" w14:textId="77777777" w:rsidR="00FF7473" w:rsidRDefault="00FF747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F68AAF" w14:textId="77777777" w:rsidR="00FF7473" w:rsidRDefault="00FF7473">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1667DB" w14:textId="77777777" w:rsidR="00FF7473" w:rsidRDefault="00FF7473">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643F26" w14:textId="77777777" w:rsidR="00FF7473" w:rsidRDefault="00FF747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C53808" w14:textId="77777777" w:rsidR="00FF7473" w:rsidRDefault="00FF7473">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A52409" w14:textId="77777777" w:rsidR="00FF7473" w:rsidRDefault="00FF7473">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84F7D4" w14:textId="77777777" w:rsidR="00FF7473" w:rsidRDefault="00FF7473">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BB1B4C" w14:textId="77777777" w:rsidR="00FF7473" w:rsidRDefault="00FF747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E5F51"/>
    <w:multiLevelType w:val="hybridMultilevel"/>
    <w:tmpl w:val="3654BE90"/>
    <w:lvl w:ilvl="0" w:tplc="04090009">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
    <w:nsid w:val="07806E91"/>
    <w:multiLevelType w:val="multilevel"/>
    <w:tmpl w:val="E33886CA"/>
    <w:lvl w:ilvl="0">
      <w:start w:val="2"/>
      <w:numFmt w:val="decimal"/>
      <w:lvlText w:val="%1."/>
      <w:lvlJc w:val="left"/>
      <w:pPr>
        <w:ind w:left="360" w:hanging="360"/>
      </w:pPr>
      <w:rPr>
        <w:rFonts w:hint="default"/>
        <w:color w:val="4F81BD" w:themeColor="accent1"/>
      </w:rPr>
    </w:lvl>
    <w:lvl w:ilvl="1">
      <w:start w:val="2"/>
      <w:numFmt w:val="decimal"/>
      <w:lvlText w:val="%1.%2."/>
      <w:lvlJc w:val="left"/>
      <w:pPr>
        <w:ind w:left="720" w:hanging="360"/>
      </w:pPr>
      <w:rPr>
        <w:rFonts w:hint="default"/>
        <w:color w:val="4F81BD" w:themeColor="accent1"/>
      </w:rPr>
    </w:lvl>
    <w:lvl w:ilvl="2">
      <w:start w:val="1"/>
      <w:numFmt w:val="decimal"/>
      <w:lvlText w:val="%1.%2.%3."/>
      <w:lvlJc w:val="left"/>
      <w:pPr>
        <w:ind w:left="1440" w:hanging="720"/>
      </w:pPr>
      <w:rPr>
        <w:rFonts w:hint="default"/>
        <w:color w:val="4F81BD" w:themeColor="accent1"/>
      </w:rPr>
    </w:lvl>
    <w:lvl w:ilvl="3">
      <w:start w:val="1"/>
      <w:numFmt w:val="decimal"/>
      <w:lvlText w:val="%1.%2.%3.%4."/>
      <w:lvlJc w:val="left"/>
      <w:pPr>
        <w:ind w:left="1800" w:hanging="720"/>
      </w:pPr>
      <w:rPr>
        <w:rFonts w:hint="default"/>
        <w:color w:val="4F81BD" w:themeColor="accent1"/>
      </w:rPr>
    </w:lvl>
    <w:lvl w:ilvl="4">
      <w:start w:val="1"/>
      <w:numFmt w:val="decimal"/>
      <w:lvlText w:val="%1.%2.%3.%4.%5."/>
      <w:lvlJc w:val="left"/>
      <w:pPr>
        <w:ind w:left="2520" w:hanging="1080"/>
      </w:pPr>
      <w:rPr>
        <w:rFonts w:hint="default"/>
        <w:color w:val="4F81BD" w:themeColor="accent1"/>
      </w:rPr>
    </w:lvl>
    <w:lvl w:ilvl="5">
      <w:start w:val="1"/>
      <w:numFmt w:val="decimal"/>
      <w:lvlText w:val="%1.%2.%3.%4.%5.%6."/>
      <w:lvlJc w:val="left"/>
      <w:pPr>
        <w:ind w:left="2880" w:hanging="1080"/>
      </w:pPr>
      <w:rPr>
        <w:rFonts w:hint="default"/>
        <w:color w:val="4F81BD" w:themeColor="accent1"/>
      </w:rPr>
    </w:lvl>
    <w:lvl w:ilvl="6">
      <w:start w:val="1"/>
      <w:numFmt w:val="decimal"/>
      <w:lvlText w:val="%1.%2.%3.%4.%5.%6.%7."/>
      <w:lvlJc w:val="left"/>
      <w:pPr>
        <w:ind w:left="3600" w:hanging="1440"/>
      </w:pPr>
      <w:rPr>
        <w:rFonts w:hint="default"/>
        <w:color w:val="4F81BD" w:themeColor="accent1"/>
      </w:rPr>
    </w:lvl>
    <w:lvl w:ilvl="7">
      <w:start w:val="1"/>
      <w:numFmt w:val="decimal"/>
      <w:lvlText w:val="%1.%2.%3.%4.%5.%6.%7.%8."/>
      <w:lvlJc w:val="left"/>
      <w:pPr>
        <w:ind w:left="3960" w:hanging="1440"/>
      </w:pPr>
      <w:rPr>
        <w:rFonts w:hint="default"/>
        <w:color w:val="4F81BD" w:themeColor="accent1"/>
      </w:rPr>
    </w:lvl>
    <w:lvl w:ilvl="8">
      <w:start w:val="1"/>
      <w:numFmt w:val="decimal"/>
      <w:lvlText w:val="%1.%2.%3.%4.%5.%6.%7.%8.%9."/>
      <w:lvlJc w:val="left"/>
      <w:pPr>
        <w:ind w:left="4680" w:hanging="1800"/>
      </w:pPr>
      <w:rPr>
        <w:rFonts w:hint="default"/>
        <w:color w:val="4F81BD" w:themeColor="accent1"/>
      </w:rPr>
    </w:lvl>
  </w:abstractNum>
  <w:abstractNum w:abstractNumId="2">
    <w:nsid w:val="09E11EAD"/>
    <w:multiLevelType w:val="multilevel"/>
    <w:tmpl w:val="39387C0E"/>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nsid w:val="0AA479CF"/>
    <w:multiLevelType w:val="multilevel"/>
    <w:tmpl w:val="9118C78E"/>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
    <w:nsid w:val="0CBC2FB8"/>
    <w:multiLevelType w:val="hybridMultilevel"/>
    <w:tmpl w:val="C65404F2"/>
    <w:lvl w:ilvl="0" w:tplc="0409000B">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5">
    <w:nsid w:val="0F5F5BEF"/>
    <w:multiLevelType w:val="hybridMultilevel"/>
    <w:tmpl w:val="57969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0A9563C"/>
    <w:multiLevelType w:val="hybridMultilevel"/>
    <w:tmpl w:val="FC7A6C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10D61473"/>
    <w:multiLevelType w:val="multilevel"/>
    <w:tmpl w:val="AF364272"/>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b/>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nsid w:val="161D15CA"/>
    <w:multiLevelType w:val="hybridMultilevel"/>
    <w:tmpl w:val="3F04E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DC41659"/>
    <w:multiLevelType w:val="multilevel"/>
    <w:tmpl w:val="37006A08"/>
    <w:lvl w:ilvl="0">
      <w:start w:val="1"/>
      <w:numFmt w:val="decimal"/>
      <w:lvlText w:val="%1."/>
      <w:lvlJc w:val="left"/>
      <w:pPr>
        <w:ind w:left="720" w:hanging="360"/>
      </w:pPr>
    </w:lvl>
    <w:lvl w:ilvl="1">
      <w:start w:val="1"/>
      <w:numFmt w:val="decimal"/>
      <w:pStyle w:val="Heading2"/>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nsid w:val="1EA13566"/>
    <w:multiLevelType w:val="multilevel"/>
    <w:tmpl w:val="AFACF8B2"/>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nsid w:val="27632D88"/>
    <w:multiLevelType w:val="hybridMultilevel"/>
    <w:tmpl w:val="E85CC39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2">
    <w:nsid w:val="2A926B48"/>
    <w:multiLevelType w:val="hybridMultilevel"/>
    <w:tmpl w:val="300470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AA66E27"/>
    <w:multiLevelType w:val="hybridMultilevel"/>
    <w:tmpl w:val="DE8AD718"/>
    <w:lvl w:ilvl="0" w:tplc="D348F956">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B7E479B"/>
    <w:multiLevelType w:val="hybridMultilevel"/>
    <w:tmpl w:val="B78277E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CD22B27"/>
    <w:multiLevelType w:val="hybridMultilevel"/>
    <w:tmpl w:val="60389B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330F0EBB"/>
    <w:multiLevelType w:val="hybridMultilevel"/>
    <w:tmpl w:val="8958608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3366192"/>
    <w:multiLevelType w:val="hybridMultilevel"/>
    <w:tmpl w:val="C0EEFAA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nsid w:val="3895665B"/>
    <w:multiLevelType w:val="hybridMultilevel"/>
    <w:tmpl w:val="D6A61A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nsid w:val="3DA94B48"/>
    <w:multiLevelType w:val="hybridMultilevel"/>
    <w:tmpl w:val="928453D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408F715A"/>
    <w:multiLevelType w:val="hybridMultilevel"/>
    <w:tmpl w:val="B3EE4C32"/>
    <w:lvl w:ilvl="0" w:tplc="F72ABA9E">
      <w:start w:val="1"/>
      <w:numFmt w:val="bullet"/>
      <w:lvlText w:val=""/>
      <w:lvlJc w:val="left"/>
      <w:pPr>
        <w:ind w:left="720" w:hanging="360"/>
      </w:pPr>
      <w:rPr>
        <w:rFonts w:ascii="Symbol" w:hAnsi="Symbol" w:hint="default"/>
        <w:color w:val="000000" w:themeColor="text1"/>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nsid w:val="40B06F64"/>
    <w:multiLevelType w:val="hybridMultilevel"/>
    <w:tmpl w:val="40F8FC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23D5C6E"/>
    <w:multiLevelType w:val="hybridMultilevel"/>
    <w:tmpl w:val="8C2853F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3">
    <w:nsid w:val="49D066B4"/>
    <w:multiLevelType w:val="hybridMultilevel"/>
    <w:tmpl w:val="AAB424E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nsid w:val="4CB87995"/>
    <w:multiLevelType w:val="hybridMultilevel"/>
    <w:tmpl w:val="32368D4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5">
    <w:nsid w:val="4E0B415C"/>
    <w:multiLevelType w:val="multilevel"/>
    <w:tmpl w:val="424270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nsid w:val="4EBA08D5"/>
    <w:multiLevelType w:val="hybridMultilevel"/>
    <w:tmpl w:val="056E96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1353657"/>
    <w:multiLevelType w:val="hybridMultilevel"/>
    <w:tmpl w:val="B4FCBC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nsid w:val="56EA1C46"/>
    <w:multiLevelType w:val="hybridMultilevel"/>
    <w:tmpl w:val="E3CC84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A635F7E"/>
    <w:multiLevelType w:val="hybridMultilevel"/>
    <w:tmpl w:val="404067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nsid w:val="5AA77293"/>
    <w:multiLevelType w:val="hybridMultilevel"/>
    <w:tmpl w:val="F464556E"/>
    <w:lvl w:ilvl="0" w:tplc="EE22481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D0255D6"/>
    <w:multiLevelType w:val="hybridMultilevel"/>
    <w:tmpl w:val="7A4665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3C84444"/>
    <w:multiLevelType w:val="multilevel"/>
    <w:tmpl w:val="559228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nsid w:val="662E489B"/>
    <w:multiLevelType w:val="hybridMultilevel"/>
    <w:tmpl w:val="622CAC8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4">
    <w:nsid w:val="6A254FAC"/>
    <w:multiLevelType w:val="hybridMultilevel"/>
    <w:tmpl w:val="5F90A052"/>
    <w:lvl w:ilvl="0" w:tplc="068800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6B986A58"/>
    <w:multiLevelType w:val="hybridMultilevel"/>
    <w:tmpl w:val="F04AC6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DAE7DDF"/>
    <w:multiLevelType w:val="hybridMultilevel"/>
    <w:tmpl w:val="60E224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1BB6891"/>
    <w:multiLevelType w:val="hybridMultilevel"/>
    <w:tmpl w:val="97B4638C"/>
    <w:lvl w:ilvl="0" w:tplc="04090009">
      <w:start w:val="1"/>
      <w:numFmt w:val="bullet"/>
      <w:lvlText w:val=""/>
      <w:lvlJc w:val="left"/>
      <w:pPr>
        <w:ind w:left="1140" w:hanging="360"/>
      </w:pPr>
      <w:rPr>
        <w:rFonts w:ascii="Wingdings" w:hAnsi="Wingdings" w:hint="default"/>
      </w:rPr>
    </w:lvl>
    <w:lvl w:ilvl="1" w:tplc="04090003">
      <w:start w:val="1"/>
      <w:numFmt w:val="bullet"/>
      <w:lvlText w:val="o"/>
      <w:lvlJc w:val="left"/>
      <w:pPr>
        <w:ind w:left="1860" w:hanging="360"/>
      </w:pPr>
      <w:rPr>
        <w:rFonts w:ascii="Courier New" w:hAnsi="Courier New" w:cs="Courier New" w:hint="default"/>
      </w:rPr>
    </w:lvl>
    <w:lvl w:ilvl="2" w:tplc="04090005">
      <w:start w:val="1"/>
      <w:numFmt w:val="bullet"/>
      <w:lvlText w:val=""/>
      <w:lvlJc w:val="left"/>
      <w:pPr>
        <w:ind w:left="2580" w:hanging="360"/>
      </w:pPr>
      <w:rPr>
        <w:rFonts w:ascii="Wingdings" w:hAnsi="Wingdings" w:hint="default"/>
      </w:rPr>
    </w:lvl>
    <w:lvl w:ilvl="3" w:tplc="04090001">
      <w:start w:val="1"/>
      <w:numFmt w:val="bullet"/>
      <w:lvlText w:val=""/>
      <w:lvlJc w:val="left"/>
      <w:pPr>
        <w:ind w:left="3300" w:hanging="360"/>
      </w:pPr>
      <w:rPr>
        <w:rFonts w:ascii="Symbol" w:hAnsi="Symbol" w:hint="default"/>
      </w:rPr>
    </w:lvl>
    <w:lvl w:ilvl="4" w:tplc="04090003">
      <w:start w:val="1"/>
      <w:numFmt w:val="bullet"/>
      <w:lvlText w:val="o"/>
      <w:lvlJc w:val="left"/>
      <w:pPr>
        <w:ind w:left="4020" w:hanging="360"/>
      </w:pPr>
      <w:rPr>
        <w:rFonts w:ascii="Courier New" w:hAnsi="Courier New" w:cs="Courier New" w:hint="default"/>
      </w:rPr>
    </w:lvl>
    <w:lvl w:ilvl="5" w:tplc="04090005">
      <w:start w:val="1"/>
      <w:numFmt w:val="bullet"/>
      <w:lvlText w:val=""/>
      <w:lvlJc w:val="left"/>
      <w:pPr>
        <w:ind w:left="4740" w:hanging="360"/>
      </w:pPr>
      <w:rPr>
        <w:rFonts w:ascii="Wingdings" w:hAnsi="Wingdings" w:hint="default"/>
      </w:rPr>
    </w:lvl>
    <w:lvl w:ilvl="6" w:tplc="04090001">
      <w:start w:val="1"/>
      <w:numFmt w:val="bullet"/>
      <w:lvlText w:val=""/>
      <w:lvlJc w:val="left"/>
      <w:pPr>
        <w:ind w:left="5460" w:hanging="360"/>
      </w:pPr>
      <w:rPr>
        <w:rFonts w:ascii="Symbol" w:hAnsi="Symbol" w:hint="default"/>
      </w:rPr>
    </w:lvl>
    <w:lvl w:ilvl="7" w:tplc="04090003">
      <w:start w:val="1"/>
      <w:numFmt w:val="bullet"/>
      <w:lvlText w:val="o"/>
      <w:lvlJc w:val="left"/>
      <w:pPr>
        <w:ind w:left="6180" w:hanging="360"/>
      </w:pPr>
      <w:rPr>
        <w:rFonts w:ascii="Courier New" w:hAnsi="Courier New" w:cs="Courier New" w:hint="default"/>
      </w:rPr>
    </w:lvl>
    <w:lvl w:ilvl="8" w:tplc="04090005">
      <w:start w:val="1"/>
      <w:numFmt w:val="bullet"/>
      <w:lvlText w:val=""/>
      <w:lvlJc w:val="left"/>
      <w:pPr>
        <w:ind w:left="6900" w:hanging="360"/>
      </w:pPr>
      <w:rPr>
        <w:rFonts w:ascii="Wingdings" w:hAnsi="Wingdings" w:hint="default"/>
      </w:rPr>
    </w:lvl>
  </w:abstractNum>
  <w:abstractNum w:abstractNumId="38">
    <w:nsid w:val="72253C3E"/>
    <w:multiLevelType w:val="hybridMultilevel"/>
    <w:tmpl w:val="9836C38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9">
    <w:nsid w:val="72491849"/>
    <w:multiLevelType w:val="hybridMultilevel"/>
    <w:tmpl w:val="A192FB90"/>
    <w:lvl w:ilvl="0" w:tplc="0409000B">
      <w:start w:val="1"/>
      <w:numFmt w:val="bullet"/>
      <w:lvlText w:val=""/>
      <w:lvlJc w:val="left"/>
      <w:pPr>
        <w:ind w:left="360" w:hanging="360"/>
      </w:pPr>
      <w:rPr>
        <w:rFonts w:ascii="Wingdings" w:hAnsi="Wingdings"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40">
    <w:nsid w:val="72E17A0A"/>
    <w:multiLevelType w:val="multilevel"/>
    <w:tmpl w:val="0A6047C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color w:val="548DD4" w:themeColor="text2" w:themeTint="99"/>
        <w:sz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1">
    <w:nsid w:val="73862607"/>
    <w:multiLevelType w:val="multilevel"/>
    <w:tmpl w:val="04BCE4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nsid w:val="760C69B5"/>
    <w:multiLevelType w:val="multilevel"/>
    <w:tmpl w:val="0B30A9F8"/>
    <w:lvl w:ilvl="0">
      <w:start w:val="1"/>
      <w:numFmt w:val="decimal"/>
      <w:lvlText w:val="%1."/>
      <w:lvlJc w:val="left"/>
      <w:pPr>
        <w:ind w:left="720" w:hanging="360"/>
      </w:pPr>
    </w:lvl>
    <w:lvl w:ilvl="1">
      <w:start w:val="2"/>
      <w:numFmt w:val="decimal"/>
      <w:isLgl/>
      <w:lvlText w:val="%1.%2."/>
      <w:lvlJc w:val="left"/>
      <w:pPr>
        <w:ind w:left="720" w:hanging="360"/>
      </w:pPr>
      <w:rPr>
        <w:rFonts w:hint="default"/>
        <w:color w:val="4F81BD" w:themeColor="accent1"/>
      </w:rPr>
    </w:lvl>
    <w:lvl w:ilvl="2">
      <w:start w:val="1"/>
      <w:numFmt w:val="decimal"/>
      <w:isLgl/>
      <w:lvlText w:val="%1.%2.%3."/>
      <w:lvlJc w:val="left"/>
      <w:pPr>
        <w:ind w:left="1080" w:hanging="720"/>
      </w:pPr>
      <w:rPr>
        <w:rFonts w:hint="default"/>
        <w:color w:val="4F81BD" w:themeColor="accent1"/>
      </w:rPr>
    </w:lvl>
    <w:lvl w:ilvl="3">
      <w:start w:val="1"/>
      <w:numFmt w:val="decimal"/>
      <w:isLgl/>
      <w:lvlText w:val="%1.%2.%3.%4."/>
      <w:lvlJc w:val="left"/>
      <w:pPr>
        <w:ind w:left="1080" w:hanging="720"/>
      </w:pPr>
      <w:rPr>
        <w:rFonts w:hint="default"/>
        <w:color w:val="4F81BD" w:themeColor="accent1"/>
      </w:rPr>
    </w:lvl>
    <w:lvl w:ilvl="4">
      <w:start w:val="1"/>
      <w:numFmt w:val="decimal"/>
      <w:isLgl/>
      <w:lvlText w:val="%1.%2.%3.%4.%5."/>
      <w:lvlJc w:val="left"/>
      <w:pPr>
        <w:ind w:left="1440" w:hanging="1080"/>
      </w:pPr>
      <w:rPr>
        <w:rFonts w:hint="default"/>
        <w:color w:val="4F81BD" w:themeColor="accent1"/>
      </w:rPr>
    </w:lvl>
    <w:lvl w:ilvl="5">
      <w:start w:val="1"/>
      <w:numFmt w:val="decimal"/>
      <w:isLgl/>
      <w:lvlText w:val="%1.%2.%3.%4.%5.%6."/>
      <w:lvlJc w:val="left"/>
      <w:pPr>
        <w:ind w:left="1440" w:hanging="1080"/>
      </w:pPr>
      <w:rPr>
        <w:rFonts w:hint="default"/>
        <w:color w:val="4F81BD" w:themeColor="accent1"/>
      </w:rPr>
    </w:lvl>
    <w:lvl w:ilvl="6">
      <w:start w:val="1"/>
      <w:numFmt w:val="decimal"/>
      <w:isLgl/>
      <w:lvlText w:val="%1.%2.%3.%4.%5.%6.%7."/>
      <w:lvlJc w:val="left"/>
      <w:pPr>
        <w:ind w:left="1800" w:hanging="1440"/>
      </w:pPr>
      <w:rPr>
        <w:rFonts w:hint="default"/>
        <w:color w:val="4F81BD" w:themeColor="accent1"/>
      </w:rPr>
    </w:lvl>
    <w:lvl w:ilvl="7">
      <w:start w:val="1"/>
      <w:numFmt w:val="decimal"/>
      <w:isLgl/>
      <w:lvlText w:val="%1.%2.%3.%4.%5.%6.%7.%8."/>
      <w:lvlJc w:val="left"/>
      <w:pPr>
        <w:ind w:left="1800" w:hanging="1440"/>
      </w:pPr>
      <w:rPr>
        <w:rFonts w:hint="default"/>
        <w:color w:val="4F81BD" w:themeColor="accent1"/>
      </w:rPr>
    </w:lvl>
    <w:lvl w:ilvl="8">
      <w:start w:val="1"/>
      <w:numFmt w:val="decimal"/>
      <w:isLgl/>
      <w:lvlText w:val="%1.%2.%3.%4.%5.%6.%7.%8.%9."/>
      <w:lvlJc w:val="left"/>
      <w:pPr>
        <w:ind w:left="2160" w:hanging="1800"/>
      </w:pPr>
      <w:rPr>
        <w:rFonts w:hint="default"/>
        <w:color w:val="4F81BD" w:themeColor="accent1"/>
      </w:rPr>
    </w:lvl>
  </w:abstractNum>
  <w:num w:numId="1">
    <w:abstractNumId w:val="24"/>
  </w:num>
  <w:num w:numId="2">
    <w:abstractNumId w:val="23"/>
  </w:num>
  <w:num w:numId="3">
    <w:abstractNumId w:val="40"/>
  </w:num>
  <w:num w:numId="4">
    <w:abstractNumId w:val="38"/>
  </w:num>
  <w:num w:numId="5">
    <w:abstractNumId w:val="11"/>
  </w:num>
  <w:num w:numId="6">
    <w:abstractNumId w:val="22"/>
  </w:num>
  <w:num w:numId="7">
    <w:abstractNumId w:val="20"/>
  </w:num>
  <w:num w:numId="8">
    <w:abstractNumId w:val="37"/>
  </w:num>
  <w:num w:numId="9">
    <w:abstractNumId w:val="33"/>
  </w:num>
  <w:num w:numId="10">
    <w:abstractNumId w:val="25"/>
  </w:num>
  <w:num w:numId="11">
    <w:abstractNumId w:val="32"/>
  </w:num>
  <w:num w:numId="12">
    <w:abstractNumId w:val="7"/>
    <w:lvlOverride w:ilvl="0"/>
    <w:lvlOverride w:ilvl="1">
      <w:startOverride w:val="1"/>
    </w:lvlOverride>
    <w:lvlOverride w:ilvl="2"/>
    <w:lvlOverride w:ilvl="3"/>
    <w:lvlOverride w:ilvl="4"/>
    <w:lvlOverride w:ilvl="5"/>
    <w:lvlOverride w:ilvl="6"/>
    <w:lvlOverride w:ilvl="7"/>
    <w:lvlOverride w:ilvl="8"/>
  </w:num>
  <w:num w:numId="13">
    <w:abstractNumId w:val="41"/>
  </w:num>
  <w:num w:numId="14">
    <w:abstractNumId w:val="27"/>
  </w:num>
  <w:num w:numId="15">
    <w:abstractNumId w:val="29"/>
  </w:num>
  <w:num w:numId="16">
    <w:abstractNumId w:val="12"/>
  </w:num>
  <w:num w:numId="17">
    <w:abstractNumId w:val="4"/>
  </w:num>
  <w:num w:numId="18">
    <w:abstractNumId w:val="18"/>
  </w:num>
  <w:num w:numId="19">
    <w:abstractNumId w:val="42"/>
  </w:num>
  <w:num w:numId="20">
    <w:abstractNumId w:val="21"/>
  </w:num>
  <w:num w:numId="21">
    <w:abstractNumId w:val="42"/>
    <w:lvlOverride w:ilvl="0">
      <w:startOverride w:val="3"/>
    </w:lvlOverride>
    <w:lvlOverride w:ilvl="1">
      <w:startOverride w:val="1"/>
    </w:lvlOverride>
  </w:num>
  <w:num w:numId="22">
    <w:abstractNumId w:val="15"/>
  </w:num>
  <w:num w:numId="23">
    <w:abstractNumId w:val="42"/>
    <w:lvlOverride w:ilvl="0">
      <w:startOverride w:val="4"/>
    </w:lvlOverride>
    <w:lvlOverride w:ilvl="1">
      <w:startOverride w:val="1"/>
    </w:lvlOverride>
  </w:num>
  <w:num w:numId="24">
    <w:abstractNumId w:val="42"/>
    <w:lvlOverride w:ilvl="0">
      <w:startOverride w:val="5"/>
    </w:lvlOverride>
    <w:lvlOverride w:ilvl="1">
      <w:startOverride w:val="1"/>
    </w:lvlOverride>
  </w:num>
  <w:num w:numId="25">
    <w:abstractNumId w:val="36"/>
  </w:num>
  <w:num w:numId="26">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1"/>
  </w:num>
  <w:num w:numId="28">
    <w:abstractNumId w:val="16"/>
  </w:num>
  <w:num w:numId="29">
    <w:abstractNumId w:val="9"/>
  </w:num>
  <w:num w:numId="30">
    <w:abstractNumId w:val="19"/>
  </w:num>
  <w:num w:numId="31">
    <w:abstractNumId w:val="13"/>
  </w:num>
  <w:num w:numId="32">
    <w:abstractNumId w:val="34"/>
  </w:num>
  <w:num w:numId="33">
    <w:abstractNumId w:val="34"/>
    <w:lvlOverride w:ilvl="0">
      <w:startOverride w:val="1"/>
    </w:lvlOverride>
  </w:num>
  <w:num w:numId="34">
    <w:abstractNumId w:val="3"/>
  </w:num>
  <w:num w:numId="35">
    <w:abstractNumId w:val="1"/>
  </w:num>
  <w:num w:numId="36">
    <w:abstractNumId w:val="2"/>
  </w:num>
  <w:num w:numId="37">
    <w:abstractNumId w:val="10"/>
  </w:num>
  <w:num w:numId="38">
    <w:abstractNumId w:val="30"/>
  </w:num>
  <w:num w:numId="39">
    <w:abstractNumId w:val="26"/>
  </w:num>
  <w:num w:numId="40">
    <w:abstractNumId w:val="0"/>
  </w:num>
  <w:num w:numId="41">
    <w:abstractNumId w:val="5"/>
  </w:num>
  <w:num w:numId="42">
    <w:abstractNumId w:val="28"/>
  </w:num>
  <w:num w:numId="43">
    <w:abstractNumId w:val="8"/>
  </w:num>
  <w:num w:numId="44">
    <w:abstractNumId w:val="35"/>
  </w:num>
  <w:num w:numId="45">
    <w:abstractNumId w:val="6"/>
  </w:num>
  <w:num w:numId="46">
    <w:abstractNumId w:val="14"/>
  </w:num>
  <w:num w:numId="47">
    <w:abstractNumId w:val="17"/>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TU0NzE1MzE3NDM3NTVQ0lEKTi0uzszPAykwNqwFAC3YogYtAAAA"/>
  </w:docVars>
  <w:rsids>
    <w:rsidRoot w:val="00F43ABF"/>
    <w:rsid w:val="0001077F"/>
    <w:rsid w:val="00010B33"/>
    <w:rsid w:val="00013281"/>
    <w:rsid w:val="0003296F"/>
    <w:rsid w:val="00051DEC"/>
    <w:rsid w:val="00054072"/>
    <w:rsid w:val="000562DD"/>
    <w:rsid w:val="00071A9D"/>
    <w:rsid w:val="000804D6"/>
    <w:rsid w:val="00082B52"/>
    <w:rsid w:val="00085228"/>
    <w:rsid w:val="0008529F"/>
    <w:rsid w:val="000A1182"/>
    <w:rsid w:val="000A207C"/>
    <w:rsid w:val="000B284B"/>
    <w:rsid w:val="000C190B"/>
    <w:rsid w:val="000D024D"/>
    <w:rsid w:val="000D15F6"/>
    <w:rsid w:val="000E0FD5"/>
    <w:rsid w:val="000F5238"/>
    <w:rsid w:val="000F61B7"/>
    <w:rsid w:val="000F65EB"/>
    <w:rsid w:val="001007B4"/>
    <w:rsid w:val="001147F0"/>
    <w:rsid w:val="00116515"/>
    <w:rsid w:val="00120A3F"/>
    <w:rsid w:val="00127A0F"/>
    <w:rsid w:val="00142C17"/>
    <w:rsid w:val="00155272"/>
    <w:rsid w:val="00162E76"/>
    <w:rsid w:val="001663DF"/>
    <w:rsid w:val="00175DB0"/>
    <w:rsid w:val="00181C70"/>
    <w:rsid w:val="001835C0"/>
    <w:rsid w:val="00183EDF"/>
    <w:rsid w:val="001A0C5C"/>
    <w:rsid w:val="001A40E3"/>
    <w:rsid w:val="001A7243"/>
    <w:rsid w:val="001B1EFE"/>
    <w:rsid w:val="001C1643"/>
    <w:rsid w:val="001D3A7F"/>
    <w:rsid w:val="001D502E"/>
    <w:rsid w:val="001D7ED3"/>
    <w:rsid w:val="001E28CF"/>
    <w:rsid w:val="001F1F75"/>
    <w:rsid w:val="00217211"/>
    <w:rsid w:val="00217429"/>
    <w:rsid w:val="002239B5"/>
    <w:rsid w:val="00245FBE"/>
    <w:rsid w:val="0025393A"/>
    <w:rsid w:val="002549D7"/>
    <w:rsid w:val="002565E2"/>
    <w:rsid w:val="00260CF1"/>
    <w:rsid w:val="00271331"/>
    <w:rsid w:val="00280FC6"/>
    <w:rsid w:val="00281887"/>
    <w:rsid w:val="002A64A0"/>
    <w:rsid w:val="002D2F71"/>
    <w:rsid w:val="002D55CA"/>
    <w:rsid w:val="002E6F1A"/>
    <w:rsid w:val="00306AA7"/>
    <w:rsid w:val="00306BBC"/>
    <w:rsid w:val="00314326"/>
    <w:rsid w:val="00321906"/>
    <w:rsid w:val="003235E3"/>
    <w:rsid w:val="00345436"/>
    <w:rsid w:val="00353AA5"/>
    <w:rsid w:val="00354940"/>
    <w:rsid w:val="00354CEB"/>
    <w:rsid w:val="00357A59"/>
    <w:rsid w:val="00362C31"/>
    <w:rsid w:val="003942E6"/>
    <w:rsid w:val="003945EA"/>
    <w:rsid w:val="00396E8F"/>
    <w:rsid w:val="003A192C"/>
    <w:rsid w:val="003A249D"/>
    <w:rsid w:val="003A4A2B"/>
    <w:rsid w:val="003B7BFE"/>
    <w:rsid w:val="003C0557"/>
    <w:rsid w:val="003C2F03"/>
    <w:rsid w:val="003E5F90"/>
    <w:rsid w:val="003E76A0"/>
    <w:rsid w:val="003F53DA"/>
    <w:rsid w:val="003F769D"/>
    <w:rsid w:val="004115F1"/>
    <w:rsid w:val="00417497"/>
    <w:rsid w:val="00422D69"/>
    <w:rsid w:val="0042624C"/>
    <w:rsid w:val="004267BB"/>
    <w:rsid w:val="00427AFE"/>
    <w:rsid w:val="00431D2E"/>
    <w:rsid w:val="004409AC"/>
    <w:rsid w:val="00441A33"/>
    <w:rsid w:val="00443288"/>
    <w:rsid w:val="004450AE"/>
    <w:rsid w:val="0045120A"/>
    <w:rsid w:val="00451552"/>
    <w:rsid w:val="004555D9"/>
    <w:rsid w:val="0047580B"/>
    <w:rsid w:val="00475B19"/>
    <w:rsid w:val="00477405"/>
    <w:rsid w:val="00477A8D"/>
    <w:rsid w:val="00482E01"/>
    <w:rsid w:val="00483BB0"/>
    <w:rsid w:val="00494C0A"/>
    <w:rsid w:val="004C6886"/>
    <w:rsid w:val="004D0339"/>
    <w:rsid w:val="004D4616"/>
    <w:rsid w:val="004E1FDF"/>
    <w:rsid w:val="004F14ED"/>
    <w:rsid w:val="005224BC"/>
    <w:rsid w:val="00523CA9"/>
    <w:rsid w:val="005261F7"/>
    <w:rsid w:val="00530949"/>
    <w:rsid w:val="005355BD"/>
    <w:rsid w:val="005363D9"/>
    <w:rsid w:val="0054117E"/>
    <w:rsid w:val="005475B5"/>
    <w:rsid w:val="005660F2"/>
    <w:rsid w:val="005672C8"/>
    <w:rsid w:val="0057279F"/>
    <w:rsid w:val="00572FB2"/>
    <w:rsid w:val="00573DA2"/>
    <w:rsid w:val="00574C8B"/>
    <w:rsid w:val="0058092E"/>
    <w:rsid w:val="00580E78"/>
    <w:rsid w:val="00593459"/>
    <w:rsid w:val="005968FC"/>
    <w:rsid w:val="005A1CC4"/>
    <w:rsid w:val="005A3BA3"/>
    <w:rsid w:val="005A6A0E"/>
    <w:rsid w:val="005A7005"/>
    <w:rsid w:val="005B06E3"/>
    <w:rsid w:val="005B1E18"/>
    <w:rsid w:val="005B31AF"/>
    <w:rsid w:val="005C25E2"/>
    <w:rsid w:val="005C4462"/>
    <w:rsid w:val="005C4F73"/>
    <w:rsid w:val="005D13F5"/>
    <w:rsid w:val="005D4A31"/>
    <w:rsid w:val="006115B9"/>
    <w:rsid w:val="00622F42"/>
    <w:rsid w:val="0064059C"/>
    <w:rsid w:val="00640953"/>
    <w:rsid w:val="00664152"/>
    <w:rsid w:val="00666104"/>
    <w:rsid w:val="006760BB"/>
    <w:rsid w:val="00677CED"/>
    <w:rsid w:val="00684289"/>
    <w:rsid w:val="00694339"/>
    <w:rsid w:val="006962F0"/>
    <w:rsid w:val="006A5199"/>
    <w:rsid w:val="006A5B87"/>
    <w:rsid w:val="006B07E0"/>
    <w:rsid w:val="006C5290"/>
    <w:rsid w:val="006C55A5"/>
    <w:rsid w:val="006E2640"/>
    <w:rsid w:val="006F3DFB"/>
    <w:rsid w:val="00705EC3"/>
    <w:rsid w:val="00722010"/>
    <w:rsid w:val="007357BE"/>
    <w:rsid w:val="00771E6D"/>
    <w:rsid w:val="00774D4B"/>
    <w:rsid w:val="00787DA6"/>
    <w:rsid w:val="007A0122"/>
    <w:rsid w:val="007A1DD9"/>
    <w:rsid w:val="007A1EB8"/>
    <w:rsid w:val="007A6509"/>
    <w:rsid w:val="007B0D11"/>
    <w:rsid w:val="007B2A7F"/>
    <w:rsid w:val="007C31BA"/>
    <w:rsid w:val="007D1A81"/>
    <w:rsid w:val="007D47FC"/>
    <w:rsid w:val="007F36E0"/>
    <w:rsid w:val="007F3BD4"/>
    <w:rsid w:val="007F76E6"/>
    <w:rsid w:val="007F7D14"/>
    <w:rsid w:val="0080551B"/>
    <w:rsid w:val="0081014B"/>
    <w:rsid w:val="00816B56"/>
    <w:rsid w:val="008560FE"/>
    <w:rsid w:val="00861164"/>
    <w:rsid w:val="0086118B"/>
    <w:rsid w:val="00875E34"/>
    <w:rsid w:val="0087724F"/>
    <w:rsid w:val="00893C95"/>
    <w:rsid w:val="008A23B1"/>
    <w:rsid w:val="008B678A"/>
    <w:rsid w:val="008C1A6C"/>
    <w:rsid w:val="008C48F1"/>
    <w:rsid w:val="008C4D06"/>
    <w:rsid w:val="008D1917"/>
    <w:rsid w:val="008D41F3"/>
    <w:rsid w:val="008D4F36"/>
    <w:rsid w:val="008E0920"/>
    <w:rsid w:val="00902EB2"/>
    <w:rsid w:val="00906AA9"/>
    <w:rsid w:val="00911D61"/>
    <w:rsid w:val="00912C00"/>
    <w:rsid w:val="00913716"/>
    <w:rsid w:val="009149FE"/>
    <w:rsid w:val="00914D7B"/>
    <w:rsid w:val="00922856"/>
    <w:rsid w:val="009263FF"/>
    <w:rsid w:val="00937F14"/>
    <w:rsid w:val="00940B9F"/>
    <w:rsid w:val="0095780A"/>
    <w:rsid w:val="00957A35"/>
    <w:rsid w:val="00961EDA"/>
    <w:rsid w:val="00980C58"/>
    <w:rsid w:val="00981107"/>
    <w:rsid w:val="00983D1F"/>
    <w:rsid w:val="0099377D"/>
    <w:rsid w:val="00996421"/>
    <w:rsid w:val="00996F99"/>
    <w:rsid w:val="009B60EA"/>
    <w:rsid w:val="009C20D1"/>
    <w:rsid w:val="009D7CE8"/>
    <w:rsid w:val="009F09F2"/>
    <w:rsid w:val="009F25D5"/>
    <w:rsid w:val="00A13E5A"/>
    <w:rsid w:val="00A14043"/>
    <w:rsid w:val="00A205CD"/>
    <w:rsid w:val="00A21665"/>
    <w:rsid w:val="00A25402"/>
    <w:rsid w:val="00A2646E"/>
    <w:rsid w:val="00A33FF7"/>
    <w:rsid w:val="00A357CB"/>
    <w:rsid w:val="00A60A62"/>
    <w:rsid w:val="00A60B6E"/>
    <w:rsid w:val="00A6316C"/>
    <w:rsid w:val="00A651F0"/>
    <w:rsid w:val="00A86A5D"/>
    <w:rsid w:val="00A932D0"/>
    <w:rsid w:val="00AA0956"/>
    <w:rsid w:val="00AA73CC"/>
    <w:rsid w:val="00AB542A"/>
    <w:rsid w:val="00AC0990"/>
    <w:rsid w:val="00AD0586"/>
    <w:rsid w:val="00AE15B5"/>
    <w:rsid w:val="00AE3FA5"/>
    <w:rsid w:val="00AF2ABC"/>
    <w:rsid w:val="00AF7C5B"/>
    <w:rsid w:val="00B065B3"/>
    <w:rsid w:val="00B13D24"/>
    <w:rsid w:val="00B170AB"/>
    <w:rsid w:val="00B221BA"/>
    <w:rsid w:val="00B54D4D"/>
    <w:rsid w:val="00B65739"/>
    <w:rsid w:val="00B718A8"/>
    <w:rsid w:val="00B74970"/>
    <w:rsid w:val="00B8127A"/>
    <w:rsid w:val="00B82F2A"/>
    <w:rsid w:val="00B82FB7"/>
    <w:rsid w:val="00B85448"/>
    <w:rsid w:val="00B91C26"/>
    <w:rsid w:val="00BA14D1"/>
    <w:rsid w:val="00BB085F"/>
    <w:rsid w:val="00BB4DF0"/>
    <w:rsid w:val="00BC1403"/>
    <w:rsid w:val="00BC21D7"/>
    <w:rsid w:val="00BC5289"/>
    <w:rsid w:val="00BC7BC7"/>
    <w:rsid w:val="00BD4A0B"/>
    <w:rsid w:val="00BD69DD"/>
    <w:rsid w:val="00BD7FF8"/>
    <w:rsid w:val="00C05657"/>
    <w:rsid w:val="00C149C6"/>
    <w:rsid w:val="00C22FCC"/>
    <w:rsid w:val="00C300C6"/>
    <w:rsid w:val="00C3128B"/>
    <w:rsid w:val="00C404A6"/>
    <w:rsid w:val="00C41A6C"/>
    <w:rsid w:val="00C46FB4"/>
    <w:rsid w:val="00C514A3"/>
    <w:rsid w:val="00C53284"/>
    <w:rsid w:val="00C54950"/>
    <w:rsid w:val="00C57BE0"/>
    <w:rsid w:val="00C57EFD"/>
    <w:rsid w:val="00C84BBC"/>
    <w:rsid w:val="00CB5B25"/>
    <w:rsid w:val="00CC3F5B"/>
    <w:rsid w:val="00CD1C43"/>
    <w:rsid w:val="00CD75AE"/>
    <w:rsid w:val="00CE1EB0"/>
    <w:rsid w:val="00CF1553"/>
    <w:rsid w:val="00D0624D"/>
    <w:rsid w:val="00D13B39"/>
    <w:rsid w:val="00D2729A"/>
    <w:rsid w:val="00D41B4B"/>
    <w:rsid w:val="00D446CD"/>
    <w:rsid w:val="00D447B7"/>
    <w:rsid w:val="00D50E26"/>
    <w:rsid w:val="00D56E98"/>
    <w:rsid w:val="00D603C5"/>
    <w:rsid w:val="00D717B3"/>
    <w:rsid w:val="00D741CC"/>
    <w:rsid w:val="00D90132"/>
    <w:rsid w:val="00DA4779"/>
    <w:rsid w:val="00DF79C0"/>
    <w:rsid w:val="00E33F07"/>
    <w:rsid w:val="00E359AB"/>
    <w:rsid w:val="00E3687D"/>
    <w:rsid w:val="00E37A20"/>
    <w:rsid w:val="00E40FA1"/>
    <w:rsid w:val="00E52D07"/>
    <w:rsid w:val="00E63BFD"/>
    <w:rsid w:val="00E87025"/>
    <w:rsid w:val="00E9020A"/>
    <w:rsid w:val="00E94B69"/>
    <w:rsid w:val="00E95856"/>
    <w:rsid w:val="00E974C7"/>
    <w:rsid w:val="00EA5691"/>
    <w:rsid w:val="00EB0828"/>
    <w:rsid w:val="00EB6AEB"/>
    <w:rsid w:val="00EC4249"/>
    <w:rsid w:val="00ED1626"/>
    <w:rsid w:val="00ED5DFD"/>
    <w:rsid w:val="00ED77E3"/>
    <w:rsid w:val="00EE677D"/>
    <w:rsid w:val="00EE7DCB"/>
    <w:rsid w:val="00EF0F3E"/>
    <w:rsid w:val="00EF690D"/>
    <w:rsid w:val="00F14948"/>
    <w:rsid w:val="00F15E6E"/>
    <w:rsid w:val="00F22E01"/>
    <w:rsid w:val="00F23811"/>
    <w:rsid w:val="00F251A2"/>
    <w:rsid w:val="00F276B0"/>
    <w:rsid w:val="00F33334"/>
    <w:rsid w:val="00F352B1"/>
    <w:rsid w:val="00F41A2C"/>
    <w:rsid w:val="00F43ABF"/>
    <w:rsid w:val="00F51AAE"/>
    <w:rsid w:val="00F52EEF"/>
    <w:rsid w:val="00F755A5"/>
    <w:rsid w:val="00F80236"/>
    <w:rsid w:val="00F875C2"/>
    <w:rsid w:val="00F87E47"/>
    <w:rsid w:val="00F902BF"/>
    <w:rsid w:val="00F909F9"/>
    <w:rsid w:val="00F9393C"/>
    <w:rsid w:val="00F964CB"/>
    <w:rsid w:val="00F97A4B"/>
    <w:rsid w:val="00FA2FE0"/>
    <w:rsid w:val="00FA3664"/>
    <w:rsid w:val="00FA417A"/>
    <w:rsid w:val="00FA6696"/>
    <w:rsid w:val="00FB1ECF"/>
    <w:rsid w:val="00FB2647"/>
    <w:rsid w:val="00FB7694"/>
    <w:rsid w:val="00FB77C8"/>
    <w:rsid w:val="00FC3F31"/>
    <w:rsid w:val="00FE4A7D"/>
    <w:rsid w:val="00FE5246"/>
    <w:rsid w:val="00FF4EB8"/>
    <w:rsid w:val="00FF74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49"/>
    <o:shapelayout v:ext="edit">
      <o:idmap v:ext="edit" data="1"/>
    </o:shapelayout>
  </w:shapeDefaults>
  <w:decimalSymbol w:val="."/>
  <w:listSeparator w:val=","/>
  <w14:docId w14:val="64E1B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65EB"/>
    <w:rPr>
      <w:rFonts w:ascii="Times New Roman" w:hAnsi="Times New Roman"/>
      <w:sz w:val="24"/>
    </w:rPr>
  </w:style>
  <w:style w:type="paragraph" w:styleId="Heading1">
    <w:name w:val="heading 1"/>
    <w:basedOn w:val="Normal"/>
    <w:next w:val="Normal"/>
    <w:link w:val="Heading1Char"/>
    <w:autoRedefine/>
    <w:uiPriority w:val="9"/>
    <w:qFormat/>
    <w:rsid w:val="00BD69DD"/>
    <w:pPr>
      <w:keepNext/>
      <w:keepLines/>
      <w:pBdr>
        <w:bottom w:val="single" w:sz="12" w:space="1" w:color="auto"/>
      </w:pBdr>
      <w:spacing w:before="480" w:after="0" w:line="360" w:lineRule="auto"/>
      <w:jc w:val="both"/>
      <w:outlineLvl w:val="0"/>
    </w:pPr>
    <w:rPr>
      <w:rFonts w:cs="Times New Roman"/>
      <w:b/>
      <w:color w:val="1F497D" w:themeColor="text2"/>
      <w:szCs w:val="24"/>
      <w:shd w:val="clear" w:color="auto" w:fill="FFFFFF"/>
    </w:rPr>
  </w:style>
  <w:style w:type="paragraph" w:styleId="Heading2">
    <w:name w:val="heading 2"/>
    <w:basedOn w:val="Normal"/>
    <w:next w:val="Normal"/>
    <w:link w:val="Heading2Char"/>
    <w:autoRedefine/>
    <w:uiPriority w:val="9"/>
    <w:unhideWhenUsed/>
    <w:qFormat/>
    <w:rsid w:val="00431D2E"/>
    <w:pPr>
      <w:keepNext/>
      <w:keepLines/>
      <w:numPr>
        <w:ilvl w:val="1"/>
        <w:numId w:val="29"/>
      </w:numPr>
      <w:spacing w:before="200" w:after="0" w:line="360" w:lineRule="auto"/>
      <w:jc w:val="both"/>
      <w:outlineLvl w:val="1"/>
    </w:pPr>
    <w:rPr>
      <w:rFonts w:eastAsiaTheme="majorEastAsia" w:cs="Times New Roman"/>
      <w:bCs/>
      <w:color w:val="4F81BD" w:themeColor="accent1"/>
      <w:szCs w:val="24"/>
    </w:rPr>
  </w:style>
  <w:style w:type="paragraph" w:styleId="Heading3">
    <w:name w:val="heading 3"/>
    <w:basedOn w:val="Normal"/>
    <w:next w:val="Normal"/>
    <w:link w:val="Heading3Char"/>
    <w:uiPriority w:val="9"/>
    <w:unhideWhenUsed/>
    <w:qFormat/>
    <w:rsid w:val="008D1917"/>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69DD"/>
    <w:rPr>
      <w:rFonts w:ascii="Times New Roman" w:hAnsi="Times New Roman" w:cs="Times New Roman"/>
      <w:b/>
      <w:color w:val="1F497D" w:themeColor="text2"/>
      <w:sz w:val="24"/>
      <w:szCs w:val="24"/>
    </w:rPr>
  </w:style>
  <w:style w:type="character" w:customStyle="1" w:styleId="Heading2Char">
    <w:name w:val="Heading 2 Char"/>
    <w:basedOn w:val="DefaultParagraphFont"/>
    <w:link w:val="Heading2"/>
    <w:uiPriority w:val="9"/>
    <w:rsid w:val="00431D2E"/>
    <w:rPr>
      <w:rFonts w:ascii="Times New Roman" w:eastAsiaTheme="majorEastAsia" w:hAnsi="Times New Roman" w:cs="Times New Roman"/>
      <w:bCs/>
      <w:color w:val="4F81BD" w:themeColor="accent1"/>
      <w:sz w:val="24"/>
      <w:szCs w:val="24"/>
    </w:rPr>
  </w:style>
  <w:style w:type="paragraph" w:styleId="ListParagraph">
    <w:name w:val="List Paragraph"/>
    <w:basedOn w:val="Normal"/>
    <w:link w:val="ListParagraphChar"/>
    <w:uiPriority w:val="34"/>
    <w:qFormat/>
    <w:rsid w:val="000F65EB"/>
    <w:pPr>
      <w:ind w:left="720"/>
      <w:contextualSpacing/>
    </w:pPr>
  </w:style>
  <w:style w:type="character" w:styleId="Hyperlink">
    <w:name w:val="Hyperlink"/>
    <w:basedOn w:val="DefaultParagraphFont"/>
    <w:uiPriority w:val="99"/>
    <w:unhideWhenUsed/>
    <w:rsid w:val="00C3128B"/>
    <w:rPr>
      <w:color w:val="0000FF"/>
      <w:u w:val="single"/>
    </w:rPr>
  </w:style>
  <w:style w:type="paragraph" w:customStyle="1" w:styleId="TableParagraph">
    <w:name w:val="Table Paragraph"/>
    <w:basedOn w:val="Normal"/>
    <w:uiPriority w:val="1"/>
    <w:qFormat/>
    <w:rsid w:val="00C3128B"/>
    <w:pPr>
      <w:widowControl w:val="0"/>
      <w:autoSpaceDE w:val="0"/>
      <w:autoSpaceDN w:val="0"/>
      <w:spacing w:before="2" w:after="0" w:line="240" w:lineRule="auto"/>
      <w:jc w:val="right"/>
    </w:pPr>
    <w:rPr>
      <w:rFonts w:eastAsia="Times New Roman" w:cs="Times New Roman"/>
    </w:rPr>
  </w:style>
  <w:style w:type="paragraph" w:styleId="BalloonText">
    <w:name w:val="Balloon Text"/>
    <w:basedOn w:val="Normal"/>
    <w:link w:val="BalloonTextChar"/>
    <w:uiPriority w:val="99"/>
    <w:semiHidden/>
    <w:unhideWhenUsed/>
    <w:rsid w:val="00B54D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4D4D"/>
    <w:rPr>
      <w:rFonts w:ascii="Tahoma" w:hAnsi="Tahoma" w:cs="Tahoma"/>
      <w:sz w:val="16"/>
      <w:szCs w:val="16"/>
    </w:rPr>
  </w:style>
  <w:style w:type="character" w:customStyle="1" w:styleId="ListParagraphChar">
    <w:name w:val="List Paragraph Char"/>
    <w:basedOn w:val="DefaultParagraphFont"/>
    <w:link w:val="ListParagraph"/>
    <w:uiPriority w:val="34"/>
    <w:locked/>
    <w:rsid w:val="003A192C"/>
    <w:rPr>
      <w:rFonts w:ascii="Times New Roman" w:hAnsi="Times New Roman"/>
      <w:sz w:val="24"/>
    </w:rPr>
  </w:style>
  <w:style w:type="character" w:customStyle="1" w:styleId="muitypography-root">
    <w:name w:val="muitypography-root"/>
    <w:basedOn w:val="DefaultParagraphFont"/>
    <w:rsid w:val="003A192C"/>
  </w:style>
  <w:style w:type="paragraph" w:styleId="Header">
    <w:name w:val="header"/>
    <w:basedOn w:val="Normal"/>
    <w:link w:val="HeaderChar"/>
    <w:uiPriority w:val="99"/>
    <w:unhideWhenUsed/>
    <w:rsid w:val="00FC3F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3F31"/>
    <w:rPr>
      <w:rFonts w:ascii="Times New Roman" w:hAnsi="Times New Roman"/>
      <w:sz w:val="24"/>
    </w:rPr>
  </w:style>
  <w:style w:type="paragraph" w:styleId="Footer">
    <w:name w:val="footer"/>
    <w:basedOn w:val="Normal"/>
    <w:link w:val="FooterChar"/>
    <w:uiPriority w:val="99"/>
    <w:unhideWhenUsed/>
    <w:rsid w:val="00FC3F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3F31"/>
    <w:rPr>
      <w:rFonts w:ascii="Times New Roman" w:hAnsi="Times New Roman"/>
      <w:sz w:val="24"/>
    </w:rPr>
  </w:style>
  <w:style w:type="paragraph" w:styleId="TOCHeading">
    <w:name w:val="TOC Heading"/>
    <w:basedOn w:val="Heading1"/>
    <w:next w:val="Normal"/>
    <w:uiPriority w:val="39"/>
    <w:unhideWhenUsed/>
    <w:qFormat/>
    <w:rsid w:val="00183EDF"/>
    <w:pPr>
      <w:pBdr>
        <w:bottom w:val="none" w:sz="0" w:space="0" w:color="auto"/>
      </w:pBdr>
      <w:spacing w:line="276" w:lineRule="auto"/>
      <w:jc w:val="left"/>
      <w:outlineLvl w:val="9"/>
    </w:pPr>
    <w:rPr>
      <w:rFonts w:asciiTheme="majorHAnsi" w:eastAsiaTheme="majorEastAsia" w:hAnsiTheme="majorHAnsi" w:cstheme="majorBidi"/>
      <w:bCs/>
      <w:color w:val="365F91" w:themeColor="accent1" w:themeShade="BF"/>
      <w:szCs w:val="28"/>
      <w:lang w:eastAsia="ja-JP"/>
    </w:rPr>
  </w:style>
  <w:style w:type="paragraph" w:styleId="TOC1">
    <w:name w:val="toc 1"/>
    <w:basedOn w:val="Normal"/>
    <w:next w:val="Normal"/>
    <w:autoRedefine/>
    <w:uiPriority w:val="39"/>
    <w:unhideWhenUsed/>
    <w:rsid w:val="00183EDF"/>
    <w:pPr>
      <w:spacing w:after="100"/>
    </w:pPr>
  </w:style>
  <w:style w:type="paragraph" w:styleId="TOC2">
    <w:name w:val="toc 2"/>
    <w:basedOn w:val="Normal"/>
    <w:next w:val="Normal"/>
    <w:autoRedefine/>
    <w:uiPriority w:val="39"/>
    <w:unhideWhenUsed/>
    <w:rsid w:val="00183EDF"/>
    <w:pPr>
      <w:spacing w:after="100"/>
      <w:ind w:left="240"/>
    </w:pPr>
  </w:style>
  <w:style w:type="paragraph" w:customStyle="1" w:styleId="Default">
    <w:name w:val="Default"/>
    <w:rsid w:val="001835C0"/>
    <w:pPr>
      <w:autoSpaceDE w:val="0"/>
      <w:autoSpaceDN w:val="0"/>
      <w:adjustRightInd w:val="0"/>
      <w:spacing w:after="0" w:line="240" w:lineRule="auto"/>
    </w:pPr>
    <w:rPr>
      <w:rFonts w:ascii="Times New Roman" w:hAnsi="Times New Roman" w:cs="Times New Roman"/>
      <w:color w:val="000000"/>
      <w:sz w:val="24"/>
      <w:szCs w:val="24"/>
    </w:rPr>
  </w:style>
  <w:style w:type="paragraph" w:styleId="Caption">
    <w:name w:val="caption"/>
    <w:basedOn w:val="Normal"/>
    <w:next w:val="Normal"/>
    <w:uiPriority w:val="35"/>
    <w:unhideWhenUsed/>
    <w:qFormat/>
    <w:rsid w:val="00071A9D"/>
    <w:pPr>
      <w:spacing w:line="240" w:lineRule="auto"/>
    </w:pPr>
    <w:rPr>
      <w:b/>
      <w:bCs/>
      <w:color w:val="4F81BD" w:themeColor="accent1"/>
      <w:sz w:val="18"/>
      <w:szCs w:val="18"/>
    </w:rPr>
  </w:style>
  <w:style w:type="paragraph" w:styleId="NormalWeb">
    <w:name w:val="Normal (Web)"/>
    <w:basedOn w:val="Normal"/>
    <w:uiPriority w:val="99"/>
    <w:semiHidden/>
    <w:unhideWhenUsed/>
    <w:rsid w:val="00071A9D"/>
    <w:pPr>
      <w:spacing w:before="100" w:beforeAutospacing="1" w:after="100" w:afterAutospacing="1" w:line="240" w:lineRule="auto"/>
    </w:pPr>
    <w:rPr>
      <w:rFonts w:eastAsia="Times New Roman" w:cs="Times New Roman"/>
      <w:szCs w:val="24"/>
    </w:rPr>
  </w:style>
  <w:style w:type="character" w:customStyle="1" w:styleId="Heading3Char">
    <w:name w:val="Heading 3 Char"/>
    <w:basedOn w:val="DefaultParagraphFont"/>
    <w:link w:val="Heading3"/>
    <w:uiPriority w:val="9"/>
    <w:rsid w:val="008D1917"/>
    <w:rPr>
      <w:rFonts w:asciiTheme="majorHAnsi" w:eastAsiaTheme="majorEastAsia" w:hAnsiTheme="majorHAnsi" w:cstheme="majorBidi"/>
      <w:b/>
      <w:bCs/>
      <w:color w:val="4F81BD" w:themeColor="accent1"/>
      <w:sz w:val="24"/>
    </w:rPr>
  </w:style>
  <w:style w:type="table" w:customStyle="1" w:styleId="PlainTable11">
    <w:name w:val="Plain Table 11"/>
    <w:basedOn w:val="TableNormal"/>
    <w:uiPriority w:val="41"/>
    <w:rsid w:val="00C149C6"/>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ableofFigures">
    <w:name w:val="table of figures"/>
    <w:basedOn w:val="Normal"/>
    <w:next w:val="Normal"/>
    <w:uiPriority w:val="99"/>
    <w:unhideWhenUsed/>
    <w:rsid w:val="00911D61"/>
    <w:pPr>
      <w:spacing w:after="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65EB"/>
    <w:rPr>
      <w:rFonts w:ascii="Times New Roman" w:hAnsi="Times New Roman"/>
      <w:sz w:val="24"/>
    </w:rPr>
  </w:style>
  <w:style w:type="paragraph" w:styleId="Heading1">
    <w:name w:val="heading 1"/>
    <w:basedOn w:val="Normal"/>
    <w:next w:val="Normal"/>
    <w:link w:val="Heading1Char"/>
    <w:autoRedefine/>
    <w:uiPriority w:val="9"/>
    <w:qFormat/>
    <w:rsid w:val="00BD69DD"/>
    <w:pPr>
      <w:keepNext/>
      <w:keepLines/>
      <w:pBdr>
        <w:bottom w:val="single" w:sz="12" w:space="1" w:color="auto"/>
      </w:pBdr>
      <w:spacing w:before="480" w:after="0" w:line="360" w:lineRule="auto"/>
      <w:jc w:val="both"/>
      <w:outlineLvl w:val="0"/>
    </w:pPr>
    <w:rPr>
      <w:rFonts w:cs="Times New Roman"/>
      <w:b/>
      <w:color w:val="1F497D" w:themeColor="text2"/>
      <w:szCs w:val="24"/>
      <w:shd w:val="clear" w:color="auto" w:fill="FFFFFF"/>
    </w:rPr>
  </w:style>
  <w:style w:type="paragraph" w:styleId="Heading2">
    <w:name w:val="heading 2"/>
    <w:basedOn w:val="Normal"/>
    <w:next w:val="Normal"/>
    <w:link w:val="Heading2Char"/>
    <w:autoRedefine/>
    <w:uiPriority w:val="9"/>
    <w:unhideWhenUsed/>
    <w:qFormat/>
    <w:rsid w:val="00431D2E"/>
    <w:pPr>
      <w:keepNext/>
      <w:keepLines/>
      <w:numPr>
        <w:ilvl w:val="1"/>
        <w:numId w:val="29"/>
      </w:numPr>
      <w:spacing w:before="200" w:after="0" w:line="360" w:lineRule="auto"/>
      <w:jc w:val="both"/>
      <w:outlineLvl w:val="1"/>
    </w:pPr>
    <w:rPr>
      <w:rFonts w:eastAsiaTheme="majorEastAsia" w:cs="Times New Roman"/>
      <w:bCs/>
      <w:color w:val="4F81BD" w:themeColor="accent1"/>
      <w:szCs w:val="24"/>
    </w:rPr>
  </w:style>
  <w:style w:type="paragraph" w:styleId="Heading3">
    <w:name w:val="heading 3"/>
    <w:basedOn w:val="Normal"/>
    <w:next w:val="Normal"/>
    <w:link w:val="Heading3Char"/>
    <w:uiPriority w:val="9"/>
    <w:unhideWhenUsed/>
    <w:qFormat/>
    <w:rsid w:val="008D1917"/>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69DD"/>
    <w:rPr>
      <w:rFonts w:ascii="Times New Roman" w:hAnsi="Times New Roman" w:cs="Times New Roman"/>
      <w:b/>
      <w:color w:val="1F497D" w:themeColor="text2"/>
      <w:sz w:val="24"/>
      <w:szCs w:val="24"/>
    </w:rPr>
  </w:style>
  <w:style w:type="character" w:customStyle="1" w:styleId="Heading2Char">
    <w:name w:val="Heading 2 Char"/>
    <w:basedOn w:val="DefaultParagraphFont"/>
    <w:link w:val="Heading2"/>
    <w:uiPriority w:val="9"/>
    <w:rsid w:val="00431D2E"/>
    <w:rPr>
      <w:rFonts w:ascii="Times New Roman" w:eastAsiaTheme="majorEastAsia" w:hAnsi="Times New Roman" w:cs="Times New Roman"/>
      <w:bCs/>
      <w:color w:val="4F81BD" w:themeColor="accent1"/>
      <w:sz w:val="24"/>
      <w:szCs w:val="24"/>
    </w:rPr>
  </w:style>
  <w:style w:type="paragraph" w:styleId="ListParagraph">
    <w:name w:val="List Paragraph"/>
    <w:basedOn w:val="Normal"/>
    <w:link w:val="ListParagraphChar"/>
    <w:uiPriority w:val="34"/>
    <w:qFormat/>
    <w:rsid w:val="000F65EB"/>
    <w:pPr>
      <w:ind w:left="720"/>
      <w:contextualSpacing/>
    </w:pPr>
  </w:style>
  <w:style w:type="character" w:styleId="Hyperlink">
    <w:name w:val="Hyperlink"/>
    <w:basedOn w:val="DefaultParagraphFont"/>
    <w:uiPriority w:val="99"/>
    <w:unhideWhenUsed/>
    <w:rsid w:val="00C3128B"/>
    <w:rPr>
      <w:color w:val="0000FF"/>
      <w:u w:val="single"/>
    </w:rPr>
  </w:style>
  <w:style w:type="paragraph" w:customStyle="1" w:styleId="TableParagraph">
    <w:name w:val="Table Paragraph"/>
    <w:basedOn w:val="Normal"/>
    <w:uiPriority w:val="1"/>
    <w:qFormat/>
    <w:rsid w:val="00C3128B"/>
    <w:pPr>
      <w:widowControl w:val="0"/>
      <w:autoSpaceDE w:val="0"/>
      <w:autoSpaceDN w:val="0"/>
      <w:spacing w:before="2" w:after="0" w:line="240" w:lineRule="auto"/>
      <w:jc w:val="right"/>
    </w:pPr>
    <w:rPr>
      <w:rFonts w:eastAsia="Times New Roman" w:cs="Times New Roman"/>
    </w:rPr>
  </w:style>
  <w:style w:type="paragraph" w:styleId="BalloonText">
    <w:name w:val="Balloon Text"/>
    <w:basedOn w:val="Normal"/>
    <w:link w:val="BalloonTextChar"/>
    <w:uiPriority w:val="99"/>
    <w:semiHidden/>
    <w:unhideWhenUsed/>
    <w:rsid w:val="00B54D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4D4D"/>
    <w:rPr>
      <w:rFonts w:ascii="Tahoma" w:hAnsi="Tahoma" w:cs="Tahoma"/>
      <w:sz w:val="16"/>
      <w:szCs w:val="16"/>
    </w:rPr>
  </w:style>
  <w:style w:type="character" w:customStyle="1" w:styleId="ListParagraphChar">
    <w:name w:val="List Paragraph Char"/>
    <w:basedOn w:val="DefaultParagraphFont"/>
    <w:link w:val="ListParagraph"/>
    <w:uiPriority w:val="34"/>
    <w:locked/>
    <w:rsid w:val="003A192C"/>
    <w:rPr>
      <w:rFonts w:ascii="Times New Roman" w:hAnsi="Times New Roman"/>
      <w:sz w:val="24"/>
    </w:rPr>
  </w:style>
  <w:style w:type="character" w:customStyle="1" w:styleId="muitypography-root">
    <w:name w:val="muitypography-root"/>
    <w:basedOn w:val="DefaultParagraphFont"/>
    <w:rsid w:val="003A192C"/>
  </w:style>
  <w:style w:type="paragraph" w:styleId="Header">
    <w:name w:val="header"/>
    <w:basedOn w:val="Normal"/>
    <w:link w:val="HeaderChar"/>
    <w:uiPriority w:val="99"/>
    <w:unhideWhenUsed/>
    <w:rsid w:val="00FC3F3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3F31"/>
    <w:rPr>
      <w:rFonts w:ascii="Times New Roman" w:hAnsi="Times New Roman"/>
      <w:sz w:val="24"/>
    </w:rPr>
  </w:style>
  <w:style w:type="paragraph" w:styleId="Footer">
    <w:name w:val="footer"/>
    <w:basedOn w:val="Normal"/>
    <w:link w:val="FooterChar"/>
    <w:uiPriority w:val="99"/>
    <w:unhideWhenUsed/>
    <w:rsid w:val="00FC3F3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3F31"/>
    <w:rPr>
      <w:rFonts w:ascii="Times New Roman" w:hAnsi="Times New Roman"/>
      <w:sz w:val="24"/>
    </w:rPr>
  </w:style>
  <w:style w:type="paragraph" w:styleId="TOCHeading">
    <w:name w:val="TOC Heading"/>
    <w:basedOn w:val="Heading1"/>
    <w:next w:val="Normal"/>
    <w:uiPriority w:val="39"/>
    <w:unhideWhenUsed/>
    <w:qFormat/>
    <w:rsid w:val="00183EDF"/>
    <w:pPr>
      <w:pBdr>
        <w:bottom w:val="none" w:sz="0" w:space="0" w:color="auto"/>
      </w:pBdr>
      <w:spacing w:line="276" w:lineRule="auto"/>
      <w:jc w:val="left"/>
      <w:outlineLvl w:val="9"/>
    </w:pPr>
    <w:rPr>
      <w:rFonts w:asciiTheme="majorHAnsi" w:eastAsiaTheme="majorEastAsia" w:hAnsiTheme="majorHAnsi" w:cstheme="majorBidi"/>
      <w:bCs/>
      <w:color w:val="365F91" w:themeColor="accent1" w:themeShade="BF"/>
      <w:szCs w:val="28"/>
      <w:lang w:eastAsia="ja-JP"/>
    </w:rPr>
  </w:style>
  <w:style w:type="paragraph" w:styleId="TOC1">
    <w:name w:val="toc 1"/>
    <w:basedOn w:val="Normal"/>
    <w:next w:val="Normal"/>
    <w:autoRedefine/>
    <w:uiPriority w:val="39"/>
    <w:unhideWhenUsed/>
    <w:rsid w:val="00183EDF"/>
    <w:pPr>
      <w:spacing w:after="100"/>
    </w:pPr>
  </w:style>
  <w:style w:type="paragraph" w:styleId="TOC2">
    <w:name w:val="toc 2"/>
    <w:basedOn w:val="Normal"/>
    <w:next w:val="Normal"/>
    <w:autoRedefine/>
    <w:uiPriority w:val="39"/>
    <w:unhideWhenUsed/>
    <w:rsid w:val="00183EDF"/>
    <w:pPr>
      <w:spacing w:after="100"/>
      <w:ind w:left="240"/>
    </w:pPr>
  </w:style>
  <w:style w:type="paragraph" w:customStyle="1" w:styleId="Default">
    <w:name w:val="Default"/>
    <w:rsid w:val="001835C0"/>
    <w:pPr>
      <w:autoSpaceDE w:val="0"/>
      <w:autoSpaceDN w:val="0"/>
      <w:adjustRightInd w:val="0"/>
      <w:spacing w:after="0" w:line="240" w:lineRule="auto"/>
    </w:pPr>
    <w:rPr>
      <w:rFonts w:ascii="Times New Roman" w:hAnsi="Times New Roman" w:cs="Times New Roman"/>
      <w:color w:val="000000"/>
      <w:sz w:val="24"/>
      <w:szCs w:val="24"/>
    </w:rPr>
  </w:style>
  <w:style w:type="paragraph" w:styleId="Caption">
    <w:name w:val="caption"/>
    <w:basedOn w:val="Normal"/>
    <w:next w:val="Normal"/>
    <w:uiPriority w:val="35"/>
    <w:unhideWhenUsed/>
    <w:qFormat/>
    <w:rsid w:val="00071A9D"/>
    <w:pPr>
      <w:spacing w:line="240" w:lineRule="auto"/>
    </w:pPr>
    <w:rPr>
      <w:b/>
      <w:bCs/>
      <w:color w:val="4F81BD" w:themeColor="accent1"/>
      <w:sz w:val="18"/>
      <w:szCs w:val="18"/>
    </w:rPr>
  </w:style>
  <w:style w:type="paragraph" w:styleId="NormalWeb">
    <w:name w:val="Normal (Web)"/>
    <w:basedOn w:val="Normal"/>
    <w:uiPriority w:val="99"/>
    <w:semiHidden/>
    <w:unhideWhenUsed/>
    <w:rsid w:val="00071A9D"/>
    <w:pPr>
      <w:spacing w:before="100" w:beforeAutospacing="1" w:after="100" w:afterAutospacing="1" w:line="240" w:lineRule="auto"/>
    </w:pPr>
    <w:rPr>
      <w:rFonts w:eastAsia="Times New Roman" w:cs="Times New Roman"/>
      <w:szCs w:val="24"/>
    </w:rPr>
  </w:style>
  <w:style w:type="character" w:customStyle="1" w:styleId="Heading3Char">
    <w:name w:val="Heading 3 Char"/>
    <w:basedOn w:val="DefaultParagraphFont"/>
    <w:link w:val="Heading3"/>
    <w:uiPriority w:val="9"/>
    <w:rsid w:val="008D1917"/>
    <w:rPr>
      <w:rFonts w:asciiTheme="majorHAnsi" w:eastAsiaTheme="majorEastAsia" w:hAnsiTheme="majorHAnsi" w:cstheme="majorBidi"/>
      <w:b/>
      <w:bCs/>
      <w:color w:val="4F81BD" w:themeColor="accent1"/>
      <w:sz w:val="24"/>
    </w:rPr>
  </w:style>
  <w:style w:type="table" w:customStyle="1" w:styleId="PlainTable11">
    <w:name w:val="Plain Table 11"/>
    <w:basedOn w:val="TableNormal"/>
    <w:uiPriority w:val="41"/>
    <w:rsid w:val="00C149C6"/>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ableofFigures">
    <w:name w:val="table of figures"/>
    <w:basedOn w:val="Normal"/>
    <w:next w:val="Normal"/>
    <w:uiPriority w:val="99"/>
    <w:unhideWhenUsed/>
    <w:rsid w:val="00911D61"/>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46565">
      <w:bodyDiv w:val="1"/>
      <w:marLeft w:val="0"/>
      <w:marRight w:val="0"/>
      <w:marTop w:val="0"/>
      <w:marBottom w:val="0"/>
      <w:divBdr>
        <w:top w:val="none" w:sz="0" w:space="0" w:color="auto"/>
        <w:left w:val="none" w:sz="0" w:space="0" w:color="auto"/>
        <w:bottom w:val="none" w:sz="0" w:space="0" w:color="auto"/>
        <w:right w:val="none" w:sz="0" w:space="0" w:color="auto"/>
      </w:divBdr>
    </w:div>
    <w:div w:id="242642751">
      <w:bodyDiv w:val="1"/>
      <w:marLeft w:val="0"/>
      <w:marRight w:val="0"/>
      <w:marTop w:val="0"/>
      <w:marBottom w:val="0"/>
      <w:divBdr>
        <w:top w:val="none" w:sz="0" w:space="0" w:color="auto"/>
        <w:left w:val="none" w:sz="0" w:space="0" w:color="auto"/>
        <w:bottom w:val="none" w:sz="0" w:space="0" w:color="auto"/>
        <w:right w:val="none" w:sz="0" w:space="0" w:color="auto"/>
      </w:divBdr>
    </w:div>
    <w:div w:id="379597280">
      <w:bodyDiv w:val="1"/>
      <w:marLeft w:val="0"/>
      <w:marRight w:val="0"/>
      <w:marTop w:val="0"/>
      <w:marBottom w:val="0"/>
      <w:divBdr>
        <w:top w:val="none" w:sz="0" w:space="0" w:color="auto"/>
        <w:left w:val="none" w:sz="0" w:space="0" w:color="auto"/>
        <w:bottom w:val="none" w:sz="0" w:space="0" w:color="auto"/>
        <w:right w:val="none" w:sz="0" w:space="0" w:color="auto"/>
      </w:divBdr>
    </w:div>
    <w:div w:id="488331764">
      <w:bodyDiv w:val="1"/>
      <w:marLeft w:val="0"/>
      <w:marRight w:val="0"/>
      <w:marTop w:val="0"/>
      <w:marBottom w:val="0"/>
      <w:divBdr>
        <w:top w:val="none" w:sz="0" w:space="0" w:color="auto"/>
        <w:left w:val="none" w:sz="0" w:space="0" w:color="auto"/>
        <w:bottom w:val="none" w:sz="0" w:space="0" w:color="auto"/>
        <w:right w:val="none" w:sz="0" w:space="0" w:color="auto"/>
      </w:divBdr>
    </w:div>
    <w:div w:id="550386462">
      <w:bodyDiv w:val="1"/>
      <w:marLeft w:val="0"/>
      <w:marRight w:val="0"/>
      <w:marTop w:val="0"/>
      <w:marBottom w:val="0"/>
      <w:divBdr>
        <w:top w:val="none" w:sz="0" w:space="0" w:color="auto"/>
        <w:left w:val="none" w:sz="0" w:space="0" w:color="auto"/>
        <w:bottom w:val="none" w:sz="0" w:space="0" w:color="auto"/>
        <w:right w:val="none" w:sz="0" w:space="0" w:color="auto"/>
      </w:divBdr>
      <w:divsChild>
        <w:div w:id="2630373">
          <w:marLeft w:val="0"/>
          <w:marRight w:val="0"/>
          <w:marTop w:val="0"/>
          <w:marBottom w:val="0"/>
          <w:divBdr>
            <w:top w:val="none" w:sz="0" w:space="0" w:color="auto"/>
            <w:left w:val="none" w:sz="0" w:space="0" w:color="auto"/>
            <w:bottom w:val="none" w:sz="0" w:space="0" w:color="auto"/>
            <w:right w:val="none" w:sz="0" w:space="0" w:color="auto"/>
          </w:divBdr>
        </w:div>
        <w:div w:id="256327001">
          <w:marLeft w:val="0"/>
          <w:marRight w:val="0"/>
          <w:marTop w:val="0"/>
          <w:marBottom w:val="0"/>
          <w:divBdr>
            <w:top w:val="none" w:sz="0" w:space="0" w:color="auto"/>
            <w:left w:val="none" w:sz="0" w:space="0" w:color="auto"/>
            <w:bottom w:val="none" w:sz="0" w:space="0" w:color="auto"/>
            <w:right w:val="none" w:sz="0" w:space="0" w:color="auto"/>
          </w:divBdr>
        </w:div>
        <w:div w:id="265770091">
          <w:marLeft w:val="0"/>
          <w:marRight w:val="0"/>
          <w:marTop w:val="0"/>
          <w:marBottom w:val="0"/>
          <w:divBdr>
            <w:top w:val="none" w:sz="0" w:space="0" w:color="auto"/>
            <w:left w:val="none" w:sz="0" w:space="0" w:color="auto"/>
            <w:bottom w:val="none" w:sz="0" w:space="0" w:color="auto"/>
            <w:right w:val="none" w:sz="0" w:space="0" w:color="auto"/>
          </w:divBdr>
        </w:div>
        <w:div w:id="282344753">
          <w:marLeft w:val="0"/>
          <w:marRight w:val="0"/>
          <w:marTop w:val="0"/>
          <w:marBottom w:val="0"/>
          <w:divBdr>
            <w:top w:val="none" w:sz="0" w:space="0" w:color="auto"/>
            <w:left w:val="none" w:sz="0" w:space="0" w:color="auto"/>
            <w:bottom w:val="none" w:sz="0" w:space="0" w:color="auto"/>
            <w:right w:val="none" w:sz="0" w:space="0" w:color="auto"/>
          </w:divBdr>
        </w:div>
        <w:div w:id="438526622">
          <w:marLeft w:val="0"/>
          <w:marRight w:val="0"/>
          <w:marTop w:val="0"/>
          <w:marBottom w:val="0"/>
          <w:divBdr>
            <w:top w:val="none" w:sz="0" w:space="0" w:color="auto"/>
            <w:left w:val="none" w:sz="0" w:space="0" w:color="auto"/>
            <w:bottom w:val="none" w:sz="0" w:space="0" w:color="auto"/>
            <w:right w:val="none" w:sz="0" w:space="0" w:color="auto"/>
          </w:divBdr>
        </w:div>
        <w:div w:id="486243895">
          <w:marLeft w:val="0"/>
          <w:marRight w:val="0"/>
          <w:marTop w:val="0"/>
          <w:marBottom w:val="0"/>
          <w:divBdr>
            <w:top w:val="none" w:sz="0" w:space="0" w:color="auto"/>
            <w:left w:val="none" w:sz="0" w:space="0" w:color="auto"/>
            <w:bottom w:val="none" w:sz="0" w:space="0" w:color="auto"/>
            <w:right w:val="none" w:sz="0" w:space="0" w:color="auto"/>
          </w:divBdr>
        </w:div>
        <w:div w:id="583414581">
          <w:marLeft w:val="0"/>
          <w:marRight w:val="0"/>
          <w:marTop w:val="0"/>
          <w:marBottom w:val="0"/>
          <w:divBdr>
            <w:top w:val="none" w:sz="0" w:space="0" w:color="auto"/>
            <w:left w:val="none" w:sz="0" w:space="0" w:color="auto"/>
            <w:bottom w:val="none" w:sz="0" w:space="0" w:color="auto"/>
            <w:right w:val="none" w:sz="0" w:space="0" w:color="auto"/>
          </w:divBdr>
        </w:div>
        <w:div w:id="585116132">
          <w:marLeft w:val="0"/>
          <w:marRight w:val="0"/>
          <w:marTop w:val="0"/>
          <w:marBottom w:val="0"/>
          <w:divBdr>
            <w:top w:val="none" w:sz="0" w:space="0" w:color="auto"/>
            <w:left w:val="none" w:sz="0" w:space="0" w:color="auto"/>
            <w:bottom w:val="none" w:sz="0" w:space="0" w:color="auto"/>
            <w:right w:val="none" w:sz="0" w:space="0" w:color="auto"/>
          </w:divBdr>
        </w:div>
        <w:div w:id="769856017">
          <w:marLeft w:val="0"/>
          <w:marRight w:val="0"/>
          <w:marTop w:val="0"/>
          <w:marBottom w:val="0"/>
          <w:divBdr>
            <w:top w:val="none" w:sz="0" w:space="0" w:color="auto"/>
            <w:left w:val="none" w:sz="0" w:space="0" w:color="auto"/>
            <w:bottom w:val="none" w:sz="0" w:space="0" w:color="auto"/>
            <w:right w:val="none" w:sz="0" w:space="0" w:color="auto"/>
          </w:divBdr>
        </w:div>
        <w:div w:id="834762667">
          <w:marLeft w:val="0"/>
          <w:marRight w:val="0"/>
          <w:marTop w:val="0"/>
          <w:marBottom w:val="0"/>
          <w:divBdr>
            <w:top w:val="none" w:sz="0" w:space="0" w:color="auto"/>
            <w:left w:val="none" w:sz="0" w:space="0" w:color="auto"/>
            <w:bottom w:val="none" w:sz="0" w:space="0" w:color="auto"/>
            <w:right w:val="none" w:sz="0" w:space="0" w:color="auto"/>
          </w:divBdr>
        </w:div>
        <w:div w:id="1184324789">
          <w:marLeft w:val="0"/>
          <w:marRight w:val="0"/>
          <w:marTop w:val="0"/>
          <w:marBottom w:val="0"/>
          <w:divBdr>
            <w:top w:val="none" w:sz="0" w:space="0" w:color="auto"/>
            <w:left w:val="none" w:sz="0" w:space="0" w:color="auto"/>
            <w:bottom w:val="none" w:sz="0" w:space="0" w:color="auto"/>
            <w:right w:val="none" w:sz="0" w:space="0" w:color="auto"/>
          </w:divBdr>
        </w:div>
        <w:div w:id="1762140846">
          <w:marLeft w:val="0"/>
          <w:marRight w:val="0"/>
          <w:marTop w:val="0"/>
          <w:marBottom w:val="0"/>
          <w:divBdr>
            <w:top w:val="none" w:sz="0" w:space="0" w:color="auto"/>
            <w:left w:val="none" w:sz="0" w:space="0" w:color="auto"/>
            <w:bottom w:val="none" w:sz="0" w:space="0" w:color="auto"/>
            <w:right w:val="none" w:sz="0" w:space="0" w:color="auto"/>
          </w:divBdr>
        </w:div>
        <w:div w:id="2100559956">
          <w:marLeft w:val="0"/>
          <w:marRight w:val="0"/>
          <w:marTop w:val="0"/>
          <w:marBottom w:val="0"/>
          <w:divBdr>
            <w:top w:val="none" w:sz="0" w:space="0" w:color="auto"/>
            <w:left w:val="none" w:sz="0" w:space="0" w:color="auto"/>
            <w:bottom w:val="none" w:sz="0" w:space="0" w:color="auto"/>
            <w:right w:val="none" w:sz="0" w:space="0" w:color="auto"/>
          </w:divBdr>
        </w:div>
      </w:divsChild>
    </w:div>
    <w:div w:id="568273211">
      <w:bodyDiv w:val="1"/>
      <w:marLeft w:val="0"/>
      <w:marRight w:val="0"/>
      <w:marTop w:val="0"/>
      <w:marBottom w:val="0"/>
      <w:divBdr>
        <w:top w:val="none" w:sz="0" w:space="0" w:color="auto"/>
        <w:left w:val="none" w:sz="0" w:space="0" w:color="auto"/>
        <w:bottom w:val="none" w:sz="0" w:space="0" w:color="auto"/>
        <w:right w:val="none" w:sz="0" w:space="0" w:color="auto"/>
      </w:divBdr>
      <w:divsChild>
        <w:div w:id="15157438">
          <w:marLeft w:val="0"/>
          <w:marRight w:val="0"/>
          <w:marTop w:val="0"/>
          <w:marBottom w:val="0"/>
          <w:divBdr>
            <w:top w:val="none" w:sz="0" w:space="0" w:color="auto"/>
            <w:left w:val="none" w:sz="0" w:space="0" w:color="auto"/>
            <w:bottom w:val="none" w:sz="0" w:space="0" w:color="auto"/>
            <w:right w:val="none" w:sz="0" w:space="0" w:color="auto"/>
          </w:divBdr>
        </w:div>
        <w:div w:id="233442440">
          <w:marLeft w:val="0"/>
          <w:marRight w:val="0"/>
          <w:marTop w:val="0"/>
          <w:marBottom w:val="0"/>
          <w:divBdr>
            <w:top w:val="none" w:sz="0" w:space="0" w:color="auto"/>
            <w:left w:val="none" w:sz="0" w:space="0" w:color="auto"/>
            <w:bottom w:val="none" w:sz="0" w:space="0" w:color="auto"/>
            <w:right w:val="none" w:sz="0" w:space="0" w:color="auto"/>
          </w:divBdr>
        </w:div>
        <w:div w:id="505291716">
          <w:marLeft w:val="0"/>
          <w:marRight w:val="0"/>
          <w:marTop w:val="0"/>
          <w:marBottom w:val="0"/>
          <w:divBdr>
            <w:top w:val="none" w:sz="0" w:space="0" w:color="auto"/>
            <w:left w:val="none" w:sz="0" w:space="0" w:color="auto"/>
            <w:bottom w:val="none" w:sz="0" w:space="0" w:color="auto"/>
            <w:right w:val="none" w:sz="0" w:space="0" w:color="auto"/>
          </w:divBdr>
        </w:div>
        <w:div w:id="522131573">
          <w:marLeft w:val="0"/>
          <w:marRight w:val="0"/>
          <w:marTop w:val="0"/>
          <w:marBottom w:val="0"/>
          <w:divBdr>
            <w:top w:val="none" w:sz="0" w:space="0" w:color="auto"/>
            <w:left w:val="none" w:sz="0" w:space="0" w:color="auto"/>
            <w:bottom w:val="none" w:sz="0" w:space="0" w:color="auto"/>
            <w:right w:val="none" w:sz="0" w:space="0" w:color="auto"/>
          </w:divBdr>
        </w:div>
        <w:div w:id="770200182">
          <w:marLeft w:val="0"/>
          <w:marRight w:val="0"/>
          <w:marTop w:val="0"/>
          <w:marBottom w:val="0"/>
          <w:divBdr>
            <w:top w:val="none" w:sz="0" w:space="0" w:color="auto"/>
            <w:left w:val="none" w:sz="0" w:space="0" w:color="auto"/>
            <w:bottom w:val="none" w:sz="0" w:space="0" w:color="auto"/>
            <w:right w:val="none" w:sz="0" w:space="0" w:color="auto"/>
          </w:divBdr>
        </w:div>
        <w:div w:id="792330319">
          <w:marLeft w:val="0"/>
          <w:marRight w:val="0"/>
          <w:marTop w:val="0"/>
          <w:marBottom w:val="0"/>
          <w:divBdr>
            <w:top w:val="none" w:sz="0" w:space="0" w:color="auto"/>
            <w:left w:val="none" w:sz="0" w:space="0" w:color="auto"/>
            <w:bottom w:val="none" w:sz="0" w:space="0" w:color="auto"/>
            <w:right w:val="none" w:sz="0" w:space="0" w:color="auto"/>
          </w:divBdr>
        </w:div>
        <w:div w:id="885916177">
          <w:marLeft w:val="0"/>
          <w:marRight w:val="0"/>
          <w:marTop w:val="0"/>
          <w:marBottom w:val="0"/>
          <w:divBdr>
            <w:top w:val="none" w:sz="0" w:space="0" w:color="auto"/>
            <w:left w:val="none" w:sz="0" w:space="0" w:color="auto"/>
            <w:bottom w:val="none" w:sz="0" w:space="0" w:color="auto"/>
            <w:right w:val="none" w:sz="0" w:space="0" w:color="auto"/>
          </w:divBdr>
        </w:div>
        <w:div w:id="986595804">
          <w:marLeft w:val="0"/>
          <w:marRight w:val="0"/>
          <w:marTop w:val="0"/>
          <w:marBottom w:val="0"/>
          <w:divBdr>
            <w:top w:val="none" w:sz="0" w:space="0" w:color="auto"/>
            <w:left w:val="none" w:sz="0" w:space="0" w:color="auto"/>
            <w:bottom w:val="none" w:sz="0" w:space="0" w:color="auto"/>
            <w:right w:val="none" w:sz="0" w:space="0" w:color="auto"/>
          </w:divBdr>
        </w:div>
        <w:div w:id="1057826991">
          <w:marLeft w:val="0"/>
          <w:marRight w:val="0"/>
          <w:marTop w:val="0"/>
          <w:marBottom w:val="0"/>
          <w:divBdr>
            <w:top w:val="none" w:sz="0" w:space="0" w:color="auto"/>
            <w:left w:val="none" w:sz="0" w:space="0" w:color="auto"/>
            <w:bottom w:val="none" w:sz="0" w:space="0" w:color="auto"/>
            <w:right w:val="none" w:sz="0" w:space="0" w:color="auto"/>
          </w:divBdr>
        </w:div>
        <w:div w:id="1401712091">
          <w:marLeft w:val="0"/>
          <w:marRight w:val="0"/>
          <w:marTop w:val="0"/>
          <w:marBottom w:val="0"/>
          <w:divBdr>
            <w:top w:val="none" w:sz="0" w:space="0" w:color="auto"/>
            <w:left w:val="none" w:sz="0" w:space="0" w:color="auto"/>
            <w:bottom w:val="none" w:sz="0" w:space="0" w:color="auto"/>
            <w:right w:val="none" w:sz="0" w:space="0" w:color="auto"/>
          </w:divBdr>
        </w:div>
        <w:div w:id="1424496645">
          <w:marLeft w:val="0"/>
          <w:marRight w:val="0"/>
          <w:marTop w:val="0"/>
          <w:marBottom w:val="0"/>
          <w:divBdr>
            <w:top w:val="none" w:sz="0" w:space="0" w:color="auto"/>
            <w:left w:val="none" w:sz="0" w:space="0" w:color="auto"/>
            <w:bottom w:val="none" w:sz="0" w:space="0" w:color="auto"/>
            <w:right w:val="none" w:sz="0" w:space="0" w:color="auto"/>
          </w:divBdr>
        </w:div>
        <w:div w:id="1574585790">
          <w:marLeft w:val="0"/>
          <w:marRight w:val="0"/>
          <w:marTop w:val="0"/>
          <w:marBottom w:val="0"/>
          <w:divBdr>
            <w:top w:val="none" w:sz="0" w:space="0" w:color="auto"/>
            <w:left w:val="none" w:sz="0" w:space="0" w:color="auto"/>
            <w:bottom w:val="none" w:sz="0" w:space="0" w:color="auto"/>
            <w:right w:val="none" w:sz="0" w:space="0" w:color="auto"/>
          </w:divBdr>
        </w:div>
        <w:div w:id="1673142648">
          <w:marLeft w:val="0"/>
          <w:marRight w:val="0"/>
          <w:marTop w:val="0"/>
          <w:marBottom w:val="0"/>
          <w:divBdr>
            <w:top w:val="none" w:sz="0" w:space="0" w:color="auto"/>
            <w:left w:val="none" w:sz="0" w:space="0" w:color="auto"/>
            <w:bottom w:val="none" w:sz="0" w:space="0" w:color="auto"/>
            <w:right w:val="none" w:sz="0" w:space="0" w:color="auto"/>
          </w:divBdr>
        </w:div>
      </w:divsChild>
    </w:div>
    <w:div w:id="728915182">
      <w:bodyDiv w:val="1"/>
      <w:marLeft w:val="0"/>
      <w:marRight w:val="0"/>
      <w:marTop w:val="0"/>
      <w:marBottom w:val="0"/>
      <w:divBdr>
        <w:top w:val="none" w:sz="0" w:space="0" w:color="auto"/>
        <w:left w:val="none" w:sz="0" w:space="0" w:color="auto"/>
        <w:bottom w:val="none" w:sz="0" w:space="0" w:color="auto"/>
        <w:right w:val="none" w:sz="0" w:space="0" w:color="auto"/>
      </w:divBdr>
    </w:div>
    <w:div w:id="736056699">
      <w:bodyDiv w:val="1"/>
      <w:marLeft w:val="0"/>
      <w:marRight w:val="0"/>
      <w:marTop w:val="0"/>
      <w:marBottom w:val="0"/>
      <w:divBdr>
        <w:top w:val="none" w:sz="0" w:space="0" w:color="auto"/>
        <w:left w:val="none" w:sz="0" w:space="0" w:color="auto"/>
        <w:bottom w:val="none" w:sz="0" w:space="0" w:color="auto"/>
        <w:right w:val="none" w:sz="0" w:space="0" w:color="auto"/>
      </w:divBdr>
    </w:div>
    <w:div w:id="757025808">
      <w:bodyDiv w:val="1"/>
      <w:marLeft w:val="0"/>
      <w:marRight w:val="0"/>
      <w:marTop w:val="0"/>
      <w:marBottom w:val="0"/>
      <w:divBdr>
        <w:top w:val="none" w:sz="0" w:space="0" w:color="auto"/>
        <w:left w:val="none" w:sz="0" w:space="0" w:color="auto"/>
        <w:bottom w:val="none" w:sz="0" w:space="0" w:color="auto"/>
        <w:right w:val="none" w:sz="0" w:space="0" w:color="auto"/>
      </w:divBdr>
    </w:div>
    <w:div w:id="869730539">
      <w:bodyDiv w:val="1"/>
      <w:marLeft w:val="0"/>
      <w:marRight w:val="0"/>
      <w:marTop w:val="0"/>
      <w:marBottom w:val="0"/>
      <w:divBdr>
        <w:top w:val="none" w:sz="0" w:space="0" w:color="auto"/>
        <w:left w:val="none" w:sz="0" w:space="0" w:color="auto"/>
        <w:bottom w:val="none" w:sz="0" w:space="0" w:color="auto"/>
        <w:right w:val="none" w:sz="0" w:space="0" w:color="auto"/>
      </w:divBdr>
    </w:div>
    <w:div w:id="916330868">
      <w:bodyDiv w:val="1"/>
      <w:marLeft w:val="0"/>
      <w:marRight w:val="0"/>
      <w:marTop w:val="0"/>
      <w:marBottom w:val="0"/>
      <w:divBdr>
        <w:top w:val="none" w:sz="0" w:space="0" w:color="auto"/>
        <w:left w:val="none" w:sz="0" w:space="0" w:color="auto"/>
        <w:bottom w:val="none" w:sz="0" w:space="0" w:color="auto"/>
        <w:right w:val="none" w:sz="0" w:space="0" w:color="auto"/>
      </w:divBdr>
    </w:div>
    <w:div w:id="932662306">
      <w:bodyDiv w:val="1"/>
      <w:marLeft w:val="0"/>
      <w:marRight w:val="0"/>
      <w:marTop w:val="0"/>
      <w:marBottom w:val="0"/>
      <w:divBdr>
        <w:top w:val="none" w:sz="0" w:space="0" w:color="auto"/>
        <w:left w:val="none" w:sz="0" w:space="0" w:color="auto"/>
        <w:bottom w:val="none" w:sz="0" w:space="0" w:color="auto"/>
        <w:right w:val="none" w:sz="0" w:space="0" w:color="auto"/>
      </w:divBdr>
    </w:div>
    <w:div w:id="954556780">
      <w:bodyDiv w:val="1"/>
      <w:marLeft w:val="0"/>
      <w:marRight w:val="0"/>
      <w:marTop w:val="0"/>
      <w:marBottom w:val="0"/>
      <w:divBdr>
        <w:top w:val="none" w:sz="0" w:space="0" w:color="auto"/>
        <w:left w:val="none" w:sz="0" w:space="0" w:color="auto"/>
        <w:bottom w:val="none" w:sz="0" w:space="0" w:color="auto"/>
        <w:right w:val="none" w:sz="0" w:space="0" w:color="auto"/>
      </w:divBdr>
    </w:div>
    <w:div w:id="1012805273">
      <w:bodyDiv w:val="1"/>
      <w:marLeft w:val="0"/>
      <w:marRight w:val="0"/>
      <w:marTop w:val="0"/>
      <w:marBottom w:val="0"/>
      <w:divBdr>
        <w:top w:val="none" w:sz="0" w:space="0" w:color="auto"/>
        <w:left w:val="none" w:sz="0" w:space="0" w:color="auto"/>
        <w:bottom w:val="none" w:sz="0" w:space="0" w:color="auto"/>
        <w:right w:val="none" w:sz="0" w:space="0" w:color="auto"/>
      </w:divBdr>
    </w:div>
    <w:div w:id="1214346626">
      <w:bodyDiv w:val="1"/>
      <w:marLeft w:val="0"/>
      <w:marRight w:val="0"/>
      <w:marTop w:val="0"/>
      <w:marBottom w:val="0"/>
      <w:divBdr>
        <w:top w:val="none" w:sz="0" w:space="0" w:color="auto"/>
        <w:left w:val="none" w:sz="0" w:space="0" w:color="auto"/>
        <w:bottom w:val="none" w:sz="0" w:space="0" w:color="auto"/>
        <w:right w:val="none" w:sz="0" w:space="0" w:color="auto"/>
      </w:divBdr>
    </w:div>
    <w:div w:id="1461847281">
      <w:bodyDiv w:val="1"/>
      <w:marLeft w:val="0"/>
      <w:marRight w:val="0"/>
      <w:marTop w:val="0"/>
      <w:marBottom w:val="0"/>
      <w:divBdr>
        <w:top w:val="none" w:sz="0" w:space="0" w:color="auto"/>
        <w:left w:val="none" w:sz="0" w:space="0" w:color="auto"/>
        <w:bottom w:val="none" w:sz="0" w:space="0" w:color="auto"/>
        <w:right w:val="none" w:sz="0" w:space="0" w:color="auto"/>
      </w:divBdr>
    </w:div>
    <w:div w:id="1482499069">
      <w:bodyDiv w:val="1"/>
      <w:marLeft w:val="0"/>
      <w:marRight w:val="0"/>
      <w:marTop w:val="0"/>
      <w:marBottom w:val="0"/>
      <w:divBdr>
        <w:top w:val="none" w:sz="0" w:space="0" w:color="auto"/>
        <w:left w:val="none" w:sz="0" w:space="0" w:color="auto"/>
        <w:bottom w:val="none" w:sz="0" w:space="0" w:color="auto"/>
        <w:right w:val="none" w:sz="0" w:space="0" w:color="auto"/>
      </w:divBdr>
    </w:div>
    <w:div w:id="1580480506">
      <w:bodyDiv w:val="1"/>
      <w:marLeft w:val="0"/>
      <w:marRight w:val="0"/>
      <w:marTop w:val="0"/>
      <w:marBottom w:val="0"/>
      <w:divBdr>
        <w:top w:val="none" w:sz="0" w:space="0" w:color="auto"/>
        <w:left w:val="none" w:sz="0" w:space="0" w:color="auto"/>
        <w:bottom w:val="none" w:sz="0" w:space="0" w:color="auto"/>
        <w:right w:val="none" w:sz="0" w:space="0" w:color="auto"/>
      </w:divBdr>
    </w:div>
    <w:div w:id="1616328968">
      <w:bodyDiv w:val="1"/>
      <w:marLeft w:val="0"/>
      <w:marRight w:val="0"/>
      <w:marTop w:val="0"/>
      <w:marBottom w:val="0"/>
      <w:divBdr>
        <w:top w:val="none" w:sz="0" w:space="0" w:color="auto"/>
        <w:left w:val="none" w:sz="0" w:space="0" w:color="auto"/>
        <w:bottom w:val="none" w:sz="0" w:space="0" w:color="auto"/>
        <w:right w:val="none" w:sz="0" w:space="0" w:color="auto"/>
      </w:divBdr>
    </w:div>
    <w:div w:id="1627849746">
      <w:bodyDiv w:val="1"/>
      <w:marLeft w:val="0"/>
      <w:marRight w:val="0"/>
      <w:marTop w:val="0"/>
      <w:marBottom w:val="0"/>
      <w:divBdr>
        <w:top w:val="none" w:sz="0" w:space="0" w:color="auto"/>
        <w:left w:val="none" w:sz="0" w:space="0" w:color="auto"/>
        <w:bottom w:val="none" w:sz="0" w:space="0" w:color="auto"/>
        <w:right w:val="none" w:sz="0" w:space="0" w:color="auto"/>
      </w:divBdr>
    </w:div>
    <w:div w:id="1895045393">
      <w:bodyDiv w:val="1"/>
      <w:marLeft w:val="0"/>
      <w:marRight w:val="0"/>
      <w:marTop w:val="0"/>
      <w:marBottom w:val="0"/>
      <w:divBdr>
        <w:top w:val="none" w:sz="0" w:space="0" w:color="auto"/>
        <w:left w:val="none" w:sz="0" w:space="0" w:color="auto"/>
        <w:bottom w:val="none" w:sz="0" w:space="0" w:color="auto"/>
        <w:right w:val="none" w:sz="0" w:space="0" w:color="auto"/>
      </w:divBdr>
    </w:div>
    <w:div w:id="2039620260">
      <w:bodyDiv w:val="1"/>
      <w:marLeft w:val="0"/>
      <w:marRight w:val="0"/>
      <w:marTop w:val="0"/>
      <w:marBottom w:val="0"/>
      <w:divBdr>
        <w:top w:val="none" w:sz="0" w:space="0" w:color="auto"/>
        <w:left w:val="none" w:sz="0" w:space="0" w:color="auto"/>
        <w:bottom w:val="none" w:sz="0" w:space="0" w:color="auto"/>
        <w:right w:val="none" w:sz="0" w:space="0" w:color="auto"/>
      </w:divBdr>
    </w:div>
    <w:div w:id="2057046050">
      <w:bodyDiv w:val="1"/>
      <w:marLeft w:val="0"/>
      <w:marRight w:val="0"/>
      <w:marTop w:val="0"/>
      <w:marBottom w:val="0"/>
      <w:divBdr>
        <w:top w:val="none" w:sz="0" w:space="0" w:color="auto"/>
        <w:left w:val="none" w:sz="0" w:space="0" w:color="auto"/>
        <w:bottom w:val="none" w:sz="0" w:space="0" w:color="auto"/>
        <w:right w:val="none" w:sz="0" w:space="0" w:color="auto"/>
      </w:divBdr>
    </w:div>
    <w:div w:id="2105756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2.xml"/><Relationship Id="rId26" Type="http://schemas.openxmlformats.org/officeDocument/2006/relationships/image" Target="media/image12.png"/><Relationship Id="rId39" Type="http://schemas.microsoft.com/office/2007/relationships/diagramDrawing" Target="diagrams/drawing1.xml"/><Relationship Id="rId21" Type="http://schemas.openxmlformats.org/officeDocument/2006/relationships/image" Target="media/image7.png"/><Relationship Id="rId34" Type="http://schemas.openxmlformats.org/officeDocument/2006/relationships/image" Target="media/image17.png"/><Relationship Id="rId42" Type="http://schemas.openxmlformats.org/officeDocument/2006/relationships/chart" Target="charts/chart2.xml"/><Relationship Id="rId47" Type="http://schemas.openxmlformats.org/officeDocument/2006/relationships/chart" Target="charts/chart7.xml"/><Relationship Id="rId50" Type="http://schemas.openxmlformats.org/officeDocument/2006/relationships/image" Target="media/image19.png"/><Relationship Id="rId55" Type="http://schemas.openxmlformats.org/officeDocument/2006/relationships/image" Target="media/image22.png"/><Relationship Id="rId63" Type="http://schemas.openxmlformats.org/officeDocument/2006/relationships/hyperlink" Target="https://www.siblbd.com/about/profile" TargetMode="Externa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6.png"/><Relationship Id="rId29" Type="http://schemas.openxmlformats.org/officeDocument/2006/relationships/header" Target="header4.xml"/><Relationship Id="rId41" Type="http://schemas.openxmlformats.org/officeDocument/2006/relationships/chart" Target="charts/chart1.xml"/><Relationship Id="rId54" Type="http://schemas.openxmlformats.org/officeDocument/2006/relationships/header" Target="header8.xml"/><Relationship Id="rId62"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file:///C:\Users\user\Downloads\Junayed%20Ahamed%20Soumik-111%20163%20139%20-%20Intership%20report%20on-The%20Islamic%20Banking%20Industry%20of%20Bangladesh%20&amp;%20Social%20Islami%20Bank%20Limited.docx" TargetMode="External"/><Relationship Id="rId24" Type="http://schemas.openxmlformats.org/officeDocument/2006/relationships/image" Target="media/image10.png"/><Relationship Id="rId32" Type="http://schemas.openxmlformats.org/officeDocument/2006/relationships/image" Target="media/image16.png"/><Relationship Id="rId37" Type="http://schemas.openxmlformats.org/officeDocument/2006/relationships/diagramQuickStyle" Target="diagrams/quickStyle1.xml"/><Relationship Id="rId40" Type="http://schemas.openxmlformats.org/officeDocument/2006/relationships/image" Target="media/image18.png"/><Relationship Id="rId45" Type="http://schemas.openxmlformats.org/officeDocument/2006/relationships/chart" Target="charts/chart5.xml"/><Relationship Id="rId53" Type="http://schemas.openxmlformats.org/officeDocument/2006/relationships/image" Target="media/image21.png"/><Relationship Id="rId58" Type="http://schemas.openxmlformats.org/officeDocument/2006/relationships/header" Target="header10.xml"/><Relationship Id="rId66"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diagramLayout" Target="diagrams/layout1.xml"/><Relationship Id="rId49" Type="http://schemas.openxmlformats.org/officeDocument/2006/relationships/chart" Target="charts/chart9.xml"/><Relationship Id="rId57" Type="http://schemas.openxmlformats.org/officeDocument/2006/relationships/image" Target="media/image23.png"/><Relationship Id="rId61" Type="http://schemas.openxmlformats.org/officeDocument/2006/relationships/header" Target="header12.xml"/><Relationship Id="rId10" Type="http://schemas.openxmlformats.org/officeDocument/2006/relationships/hyperlink" Target="file:///C:\Users\user\Downloads\Junayed%20Ahamed%20Soumik-111%20163%20139%20-%20Intership%20report%20on-The%20Islamic%20Banking%20Industry%20of%20Bangladesh%20&amp;%20Social%20Islami%20Bank%20Limited.docx" TargetMode="External"/><Relationship Id="rId19" Type="http://schemas.openxmlformats.org/officeDocument/2006/relationships/header" Target="header3.xml"/><Relationship Id="rId31" Type="http://schemas.openxmlformats.org/officeDocument/2006/relationships/header" Target="header5.xml"/><Relationship Id="rId44" Type="http://schemas.openxmlformats.org/officeDocument/2006/relationships/chart" Target="charts/chart4.xml"/><Relationship Id="rId52" Type="http://schemas.openxmlformats.org/officeDocument/2006/relationships/header" Target="header7.xml"/><Relationship Id="rId60" Type="http://schemas.openxmlformats.org/officeDocument/2006/relationships/image" Target="media/image24.png"/><Relationship Id="rId65"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image" Target="media/image2.png"/><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5.png"/><Relationship Id="rId35" Type="http://schemas.openxmlformats.org/officeDocument/2006/relationships/diagramData" Target="diagrams/data1.xml"/><Relationship Id="rId43" Type="http://schemas.openxmlformats.org/officeDocument/2006/relationships/chart" Target="charts/chart3.xml"/><Relationship Id="rId48" Type="http://schemas.openxmlformats.org/officeDocument/2006/relationships/chart" Target="charts/chart8.xml"/><Relationship Id="rId56" Type="http://schemas.openxmlformats.org/officeDocument/2006/relationships/header" Target="header9.xml"/><Relationship Id="rId64" Type="http://schemas.openxmlformats.org/officeDocument/2006/relationships/footer" Target="footer2.xml"/><Relationship Id="rId8" Type="http://schemas.openxmlformats.org/officeDocument/2006/relationships/endnotes" Target="endnotes.xml"/><Relationship Id="rId51" Type="http://schemas.openxmlformats.org/officeDocument/2006/relationships/image" Target="media/image20.png"/><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5.png"/><Relationship Id="rId25" Type="http://schemas.openxmlformats.org/officeDocument/2006/relationships/image" Target="media/image11.png"/><Relationship Id="rId33" Type="http://schemas.openxmlformats.org/officeDocument/2006/relationships/header" Target="header6.xml"/><Relationship Id="rId38" Type="http://schemas.openxmlformats.org/officeDocument/2006/relationships/diagramColors" Target="diagrams/colors1.xml"/><Relationship Id="rId46" Type="http://schemas.openxmlformats.org/officeDocument/2006/relationships/chart" Target="charts/chart6.xml"/><Relationship Id="rId59" Type="http://schemas.openxmlformats.org/officeDocument/2006/relationships/header" Target="header1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cer\Desktop\ju.xlsx" TargetMode="External"/></Relationships>
</file>

<file path=word/charts/_rels/chart2.xml.rels><?xml version="1.0" encoding="UTF-8" standalone="yes"?>
<Relationships xmlns="http://schemas.openxmlformats.org/package/2006/relationships"><Relationship Id="rId2" Type="http://schemas.openxmlformats.org/officeDocument/2006/relationships/oleObject" Target="file:///C:\Users\acer\Desktop\ju.xlsx" TargetMode="External"/><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2" Type="http://schemas.openxmlformats.org/officeDocument/2006/relationships/oleObject" Target="file:///C:\Users\acer\Desktop\ju.xlsx" TargetMode="External"/><Relationship Id="rId1" Type="http://schemas.openxmlformats.org/officeDocument/2006/relationships/themeOverride" Target="../theme/themeOverride3.xml"/></Relationships>
</file>

<file path=word/charts/_rels/chart5.xml.rels><?xml version="1.0" encoding="UTF-8" standalone="yes"?>
<Relationships xmlns="http://schemas.openxmlformats.org/package/2006/relationships"><Relationship Id="rId2" Type="http://schemas.openxmlformats.org/officeDocument/2006/relationships/oleObject" Target="file:///C:\Users\acer\Desktop\ju.xlsx" TargetMode="External"/><Relationship Id="rId1" Type="http://schemas.openxmlformats.org/officeDocument/2006/relationships/themeOverride" Target="../theme/themeOverride4.xml"/></Relationships>
</file>

<file path=word/charts/_rels/chart6.xml.rels><?xml version="1.0" encoding="UTF-8" standalone="yes"?>
<Relationships xmlns="http://schemas.openxmlformats.org/package/2006/relationships"><Relationship Id="rId2" Type="http://schemas.openxmlformats.org/officeDocument/2006/relationships/oleObject" Target="file:///C:\Users\acer\Desktop\ju.xlsx" TargetMode="External"/><Relationship Id="rId1" Type="http://schemas.openxmlformats.org/officeDocument/2006/relationships/themeOverride" Target="../theme/themeOverride5.xml"/></Relationships>
</file>

<file path=word/charts/_rels/chart7.xml.rels><?xml version="1.0" encoding="UTF-8" standalone="yes"?>
<Relationships xmlns="http://schemas.openxmlformats.org/package/2006/relationships"><Relationship Id="rId2" Type="http://schemas.openxmlformats.org/officeDocument/2006/relationships/oleObject" Target="file:///C:\Users\acer\Desktop\ju.xlsx" TargetMode="External"/><Relationship Id="rId1" Type="http://schemas.openxmlformats.org/officeDocument/2006/relationships/themeOverride" Target="../theme/themeOverride6.xml"/></Relationships>
</file>

<file path=word/charts/_rels/chart8.xml.rels><?xml version="1.0" encoding="UTF-8" standalone="yes"?>
<Relationships xmlns="http://schemas.openxmlformats.org/package/2006/relationships"><Relationship Id="rId2" Type="http://schemas.openxmlformats.org/officeDocument/2006/relationships/oleObject" Target="file:///C:\Users\acer\Desktop\ju.xlsx" TargetMode="External"/><Relationship Id="rId1" Type="http://schemas.openxmlformats.org/officeDocument/2006/relationships/themeOverride" Target="../theme/themeOverride7.xml"/></Relationships>
</file>

<file path=word/charts/_rels/chart9.xml.rels><?xml version="1.0" encoding="UTF-8" standalone="yes"?>
<Relationships xmlns="http://schemas.openxmlformats.org/package/2006/relationships"><Relationship Id="rId2" Type="http://schemas.openxmlformats.org/officeDocument/2006/relationships/oleObject" Target="file:///C:\Users\acer\Desktop\ju.xlsx" TargetMode="External"/><Relationship Id="rId1" Type="http://schemas.openxmlformats.org/officeDocument/2006/relationships/themeOverride" Target="../theme/themeOverride8.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barChart>
        <c:barDir val="col"/>
        <c:grouping val="clustered"/>
        <c:varyColors val="0"/>
        <c:ser>
          <c:idx val="0"/>
          <c:order val="0"/>
          <c:tx>
            <c:strRef>
              <c:f>[ju.xlsx]Sheet1!$B$1</c:f>
              <c:strCache>
                <c:ptCount val="1"/>
                <c:pt idx="0">
                  <c:v>Deposits</c:v>
                </c:pt>
              </c:strCache>
            </c:strRef>
          </c:tx>
          <c:invertIfNegative val="0"/>
          <c:cat>
            <c:numRef>
              <c:f>[ju.xlsx]Sheet1!$A$2:$A$6</c:f>
              <c:numCache>
                <c:formatCode>General</c:formatCode>
                <c:ptCount val="5"/>
                <c:pt idx="0">
                  <c:v>2015</c:v>
                </c:pt>
                <c:pt idx="1">
                  <c:v>2016</c:v>
                </c:pt>
                <c:pt idx="2">
                  <c:v>2017</c:v>
                </c:pt>
                <c:pt idx="3">
                  <c:v>2018</c:v>
                </c:pt>
                <c:pt idx="4">
                  <c:v>2019</c:v>
                </c:pt>
              </c:numCache>
            </c:numRef>
          </c:cat>
          <c:val>
            <c:numRef>
              <c:f>[ju.xlsx]Sheet1!$B$2:$B$6</c:f>
              <c:numCache>
                <c:formatCode>General</c:formatCode>
                <c:ptCount val="5"/>
                <c:pt idx="0">
                  <c:v>124535</c:v>
                </c:pt>
                <c:pt idx="1">
                  <c:v>149773.6</c:v>
                </c:pt>
                <c:pt idx="2">
                  <c:v>190564.5</c:v>
                </c:pt>
                <c:pt idx="3" formatCode="#,##0.00">
                  <c:v>228798.9</c:v>
                </c:pt>
                <c:pt idx="4" formatCode="#,##0.00">
                  <c:v>248324.49</c:v>
                </c:pt>
              </c:numCache>
            </c:numRef>
          </c:val>
          <c:extLst xmlns:c16r2="http://schemas.microsoft.com/office/drawing/2015/06/chart">
            <c:ext xmlns:c16="http://schemas.microsoft.com/office/drawing/2014/chart" uri="{C3380CC4-5D6E-409C-BE32-E72D297353CC}">
              <c16:uniqueId val="{00000000-1261-4F8B-BAFE-096298AE22B1}"/>
            </c:ext>
          </c:extLst>
        </c:ser>
        <c:dLbls>
          <c:showLegendKey val="0"/>
          <c:showVal val="0"/>
          <c:showCatName val="0"/>
          <c:showSerName val="0"/>
          <c:showPercent val="0"/>
          <c:showBubbleSize val="0"/>
        </c:dLbls>
        <c:gapWidth val="150"/>
        <c:axId val="395685888"/>
        <c:axId val="395687424"/>
      </c:barChart>
      <c:catAx>
        <c:axId val="395685888"/>
        <c:scaling>
          <c:orientation val="minMax"/>
        </c:scaling>
        <c:delete val="0"/>
        <c:axPos val="b"/>
        <c:numFmt formatCode="General" sourceLinked="1"/>
        <c:majorTickMark val="out"/>
        <c:minorTickMark val="none"/>
        <c:tickLblPos val="nextTo"/>
        <c:crossAx val="395687424"/>
        <c:crosses val="autoZero"/>
        <c:auto val="1"/>
        <c:lblAlgn val="ctr"/>
        <c:lblOffset val="100"/>
        <c:noMultiLvlLbl val="0"/>
      </c:catAx>
      <c:valAx>
        <c:axId val="395687424"/>
        <c:scaling>
          <c:orientation val="minMax"/>
        </c:scaling>
        <c:delete val="0"/>
        <c:axPos val="l"/>
        <c:majorGridlines/>
        <c:numFmt formatCode="General" sourceLinked="1"/>
        <c:majorTickMark val="out"/>
        <c:minorTickMark val="none"/>
        <c:tickLblPos val="nextTo"/>
        <c:crossAx val="395685888"/>
        <c:crosses val="autoZero"/>
        <c:crossBetween val="between"/>
      </c:valAx>
    </c:plotArea>
    <c:legend>
      <c:legendPos val="r"/>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5"/>
    </mc:Choice>
    <mc:Fallback>
      <c:style val="5"/>
    </mc:Fallback>
  </mc:AlternateContent>
  <c:clrMapOvr bg1="lt1" tx1="dk1" bg2="lt2" tx2="dk2" accent1="accent1" accent2="accent2" accent3="accent3" accent4="accent4" accent5="accent5" accent6="accent6" hlink="hlink" folHlink="folHlink"/>
  <c:chart>
    <c:title>
      <c:overlay val="0"/>
    </c:title>
    <c:autoTitleDeleted val="0"/>
    <c:view3D>
      <c:rotX val="15"/>
      <c:rotY val="20"/>
      <c:rAngAx val="1"/>
    </c:view3D>
    <c:floor>
      <c:thickness val="0"/>
    </c:floor>
    <c:sideWall>
      <c:thickness val="0"/>
    </c:sideWall>
    <c:backWall>
      <c:thickness val="0"/>
    </c:backWall>
    <c:plotArea>
      <c:layout>
        <c:manualLayout>
          <c:layoutTarget val="inner"/>
          <c:xMode val="edge"/>
          <c:yMode val="edge"/>
          <c:x val="0.11902868180194609"/>
          <c:y val="3.1238902918041312E-2"/>
          <c:w val="0.63514732212937408"/>
          <c:h val="0.65636440952943331"/>
        </c:manualLayout>
      </c:layout>
      <c:bar3DChart>
        <c:barDir val="col"/>
        <c:grouping val="clustered"/>
        <c:varyColors val="0"/>
        <c:ser>
          <c:idx val="0"/>
          <c:order val="0"/>
          <c:tx>
            <c:strRef>
              <c:f>[ju.xlsx]Sheet1!$C$1</c:f>
              <c:strCache>
                <c:ptCount val="1"/>
                <c:pt idx="0">
                  <c:v>Investment</c:v>
                </c:pt>
              </c:strCache>
            </c:strRef>
          </c:tx>
          <c:invertIfNegative val="0"/>
          <c:cat>
            <c:numRef>
              <c:f>[ju.xlsx]Sheet1!$A$2:$A$6</c:f>
              <c:numCache>
                <c:formatCode>General</c:formatCode>
                <c:ptCount val="5"/>
                <c:pt idx="0">
                  <c:v>2015</c:v>
                </c:pt>
                <c:pt idx="1">
                  <c:v>2016</c:v>
                </c:pt>
                <c:pt idx="2">
                  <c:v>2017</c:v>
                </c:pt>
                <c:pt idx="3">
                  <c:v>2018</c:v>
                </c:pt>
                <c:pt idx="4">
                  <c:v>2019</c:v>
                </c:pt>
              </c:numCache>
            </c:numRef>
          </c:cat>
          <c:val>
            <c:numRef>
              <c:f>[ju.xlsx]Sheet1!$C$2:$C$6</c:f>
              <c:numCache>
                <c:formatCode>General</c:formatCode>
                <c:ptCount val="5"/>
                <c:pt idx="0">
                  <c:v>107900</c:v>
                </c:pt>
                <c:pt idx="1">
                  <c:v>134116.9</c:v>
                </c:pt>
                <c:pt idx="2">
                  <c:v>174196.1</c:v>
                </c:pt>
                <c:pt idx="3" formatCode="#,##0.00">
                  <c:v>210045.51</c:v>
                </c:pt>
                <c:pt idx="4" formatCode="#,##0.00">
                  <c:v>238654.17</c:v>
                </c:pt>
              </c:numCache>
            </c:numRef>
          </c:val>
          <c:extLst xmlns:c16r2="http://schemas.microsoft.com/office/drawing/2015/06/chart">
            <c:ext xmlns:c16="http://schemas.microsoft.com/office/drawing/2014/chart" uri="{C3380CC4-5D6E-409C-BE32-E72D297353CC}">
              <c16:uniqueId val="{00000000-6D07-42A2-904D-300297158348}"/>
            </c:ext>
          </c:extLst>
        </c:ser>
        <c:dLbls>
          <c:showLegendKey val="0"/>
          <c:showVal val="0"/>
          <c:showCatName val="0"/>
          <c:showSerName val="0"/>
          <c:showPercent val="0"/>
          <c:showBubbleSize val="0"/>
        </c:dLbls>
        <c:gapWidth val="150"/>
        <c:shape val="cylinder"/>
        <c:axId val="395704576"/>
        <c:axId val="377421824"/>
        <c:axId val="0"/>
      </c:bar3DChart>
      <c:catAx>
        <c:axId val="395704576"/>
        <c:scaling>
          <c:orientation val="minMax"/>
        </c:scaling>
        <c:delete val="0"/>
        <c:axPos val="b"/>
        <c:numFmt formatCode="General" sourceLinked="1"/>
        <c:majorTickMark val="out"/>
        <c:minorTickMark val="none"/>
        <c:tickLblPos val="nextTo"/>
        <c:crossAx val="377421824"/>
        <c:crosses val="autoZero"/>
        <c:auto val="1"/>
        <c:lblAlgn val="ctr"/>
        <c:lblOffset val="100"/>
        <c:noMultiLvlLbl val="0"/>
      </c:catAx>
      <c:valAx>
        <c:axId val="377421824"/>
        <c:scaling>
          <c:orientation val="minMax"/>
        </c:scaling>
        <c:delete val="0"/>
        <c:axPos val="l"/>
        <c:majorGridlines/>
        <c:numFmt formatCode="General" sourceLinked="1"/>
        <c:majorTickMark val="out"/>
        <c:minorTickMark val="none"/>
        <c:tickLblPos val="nextTo"/>
        <c:crossAx val="395704576"/>
        <c:crosses val="autoZero"/>
        <c:crossBetween val="between"/>
      </c:valAx>
    </c:plotArea>
    <c:legend>
      <c:legendPos val="r"/>
      <c:overlay val="0"/>
    </c:legend>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8"/>
    </mc:Choice>
    <mc:Fallback>
      <c:style val="8"/>
    </mc:Fallback>
  </mc:AlternateContent>
  <c:clrMapOvr bg1="lt1" tx1="dk1" bg2="lt2" tx2="dk2" accent1="accent1" accent2="accent2" accent3="accent3" accent4="accent4" accent5="accent5" accent6="accent6" hlink="hlink" folHlink="folHlink"/>
  <c:chart>
    <c:title>
      <c:overlay val="0"/>
    </c:title>
    <c:autoTitleDeleted val="0"/>
    <c:view3D>
      <c:rotX val="15"/>
      <c:rotY val="20"/>
      <c:rAngAx val="1"/>
    </c:view3D>
    <c:floor>
      <c:thickness val="0"/>
    </c:floor>
    <c:sideWall>
      <c:thickness val="0"/>
    </c:sideWall>
    <c:backWall>
      <c:thickness val="0"/>
    </c:backWall>
    <c:plotArea>
      <c:layout/>
      <c:bar3DChart>
        <c:barDir val="bar"/>
        <c:grouping val="clustered"/>
        <c:varyColors val="0"/>
        <c:ser>
          <c:idx val="0"/>
          <c:order val="0"/>
          <c:tx>
            <c:strRef>
              <c:f>[ju.xlsx]Sheet1!$D$1</c:f>
              <c:strCache>
                <c:ptCount val="1"/>
                <c:pt idx="0">
                  <c:v>FX_Business</c:v>
                </c:pt>
              </c:strCache>
            </c:strRef>
          </c:tx>
          <c:invertIfNegative val="0"/>
          <c:dLbls>
            <c:spPr>
              <a:noFill/>
              <a:ln>
                <a:noFill/>
              </a:ln>
              <a:effectLst/>
            </c:sp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[ju.xlsx]Sheet1!$A$2:$A$6</c:f>
              <c:numCache>
                <c:formatCode>General</c:formatCode>
                <c:ptCount val="5"/>
                <c:pt idx="0">
                  <c:v>2015</c:v>
                </c:pt>
                <c:pt idx="1">
                  <c:v>2016</c:v>
                </c:pt>
                <c:pt idx="2">
                  <c:v>2017</c:v>
                </c:pt>
                <c:pt idx="3">
                  <c:v>2018</c:v>
                </c:pt>
                <c:pt idx="4">
                  <c:v>2019</c:v>
                </c:pt>
              </c:numCache>
            </c:numRef>
          </c:cat>
          <c:val>
            <c:numRef>
              <c:f>[ju.xlsx]Sheet1!$D$2:$D$6</c:f>
              <c:numCache>
                <c:formatCode>General</c:formatCode>
                <c:ptCount val="5"/>
                <c:pt idx="0">
                  <c:v>139910.1</c:v>
                </c:pt>
                <c:pt idx="1">
                  <c:v>149192.4</c:v>
                </c:pt>
                <c:pt idx="2">
                  <c:v>167382.29999999999</c:v>
                </c:pt>
                <c:pt idx="3" formatCode="#,##0.00">
                  <c:v>202037</c:v>
                </c:pt>
                <c:pt idx="4" formatCode="#,##0.00">
                  <c:v>178590.5</c:v>
                </c:pt>
              </c:numCache>
            </c:numRef>
          </c:val>
          <c:extLst xmlns:c16r2="http://schemas.microsoft.com/office/drawing/2015/06/chart">
            <c:ext xmlns:c16="http://schemas.microsoft.com/office/drawing/2014/chart" uri="{C3380CC4-5D6E-409C-BE32-E72D297353CC}">
              <c16:uniqueId val="{00000000-F5DB-424C-9241-0AC3D155E942}"/>
            </c:ext>
          </c:extLst>
        </c:ser>
        <c:dLbls>
          <c:showLegendKey val="0"/>
          <c:showVal val="1"/>
          <c:showCatName val="0"/>
          <c:showSerName val="0"/>
          <c:showPercent val="0"/>
          <c:showBubbleSize val="0"/>
        </c:dLbls>
        <c:gapWidth val="150"/>
        <c:shape val="box"/>
        <c:axId val="377442304"/>
        <c:axId val="377444992"/>
        <c:axId val="0"/>
      </c:bar3DChart>
      <c:catAx>
        <c:axId val="377442304"/>
        <c:scaling>
          <c:orientation val="minMax"/>
        </c:scaling>
        <c:delete val="0"/>
        <c:axPos val="l"/>
        <c:numFmt formatCode="General" sourceLinked="1"/>
        <c:majorTickMark val="none"/>
        <c:minorTickMark val="none"/>
        <c:tickLblPos val="nextTo"/>
        <c:crossAx val="377444992"/>
        <c:crosses val="autoZero"/>
        <c:auto val="1"/>
        <c:lblAlgn val="ctr"/>
        <c:lblOffset val="100"/>
        <c:noMultiLvlLbl val="0"/>
      </c:catAx>
      <c:valAx>
        <c:axId val="377444992"/>
        <c:scaling>
          <c:orientation val="minMax"/>
        </c:scaling>
        <c:delete val="1"/>
        <c:axPos val="b"/>
        <c:numFmt formatCode="General" sourceLinked="1"/>
        <c:majorTickMark val="none"/>
        <c:minorTickMark val="none"/>
        <c:tickLblPos val="nextTo"/>
        <c:crossAx val="377442304"/>
        <c:crosses val="autoZero"/>
        <c:crossBetween val="between"/>
      </c:valAx>
    </c:plotArea>
    <c:legend>
      <c:legendPos val="t"/>
      <c:overlay val="0"/>
    </c:legend>
    <c:plotVisOnly val="1"/>
    <c:dispBlanksAs val="gap"/>
    <c:showDLblsOverMax val="0"/>
  </c:chart>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2"/>
    </mc:Choice>
    <mc:Fallback>
      <c:style val="32"/>
    </mc:Fallback>
  </mc:AlternateContent>
  <c:clrMapOvr bg1="lt1" tx1="dk1" bg2="lt2" tx2="dk2" accent1="accent1" accent2="accent2" accent3="accent3" accent4="accent4" accent5="accent5" accent6="accent6" hlink="hlink" folHlink="folHlink"/>
  <c:chart>
    <c:title>
      <c:overlay val="0"/>
    </c:title>
    <c:autoTitleDeleted val="0"/>
    <c:view3D>
      <c:rotX val="15"/>
      <c:rotY val="20"/>
      <c:rAngAx val="0"/>
      <c:perspective val="30"/>
    </c:view3D>
    <c:floor>
      <c:thickness val="0"/>
    </c:floor>
    <c:sideWall>
      <c:thickness val="0"/>
    </c:sideWall>
    <c:backWall>
      <c:thickness val="0"/>
    </c:backWall>
    <c:plotArea>
      <c:layout/>
      <c:bar3DChart>
        <c:barDir val="col"/>
        <c:grouping val="standard"/>
        <c:varyColors val="0"/>
        <c:ser>
          <c:idx val="0"/>
          <c:order val="0"/>
          <c:tx>
            <c:strRef>
              <c:f>[ju.xlsx]Sheet1!$H$1</c:f>
              <c:strCache>
                <c:ptCount val="1"/>
                <c:pt idx="0">
                  <c:v>Profit after Tax</c:v>
                </c:pt>
              </c:strCache>
            </c:strRef>
          </c:tx>
          <c:invertIfNegative val="0"/>
          <c:cat>
            <c:numRef>
              <c:f>[ju.xlsx]Sheet1!$A$2:$A$6</c:f>
              <c:numCache>
                <c:formatCode>General</c:formatCode>
                <c:ptCount val="5"/>
                <c:pt idx="0">
                  <c:v>2015</c:v>
                </c:pt>
                <c:pt idx="1">
                  <c:v>2016</c:v>
                </c:pt>
                <c:pt idx="2">
                  <c:v>2017</c:v>
                </c:pt>
                <c:pt idx="3">
                  <c:v>2018</c:v>
                </c:pt>
                <c:pt idx="4">
                  <c:v>2019</c:v>
                </c:pt>
              </c:numCache>
            </c:numRef>
          </c:cat>
          <c:val>
            <c:numRef>
              <c:f>[ju.xlsx]Sheet1!$H$2:$H$6</c:f>
              <c:numCache>
                <c:formatCode>#,##0.00</c:formatCode>
                <c:ptCount val="5"/>
                <c:pt idx="0" formatCode="General">
                  <c:v>1903.72</c:v>
                </c:pt>
                <c:pt idx="1">
                  <c:v>2072.59</c:v>
                </c:pt>
                <c:pt idx="2">
                  <c:v>2292.19</c:v>
                </c:pt>
                <c:pt idx="3">
                  <c:v>1455.25</c:v>
                </c:pt>
                <c:pt idx="4">
                  <c:v>1583.43</c:v>
                </c:pt>
              </c:numCache>
            </c:numRef>
          </c:val>
          <c:extLst xmlns:c16r2="http://schemas.microsoft.com/office/drawing/2015/06/chart">
            <c:ext xmlns:c16="http://schemas.microsoft.com/office/drawing/2014/chart" uri="{C3380CC4-5D6E-409C-BE32-E72D297353CC}">
              <c16:uniqueId val="{00000000-BDB9-45B8-9838-717B557D0571}"/>
            </c:ext>
          </c:extLst>
        </c:ser>
        <c:dLbls>
          <c:showLegendKey val="0"/>
          <c:showVal val="0"/>
          <c:showCatName val="0"/>
          <c:showSerName val="0"/>
          <c:showPercent val="0"/>
          <c:showBubbleSize val="0"/>
        </c:dLbls>
        <c:gapWidth val="150"/>
        <c:shape val="cylinder"/>
        <c:axId val="377466240"/>
        <c:axId val="377476224"/>
        <c:axId val="395694080"/>
      </c:bar3DChart>
      <c:catAx>
        <c:axId val="377466240"/>
        <c:scaling>
          <c:orientation val="minMax"/>
        </c:scaling>
        <c:delete val="0"/>
        <c:axPos val="b"/>
        <c:numFmt formatCode="General" sourceLinked="1"/>
        <c:majorTickMark val="out"/>
        <c:minorTickMark val="none"/>
        <c:tickLblPos val="nextTo"/>
        <c:crossAx val="377476224"/>
        <c:crosses val="autoZero"/>
        <c:auto val="1"/>
        <c:lblAlgn val="ctr"/>
        <c:lblOffset val="100"/>
        <c:noMultiLvlLbl val="0"/>
      </c:catAx>
      <c:valAx>
        <c:axId val="377476224"/>
        <c:scaling>
          <c:orientation val="minMax"/>
        </c:scaling>
        <c:delete val="0"/>
        <c:axPos val="l"/>
        <c:majorGridlines/>
        <c:numFmt formatCode="General" sourceLinked="1"/>
        <c:majorTickMark val="out"/>
        <c:minorTickMark val="none"/>
        <c:tickLblPos val="nextTo"/>
        <c:crossAx val="377466240"/>
        <c:crosses val="autoZero"/>
        <c:crossBetween val="between"/>
      </c:valAx>
      <c:serAx>
        <c:axId val="395694080"/>
        <c:scaling>
          <c:orientation val="minMax"/>
        </c:scaling>
        <c:delete val="1"/>
        <c:axPos val="b"/>
        <c:majorTickMark val="out"/>
        <c:minorTickMark val="none"/>
        <c:tickLblPos val="nextTo"/>
        <c:crossAx val="377476224"/>
        <c:crosses val="autoZero"/>
      </c:serAx>
    </c:plotArea>
    <c:legend>
      <c:legendPos val="r"/>
      <c:overlay val="0"/>
    </c:legend>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8"/>
    </mc:Choice>
    <mc:Fallback>
      <c:style val="28"/>
    </mc:Fallback>
  </mc:AlternateContent>
  <c:clrMapOvr bg1="lt1" tx1="dk1" bg2="lt2" tx2="dk2" accent1="accent1" accent2="accent2" accent3="accent3" accent4="accent4" accent5="accent5" accent6="accent6" hlink="hlink" folHlink="folHlink"/>
  <c:chart>
    <c:title>
      <c:overlay val="0"/>
    </c:title>
    <c:autoTitleDeleted val="0"/>
    <c:plotArea>
      <c:layout/>
      <c:lineChart>
        <c:grouping val="standard"/>
        <c:varyColors val="0"/>
        <c:ser>
          <c:idx val="0"/>
          <c:order val="0"/>
          <c:tx>
            <c:strRef>
              <c:f>[ju.xlsx]Sheet2!$B$1</c:f>
              <c:strCache>
                <c:ptCount val="1"/>
                <c:pt idx="0">
                  <c:v>Paid up Capital</c:v>
                </c:pt>
              </c:strCache>
            </c:strRef>
          </c:tx>
          <c:marker>
            <c:symbol val="none"/>
          </c:marker>
          <c:cat>
            <c:numRef>
              <c:f>[ju.xlsx]Sheet2!$A$2:$A$6</c:f>
              <c:numCache>
                <c:formatCode>General</c:formatCode>
                <c:ptCount val="5"/>
                <c:pt idx="0">
                  <c:v>2015</c:v>
                </c:pt>
                <c:pt idx="1">
                  <c:v>2016</c:v>
                </c:pt>
                <c:pt idx="2">
                  <c:v>2017</c:v>
                </c:pt>
                <c:pt idx="3">
                  <c:v>2018</c:v>
                </c:pt>
                <c:pt idx="4">
                  <c:v>2019</c:v>
                </c:pt>
              </c:numCache>
            </c:numRef>
          </c:cat>
          <c:val>
            <c:numRef>
              <c:f>[ju.xlsx]Sheet2!$B$2:$B$6</c:f>
              <c:numCache>
                <c:formatCode>#,##0.00</c:formatCode>
                <c:ptCount val="5"/>
                <c:pt idx="0">
                  <c:v>7031.42</c:v>
                </c:pt>
                <c:pt idx="1">
                  <c:v>7031.42</c:v>
                </c:pt>
                <c:pt idx="2">
                  <c:v>7382.99</c:v>
                </c:pt>
                <c:pt idx="3">
                  <c:v>7382.99</c:v>
                </c:pt>
                <c:pt idx="4">
                  <c:v>8121.29</c:v>
                </c:pt>
              </c:numCache>
            </c:numRef>
          </c:val>
          <c:smooth val="0"/>
          <c:extLst xmlns:c16r2="http://schemas.microsoft.com/office/drawing/2015/06/chart">
            <c:ext xmlns:c16="http://schemas.microsoft.com/office/drawing/2014/chart" uri="{C3380CC4-5D6E-409C-BE32-E72D297353CC}">
              <c16:uniqueId val="{00000000-AB77-4AB6-8ECC-C40C9C862250}"/>
            </c:ext>
          </c:extLst>
        </c:ser>
        <c:dLbls>
          <c:showLegendKey val="0"/>
          <c:showVal val="0"/>
          <c:showCatName val="0"/>
          <c:showSerName val="0"/>
          <c:showPercent val="0"/>
          <c:showBubbleSize val="0"/>
        </c:dLbls>
        <c:marker val="1"/>
        <c:smooth val="0"/>
        <c:axId val="422066816"/>
        <c:axId val="422076800"/>
      </c:lineChart>
      <c:catAx>
        <c:axId val="422066816"/>
        <c:scaling>
          <c:orientation val="minMax"/>
        </c:scaling>
        <c:delete val="0"/>
        <c:axPos val="b"/>
        <c:numFmt formatCode="General" sourceLinked="1"/>
        <c:majorTickMark val="out"/>
        <c:minorTickMark val="none"/>
        <c:tickLblPos val="nextTo"/>
        <c:crossAx val="422076800"/>
        <c:crosses val="autoZero"/>
        <c:auto val="1"/>
        <c:lblAlgn val="ctr"/>
        <c:lblOffset val="100"/>
        <c:noMultiLvlLbl val="0"/>
      </c:catAx>
      <c:valAx>
        <c:axId val="422076800"/>
        <c:scaling>
          <c:orientation val="minMax"/>
        </c:scaling>
        <c:delete val="0"/>
        <c:axPos val="l"/>
        <c:majorGridlines/>
        <c:numFmt formatCode="#,##0.00" sourceLinked="1"/>
        <c:majorTickMark val="out"/>
        <c:minorTickMark val="none"/>
        <c:tickLblPos val="nextTo"/>
        <c:crossAx val="422066816"/>
        <c:crosses val="autoZero"/>
        <c:crossBetween val="between"/>
      </c:valAx>
    </c:plotArea>
    <c:plotVisOnly val="1"/>
    <c:dispBlanksAs val="gap"/>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8"/>
    </mc:Choice>
    <mc:Fallback>
      <c:style val="28"/>
    </mc:Fallback>
  </mc:AlternateContent>
  <c:clrMapOvr bg1="lt1" tx1="dk1" bg2="lt2" tx2="dk2" accent1="accent1" accent2="accent2" accent3="accent3" accent4="accent4" accent5="accent5" accent6="accent6" hlink="hlink" folHlink="folHlink"/>
  <c:chart>
    <c:title>
      <c:overlay val="0"/>
    </c:title>
    <c:autoTitleDeleted val="0"/>
    <c:view3D>
      <c:rotX val="15"/>
      <c:rotY val="20"/>
      <c:rAngAx val="0"/>
      <c:perspective val="30"/>
    </c:view3D>
    <c:floor>
      <c:thickness val="0"/>
    </c:floor>
    <c:sideWall>
      <c:thickness val="0"/>
    </c:sideWall>
    <c:backWall>
      <c:thickness val="0"/>
    </c:backWall>
    <c:plotArea>
      <c:layout/>
      <c:bar3DChart>
        <c:barDir val="col"/>
        <c:grouping val="standard"/>
        <c:varyColors val="0"/>
        <c:ser>
          <c:idx val="0"/>
          <c:order val="0"/>
          <c:tx>
            <c:strRef>
              <c:f>[ju.xlsx]Sheet2!$D$1</c:f>
              <c:strCache>
                <c:ptCount val="1"/>
                <c:pt idx="0">
                  <c:v>Total Assets</c:v>
                </c:pt>
              </c:strCache>
            </c:strRef>
          </c:tx>
          <c:invertIfNegative val="0"/>
          <c:cat>
            <c:numRef>
              <c:f>[ju.xlsx]Sheet2!$A$2:$A$6</c:f>
              <c:numCache>
                <c:formatCode>General</c:formatCode>
                <c:ptCount val="5"/>
                <c:pt idx="0">
                  <c:v>2015</c:v>
                </c:pt>
                <c:pt idx="1">
                  <c:v>2016</c:v>
                </c:pt>
                <c:pt idx="2">
                  <c:v>2017</c:v>
                </c:pt>
                <c:pt idx="3">
                  <c:v>2018</c:v>
                </c:pt>
                <c:pt idx="4">
                  <c:v>2019</c:v>
                </c:pt>
              </c:numCache>
            </c:numRef>
          </c:cat>
          <c:val>
            <c:numRef>
              <c:f>[ju.xlsx]Sheet2!$D$2:$D$6</c:f>
              <c:numCache>
                <c:formatCode>General</c:formatCode>
                <c:ptCount val="5"/>
                <c:pt idx="0">
                  <c:v>153737.47</c:v>
                </c:pt>
                <c:pt idx="1">
                  <c:v>180112.1</c:v>
                </c:pt>
                <c:pt idx="2">
                  <c:v>227704.2</c:v>
                </c:pt>
                <c:pt idx="3">
                  <c:v>276348.95</c:v>
                </c:pt>
                <c:pt idx="4">
                  <c:v>307305.32</c:v>
                </c:pt>
              </c:numCache>
            </c:numRef>
          </c:val>
          <c:extLst xmlns:c16r2="http://schemas.microsoft.com/office/drawing/2015/06/chart">
            <c:ext xmlns:c16="http://schemas.microsoft.com/office/drawing/2014/chart" uri="{C3380CC4-5D6E-409C-BE32-E72D297353CC}">
              <c16:uniqueId val="{00000000-2FF3-4A38-BE43-13A8370CE478}"/>
            </c:ext>
          </c:extLst>
        </c:ser>
        <c:dLbls>
          <c:showLegendKey val="0"/>
          <c:showVal val="0"/>
          <c:showCatName val="0"/>
          <c:showSerName val="0"/>
          <c:showPercent val="0"/>
          <c:showBubbleSize val="0"/>
        </c:dLbls>
        <c:gapWidth val="150"/>
        <c:shape val="cylinder"/>
        <c:axId val="422093568"/>
        <c:axId val="422095104"/>
        <c:axId val="395695424"/>
      </c:bar3DChart>
      <c:catAx>
        <c:axId val="422093568"/>
        <c:scaling>
          <c:orientation val="minMax"/>
        </c:scaling>
        <c:delete val="0"/>
        <c:axPos val="b"/>
        <c:numFmt formatCode="General" sourceLinked="1"/>
        <c:majorTickMark val="out"/>
        <c:minorTickMark val="none"/>
        <c:tickLblPos val="nextTo"/>
        <c:crossAx val="422095104"/>
        <c:crosses val="autoZero"/>
        <c:auto val="1"/>
        <c:lblAlgn val="ctr"/>
        <c:lblOffset val="100"/>
        <c:noMultiLvlLbl val="0"/>
      </c:catAx>
      <c:valAx>
        <c:axId val="422095104"/>
        <c:scaling>
          <c:orientation val="minMax"/>
        </c:scaling>
        <c:delete val="0"/>
        <c:axPos val="l"/>
        <c:majorGridlines/>
        <c:numFmt formatCode="General" sourceLinked="1"/>
        <c:majorTickMark val="out"/>
        <c:minorTickMark val="none"/>
        <c:tickLblPos val="nextTo"/>
        <c:crossAx val="422093568"/>
        <c:crosses val="autoZero"/>
        <c:crossBetween val="between"/>
      </c:valAx>
      <c:serAx>
        <c:axId val="395695424"/>
        <c:scaling>
          <c:orientation val="minMax"/>
        </c:scaling>
        <c:delete val="1"/>
        <c:axPos val="b"/>
        <c:majorTickMark val="out"/>
        <c:minorTickMark val="none"/>
        <c:tickLblPos val="nextTo"/>
        <c:crossAx val="422095104"/>
        <c:crosses val="autoZero"/>
      </c:serAx>
    </c:plotArea>
    <c:plotVisOnly val="1"/>
    <c:dispBlanksAs val="gap"/>
    <c:showDLblsOverMax val="0"/>
  </c:chart>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7"/>
    </mc:Choice>
    <mc:Fallback>
      <c:style val="37"/>
    </mc:Fallback>
  </mc:AlternateContent>
  <c:clrMapOvr bg1="lt1" tx1="dk1" bg2="lt2" tx2="dk2" accent1="accent1" accent2="accent2" accent3="accent3" accent4="accent4" accent5="accent5" accent6="accent6" hlink="hlink" folHlink="folHlink"/>
  <c:chart>
    <c:title>
      <c:overlay val="0"/>
    </c:title>
    <c:autoTitleDeleted val="0"/>
    <c:plotArea>
      <c:layout/>
      <c:lineChart>
        <c:grouping val="stacked"/>
        <c:varyColors val="0"/>
        <c:ser>
          <c:idx val="0"/>
          <c:order val="0"/>
          <c:tx>
            <c:strRef>
              <c:f>[ju.xlsx]Sheet2!$C$1</c:f>
              <c:strCache>
                <c:ptCount val="1"/>
                <c:pt idx="0">
                  <c:v>Total Capital</c:v>
                </c:pt>
              </c:strCache>
            </c:strRef>
          </c:tx>
          <c:marker>
            <c:symbol val="none"/>
          </c:marker>
          <c:cat>
            <c:numRef>
              <c:f>[ju.xlsx]Sheet2!$A$2:$A$6</c:f>
              <c:numCache>
                <c:formatCode>General</c:formatCode>
                <c:ptCount val="5"/>
                <c:pt idx="0">
                  <c:v>2015</c:v>
                </c:pt>
                <c:pt idx="1">
                  <c:v>2016</c:v>
                </c:pt>
                <c:pt idx="2">
                  <c:v>2017</c:v>
                </c:pt>
                <c:pt idx="3">
                  <c:v>2018</c:v>
                </c:pt>
                <c:pt idx="4">
                  <c:v>2019</c:v>
                </c:pt>
              </c:numCache>
            </c:numRef>
          </c:cat>
          <c:val>
            <c:numRef>
              <c:f>[ju.xlsx]Sheet2!$C$2:$C$6</c:f>
              <c:numCache>
                <c:formatCode>General</c:formatCode>
                <c:ptCount val="5"/>
                <c:pt idx="0" formatCode="#,##0.00">
                  <c:v>13078.26</c:v>
                </c:pt>
                <c:pt idx="1">
                  <c:v>16916.080000000002</c:v>
                </c:pt>
                <c:pt idx="2" formatCode="#,##0.00">
                  <c:v>19195.04</c:v>
                </c:pt>
                <c:pt idx="3" formatCode="#,##0.00">
                  <c:v>21725.08</c:v>
                </c:pt>
                <c:pt idx="4" formatCode="#,##0.00">
                  <c:v>26111.51</c:v>
                </c:pt>
              </c:numCache>
            </c:numRef>
          </c:val>
          <c:smooth val="0"/>
          <c:extLst xmlns:c16r2="http://schemas.microsoft.com/office/drawing/2015/06/chart">
            <c:ext xmlns:c16="http://schemas.microsoft.com/office/drawing/2014/chart" uri="{C3380CC4-5D6E-409C-BE32-E72D297353CC}">
              <c16:uniqueId val="{00000000-1A77-4754-BDFE-EBD3E34D4451}"/>
            </c:ext>
          </c:extLst>
        </c:ser>
        <c:dLbls>
          <c:showLegendKey val="0"/>
          <c:showVal val="0"/>
          <c:showCatName val="0"/>
          <c:showSerName val="0"/>
          <c:showPercent val="0"/>
          <c:showBubbleSize val="0"/>
        </c:dLbls>
        <c:marker val="1"/>
        <c:smooth val="0"/>
        <c:axId val="422108544"/>
        <c:axId val="434582656"/>
      </c:lineChart>
      <c:catAx>
        <c:axId val="422108544"/>
        <c:scaling>
          <c:orientation val="minMax"/>
        </c:scaling>
        <c:delete val="0"/>
        <c:axPos val="b"/>
        <c:numFmt formatCode="General" sourceLinked="1"/>
        <c:majorTickMark val="out"/>
        <c:minorTickMark val="none"/>
        <c:tickLblPos val="nextTo"/>
        <c:crossAx val="434582656"/>
        <c:crosses val="autoZero"/>
        <c:auto val="1"/>
        <c:lblAlgn val="ctr"/>
        <c:lblOffset val="100"/>
        <c:noMultiLvlLbl val="0"/>
      </c:catAx>
      <c:valAx>
        <c:axId val="434582656"/>
        <c:scaling>
          <c:orientation val="minMax"/>
        </c:scaling>
        <c:delete val="0"/>
        <c:axPos val="l"/>
        <c:majorGridlines/>
        <c:numFmt formatCode="#,##0.00" sourceLinked="1"/>
        <c:majorTickMark val="out"/>
        <c:minorTickMark val="none"/>
        <c:tickLblPos val="nextTo"/>
        <c:crossAx val="422108544"/>
        <c:crosses val="autoZero"/>
        <c:crossBetween val="between"/>
      </c:valAx>
    </c:plotArea>
    <c:plotVisOnly val="1"/>
    <c:dispBlanksAs val="zero"/>
    <c:showDLblsOverMax val="0"/>
  </c:chart>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lrMapOvr bg1="lt1" tx1="dk1" bg2="lt2" tx2="dk2" accent1="accent1" accent2="accent2" accent3="accent3" accent4="accent4" accent5="accent5" accent6="accent6" hlink="hlink" folHlink="folHlink"/>
  <c:chart>
    <c:title>
      <c:overlay val="0"/>
    </c:title>
    <c:autoTitleDeleted val="0"/>
    <c:plotArea>
      <c:layout/>
      <c:barChart>
        <c:barDir val="bar"/>
        <c:grouping val="clustered"/>
        <c:varyColors val="0"/>
        <c:ser>
          <c:idx val="0"/>
          <c:order val="0"/>
          <c:tx>
            <c:strRef>
              <c:f>[ju.xlsx]Sheet2!$E$1</c:f>
              <c:strCache>
                <c:ptCount val="1"/>
                <c:pt idx="0">
                  <c:v>No of Branch</c:v>
                </c:pt>
              </c:strCache>
            </c:strRef>
          </c:tx>
          <c:invertIfNegative val="0"/>
          <c:cat>
            <c:numRef>
              <c:f>[ju.xlsx]Sheet2!$A$2:$A$6</c:f>
              <c:numCache>
                <c:formatCode>General</c:formatCode>
                <c:ptCount val="5"/>
                <c:pt idx="0">
                  <c:v>2015</c:v>
                </c:pt>
                <c:pt idx="1">
                  <c:v>2016</c:v>
                </c:pt>
                <c:pt idx="2">
                  <c:v>2017</c:v>
                </c:pt>
                <c:pt idx="3">
                  <c:v>2018</c:v>
                </c:pt>
                <c:pt idx="4">
                  <c:v>2019</c:v>
                </c:pt>
              </c:numCache>
            </c:numRef>
          </c:cat>
          <c:val>
            <c:numRef>
              <c:f>[ju.xlsx]Sheet2!$E$2:$E$6</c:f>
              <c:numCache>
                <c:formatCode>General</c:formatCode>
                <c:ptCount val="5"/>
                <c:pt idx="0">
                  <c:v>100</c:v>
                </c:pt>
                <c:pt idx="1">
                  <c:v>111</c:v>
                </c:pt>
                <c:pt idx="2">
                  <c:v>125</c:v>
                </c:pt>
                <c:pt idx="3">
                  <c:v>138</c:v>
                </c:pt>
                <c:pt idx="4">
                  <c:v>155</c:v>
                </c:pt>
              </c:numCache>
            </c:numRef>
          </c:val>
          <c:extLst xmlns:c16r2="http://schemas.microsoft.com/office/drawing/2015/06/chart">
            <c:ext xmlns:c16="http://schemas.microsoft.com/office/drawing/2014/chart" uri="{C3380CC4-5D6E-409C-BE32-E72D297353CC}">
              <c16:uniqueId val="{00000000-236A-4B26-99D0-5C89E63135CC}"/>
            </c:ext>
          </c:extLst>
        </c:ser>
        <c:dLbls>
          <c:showLegendKey val="0"/>
          <c:showVal val="0"/>
          <c:showCatName val="0"/>
          <c:showSerName val="0"/>
          <c:showPercent val="0"/>
          <c:showBubbleSize val="0"/>
        </c:dLbls>
        <c:gapWidth val="100"/>
        <c:axId val="434607232"/>
        <c:axId val="434608768"/>
      </c:barChart>
      <c:catAx>
        <c:axId val="434607232"/>
        <c:scaling>
          <c:orientation val="minMax"/>
        </c:scaling>
        <c:delete val="0"/>
        <c:axPos val="l"/>
        <c:numFmt formatCode="General" sourceLinked="1"/>
        <c:majorTickMark val="out"/>
        <c:minorTickMark val="none"/>
        <c:tickLblPos val="nextTo"/>
        <c:crossAx val="434608768"/>
        <c:crosses val="autoZero"/>
        <c:auto val="1"/>
        <c:lblAlgn val="ctr"/>
        <c:lblOffset val="100"/>
        <c:noMultiLvlLbl val="0"/>
      </c:catAx>
      <c:valAx>
        <c:axId val="434608768"/>
        <c:scaling>
          <c:orientation val="minMax"/>
        </c:scaling>
        <c:delete val="0"/>
        <c:axPos val="b"/>
        <c:majorGridlines/>
        <c:numFmt formatCode="General" sourceLinked="1"/>
        <c:majorTickMark val="out"/>
        <c:minorTickMark val="none"/>
        <c:tickLblPos val="nextTo"/>
        <c:crossAx val="434607232"/>
        <c:crosses val="autoZero"/>
        <c:crossBetween val="between"/>
      </c:valAx>
    </c:plotArea>
    <c:plotVisOnly val="1"/>
    <c:dispBlanksAs val="gap"/>
    <c:showDLblsOverMax val="0"/>
  </c:chart>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39"/>
    </mc:Choice>
    <mc:Fallback>
      <c:style val="39"/>
    </mc:Fallback>
  </mc:AlternateContent>
  <c:clrMapOvr bg1="lt1" tx1="dk1" bg2="lt2" tx2="dk2" accent1="accent1" accent2="accent2" accent3="accent3" accent4="accent4" accent5="accent5" accent6="accent6" hlink="hlink" folHlink="folHlink"/>
  <c:chart>
    <c:title>
      <c:overlay val="0"/>
    </c:title>
    <c:autoTitleDeleted val="0"/>
    <c:view3D>
      <c:rotX val="15"/>
      <c:rotY val="20"/>
      <c:rAngAx val="1"/>
    </c:view3D>
    <c:floor>
      <c:thickness val="0"/>
    </c:floor>
    <c:sideWall>
      <c:thickness val="0"/>
    </c:sideWall>
    <c:backWall>
      <c:thickness val="0"/>
    </c:backWall>
    <c:plotArea>
      <c:layout/>
      <c:bar3DChart>
        <c:barDir val="col"/>
        <c:grouping val="stacked"/>
        <c:varyColors val="0"/>
        <c:ser>
          <c:idx val="0"/>
          <c:order val="0"/>
          <c:tx>
            <c:strRef>
              <c:f>[ju.xlsx]Sheet2!$F$1</c:f>
              <c:strCache>
                <c:ptCount val="1"/>
                <c:pt idx="0">
                  <c:v>No. of Employee</c:v>
                </c:pt>
              </c:strCache>
            </c:strRef>
          </c:tx>
          <c:invertIfNegative val="0"/>
          <c:cat>
            <c:numRef>
              <c:f>[ju.xlsx]Sheet2!$A$2:$A$6</c:f>
              <c:numCache>
                <c:formatCode>General</c:formatCode>
                <c:ptCount val="5"/>
                <c:pt idx="0">
                  <c:v>2015</c:v>
                </c:pt>
                <c:pt idx="1">
                  <c:v>2016</c:v>
                </c:pt>
                <c:pt idx="2">
                  <c:v>2017</c:v>
                </c:pt>
                <c:pt idx="3">
                  <c:v>2018</c:v>
                </c:pt>
                <c:pt idx="4">
                  <c:v>2019</c:v>
                </c:pt>
              </c:numCache>
            </c:numRef>
          </c:cat>
          <c:val>
            <c:numRef>
              <c:f>[ju.xlsx]Sheet2!$F$2:$F$6</c:f>
              <c:numCache>
                <c:formatCode>General</c:formatCode>
                <c:ptCount val="5"/>
                <c:pt idx="0">
                  <c:v>1922</c:v>
                </c:pt>
                <c:pt idx="1">
                  <c:v>2130</c:v>
                </c:pt>
                <c:pt idx="2">
                  <c:v>2363</c:v>
                </c:pt>
                <c:pt idx="3">
                  <c:v>2599</c:v>
                </c:pt>
                <c:pt idx="4">
                  <c:v>2847</c:v>
                </c:pt>
              </c:numCache>
            </c:numRef>
          </c:val>
          <c:extLst xmlns:c16r2="http://schemas.microsoft.com/office/drawing/2015/06/chart">
            <c:ext xmlns:c16="http://schemas.microsoft.com/office/drawing/2014/chart" uri="{C3380CC4-5D6E-409C-BE32-E72D297353CC}">
              <c16:uniqueId val="{00000000-E313-40AC-818B-DE6162D6A206}"/>
            </c:ext>
          </c:extLst>
        </c:ser>
        <c:dLbls>
          <c:showLegendKey val="0"/>
          <c:showVal val="0"/>
          <c:showCatName val="0"/>
          <c:showSerName val="0"/>
          <c:showPercent val="0"/>
          <c:showBubbleSize val="0"/>
        </c:dLbls>
        <c:gapWidth val="150"/>
        <c:shape val="cylinder"/>
        <c:axId val="434621824"/>
        <c:axId val="436208768"/>
        <c:axId val="0"/>
      </c:bar3DChart>
      <c:catAx>
        <c:axId val="434621824"/>
        <c:scaling>
          <c:orientation val="minMax"/>
        </c:scaling>
        <c:delete val="0"/>
        <c:axPos val="b"/>
        <c:numFmt formatCode="General" sourceLinked="1"/>
        <c:majorTickMark val="out"/>
        <c:minorTickMark val="none"/>
        <c:tickLblPos val="nextTo"/>
        <c:crossAx val="436208768"/>
        <c:crosses val="autoZero"/>
        <c:auto val="1"/>
        <c:lblAlgn val="ctr"/>
        <c:lblOffset val="100"/>
        <c:noMultiLvlLbl val="0"/>
      </c:catAx>
      <c:valAx>
        <c:axId val="436208768"/>
        <c:scaling>
          <c:orientation val="minMax"/>
        </c:scaling>
        <c:delete val="0"/>
        <c:axPos val="l"/>
        <c:majorGridlines/>
        <c:numFmt formatCode="General" sourceLinked="1"/>
        <c:majorTickMark val="out"/>
        <c:minorTickMark val="none"/>
        <c:tickLblPos val="nextTo"/>
        <c:crossAx val="434621824"/>
        <c:crosses val="autoZero"/>
        <c:crossBetween val="between"/>
      </c:valAx>
    </c:plotArea>
    <c:plotVisOnly val="1"/>
    <c:dispBlanksAs val="gap"/>
    <c:showDLblsOverMax val="0"/>
  </c:chart>
  <c:externalData r:id="rId2">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3_5">
  <dgm:title val=""/>
  <dgm:desc val=""/>
  <dgm:catLst>
    <dgm:cat type="accent3" pri="11500"/>
  </dgm:catLst>
  <dgm:styleLbl name="node0">
    <dgm:fillClrLst meth="cycle">
      <a:schemeClr val="accent3">
        <a:alpha val="80000"/>
      </a:schemeClr>
    </dgm:fillClrLst>
    <dgm:linClrLst meth="repeat">
      <a:schemeClr val="lt1"/>
    </dgm:linClrLst>
    <dgm:effectClrLst/>
    <dgm:txLinClrLst/>
    <dgm:txFillClrLst/>
    <dgm:txEffectClrLst/>
  </dgm:styleLbl>
  <dgm:styleLbl name="node1">
    <dgm:fillClrLst>
      <a:schemeClr val="accent3">
        <a:alpha val="90000"/>
      </a:schemeClr>
      <a:schemeClr val="accent3">
        <a:alpha val="50000"/>
      </a:schemeClr>
    </dgm:fillClrLst>
    <dgm:linClrLst meth="repeat">
      <a:schemeClr val="lt1"/>
    </dgm:linClrLst>
    <dgm:effectClrLst/>
    <dgm:txLinClrLst/>
    <dgm:txFillClrLst/>
    <dgm:txEffectClrLst/>
  </dgm:styleLbl>
  <dgm:styleLbl name="alignNode1">
    <dgm:fillClrLst>
      <a:schemeClr val="accent3">
        <a:alpha val="90000"/>
      </a:schemeClr>
      <a:schemeClr val="accent3">
        <a:alpha val="50000"/>
      </a:schemeClr>
    </dgm:fillClrLst>
    <dgm:linClrLst>
      <a:schemeClr val="accent3">
        <a:alpha val="90000"/>
      </a:schemeClr>
      <a:schemeClr val="accent3">
        <a:alpha val="50000"/>
      </a:schemeClr>
    </dgm:linClrLst>
    <dgm:effectClrLst/>
    <dgm:txLinClrLst/>
    <dgm:txFillClrLst/>
    <dgm:txEffectClrLst/>
  </dgm:styleLbl>
  <dgm:styleLbl name="lnNode1">
    <dgm:fillClrLst>
      <a:schemeClr val="accent3">
        <a:shade val="90000"/>
      </a:schemeClr>
      <a:schemeClr val="accent3">
        <a:alpha val="50000"/>
        <a:tint val="50000"/>
      </a:schemeClr>
    </dgm:fillClrLst>
    <dgm:linClrLst meth="repeat">
      <a:schemeClr val="lt1"/>
    </dgm:linClrLst>
    <dgm:effectClrLst/>
    <dgm:txLinClrLst/>
    <dgm:txFillClrLst/>
    <dgm:txEffectClrLst/>
  </dgm:styleLbl>
  <dgm:styleLbl name="vennNode1">
    <dgm:fillClrLst>
      <a:schemeClr val="accent3">
        <a:shade val="80000"/>
        <a:alpha val="50000"/>
      </a:schemeClr>
      <a:schemeClr val="accent3">
        <a:alpha val="80000"/>
      </a:schemeClr>
    </dgm:fillClrLst>
    <dgm:linClrLst meth="repeat">
      <a:schemeClr val="lt1"/>
    </dgm:linClrLst>
    <dgm:effectClrLst/>
    <dgm:txLinClrLst/>
    <dgm:txFillClrLst/>
    <dgm:txEffectClrLst/>
  </dgm:styleLbl>
  <dgm:styleLbl name="node2">
    <dgm:fillClrLst>
      <a:schemeClr val="accent3">
        <a:alpha val="70000"/>
      </a:schemeClr>
    </dgm:fillClrLst>
    <dgm:linClrLst meth="repeat">
      <a:schemeClr val="lt1"/>
    </dgm:linClrLst>
    <dgm:effectClrLst/>
    <dgm:txLinClrLst/>
    <dgm:txFillClrLst/>
    <dgm:txEffectClrLst/>
  </dgm:styleLbl>
  <dgm:styleLbl name="node3">
    <dgm:fillClrLst>
      <a:schemeClr val="accent3">
        <a:alpha val="50000"/>
      </a:schemeClr>
    </dgm:fillClrLst>
    <dgm:linClrLst meth="repeat">
      <a:schemeClr val="lt1"/>
    </dgm:linClrLst>
    <dgm:effectClrLst/>
    <dgm:txLinClrLst/>
    <dgm:txFillClrLst/>
    <dgm:txEffectClrLst/>
  </dgm:styleLbl>
  <dgm:styleLbl name="node4">
    <dgm:fillClrLst>
      <a:schemeClr val="accent3">
        <a:alpha val="30000"/>
      </a:schemeClr>
    </dgm:fillClrLst>
    <dgm:linClrLst meth="repeat">
      <a:schemeClr val="lt1"/>
    </dgm:linClrLst>
    <dgm:effectClrLst/>
    <dgm:txLinClrLst/>
    <dgm:txFillClrLst/>
    <dgm:txEffectClrLst/>
  </dgm:styleLbl>
  <dgm:styleLbl name="fgImgPlace1">
    <dgm:fillClrLst>
      <a:schemeClr val="accent3">
        <a:tint val="50000"/>
        <a:alpha val="90000"/>
      </a:schemeClr>
      <a:schemeClr val="accent3">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3">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dgm:txEffectClrLst/>
  </dgm:styleLbl>
  <dgm:styleLbl name="fgSibTrans2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dgm:txEffectClrLst/>
  </dgm:styleLbl>
  <dgm:styleLbl name="bgSibTrans2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dgm:txEffectClrLst/>
  </dgm:styleLbl>
  <dgm:styleLbl name="sibTrans1D1">
    <dgm:fillClrLst>
      <a:schemeClr val="accent3">
        <a:shade val="90000"/>
      </a:schemeClr>
      <a:schemeClr val="accent3">
        <a:tint val="50000"/>
      </a:schemeClr>
    </dgm:fillClrLst>
    <dgm:linClrLst>
      <a:schemeClr val="accent3">
        <a:shade val="90000"/>
      </a:schemeClr>
      <a:schemeClr val="accent3">
        <a:tint val="50000"/>
      </a:schemeClr>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accent3">
        <a:alpha val="90000"/>
      </a:schemeClr>
    </dgm:fillClrLst>
    <dgm:linClrLst meth="repeat">
      <a:schemeClr val="lt1"/>
    </dgm:linClrLst>
    <dgm:effectClrLst/>
    <dgm:txLinClrLst/>
    <dgm:txFillClrLst/>
    <dgm:txEffectClrLst/>
  </dgm:styleLbl>
  <dgm:styleLbl name="asst1">
    <dgm:fillClrLst meth="repeat">
      <a:schemeClr val="accent3">
        <a:alpha val="90000"/>
      </a:schemeClr>
    </dgm:fillClrLst>
    <dgm:linClrLst meth="repeat">
      <a:schemeClr val="lt1"/>
    </dgm:linClrLst>
    <dgm:effectClrLst/>
    <dgm:txLinClrLst/>
    <dgm:txFillClrLst/>
    <dgm:txEffectClrLst/>
  </dgm:styleLbl>
  <dgm:styleLbl name="asst2">
    <dgm:fillClrLst>
      <a:schemeClr val="accent3">
        <a:alpha val="90000"/>
      </a:schemeClr>
    </dgm:fillClrLst>
    <dgm:linClrLst meth="repeat">
      <a:schemeClr val="lt1"/>
    </dgm:linClrLst>
    <dgm:effectClrLst/>
    <dgm:txLinClrLst/>
    <dgm:txFillClrLst/>
    <dgm:txEffectClrLst/>
  </dgm:styleLbl>
  <dgm:styleLbl name="asst3">
    <dgm:fillClrLst>
      <a:schemeClr val="accent3">
        <a:alpha val="70000"/>
      </a:schemeClr>
    </dgm:fillClrLst>
    <dgm:linClrLst meth="repeat">
      <a:schemeClr val="lt1"/>
    </dgm:linClrLst>
    <dgm:effectClrLst/>
    <dgm:txLinClrLst/>
    <dgm:txFillClrLst/>
    <dgm:txEffectClrLst/>
  </dgm:styleLbl>
  <dgm:styleLbl name="asst4">
    <dgm:fillClrLst>
      <a:schemeClr val="accent3">
        <a:alpha val="50000"/>
      </a:schemeClr>
    </dgm:fillClrLst>
    <dgm:linClrLst meth="repeat">
      <a:schemeClr val="lt1"/>
    </dgm:linClrLst>
    <dgm:effectClrLst/>
    <dgm:txLinClrLst/>
    <dgm:txFillClrLst/>
    <dgm:txEffectClrLst/>
  </dgm:styleLbl>
  <dgm:styleLbl name="parChTrans2D1">
    <dgm:fillClrLst meth="repeat">
      <a:schemeClr val="accent3">
        <a:shade val="80000"/>
      </a:schemeClr>
    </dgm:fillClrLst>
    <dgm:linClrLst meth="repeat">
      <a:schemeClr val="accent3">
        <a:shade val="80000"/>
      </a:schemeClr>
    </dgm:linClrLst>
    <dgm:effectClrLst/>
    <dgm:txLinClrLst/>
    <dgm:txFillClrLst/>
    <dgm:txEffectClrLst/>
  </dgm:styleLbl>
  <dgm:styleLbl name="parChTrans2D2">
    <dgm:fillClrLst meth="repeat">
      <a:schemeClr val="accent3">
        <a:tint val="90000"/>
      </a:schemeClr>
    </dgm:fillClrLst>
    <dgm:linClrLst meth="repeat">
      <a:schemeClr val="accent3">
        <a:tint val="90000"/>
      </a:schemeClr>
    </dgm:linClrLst>
    <dgm:effectClrLst/>
    <dgm:txLinClrLst/>
    <dgm:txFillClrLst/>
    <dgm:txEffectClrLst/>
  </dgm:styleLbl>
  <dgm:styleLbl name="parChTrans2D3">
    <dgm:fillClrLst meth="repeat">
      <a:schemeClr val="accent3">
        <a:tint val="70000"/>
      </a:schemeClr>
    </dgm:fillClrLst>
    <dgm:linClrLst meth="repeat">
      <a:schemeClr val="accent3">
        <a:tint val="70000"/>
      </a:schemeClr>
    </dgm:linClrLst>
    <dgm:effectClrLst/>
    <dgm:txLinClrLst/>
    <dgm:txFillClrLst/>
    <dgm:txEffectClrLst/>
  </dgm:styleLbl>
  <dgm:styleLbl name="parChTrans2D4">
    <dgm:fillClrLst meth="repeat">
      <a:schemeClr val="accent3">
        <a:tint val="50000"/>
      </a:schemeClr>
    </dgm:fillClrLst>
    <dgm:linClrLst meth="repeat">
      <a:schemeClr val="accent3">
        <a:tint val="50000"/>
      </a:schemeClr>
    </dgm:linClrLst>
    <dgm:effectClrLst/>
    <dgm:txLinClrLst/>
    <dgm:txFillClrLst meth="repeat">
      <a:schemeClr val="dk1"/>
    </dgm:txFillClrLst>
    <dgm:txEffectClrLst/>
  </dgm:styleLbl>
  <dgm:styleLbl name="parChTrans1D1">
    <dgm:fillClrLst meth="repeat">
      <a:schemeClr val="accent3">
        <a:shade val="80000"/>
      </a:schemeClr>
    </dgm:fillClrLst>
    <dgm:linClrLst meth="repeat">
      <a:schemeClr val="accent3">
        <a:shade val="80000"/>
      </a:schemeClr>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3">
        <a:tint val="90000"/>
      </a:schemeClr>
    </dgm:linClrLst>
    <dgm:effectClrLst/>
    <dgm:txLinClrLst/>
    <dgm:txFillClrLst meth="repeat">
      <a:schemeClr val="tx1"/>
    </dgm:txFillClrLst>
    <dgm:txEffectClrLst/>
  </dgm:styleLbl>
  <dgm:styleLbl name="parChTrans1D3">
    <dgm:fillClrLst meth="repeat">
      <a:schemeClr val="accent3">
        <a:tint val="70000"/>
      </a:schemeClr>
    </dgm:fillClrLst>
    <dgm:linClrLst meth="repeat">
      <a:schemeClr val="accent3">
        <a:tint val="70000"/>
      </a:schemeClr>
    </dgm:linClrLst>
    <dgm:effectClrLst/>
    <dgm:txLinClrLst/>
    <dgm:txFillClrLst meth="repeat">
      <a:schemeClr val="tx1"/>
    </dgm:txFillClrLst>
    <dgm:txEffectClrLst/>
  </dgm:styleLbl>
  <dgm:styleLbl name="parChTrans1D4">
    <dgm:fillClrLst meth="repeat">
      <a:schemeClr val="accent3">
        <a:tint val="50000"/>
      </a:schemeClr>
    </dgm:fillClrLst>
    <dgm:linClrLst meth="repeat">
      <a:schemeClr val="accent3">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3">
        <a:alpha val="90000"/>
      </a:schemeClr>
      <a:schemeClr val="accent3">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3">
        <a:alpha val="90000"/>
      </a:schemeClr>
      <a:schemeClr val="accent3">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a:schemeClr val="accent3">
        <a:alpha val="90000"/>
        <a:tint val="40000"/>
      </a:schemeClr>
      <a:schemeClr val="accent3">
        <a:alpha val="5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a:tint val="50000"/>
      </a:schemeClr>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E1C5397-FE7B-4678-BDC3-6065F1A2E70C}" type="doc">
      <dgm:prSet loTypeId="urn:microsoft.com/office/officeart/2005/8/layout/bProcess2" loCatId="process" qsTypeId="urn:microsoft.com/office/officeart/2005/8/quickstyle/simple3" qsCatId="simple" csTypeId="urn:microsoft.com/office/officeart/2005/8/colors/accent3_5" csCatId="accent3" phldr="1"/>
      <dgm:spPr/>
      <dgm:t>
        <a:bodyPr/>
        <a:lstStyle/>
        <a:p>
          <a:endParaRPr lang="en-US"/>
        </a:p>
      </dgm:t>
    </dgm:pt>
    <dgm:pt modelId="{2FA391F9-964E-4073-9ABC-C5955A5DA008}">
      <dgm:prSet phldrT="[Text]" custT="1">
        <dgm:style>
          <a:lnRef idx="1">
            <a:schemeClr val="accent1"/>
          </a:lnRef>
          <a:fillRef idx="2">
            <a:schemeClr val="accent1"/>
          </a:fillRef>
          <a:effectRef idx="1">
            <a:schemeClr val="accent1"/>
          </a:effectRef>
          <a:fontRef idx="minor">
            <a:schemeClr val="dk1"/>
          </a:fontRef>
        </dgm:style>
      </dgm:prSet>
      <dgm:spPr>
        <a:xfrm>
          <a:off x="126708" y="115690"/>
          <a:ext cx="880784" cy="568904"/>
        </a:xfr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a:scene3d>
          <a:camera prst="orthographicFront"/>
          <a:lightRig rig="flat" dir="t"/>
        </a:scene3d>
        <a:sp3d/>
      </dgm:spPr>
      <dgm:t>
        <a:bodyPr/>
        <a:lstStyle/>
        <a:p>
          <a:r>
            <a:rPr lang="en-US" sz="1000" b="1">
              <a:solidFill>
                <a:sysClr val="windowText" lastClr="000000"/>
              </a:solidFill>
              <a:latin typeface="Times New Roman" pitchFamily="18" charset="0"/>
              <a:ea typeface="+mn-ea"/>
              <a:cs typeface="Times New Roman" pitchFamily="18" charset="0"/>
            </a:rPr>
            <a:t>Honesty</a:t>
          </a:r>
        </a:p>
      </dgm:t>
    </dgm:pt>
    <dgm:pt modelId="{0749A481-670C-42BD-87AD-7AC19740927A}" type="parTrans" cxnId="{4C0BCCDF-B9A6-4CDB-BF76-DCAC1D09EBD5}">
      <dgm:prSet/>
      <dgm:spPr/>
      <dgm:t>
        <a:bodyPr/>
        <a:lstStyle/>
        <a:p>
          <a:endParaRPr lang="en-US"/>
        </a:p>
      </dgm:t>
    </dgm:pt>
    <dgm:pt modelId="{AD93DF0C-D44A-493C-B81A-F0094074DACD}" type="sibTrans" cxnId="{4C0BCCDF-B9A6-4CDB-BF76-DCAC1D09EBD5}">
      <dgm:prSet>
        <dgm:style>
          <a:lnRef idx="3">
            <a:schemeClr val="lt1"/>
          </a:lnRef>
          <a:fillRef idx="1">
            <a:schemeClr val="accent3"/>
          </a:fillRef>
          <a:effectRef idx="1">
            <a:schemeClr val="accent3"/>
          </a:effectRef>
          <a:fontRef idx="minor">
            <a:schemeClr val="lt1"/>
          </a:fontRef>
        </dgm:style>
      </dgm:prSet>
      <dgm:spPr>
        <a:xfrm rot="10800000">
          <a:off x="467542" y="768453"/>
          <a:ext cx="199116" cy="133691"/>
        </a:xfrm>
        <a:solidFill>
          <a:srgbClr val="9BBB59"/>
        </a:solidFill>
        <a:ln w="38100" cap="flat" cmpd="sng" algn="ctr">
          <a:solidFill>
            <a:sysClr val="window" lastClr="FFFFFF"/>
          </a:solidFill>
          <a:prstDash val="solid"/>
        </a:ln>
        <a:effectLst>
          <a:outerShdw blurRad="40000" dist="20000" dir="5400000" rotWithShape="0">
            <a:srgbClr val="000000">
              <a:alpha val="38000"/>
            </a:srgbClr>
          </a:outerShdw>
        </a:effectLst>
      </dgm:spPr>
      <dgm:t>
        <a:bodyPr/>
        <a:lstStyle/>
        <a:p>
          <a:endParaRPr lang="en-US">
            <a:ln w="9525">
              <a:solidFill>
                <a:schemeClr val="tx1"/>
              </a:solidFill>
            </a:ln>
          </a:endParaRPr>
        </a:p>
      </dgm:t>
    </dgm:pt>
    <dgm:pt modelId="{E41F0B54-EBFF-4FFB-826E-9E6580DBC5DC}">
      <dgm:prSet phldrT="[Text]" custT="1">
        <dgm:style>
          <a:lnRef idx="1">
            <a:schemeClr val="accent4"/>
          </a:lnRef>
          <a:fillRef idx="2">
            <a:schemeClr val="accent4"/>
          </a:fillRef>
          <a:effectRef idx="1">
            <a:schemeClr val="accent4"/>
          </a:effectRef>
          <a:fontRef idx="minor">
            <a:schemeClr val="dk1"/>
          </a:fontRef>
        </dgm:style>
      </dgm:prSet>
      <dgm:spPr>
        <a:xfrm>
          <a:off x="122732" y="978434"/>
          <a:ext cx="888735" cy="379459"/>
        </a:xfrm>
        <a:gradFill rotWithShape="1">
          <a:gsLst>
            <a:gs pos="0">
              <a:srgbClr val="8064A2">
                <a:tint val="50000"/>
                <a:satMod val="300000"/>
              </a:srgbClr>
            </a:gs>
            <a:gs pos="35000">
              <a:srgbClr val="8064A2">
                <a:tint val="37000"/>
                <a:satMod val="300000"/>
              </a:srgbClr>
            </a:gs>
            <a:gs pos="100000">
              <a:srgbClr val="8064A2">
                <a:tint val="15000"/>
                <a:satMod val="350000"/>
              </a:srgbClr>
            </a:gs>
          </a:gsLst>
          <a:lin ang="16200000" scaled="1"/>
        </a:gradFill>
        <a:ln w="9525" cap="flat" cmpd="sng" algn="ctr">
          <a:solidFill>
            <a:srgbClr val="8064A2">
              <a:shade val="95000"/>
              <a:satMod val="105000"/>
            </a:srgbClr>
          </a:solidFill>
          <a:prstDash val="solid"/>
        </a:ln>
        <a:effectLst>
          <a:outerShdw blurRad="40000" dist="20000" dir="5400000" rotWithShape="0">
            <a:srgbClr val="000000">
              <a:alpha val="38000"/>
            </a:srgbClr>
          </a:outerShdw>
        </a:effectLst>
        <a:scene3d>
          <a:camera prst="orthographicFront"/>
          <a:lightRig rig="flat" dir="t"/>
        </a:scene3d>
        <a:sp3d/>
      </dgm:spPr>
      <dgm:t>
        <a:bodyPr/>
        <a:lstStyle/>
        <a:p>
          <a:r>
            <a:rPr lang="en-US" sz="1000" b="1">
              <a:solidFill>
                <a:sysClr val="windowText" lastClr="000000"/>
              </a:solidFill>
              <a:latin typeface="Times New Roman" pitchFamily="18" charset="0"/>
              <a:ea typeface="+mn-ea"/>
              <a:cs typeface="Times New Roman" pitchFamily="18" charset="0"/>
            </a:rPr>
            <a:t>Efficiency</a:t>
          </a:r>
        </a:p>
      </dgm:t>
    </dgm:pt>
    <dgm:pt modelId="{66B20E6B-FF1A-41B2-A921-77717E6A894B}" type="parTrans" cxnId="{D1EDA11F-74B1-4218-B8CF-B88E511E4EF6}">
      <dgm:prSet/>
      <dgm:spPr/>
      <dgm:t>
        <a:bodyPr/>
        <a:lstStyle/>
        <a:p>
          <a:endParaRPr lang="en-US"/>
        </a:p>
      </dgm:t>
    </dgm:pt>
    <dgm:pt modelId="{2A35586A-83C5-4011-B404-18DD460B0DE8}" type="sibTrans" cxnId="{D1EDA11F-74B1-4218-B8CF-B88E511E4EF6}">
      <dgm:prSet>
        <dgm:style>
          <a:lnRef idx="1">
            <a:schemeClr val="accent3"/>
          </a:lnRef>
          <a:fillRef idx="3">
            <a:schemeClr val="accent3"/>
          </a:fillRef>
          <a:effectRef idx="2">
            <a:schemeClr val="accent3"/>
          </a:effectRef>
          <a:fontRef idx="minor">
            <a:schemeClr val="lt1"/>
          </a:fontRef>
        </dgm:style>
      </dgm:prSet>
      <dgm:spPr>
        <a:xfrm rot="10800000">
          <a:off x="467542" y="1463543"/>
          <a:ext cx="199116" cy="133691"/>
        </a:xfrm>
        <a:gradFill rotWithShape="1">
          <a:gsLst>
            <a:gs pos="0">
              <a:srgbClr val="9BBB59">
                <a:shade val="51000"/>
                <a:satMod val="130000"/>
              </a:srgbClr>
            </a:gs>
            <a:gs pos="80000">
              <a:srgbClr val="9BBB59">
                <a:shade val="93000"/>
                <a:satMod val="130000"/>
              </a:srgbClr>
            </a:gs>
            <a:gs pos="100000">
              <a:srgbClr val="9BBB59">
                <a:shade val="94000"/>
                <a:satMod val="135000"/>
              </a:srgbClr>
            </a:gs>
          </a:gsLst>
          <a:lin ang="16200000" scaled="0"/>
        </a:gradFill>
        <a:ln w="9525" cap="flat" cmpd="sng" algn="ctr">
          <a:solidFill>
            <a:srgbClr val="9BBB59">
              <a:shade val="95000"/>
              <a:satMod val="105000"/>
            </a:srgbClr>
          </a:solidFill>
          <a:prstDash val="solid"/>
        </a:ln>
        <a:effectLst>
          <a:outerShdw blurRad="40000" dist="23000" dir="5400000" rotWithShape="0">
            <a:srgbClr val="000000">
              <a:alpha val="35000"/>
            </a:srgbClr>
          </a:outerShdw>
        </a:effectLst>
      </dgm:spPr>
      <dgm:t>
        <a:bodyPr/>
        <a:lstStyle/>
        <a:p>
          <a:endParaRPr lang="en-US">
            <a:ln w="9525">
              <a:solidFill>
                <a:schemeClr val="tx1"/>
              </a:solidFill>
            </a:ln>
          </a:endParaRPr>
        </a:p>
      </dgm:t>
    </dgm:pt>
    <dgm:pt modelId="{83885279-9AC6-4355-8CA5-389CD0F4DE29}">
      <dgm:prSet phldrT="[Text]" custT="1">
        <dgm:style>
          <a:lnRef idx="1">
            <a:schemeClr val="accent5"/>
          </a:lnRef>
          <a:fillRef idx="2">
            <a:schemeClr val="accent5"/>
          </a:fillRef>
          <a:effectRef idx="1">
            <a:schemeClr val="accent5"/>
          </a:effectRef>
          <a:fontRef idx="minor">
            <a:schemeClr val="dk1"/>
          </a:fontRef>
        </dgm:style>
      </dgm:prSet>
      <dgm:spPr>
        <a:xfrm>
          <a:off x="2808" y="1695316"/>
          <a:ext cx="1128584" cy="481739"/>
        </a:xfr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a:scene3d>
          <a:camera prst="orthographicFront"/>
          <a:lightRig rig="flat" dir="t"/>
        </a:scene3d>
        <a:sp3d/>
      </dgm:spPr>
      <dgm:t>
        <a:bodyPr/>
        <a:lstStyle/>
        <a:p>
          <a:r>
            <a:rPr lang="en-US" sz="1000" b="1">
              <a:solidFill>
                <a:sysClr val="windowText" lastClr="000000"/>
              </a:solidFill>
              <a:latin typeface="Times New Roman" pitchFamily="18" charset="0"/>
              <a:ea typeface="+mn-ea"/>
              <a:cs typeface="Times New Roman" pitchFamily="18" charset="0"/>
            </a:rPr>
            <a:t>Accountability</a:t>
          </a:r>
        </a:p>
      </dgm:t>
    </dgm:pt>
    <dgm:pt modelId="{D99A3FF5-AD69-4139-8DFB-DAA7B45AC672}" type="parTrans" cxnId="{CA3FF7ED-5E4C-40C0-B912-EB630AC541DF}">
      <dgm:prSet/>
      <dgm:spPr/>
      <dgm:t>
        <a:bodyPr/>
        <a:lstStyle/>
        <a:p>
          <a:endParaRPr lang="en-US"/>
        </a:p>
      </dgm:t>
    </dgm:pt>
    <dgm:pt modelId="{0AD397B2-2F5E-4034-BA8C-AF8805C7D40C}" type="sibTrans" cxnId="{CA3FF7ED-5E4C-40C0-B912-EB630AC541DF}">
      <dgm:prSet>
        <dgm:style>
          <a:lnRef idx="1">
            <a:schemeClr val="accent3"/>
          </a:lnRef>
          <a:fillRef idx="2">
            <a:schemeClr val="accent3"/>
          </a:fillRef>
          <a:effectRef idx="1">
            <a:schemeClr val="accent3"/>
          </a:effectRef>
          <a:fontRef idx="minor">
            <a:schemeClr val="dk1"/>
          </a:fontRef>
        </dgm:style>
      </dgm:prSet>
      <dgm:spPr>
        <a:xfrm rot="5374127">
          <a:off x="1177835" y="1863994"/>
          <a:ext cx="199116" cy="133691"/>
        </a:xfr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dgm:spPr>
      <dgm:t>
        <a:bodyPr/>
        <a:lstStyle/>
        <a:p>
          <a:endParaRPr lang="en-US"/>
        </a:p>
      </dgm:t>
    </dgm:pt>
    <dgm:pt modelId="{B903DC0B-76CD-4BAF-9091-9339298684FD}">
      <dgm:prSet phldrT="[Text]" custT="1">
        <dgm:style>
          <a:lnRef idx="1">
            <a:schemeClr val="dk1"/>
          </a:lnRef>
          <a:fillRef idx="2">
            <a:schemeClr val="dk1"/>
          </a:fillRef>
          <a:effectRef idx="1">
            <a:schemeClr val="dk1"/>
          </a:effectRef>
          <a:fontRef idx="minor">
            <a:schemeClr val="dk1"/>
          </a:fontRef>
        </dgm:style>
      </dgm:prSet>
      <dgm:spPr>
        <a:xfrm>
          <a:off x="1415845" y="1629979"/>
          <a:ext cx="1192982" cy="590659"/>
        </a:xfr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solidFill>
            <a:sysClr val="windowText" lastClr="000000">
              <a:shade val="95000"/>
              <a:satMod val="105000"/>
            </a:sysClr>
          </a:solidFill>
          <a:prstDash val="solid"/>
        </a:ln>
        <a:effectLst>
          <a:outerShdw blurRad="40000" dist="20000" dir="5400000" rotWithShape="0">
            <a:srgbClr val="000000">
              <a:alpha val="38000"/>
            </a:srgbClr>
          </a:outerShdw>
        </a:effectLst>
        <a:scene3d>
          <a:camera prst="orthographicFront"/>
          <a:lightRig rig="flat" dir="t"/>
        </a:scene3d>
        <a:sp3d/>
      </dgm:spPr>
      <dgm:t>
        <a:bodyPr/>
        <a:lstStyle/>
        <a:p>
          <a:r>
            <a:rPr lang="en-US" sz="1000" b="1">
              <a:solidFill>
                <a:sysClr val="windowText" lastClr="000000"/>
              </a:solidFill>
              <a:latin typeface="Times New Roman" pitchFamily="18" charset="0"/>
              <a:ea typeface="+mn-ea"/>
              <a:cs typeface="Times New Roman" pitchFamily="18" charset="0"/>
            </a:rPr>
            <a:t>Religiousness</a:t>
          </a:r>
        </a:p>
      </dgm:t>
    </dgm:pt>
    <dgm:pt modelId="{342C7C5F-F074-4065-8E6B-BF34073A4E0B}" type="parTrans" cxnId="{8C3FB6F7-5CB5-401E-B1B3-051E83234374}">
      <dgm:prSet/>
      <dgm:spPr/>
      <dgm:t>
        <a:bodyPr/>
        <a:lstStyle/>
        <a:p>
          <a:endParaRPr lang="en-US"/>
        </a:p>
      </dgm:t>
    </dgm:pt>
    <dgm:pt modelId="{C792648D-559E-48B3-8451-EEB2FDF4199B}" type="sibTrans" cxnId="{8C3FB6F7-5CB5-401E-B1B3-051E83234374}">
      <dgm:prSet>
        <dgm:style>
          <a:lnRef idx="3">
            <a:schemeClr val="lt1"/>
          </a:lnRef>
          <a:fillRef idx="1">
            <a:schemeClr val="accent3"/>
          </a:fillRef>
          <a:effectRef idx="1">
            <a:schemeClr val="accent3"/>
          </a:effectRef>
          <a:fontRef idx="minor">
            <a:schemeClr val="lt1"/>
          </a:fontRef>
        </dgm:style>
      </dgm:prSet>
      <dgm:spPr>
        <a:xfrm>
          <a:off x="1912778" y="1412430"/>
          <a:ext cx="199116" cy="133691"/>
        </a:xfrm>
        <a:solidFill>
          <a:srgbClr val="9BBB59"/>
        </a:solidFill>
        <a:ln w="38100" cap="flat" cmpd="sng" algn="ctr">
          <a:solidFill>
            <a:sysClr val="window" lastClr="FFFFFF"/>
          </a:solidFill>
          <a:prstDash val="solid"/>
        </a:ln>
        <a:effectLst>
          <a:outerShdw blurRad="40000" dist="20000" dir="5400000" rotWithShape="0">
            <a:srgbClr val="000000">
              <a:alpha val="38000"/>
            </a:srgbClr>
          </a:outerShdw>
        </a:effectLst>
      </dgm:spPr>
      <dgm:t>
        <a:bodyPr/>
        <a:lstStyle/>
        <a:p>
          <a:endParaRPr lang="en-US">
            <a:ln w="9525">
              <a:solidFill>
                <a:schemeClr val="tx1"/>
              </a:solidFill>
            </a:ln>
          </a:endParaRPr>
        </a:p>
      </dgm:t>
    </dgm:pt>
    <dgm:pt modelId="{D268352C-FE56-4579-9DAE-08C963D79DF1}">
      <dgm:prSet phldrT="[Text]" custT="1">
        <dgm:style>
          <a:lnRef idx="1">
            <a:schemeClr val="accent6"/>
          </a:lnRef>
          <a:fillRef idx="2">
            <a:schemeClr val="accent6"/>
          </a:fillRef>
          <a:effectRef idx="1">
            <a:schemeClr val="accent6"/>
          </a:effectRef>
          <a:fontRef idx="minor">
            <a:schemeClr val="dk1"/>
          </a:fontRef>
        </dgm:style>
      </dgm:prSet>
      <dgm:spPr>
        <a:xfrm>
          <a:off x="1520925" y="956680"/>
          <a:ext cx="982822" cy="379459"/>
        </a:xfrm>
        <a:gradFill rotWithShape="1">
          <a:gsLst>
            <a:gs pos="0">
              <a:srgbClr val="F79646">
                <a:tint val="50000"/>
                <a:satMod val="300000"/>
              </a:srgbClr>
            </a:gs>
            <a:gs pos="35000">
              <a:srgbClr val="F79646">
                <a:tint val="37000"/>
                <a:satMod val="300000"/>
              </a:srgbClr>
            </a:gs>
            <a:gs pos="100000">
              <a:srgbClr val="F79646">
                <a:tint val="15000"/>
                <a:satMod val="350000"/>
              </a:srgbClr>
            </a:gs>
          </a:gsLst>
          <a:lin ang="16200000" scaled="1"/>
        </a:gradFill>
        <a:ln w="9525" cap="flat" cmpd="sng" algn="ctr">
          <a:solidFill>
            <a:srgbClr val="F79646">
              <a:shade val="95000"/>
              <a:satMod val="105000"/>
            </a:srgbClr>
          </a:solidFill>
          <a:prstDash val="solid"/>
        </a:ln>
        <a:effectLst>
          <a:outerShdw blurRad="40000" dist="20000" dir="5400000" rotWithShape="0">
            <a:srgbClr val="000000">
              <a:alpha val="38000"/>
            </a:srgbClr>
          </a:outerShdw>
        </a:effectLst>
        <a:scene3d>
          <a:camera prst="orthographicFront"/>
          <a:lightRig rig="flat" dir="t"/>
        </a:scene3d>
        <a:sp3d/>
      </dgm:spPr>
      <dgm:t>
        <a:bodyPr/>
        <a:lstStyle/>
        <a:p>
          <a:r>
            <a:rPr lang="en-US" sz="1000" b="1">
              <a:solidFill>
                <a:sysClr val="windowText" lastClr="000000"/>
              </a:solidFill>
              <a:latin typeface="Times New Roman" pitchFamily="18" charset="0"/>
              <a:ea typeface="+mn-ea"/>
              <a:cs typeface="Times New Roman" pitchFamily="18" charset="0"/>
            </a:rPr>
            <a:t>Innovation</a:t>
          </a:r>
        </a:p>
      </dgm:t>
    </dgm:pt>
    <dgm:pt modelId="{B73E1531-5584-449E-8FBA-46A4EAD1B533}" type="parTrans" cxnId="{BE74AE22-C4AA-45ED-97EA-E81E0D460CF7}">
      <dgm:prSet/>
      <dgm:spPr/>
      <dgm:t>
        <a:bodyPr/>
        <a:lstStyle/>
        <a:p>
          <a:endParaRPr lang="en-US"/>
        </a:p>
      </dgm:t>
    </dgm:pt>
    <dgm:pt modelId="{957D169D-D5EA-4418-91F2-53ACCC3AAC21}" type="sibTrans" cxnId="{BE74AE22-C4AA-45ED-97EA-E81E0D460CF7}">
      <dgm:prSet>
        <dgm:style>
          <a:lnRef idx="3">
            <a:schemeClr val="lt1"/>
          </a:lnRef>
          <a:fillRef idx="1">
            <a:schemeClr val="accent6"/>
          </a:fillRef>
          <a:effectRef idx="1">
            <a:schemeClr val="accent6"/>
          </a:effectRef>
          <a:fontRef idx="minor">
            <a:schemeClr val="lt1"/>
          </a:fontRef>
        </dgm:style>
      </dgm:prSet>
      <dgm:spPr>
        <a:xfrm>
          <a:off x="1912778" y="691769"/>
          <a:ext cx="199116" cy="133691"/>
        </a:xfrm>
        <a:solidFill>
          <a:srgbClr val="F79646"/>
        </a:solidFill>
        <a:ln w="38100" cap="flat" cmpd="sng" algn="ctr">
          <a:solidFill>
            <a:sysClr val="window" lastClr="FFFFFF"/>
          </a:solidFill>
          <a:prstDash val="solid"/>
        </a:ln>
        <a:effectLst>
          <a:outerShdw blurRad="40000" dist="20000" dir="5400000" rotWithShape="0">
            <a:srgbClr val="000000">
              <a:alpha val="38000"/>
            </a:srgbClr>
          </a:outerShdw>
        </a:effectLst>
      </dgm:spPr>
      <dgm:t>
        <a:bodyPr/>
        <a:lstStyle/>
        <a:p>
          <a:endParaRPr lang="en-US">
            <a:ln w="9525">
              <a:solidFill>
                <a:schemeClr val="tx1"/>
              </a:solidFill>
            </a:ln>
          </a:endParaRPr>
        </a:p>
      </dgm:t>
    </dgm:pt>
    <dgm:pt modelId="{BEB527A4-E281-433C-B234-92990CE91324}">
      <dgm:prSet phldrT="[Text]" custT="1">
        <dgm:style>
          <a:lnRef idx="2">
            <a:schemeClr val="accent3"/>
          </a:lnRef>
          <a:fillRef idx="1">
            <a:schemeClr val="lt1"/>
          </a:fillRef>
          <a:effectRef idx="0">
            <a:schemeClr val="accent3"/>
          </a:effectRef>
          <a:fontRef idx="minor">
            <a:schemeClr val="dk1"/>
          </a:fontRef>
        </dgm:style>
      </dgm:prSet>
      <dgm:spPr>
        <a:xfrm>
          <a:off x="1590749" y="188659"/>
          <a:ext cx="843174" cy="379459"/>
        </a:xfrm>
        <a:solidFill>
          <a:sysClr val="window" lastClr="FFFFFF"/>
        </a:solidFill>
        <a:ln w="25400" cap="flat" cmpd="sng" algn="ctr">
          <a:solidFill>
            <a:srgbClr val="9BBB59"/>
          </a:solidFill>
          <a:prstDash val="solid"/>
        </a:ln>
        <a:effectLst/>
        <a:scene3d>
          <a:camera prst="orthographicFront"/>
          <a:lightRig rig="flat" dir="t"/>
        </a:scene3d>
        <a:sp3d/>
      </dgm:spPr>
      <dgm:t>
        <a:bodyPr/>
        <a:lstStyle/>
        <a:p>
          <a:r>
            <a:rPr lang="en-US" sz="1000" b="1">
              <a:solidFill>
                <a:sysClr val="windowText" lastClr="000000"/>
              </a:solidFill>
              <a:latin typeface="Times New Roman" pitchFamily="18" charset="0"/>
              <a:ea typeface="+mn-ea"/>
              <a:cs typeface="Times New Roman" pitchFamily="18" charset="0"/>
            </a:rPr>
            <a:t>Flexibility</a:t>
          </a:r>
        </a:p>
      </dgm:t>
    </dgm:pt>
    <dgm:pt modelId="{40985CB2-0D19-4B2C-A389-19C678FC228B}" type="parTrans" cxnId="{27B0E719-5FDA-42B4-BD5C-A991489D260E}">
      <dgm:prSet/>
      <dgm:spPr/>
      <dgm:t>
        <a:bodyPr/>
        <a:lstStyle/>
        <a:p>
          <a:endParaRPr lang="en-US"/>
        </a:p>
      </dgm:t>
    </dgm:pt>
    <dgm:pt modelId="{50FE017F-2156-45CC-8917-86846F9320A7}" type="sibTrans" cxnId="{27B0E719-5FDA-42B4-BD5C-A991489D260E}">
      <dgm:prSet>
        <dgm:style>
          <a:lnRef idx="1">
            <a:schemeClr val="accent3"/>
          </a:lnRef>
          <a:fillRef idx="2">
            <a:schemeClr val="accent3"/>
          </a:fillRef>
          <a:effectRef idx="1">
            <a:schemeClr val="accent3"/>
          </a:effectRef>
          <a:fontRef idx="minor">
            <a:schemeClr val="dk1"/>
          </a:fontRef>
        </dgm:style>
      </dgm:prSet>
      <dgm:spPr>
        <a:xfrm rot="5400000">
          <a:off x="2567827" y="311542"/>
          <a:ext cx="199116" cy="133691"/>
        </a:xfr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dgm:spPr>
      <dgm:t>
        <a:bodyPr/>
        <a:lstStyle/>
        <a:p>
          <a:endParaRPr lang="en-US"/>
        </a:p>
      </dgm:t>
    </dgm:pt>
    <dgm:pt modelId="{FCD634EA-9088-427F-BA10-C8857AE36E3B}">
      <dgm:prSet phldrT="[Text]" custT="1">
        <dgm:style>
          <a:lnRef idx="3">
            <a:schemeClr val="lt1"/>
          </a:lnRef>
          <a:fillRef idx="1">
            <a:schemeClr val="accent4"/>
          </a:fillRef>
          <a:effectRef idx="1">
            <a:schemeClr val="accent4"/>
          </a:effectRef>
          <a:fontRef idx="minor">
            <a:schemeClr val="lt1"/>
          </a:fontRef>
        </dgm:style>
      </dgm:prSet>
      <dgm:spPr>
        <a:xfrm>
          <a:off x="3195874" y="915089"/>
          <a:ext cx="727822" cy="462640"/>
        </a:xfrm>
        <a:solidFill>
          <a:srgbClr val="8064A2"/>
        </a:solidFill>
        <a:ln w="38100" cap="flat" cmpd="sng" algn="ctr">
          <a:solidFill>
            <a:sysClr val="window" lastClr="FFFFFF"/>
          </a:solidFill>
          <a:prstDash val="solid"/>
        </a:ln>
        <a:effectLst>
          <a:outerShdw blurRad="40000" dist="20000" dir="5400000" rotWithShape="0">
            <a:srgbClr val="000000">
              <a:alpha val="38000"/>
            </a:srgbClr>
          </a:outerShdw>
        </a:effectLst>
        <a:scene3d>
          <a:camera prst="orthographicFront"/>
          <a:lightRig rig="flat" dir="t"/>
        </a:scene3d>
        <a:sp3d/>
      </dgm:spPr>
      <dgm:t>
        <a:bodyPr/>
        <a:lstStyle/>
        <a:p>
          <a:r>
            <a:rPr lang="en-US" sz="1000" b="1">
              <a:solidFill>
                <a:sysClr val="window" lastClr="FFFFFF"/>
              </a:solidFill>
              <a:latin typeface="Times New Roman" pitchFamily="18" charset="0"/>
              <a:ea typeface="+mn-ea"/>
              <a:cs typeface="Times New Roman" pitchFamily="18" charset="0"/>
            </a:rPr>
            <a:t>Security</a:t>
          </a:r>
        </a:p>
      </dgm:t>
    </dgm:pt>
    <dgm:pt modelId="{1A886206-9E6C-4357-96E7-1A2046D9A633}" type="parTrans" cxnId="{7F34ACC8-7083-427B-9431-37F98689DB44}">
      <dgm:prSet/>
      <dgm:spPr/>
      <dgm:t>
        <a:bodyPr/>
        <a:lstStyle/>
        <a:p>
          <a:endParaRPr lang="en-US"/>
        </a:p>
      </dgm:t>
    </dgm:pt>
    <dgm:pt modelId="{D54EB45F-94FB-434D-A9D8-FA2C4B842F68}" type="sibTrans" cxnId="{7F34ACC8-7083-427B-9431-37F98689DB44}">
      <dgm:prSet>
        <dgm:style>
          <a:lnRef idx="3">
            <a:schemeClr val="lt1"/>
          </a:lnRef>
          <a:fillRef idx="1">
            <a:schemeClr val="accent6"/>
          </a:fillRef>
          <a:effectRef idx="1">
            <a:schemeClr val="accent6"/>
          </a:effectRef>
          <a:fontRef idx="minor">
            <a:schemeClr val="lt1"/>
          </a:fontRef>
        </dgm:style>
      </dgm:prSet>
      <dgm:spPr>
        <a:xfrm rot="10800000">
          <a:off x="3460227" y="1440792"/>
          <a:ext cx="199116" cy="133691"/>
        </a:xfrm>
        <a:solidFill>
          <a:srgbClr val="F79646"/>
        </a:solidFill>
        <a:ln w="38100" cap="flat" cmpd="sng" algn="ctr">
          <a:solidFill>
            <a:sysClr val="window" lastClr="FFFFFF"/>
          </a:solidFill>
          <a:prstDash val="solid"/>
        </a:ln>
        <a:effectLst>
          <a:outerShdw blurRad="40000" dist="20000" dir="5400000" rotWithShape="0">
            <a:srgbClr val="000000">
              <a:alpha val="38000"/>
            </a:srgbClr>
          </a:outerShdw>
        </a:effectLst>
      </dgm:spPr>
      <dgm:t>
        <a:bodyPr/>
        <a:lstStyle/>
        <a:p>
          <a:endParaRPr lang="en-US">
            <a:ln w="9525">
              <a:solidFill>
                <a:schemeClr val="tx1"/>
              </a:solidFill>
            </a:ln>
          </a:endParaRPr>
        </a:p>
      </dgm:t>
    </dgm:pt>
    <dgm:pt modelId="{EEF3746D-BE66-4FD1-AA97-09B15999B5DA}">
      <dgm:prSet phldrT="[Text]" custT="1">
        <dgm:style>
          <a:lnRef idx="1">
            <a:schemeClr val="accent5"/>
          </a:lnRef>
          <a:fillRef idx="2">
            <a:schemeClr val="accent5"/>
          </a:fillRef>
          <a:effectRef idx="1">
            <a:schemeClr val="accent5"/>
          </a:effectRef>
          <a:fontRef idx="minor">
            <a:schemeClr val="dk1"/>
          </a:fontRef>
        </dgm:style>
      </dgm:prSet>
      <dgm:spPr>
        <a:xfrm>
          <a:off x="3119394" y="1629979"/>
          <a:ext cx="880784" cy="568904"/>
        </a:xfr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a:scene3d>
          <a:camera prst="orthographicFront"/>
          <a:lightRig rig="flat" dir="t"/>
        </a:scene3d>
        <a:sp3d/>
      </dgm:spPr>
      <dgm:t>
        <a:bodyPr/>
        <a:lstStyle/>
        <a:p>
          <a:r>
            <a:rPr lang="en-US" sz="1000" b="1">
              <a:solidFill>
                <a:sysClr val="windowText" lastClr="000000"/>
              </a:solidFill>
              <a:latin typeface="Times New Roman" pitchFamily="18" charset="0"/>
              <a:ea typeface="+mn-ea"/>
              <a:cs typeface="Times New Roman" pitchFamily="18" charset="0"/>
            </a:rPr>
            <a:t>Technology</a:t>
          </a:r>
        </a:p>
      </dgm:t>
    </dgm:pt>
    <dgm:pt modelId="{C49B2E4D-333B-487A-9F1D-F04C1120A42A}" type="parTrans" cxnId="{5ECDA627-1E83-44F2-AB88-41C2B0DFCB7C}">
      <dgm:prSet/>
      <dgm:spPr/>
      <dgm:t>
        <a:bodyPr/>
        <a:lstStyle/>
        <a:p>
          <a:endParaRPr lang="en-US"/>
        </a:p>
      </dgm:t>
    </dgm:pt>
    <dgm:pt modelId="{E4D4E778-6EB2-4C33-943A-E694708C5E07}" type="sibTrans" cxnId="{5ECDA627-1E83-44F2-AB88-41C2B0DFCB7C}">
      <dgm:prSet/>
      <dgm:spPr/>
      <dgm:t>
        <a:bodyPr/>
        <a:lstStyle/>
        <a:p>
          <a:endParaRPr lang="en-US"/>
        </a:p>
      </dgm:t>
    </dgm:pt>
    <dgm:pt modelId="{AB35AE31-8997-4D1C-B5E4-60C63C0743B4}">
      <dgm:prSet phldrT="[Text]" custT="1">
        <dgm:style>
          <a:lnRef idx="2">
            <a:schemeClr val="accent1"/>
          </a:lnRef>
          <a:fillRef idx="1">
            <a:schemeClr val="lt1"/>
          </a:fillRef>
          <a:effectRef idx="0">
            <a:schemeClr val="accent1"/>
          </a:effectRef>
          <a:fontRef idx="minor">
            <a:schemeClr val="dk1"/>
          </a:fontRef>
        </dgm:style>
      </dgm:prSet>
      <dgm:spPr>
        <a:xfrm>
          <a:off x="2893280" y="103832"/>
          <a:ext cx="1333010" cy="549112"/>
        </a:xfrm>
        <a:solidFill>
          <a:sysClr val="window" lastClr="FFFFFF"/>
        </a:solidFill>
        <a:ln w="25400" cap="flat" cmpd="sng" algn="ctr">
          <a:solidFill>
            <a:srgbClr val="4F81BD"/>
          </a:solidFill>
          <a:prstDash val="solid"/>
        </a:ln>
        <a:effectLst/>
        <a:scene3d>
          <a:camera prst="orthographicFront"/>
          <a:lightRig rig="flat" dir="t"/>
        </a:scene3d>
        <a:sp3d/>
      </dgm:spPr>
      <dgm:t>
        <a:bodyPr/>
        <a:lstStyle/>
        <a:p>
          <a:r>
            <a:rPr lang="en-US" sz="1000" b="1">
              <a:solidFill>
                <a:sysClr val="windowText" lastClr="000000"/>
              </a:solidFill>
              <a:latin typeface="Times New Roman" pitchFamily="18" charset="0"/>
              <a:ea typeface="+mn-ea"/>
              <a:cs typeface="Times New Roman" pitchFamily="18" charset="0"/>
            </a:rPr>
            <a:t>Transparency</a:t>
          </a:r>
        </a:p>
      </dgm:t>
    </dgm:pt>
    <dgm:pt modelId="{8E7DF7BC-786A-411C-905D-464DBA88C6C1}" type="parTrans" cxnId="{32463153-5972-43CC-B5EC-6BF676BC214E}">
      <dgm:prSet/>
      <dgm:spPr/>
      <dgm:t>
        <a:bodyPr/>
        <a:lstStyle/>
        <a:p>
          <a:endParaRPr lang="en-US"/>
        </a:p>
      </dgm:t>
    </dgm:pt>
    <dgm:pt modelId="{1EFBC2BC-FC85-42AA-96AB-E710183A340D}" type="sibTrans" cxnId="{32463153-5972-43CC-B5EC-6BF676BC214E}">
      <dgm:prSet>
        <dgm:style>
          <a:lnRef idx="1">
            <a:schemeClr val="accent3"/>
          </a:lnRef>
          <a:fillRef idx="3">
            <a:schemeClr val="accent3"/>
          </a:fillRef>
          <a:effectRef idx="2">
            <a:schemeClr val="accent3"/>
          </a:effectRef>
          <a:fontRef idx="minor">
            <a:schemeClr val="lt1"/>
          </a:fontRef>
        </dgm:style>
      </dgm:prSet>
      <dgm:spPr>
        <a:xfrm rot="10800000">
          <a:off x="3460227" y="720955"/>
          <a:ext cx="199116" cy="133691"/>
        </a:xfrm>
        <a:gradFill rotWithShape="1">
          <a:gsLst>
            <a:gs pos="0">
              <a:srgbClr val="9BBB59">
                <a:shade val="51000"/>
                <a:satMod val="130000"/>
              </a:srgbClr>
            </a:gs>
            <a:gs pos="80000">
              <a:srgbClr val="9BBB59">
                <a:shade val="93000"/>
                <a:satMod val="130000"/>
              </a:srgbClr>
            </a:gs>
            <a:gs pos="100000">
              <a:srgbClr val="9BBB59">
                <a:shade val="94000"/>
                <a:satMod val="135000"/>
              </a:srgbClr>
            </a:gs>
          </a:gsLst>
          <a:lin ang="16200000" scaled="0"/>
        </a:gradFill>
        <a:ln w="9525" cap="flat" cmpd="sng" algn="ctr">
          <a:solidFill>
            <a:srgbClr val="9BBB59">
              <a:shade val="95000"/>
              <a:satMod val="105000"/>
            </a:srgbClr>
          </a:solidFill>
          <a:prstDash val="solid"/>
        </a:ln>
        <a:effectLst>
          <a:outerShdw blurRad="40000" dist="23000" dir="5400000" rotWithShape="0">
            <a:srgbClr val="000000">
              <a:alpha val="35000"/>
            </a:srgbClr>
          </a:outerShdw>
        </a:effectLst>
      </dgm:spPr>
      <dgm:t>
        <a:bodyPr/>
        <a:lstStyle/>
        <a:p>
          <a:endParaRPr lang="en-US">
            <a:ln w="9525">
              <a:solidFill>
                <a:schemeClr val="tx1"/>
              </a:solidFill>
            </a:ln>
          </a:endParaRPr>
        </a:p>
      </dgm:t>
    </dgm:pt>
    <dgm:pt modelId="{6EE60DBD-9A88-4352-B601-2DAECFC31860}" type="pres">
      <dgm:prSet presAssocID="{6E1C5397-FE7B-4678-BDC3-6065F1A2E70C}" presName="diagram" presStyleCnt="0">
        <dgm:presLayoutVars>
          <dgm:dir/>
          <dgm:resizeHandles/>
        </dgm:presLayoutVars>
      </dgm:prSet>
      <dgm:spPr/>
      <dgm:t>
        <a:bodyPr/>
        <a:lstStyle/>
        <a:p>
          <a:endParaRPr lang="en-US"/>
        </a:p>
      </dgm:t>
    </dgm:pt>
    <dgm:pt modelId="{4781E86D-830E-4F75-8EC3-08AF7224DEF9}" type="pres">
      <dgm:prSet presAssocID="{2FA391F9-964E-4073-9ABC-C5955A5DA008}" presName="firstNode" presStyleLbl="node1" presStyleIdx="0" presStyleCnt="9" custScaleX="154821">
        <dgm:presLayoutVars>
          <dgm:bulletEnabled val="1"/>
        </dgm:presLayoutVars>
      </dgm:prSet>
      <dgm:spPr>
        <a:prstGeom prst="ellipse">
          <a:avLst/>
        </a:prstGeom>
      </dgm:spPr>
      <dgm:t>
        <a:bodyPr/>
        <a:lstStyle/>
        <a:p>
          <a:endParaRPr lang="en-US"/>
        </a:p>
      </dgm:t>
    </dgm:pt>
    <dgm:pt modelId="{FFFCF60F-25DC-476A-A020-93AE6DB3C658}" type="pres">
      <dgm:prSet presAssocID="{AD93DF0C-D44A-493C-B81A-F0094074DACD}" presName="sibTrans" presStyleLbl="sibTrans2D1" presStyleIdx="0" presStyleCnt="8"/>
      <dgm:spPr>
        <a:prstGeom prst="triangle">
          <a:avLst/>
        </a:prstGeom>
      </dgm:spPr>
      <dgm:t>
        <a:bodyPr/>
        <a:lstStyle/>
        <a:p>
          <a:endParaRPr lang="en-US"/>
        </a:p>
      </dgm:t>
    </dgm:pt>
    <dgm:pt modelId="{9010880D-A80D-4754-958F-EB989B76A3F8}" type="pres">
      <dgm:prSet presAssocID="{E41F0B54-EBFF-4FFB-826E-9E6580DBC5DC}" presName="middleNode" presStyleCnt="0"/>
      <dgm:spPr/>
    </dgm:pt>
    <dgm:pt modelId="{40CD8D9A-B7DD-488D-AB76-466C470680C1}" type="pres">
      <dgm:prSet presAssocID="{E41F0B54-EBFF-4FFB-826E-9E6580DBC5DC}" presName="padding" presStyleLbl="node1" presStyleIdx="0" presStyleCnt="9"/>
      <dgm:spPr/>
    </dgm:pt>
    <dgm:pt modelId="{A745EA67-2326-4C13-9065-BD4904714F1F}" type="pres">
      <dgm:prSet presAssocID="{E41F0B54-EBFF-4FFB-826E-9E6580DBC5DC}" presName="shape" presStyleLbl="node1" presStyleIdx="1" presStyleCnt="9" custScaleX="234211">
        <dgm:presLayoutVars>
          <dgm:bulletEnabled val="1"/>
        </dgm:presLayoutVars>
      </dgm:prSet>
      <dgm:spPr>
        <a:prstGeom prst="ellipse">
          <a:avLst/>
        </a:prstGeom>
      </dgm:spPr>
      <dgm:t>
        <a:bodyPr/>
        <a:lstStyle/>
        <a:p>
          <a:endParaRPr lang="en-US"/>
        </a:p>
      </dgm:t>
    </dgm:pt>
    <dgm:pt modelId="{267F4E5C-2A0F-49C6-A24B-840A138F7B35}" type="pres">
      <dgm:prSet presAssocID="{2A35586A-83C5-4011-B404-18DD460B0DE8}" presName="sibTrans" presStyleLbl="sibTrans2D1" presStyleIdx="1" presStyleCnt="8"/>
      <dgm:spPr>
        <a:prstGeom prst="triangle">
          <a:avLst/>
        </a:prstGeom>
      </dgm:spPr>
      <dgm:t>
        <a:bodyPr/>
        <a:lstStyle/>
        <a:p>
          <a:endParaRPr lang="en-US"/>
        </a:p>
      </dgm:t>
    </dgm:pt>
    <dgm:pt modelId="{3426AE17-3718-4F9F-A923-674DA5D6C0F0}" type="pres">
      <dgm:prSet presAssocID="{83885279-9AC6-4355-8CA5-389CD0F4DE29}" presName="middleNode" presStyleCnt="0"/>
      <dgm:spPr/>
    </dgm:pt>
    <dgm:pt modelId="{DC86F937-C8E9-4DE4-902B-7EAF96F28B14}" type="pres">
      <dgm:prSet presAssocID="{83885279-9AC6-4355-8CA5-389CD0F4DE29}" presName="padding" presStyleLbl="node1" presStyleIdx="1" presStyleCnt="9"/>
      <dgm:spPr/>
    </dgm:pt>
    <dgm:pt modelId="{46B2FD4E-A61A-4A88-8403-0D29B64400F9}" type="pres">
      <dgm:prSet presAssocID="{83885279-9AC6-4355-8CA5-389CD0F4DE29}" presName="shape" presStyleLbl="node1" presStyleIdx="2" presStyleCnt="9" custScaleX="297419" custScaleY="126954">
        <dgm:presLayoutVars>
          <dgm:bulletEnabled val="1"/>
        </dgm:presLayoutVars>
      </dgm:prSet>
      <dgm:spPr>
        <a:prstGeom prst="ellipse">
          <a:avLst/>
        </a:prstGeom>
      </dgm:spPr>
      <dgm:t>
        <a:bodyPr/>
        <a:lstStyle/>
        <a:p>
          <a:endParaRPr lang="en-US"/>
        </a:p>
      </dgm:t>
    </dgm:pt>
    <dgm:pt modelId="{99E02620-0811-4D7A-922A-DE2ECF8505FF}" type="pres">
      <dgm:prSet presAssocID="{0AD397B2-2F5E-4034-BA8C-AF8805C7D40C}" presName="sibTrans" presStyleLbl="sibTrans2D1" presStyleIdx="2" presStyleCnt="8"/>
      <dgm:spPr>
        <a:prstGeom prst="triangle">
          <a:avLst/>
        </a:prstGeom>
      </dgm:spPr>
      <dgm:t>
        <a:bodyPr/>
        <a:lstStyle/>
        <a:p>
          <a:endParaRPr lang="en-US"/>
        </a:p>
      </dgm:t>
    </dgm:pt>
    <dgm:pt modelId="{088D73FF-FEF2-4CD0-AC1C-14AF97BB835F}" type="pres">
      <dgm:prSet presAssocID="{B903DC0B-76CD-4BAF-9091-9339298684FD}" presName="middleNode" presStyleCnt="0"/>
      <dgm:spPr/>
    </dgm:pt>
    <dgm:pt modelId="{80D8952D-0134-4CDA-9018-9935CC5A9667}" type="pres">
      <dgm:prSet presAssocID="{B903DC0B-76CD-4BAF-9091-9339298684FD}" presName="padding" presStyleLbl="node1" presStyleIdx="2" presStyleCnt="9"/>
      <dgm:spPr/>
    </dgm:pt>
    <dgm:pt modelId="{90D55262-6312-41D1-AF60-D297FFB91545}" type="pres">
      <dgm:prSet presAssocID="{B903DC0B-76CD-4BAF-9091-9339298684FD}" presName="shape" presStyleLbl="node1" presStyleIdx="3" presStyleCnt="9" custScaleX="314390" custScaleY="155658">
        <dgm:presLayoutVars>
          <dgm:bulletEnabled val="1"/>
        </dgm:presLayoutVars>
      </dgm:prSet>
      <dgm:spPr>
        <a:prstGeom prst="ellipse">
          <a:avLst/>
        </a:prstGeom>
      </dgm:spPr>
      <dgm:t>
        <a:bodyPr/>
        <a:lstStyle/>
        <a:p>
          <a:endParaRPr lang="en-US"/>
        </a:p>
      </dgm:t>
    </dgm:pt>
    <dgm:pt modelId="{DE056DAE-A4D2-4B3D-9847-3C3FA1C35C82}" type="pres">
      <dgm:prSet presAssocID="{C792648D-559E-48B3-8451-EEB2FDF4199B}" presName="sibTrans" presStyleLbl="sibTrans2D1" presStyleIdx="3" presStyleCnt="8"/>
      <dgm:spPr>
        <a:prstGeom prst="triangle">
          <a:avLst/>
        </a:prstGeom>
      </dgm:spPr>
      <dgm:t>
        <a:bodyPr/>
        <a:lstStyle/>
        <a:p>
          <a:endParaRPr lang="en-US"/>
        </a:p>
      </dgm:t>
    </dgm:pt>
    <dgm:pt modelId="{953190B2-25A2-45D1-BD04-E6015688926D}" type="pres">
      <dgm:prSet presAssocID="{D268352C-FE56-4579-9DAE-08C963D79DF1}" presName="middleNode" presStyleCnt="0"/>
      <dgm:spPr/>
    </dgm:pt>
    <dgm:pt modelId="{29540551-18A9-4578-9F75-08A9AB82C62C}" type="pres">
      <dgm:prSet presAssocID="{D268352C-FE56-4579-9DAE-08C963D79DF1}" presName="padding" presStyleLbl="node1" presStyleIdx="3" presStyleCnt="9"/>
      <dgm:spPr/>
    </dgm:pt>
    <dgm:pt modelId="{5974C009-6E4E-4A53-AB34-202AAAAF9B23}" type="pres">
      <dgm:prSet presAssocID="{D268352C-FE56-4579-9DAE-08C963D79DF1}" presName="shape" presStyleLbl="node1" presStyleIdx="4" presStyleCnt="9" custScaleX="259006">
        <dgm:presLayoutVars>
          <dgm:bulletEnabled val="1"/>
        </dgm:presLayoutVars>
      </dgm:prSet>
      <dgm:spPr>
        <a:prstGeom prst="ellipse">
          <a:avLst/>
        </a:prstGeom>
      </dgm:spPr>
      <dgm:t>
        <a:bodyPr/>
        <a:lstStyle/>
        <a:p>
          <a:endParaRPr lang="en-US"/>
        </a:p>
      </dgm:t>
    </dgm:pt>
    <dgm:pt modelId="{8E877D84-8A21-446E-9824-B4A66992E7A7}" type="pres">
      <dgm:prSet presAssocID="{957D169D-D5EA-4418-91F2-53ACCC3AAC21}" presName="sibTrans" presStyleLbl="sibTrans2D1" presStyleIdx="4" presStyleCnt="8"/>
      <dgm:spPr>
        <a:prstGeom prst="triangle">
          <a:avLst/>
        </a:prstGeom>
      </dgm:spPr>
      <dgm:t>
        <a:bodyPr/>
        <a:lstStyle/>
        <a:p>
          <a:endParaRPr lang="en-US"/>
        </a:p>
      </dgm:t>
    </dgm:pt>
    <dgm:pt modelId="{297FDFB9-4EF7-41BA-99CE-CBBCB5A2C1DF}" type="pres">
      <dgm:prSet presAssocID="{BEB527A4-E281-433C-B234-92990CE91324}" presName="middleNode" presStyleCnt="0"/>
      <dgm:spPr/>
    </dgm:pt>
    <dgm:pt modelId="{B2E020D7-91DC-4BDF-9A92-8F6F788A5658}" type="pres">
      <dgm:prSet presAssocID="{BEB527A4-E281-433C-B234-92990CE91324}" presName="padding" presStyleLbl="node1" presStyleIdx="4" presStyleCnt="9"/>
      <dgm:spPr/>
    </dgm:pt>
    <dgm:pt modelId="{8FC72797-C616-4C7D-B76D-A20A5D467CC3}" type="pres">
      <dgm:prSet presAssocID="{BEB527A4-E281-433C-B234-92990CE91324}" presName="shape" presStyleLbl="node1" presStyleIdx="5" presStyleCnt="9" custScaleX="222204">
        <dgm:presLayoutVars>
          <dgm:bulletEnabled val="1"/>
        </dgm:presLayoutVars>
      </dgm:prSet>
      <dgm:spPr>
        <a:prstGeom prst="ellipse">
          <a:avLst/>
        </a:prstGeom>
      </dgm:spPr>
      <dgm:t>
        <a:bodyPr/>
        <a:lstStyle/>
        <a:p>
          <a:endParaRPr lang="en-US"/>
        </a:p>
      </dgm:t>
    </dgm:pt>
    <dgm:pt modelId="{37799305-AD97-401A-A636-78E720F0F2B2}" type="pres">
      <dgm:prSet presAssocID="{50FE017F-2156-45CC-8917-86846F9320A7}" presName="sibTrans" presStyleLbl="sibTrans2D1" presStyleIdx="5" presStyleCnt="8"/>
      <dgm:spPr>
        <a:prstGeom prst="triangle">
          <a:avLst/>
        </a:prstGeom>
      </dgm:spPr>
      <dgm:t>
        <a:bodyPr/>
        <a:lstStyle/>
        <a:p>
          <a:endParaRPr lang="en-US"/>
        </a:p>
      </dgm:t>
    </dgm:pt>
    <dgm:pt modelId="{1ABD94FC-44B9-447C-B293-D28AD9EB550B}" type="pres">
      <dgm:prSet presAssocID="{AB35AE31-8997-4D1C-B5E4-60C63C0743B4}" presName="middleNode" presStyleCnt="0"/>
      <dgm:spPr/>
    </dgm:pt>
    <dgm:pt modelId="{584AD888-A3C5-4265-AE28-0790BD85D7D3}" type="pres">
      <dgm:prSet presAssocID="{AB35AE31-8997-4D1C-B5E4-60C63C0743B4}" presName="padding" presStyleLbl="node1" presStyleIdx="5" presStyleCnt="9"/>
      <dgm:spPr/>
    </dgm:pt>
    <dgm:pt modelId="{669B3316-826E-4E60-9EF9-5A12980DF449}" type="pres">
      <dgm:prSet presAssocID="{AB35AE31-8997-4D1C-B5E4-60C63C0743B4}" presName="shape" presStyleLbl="node1" presStyleIdx="6" presStyleCnt="9" custScaleX="351292" custScaleY="144709">
        <dgm:presLayoutVars>
          <dgm:bulletEnabled val="1"/>
        </dgm:presLayoutVars>
      </dgm:prSet>
      <dgm:spPr>
        <a:prstGeom prst="ellipse">
          <a:avLst/>
        </a:prstGeom>
      </dgm:spPr>
      <dgm:t>
        <a:bodyPr/>
        <a:lstStyle/>
        <a:p>
          <a:endParaRPr lang="en-US"/>
        </a:p>
      </dgm:t>
    </dgm:pt>
    <dgm:pt modelId="{F1CA336B-0944-4E44-A5DA-E98CD0F87FC1}" type="pres">
      <dgm:prSet presAssocID="{1EFBC2BC-FC85-42AA-96AB-E710183A340D}" presName="sibTrans" presStyleLbl="sibTrans2D1" presStyleIdx="6" presStyleCnt="8"/>
      <dgm:spPr>
        <a:prstGeom prst="triangle">
          <a:avLst/>
        </a:prstGeom>
      </dgm:spPr>
      <dgm:t>
        <a:bodyPr/>
        <a:lstStyle/>
        <a:p>
          <a:endParaRPr lang="en-US"/>
        </a:p>
      </dgm:t>
    </dgm:pt>
    <dgm:pt modelId="{8A4BAEA3-8727-4F25-AAF1-FAA00BAB02DA}" type="pres">
      <dgm:prSet presAssocID="{FCD634EA-9088-427F-BA10-C8857AE36E3B}" presName="middleNode" presStyleCnt="0"/>
      <dgm:spPr/>
    </dgm:pt>
    <dgm:pt modelId="{A5ADE7A2-AE77-4AAA-9E2C-7B65D1ECB5F4}" type="pres">
      <dgm:prSet presAssocID="{FCD634EA-9088-427F-BA10-C8857AE36E3B}" presName="padding" presStyleLbl="node1" presStyleIdx="6" presStyleCnt="9"/>
      <dgm:spPr/>
    </dgm:pt>
    <dgm:pt modelId="{54F943EC-6C4C-4ADD-8E47-36D6D9F0EAC9}" type="pres">
      <dgm:prSet presAssocID="{FCD634EA-9088-427F-BA10-C8857AE36E3B}" presName="shape" presStyleLbl="node1" presStyleIdx="7" presStyleCnt="9" custScaleX="191805" custScaleY="121921">
        <dgm:presLayoutVars>
          <dgm:bulletEnabled val="1"/>
        </dgm:presLayoutVars>
      </dgm:prSet>
      <dgm:spPr>
        <a:prstGeom prst="ellipse">
          <a:avLst/>
        </a:prstGeom>
      </dgm:spPr>
      <dgm:t>
        <a:bodyPr/>
        <a:lstStyle/>
        <a:p>
          <a:endParaRPr lang="en-US"/>
        </a:p>
      </dgm:t>
    </dgm:pt>
    <dgm:pt modelId="{2B4C27AC-F6DA-4959-B8D4-D2912321DB34}" type="pres">
      <dgm:prSet presAssocID="{D54EB45F-94FB-434D-A9D8-FA2C4B842F68}" presName="sibTrans" presStyleLbl="sibTrans2D1" presStyleIdx="7" presStyleCnt="8"/>
      <dgm:spPr>
        <a:prstGeom prst="triangle">
          <a:avLst/>
        </a:prstGeom>
      </dgm:spPr>
      <dgm:t>
        <a:bodyPr/>
        <a:lstStyle/>
        <a:p>
          <a:endParaRPr lang="en-US"/>
        </a:p>
      </dgm:t>
    </dgm:pt>
    <dgm:pt modelId="{8EDF671D-AF8B-405F-970F-7CB4C0146088}" type="pres">
      <dgm:prSet presAssocID="{EEF3746D-BE66-4FD1-AA97-09B15999B5DA}" presName="lastNode" presStyleLbl="node1" presStyleIdx="8" presStyleCnt="9" custScaleX="154821">
        <dgm:presLayoutVars>
          <dgm:bulletEnabled val="1"/>
        </dgm:presLayoutVars>
      </dgm:prSet>
      <dgm:spPr>
        <a:prstGeom prst="ellipse">
          <a:avLst/>
        </a:prstGeom>
      </dgm:spPr>
      <dgm:t>
        <a:bodyPr/>
        <a:lstStyle/>
        <a:p>
          <a:endParaRPr lang="en-US"/>
        </a:p>
      </dgm:t>
    </dgm:pt>
  </dgm:ptLst>
  <dgm:cxnLst>
    <dgm:cxn modelId="{4A2B7892-6142-4019-B93D-B33DCD2718FC}" type="presOf" srcId="{2FA391F9-964E-4073-9ABC-C5955A5DA008}" destId="{4781E86D-830E-4F75-8EC3-08AF7224DEF9}" srcOrd="0" destOrd="0" presId="urn:microsoft.com/office/officeart/2005/8/layout/bProcess2"/>
    <dgm:cxn modelId="{99740DA0-FE83-4A88-A470-197514A2A3C6}" type="presOf" srcId="{C792648D-559E-48B3-8451-EEB2FDF4199B}" destId="{DE056DAE-A4D2-4B3D-9847-3C3FA1C35C82}" srcOrd="0" destOrd="0" presId="urn:microsoft.com/office/officeart/2005/8/layout/bProcess2"/>
    <dgm:cxn modelId="{D29FD112-009E-40D9-BDA4-79EFF27B56BE}" type="presOf" srcId="{EEF3746D-BE66-4FD1-AA97-09B15999B5DA}" destId="{8EDF671D-AF8B-405F-970F-7CB4C0146088}" srcOrd="0" destOrd="0" presId="urn:microsoft.com/office/officeart/2005/8/layout/bProcess2"/>
    <dgm:cxn modelId="{6E83F756-2D9E-408C-9A26-13A5CDF6BF9C}" type="presOf" srcId="{957D169D-D5EA-4418-91F2-53ACCC3AAC21}" destId="{8E877D84-8A21-446E-9824-B4A66992E7A7}" srcOrd="0" destOrd="0" presId="urn:microsoft.com/office/officeart/2005/8/layout/bProcess2"/>
    <dgm:cxn modelId="{4C0BCCDF-B9A6-4CDB-BF76-DCAC1D09EBD5}" srcId="{6E1C5397-FE7B-4678-BDC3-6065F1A2E70C}" destId="{2FA391F9-964E-4073-9ABC-C5955A5DA008}" srcOrd="0" destOrd="0" parTransId="{0749A481-670C-42BD-87AD-7AC19740927A}" sibTransId="{AD93DF0C-D44A-493C-B81A-F0094074DACD}"/>
    <dgm:cxn modelId="{3EBB8933-8E3F-4ED7-8017-CBEF9615F1B8}" type="presOf" srcId="{AB35AE31-8997-4D1C-B5E4-60C63C0743B4}" destId="{669B3316-826E-4E60-9EF9-5A12980DF449}" srcOrd="0" destOrd="0" presId="urn:microsoft.com/office/officeart/2005/8/layout/bProcess2"/>
    <dgm:cxn modelId="{2B1A17DE-31F0-4A12-A950-CD55410566BF}" type="presOf" srcId="{BEB527A4-E281-433C-B234-92990CE91324}" destId="{8FC72797-C616-4C7D-B76D-A20A5D467CC3}" srcOrd="0" destOrd="0" presId="urn:microsoft.com/office/officeart/2005/8/layout/bProcess2"/>
    <dgm:cxn modelId="{1C8D3754-5989-462D-9B8F-87DBCC0ECE6A}" type="presOf" srcId="{1EFBC2BC-FC85-42AA-96AB-E710183A340D}" destId="{F1CA336B-0944-4E44-A5DA-E98CD0F87FC1}" srcOrd="0" destOrd="0" presId="urn:microsoft.com/office/officeart/2005/8/layout/bProcess2"/>
    <dgm:cxn modelId="{61DA87A0-984E-42D0-9924-1C6765A09AE5}" type="presOf" srcId="{D54EB45F-94FB-434D-A9D8-FA2C4B842F68}" destId="{2B4C27AC-F6DA-4959-B8D4-D2912321DB34}" srcOrd="0" destOrd="0" presId="urn:microsoft.com/office/officeart/2005/8/layout/bProcess2"/>
    <dgm:cxn modelId="{BF67E8B9-6B16-43C5-BEC4-7CE7A8B1E2CB}" type="presOf" srcId="{E41F0B54-EBFF-4FFB-826E-9E6580DBC5DC}" destId="{A745EA67-2326-4C13-9065-BD4904714F1F}" srcOrd="0" destOrd="0" presId="urn:microsoft.com/office/officeart/2005/8/layout/bProcess2"/>
    <dgm:cxn modelId="{5ECDA627-1E83-44F2-AB88-41C2B0DFCB7C}" srcId="{6E1C5397-FE7B-4678-BDC3-6065F1A2E70C}" destId="{EEF3746D-BE66-4FD1-AA97-09B15999B5DA}" srcOrd="8" destOrd="0" parTransId="{C49B2E4D-333B-487A-9F1D-F04C1120A42A}" sibTransId="{E4D4E778-6EB2-4C33-943A-E694708C5E07}"/>
    <dgm:cxn modelId="{C017EA8F-8F96-441D-9F07-D68C9E57917A}" type="presOf" srcId="{B903DC0B-76CD-4BAF-9091-9339298684FD}" destId="{90D55262-6312-41D1-AF60-D297FFB91545}" srcOrd="0" destOrd="0" presId="urn:microsoft.com/office/officeart/2005/8/layout/bProcess2"/>
    <dgm:cxn modelId="{27B0E719-5FDA-42B4-BD5C-A991489D260E}" srcId="{6E1C5397-FE7B-4678-BDC3-6065F1A2E70C}" destId="{BEB527A4-E281-433C-B234-92990CE91324}" srcOrd="5" destOrd="0" parTransId="{40985CB2-0D19-4B2C-A389-19C678FC228B}" sibTransId="{50FE017F-2156-45CC-8917-86846F9320A7}"/>
    <dgm:cxn modelId="{33635AE4-63C8-451A-93DB-940B2520CECF}" type="presOf" srcId="{D268352C-FE56-4579-9DAE-08C963D79DF1}" destId="{5974C009-6E4E-4A53-AB34-202AAAAF9B23}" srcOrd="0" destOrd="0" presId="urn:microsoft.com/office/officeart/2005/8/layout/bProcess2"/>
    <dgm:cxn modelId="{1D996981-EB02-4718-A4E8-0BF9EF38CBF0}" type="presOf" srcId="{AD93DF0C-D44A-493C-B81A-F0094074DACD}" destId="{FFFCF60F-25DC-476A-A020-93AE6DB3C658}" srcOrd="0" destOrd="0" presId="urn:microsoft.com/office/officeart/2005/8/layout/bProcess2"/>
    <dgm:cxn modelId="{CA3FF7ED-5E4C-40C0-B912-EB630AC541DF}" srcId="{6E1C5397-FE7B-4678-BDC3-6065F1A2E70C}" destId="{83885279-9AC6-4355-8CA5-389CD0F4DE29}" srcOrd="2" destOrd="0" parTransId="{D99A3FF5-AD69-4139-8DFB-DAA7B45AC672}" sibTransId="{0AD397B2-2F5E-4034-BA8C-AF8805C7D40C}"/>
    <dgm:cxn modelId="{F3E729FA-59D0-4F0D-889A-6CE6D06CF6A6}" type="presOf" srcId="{0AD397B2-2F5E-4034-BA8C-AF8805C7D40C}" destId="{99E02620-0811-4D7A-922A-DE2ECF8505FF}" srcOrd="0" destOrd="0" presId="urn:microsoft.com/office/officeart/2005/8/layout/bProcess2"/>
    <dgm:cxn modelId="{E1158ED1-E026-4E41-9F12-C6DA388AD378}" type="presOf" srcId="{83885279-9AC6-4355-8CA5-389CD0F4DE29}" destId="{46B2FD4E-A61A-4A88-8403-0D29B64400F9}" srcOrd="0" destOrd="0" presId="urn:microsoft.com/office/officeart/2005/8/layout/bProcess2"/>
    <dgm:cxn modelId="{BF557436-200A-48DA-A258-512AF1FBA0B9}" type="presOf" srcId="{50FE017F-2156-45CC-8917-86846F9320A7}" destId="{37799305-AD97-401A-A636-78E720F0F2B2}" srcOrd="0" destOrd="0" presId="urn:microsoft.com/office/officeart/2005/8/layout/bProcess2"/>
    <dgm:cxn modelId="{32463153-5972-43CC-B5EC-6BF676BC214E}" srcId="{6E1C5397-FE7B-4678-BDC3-6065F1A2E70C}" destId="{AB35AE31-8997-4D1C-B5E4-60C63C0743B4}" srcOrd="6" destOrd="0" parTransId="{8E7DF7BC-786A-411C-905D-464DBA88C6C1}" sibTransId="{1EFBC2BC-FC85-42AA-96AB-E710183A340D}"/>
    <dgm:cxn modelId="{D1EDA11F-74B1-4218-B8CF-B88E511E4EF6}" srcId="{6E1C5397-FE7B-4678-BDC3-6065F1A2E70C}" destId="{E41F0B54-EBFF-4FFB-826E-9E6580DBC5DC}" srcOrd="1" destOrd="0" parTransId="{66B20E6B-FF1A-41B2-A921-77717E6A894B}" sibTransId="{2A35586A-83C5-4011-B404-18DD460B0DE8}"/>
    <dgm:cxn modelId="{8C3FB6F7-5CB5-401E-B1B3-051E83234374}" srcId="{6E1C5397-FE7B-4678-BDC3-6065F1A2E70C}" destId="{B903DC0B-76CD-4BAF-9091-9339298684FD}" srcOrd="3" destOrd="0" parTransId="{342C7C5F-F074-4065-8E6B-BF34073A4E0B}" sibTransId="{C792648D-559E-48B3-8451-EEB2FDF4199B}"/>
    <dgm:cxn modelId="{20BB6CA2-5966-4457-B7EC-3F01ACB3E633}" type="presOf" srcId="{FCD634EA-9088-427F-BA10-C8857AE36E3B}" destId="{54F943EC-6C4C-4ADD-8E47-36D6D9F0EAC9}" srcOrd="0" destOrd="0" presId="urn:microsoft.com/office/officeart/2005/8/layout/bProcess2"/>
    <dgm:cxn modelId="{6F5FE259-AF64-4B26-B329-59FFB5FCBD8A}" type="presOf" srcId="{2A35586A-83C5-4011-B404-18DD460B0DE8}" destId="{267F4E5C-2A0F-49C6-A24B-840A138F7B35}" srcOrd="0" destOrd="0" presId="urn:microsoft.com/office/officeart/2005/8/layout/bProcess2"/>
    <dgm:cxn modelId="{59332B45-8CE6-40BF-8ACF-C6176516676C}" type="presOf" srcId="{6E1C5397-FE7B-4678-BDC3-6065F1A2E70C}" destId="{6EE60DBD-9A88-4352-B601-2DAECFC31860}" srcOrd="0" destOrd="0" presId="urn:microsoft.com/office/officeart/2005/8/layout/bProcess2"/>
    <dgm:cxn modelId="{7F34ACC8-7083-427B-9431-37F98689DB44}" srcId="{6E1C5397-FE7B-4678-BDC3-6065F1A2E70C}" destId="{FCD634EA-9088-427F-BA10-C8857AE36E3B}" srcOrd="7" destOrd="0" parTransId="{1A886206-9E6C-4357-96E7-1A2046D9A633}" sibTransId="{D54EB45F-94FB-434D-A9D8-FA2C4B842F68}"/>
    <dgm:cxn modelId="{BE74AE22-C4AA-45ED-97EA-E81E0D460CF7}" srcId="{6E1C5397-FE7B-4678-BDC3-6065F1A2E70C}" destId="{D268352C-FE56-4579-9DAE-08C963D79DF1}" srcOrd="4" destOrd="0" parTransId="{B73E1531-5584-449E-8FBA-46A4EAD1B533}" sibTransId="{957D169D-D5EA-4418-91F2-53ACCC3AAC21}"/>
    <dgm:cxn modelId="{25AA9C10-3020-4D8B-BD13-F876C16AD760}" type="presParOf" srcId="{6EE60DBD-9A88-4352-B601-2DAECFC31860}" destId="{4781E86D-830E-4F75-8EC3-08AF7224DEF9}" srcOrd="0" destOrd="0" presId="urn:microsoft.com/office/officeart/2005/8/layout/bProcess2"/>
    <dgm:cxn modelId="{14B7A3B9-48B3-4523-BAC0-5D432AEB0AA1}" type="presParOf" srcId="{6EE60DBD-9A88-4352-B601-2DAECFC31860}" destId="{FFFCF60F-25DC-476A-A020-93AE6DB3C658}" srcOrd="1" destOrd="0" presId="urn:microsoft.com/office/officeart/2005/8/layout/bProcess2"/>
    <dgm:cxn modelId="{E70C9041-7C35-4381-A760-FFB062E48FD7}" type="presParOf" srcId="{6EE60DBD-9A88-4352-B601-2DAECFC31860}" destId="{9010880D-A80D-4754-958F-EB989B76A3F8}" srcOrd="2" destOrd="0" presId="urn:microsoft.com/office/officeart/2005/8/layout/bProcess2"/>
    <dgm:cxn modelId="{A213C368-D502-44C2-A394-6374D21D28E4}" type="presParOf" srcId="{9010880D-A80D-4754-958F-EB989B76A3F8}" destId="{40CD8D9A-B7DD-488D-AB76-466C470680C1}" srcOrd="0" destOrd="0" presId="urn:microsoft.com/office/officeart/2005/8/layout/bProcess2"/>
    <dgm:cxn modelId="{E8353498-3127-4A35-A094-C028F5F0E6BA}" type="presParOf" srcId="{9010880D-A80D-4754-958F-EB989B76A3F8}" destId="{A745EA67-2326-4C13-9065-BD4904714F1F}" srcOrd="1" destOrd="0" presId="urn:microsoft.com/office/officeart/2005/8/layout/bProcess2"/>
    <dgm:cxn modelId="{5F88837E-E16E-4E6A-A8BD-682E36019E01}" type="presParOf" srcId="{6EE60DBD-9A88-4352-B601-2DAECFC31860}" destId="{267F4E5C-2A0F-49C6-A24B-840A138F7B35}" srcOrd="3" destOrd="0" presId="urn:microsoft.com/office/officeart/2005/8/layout/bProcess2"/>
    <dgm:cxn modelId="{DD2FDBA8-ECD4-4EF0-BB3C-F2F1DA3174B1}" type="presParOf" srcId="{6EE60DBD-9A88-4352-B601-2DAECFC31860}" destId="{3426AE17-3718-4F9F-A923-674DA5D6C0F0}" srcOrd="4" destOrd="0" presId="urn:microsoft.com/office/officeart/2005/8/layout/bProcess2"/>
    <dgm:cxn modelId="{AB90DF8F-8CC2-4F41-8E31-5C83F8F6F58E}" type="presParOf" srcId="{3426AE17-3718-4F9F-A923-674DA5D6C0F0}" destId="{DC86F937-C8E9-4DE4-902B-7EAF96F28B14}" srcOrd="0" destOrd="0" presId="urn:microsoft.com/office/officeart/2005/8/layout/bProcess2"/>
    <dgm:cxn modelId="{57825A18-B3DA-4FB3-9D67-48BD88329D5C}" type="presParOf" srcId="{3426AE17-3718-4F9F-A923-674DA5D6C0F0}" destId="{46B2FD4E-A61A-4A88-8403-0D29B64400F9}" srcOrd="1" destOrd="0" presId="urn:microsoft.com/office/officeart/2005/8/layout/bProcess2"/>
    <dgm:cxn modelId="{35F13A5D-6F10-4FB9-8C9E-B4D0081C9CA1}" type="presParOf" srcId="{6EE60DBD-9A88-4352-B601-2DAECFC31860}" destId="{99E02620-0811-4D7A-922A-DE2ECF8505FF}" srcOrd="5" destOrd="0" presId="urn:microsoft.com/office/officeart/2005/8/layout/bProcess2"/>
    <dgm:cxn modelId="{10584ECF-AF9A-4081-B613-4A20B1BB0EDC}" type="presParOf" srcId="{6EE60DBD-9A88-4352-B601-2DAECFC31860}" destId="{088D73FF-FEF2-4CD0-AC1C-14AF97BB835F}" srcOrd="6" destOrd="0" presId="urn:microsoft.com/office/officeart/2005/8/layout/bProcess2"/>
    <dgm:cxn modelId="{0F683AD7-EDAF-43F0-8D09-201518D1F438}" type="presParOf" srcId="{088D73FF-FEF2-4CD0-AC1C-14AF97BB835F}" destId="{80D8952D-0134-4CDA-9018-9935CC5A9667}" srcOrd="0" destOrd="0" presId="urn:microsoft.com/office/officeart/2005/8/layout/bProcess2"/>
    <dgm:cxn modelId="{3F30B1D7-5C04-495E-A577-78456C233FE8}" type="presParOf" srcId="{088D73FF-FEF2-4CD0-AC1C-14AF97BB835F}" destId="{90D55262-6312-41D1-AF60-D297FFB91545}" srcOrd="1" destOrd="0" presId="urn:microsoft.com/office/officeart/2005/8/layout/bProcess2"/>
    <dgm:cxn modelId="{8595EFDE-0EC7-4700-A96D-498202D0C76C}" type="presParOf" srcId="{6EE60DBD-9A88-4352-B601-2DAECFC31860}" destId="{DE056DAE-A4D2-4B3D-9847-3C3FA1C35C82}" srcOrd="7" destOrd="0" presId="urn:microsoft.com/office/officeart/2005/8/layout/bProcess2"/>
    <dgm:cxn modelId="{BB790032-1ACC-4FB8-B5F6-B93BA5A5119C}" type="presParOf" srcId="{6EE60DBD-9A88-4352-B601-2DAECFC31860}" destId="{953190B2-25A2-45D1-BD04-E6015688926D}" srcOrd="8" destOrd="0" presId="urn:microsoft.com/office/officeart/2005/8/layout/bProcess2"/>
    <dgm:cxn modelId="{92B25CC8-12BE-4A26-B1C6-22200EC57581}" type="presParOf" srcId="{953190B2-25A2-45D1-BD04-E6015688926D}" destId="{29540551-18A9-4578-9F75-08A9AB82C62C}" srcOrd="0" destOrd="0" presId="urn:microsoft.com/office/officeart/2005/8/layout/bProcess2"/>
    <dgm:cxn modelId="{22BE2AB3-C771-4C16-B460-8BCC6A8B955E}" type="presParOf" srcId="{953190B2-25A2-45D1-BD04-E6015688926D}" destId="{5974C009-6E4E-4A53-AB34-202AAAAF9B23}" srcOrd="1" destOrd="0" presId="urn:microsoft.com/office/officeart/2005/8/layout/bProcess2"/>
    <dgm:cxn modelId="{0E199B39-9A0A-4791-A98C-ED8CAF21B6FD}" type="presParOf" srcId="{6EE60DBD-9A88-4352-B601-2DAECFC31860}" destId="{8E877D84-8A21-446E-9824-B4A66992E7A7}" srcOrd="9" destOrd="0" presId="urn:microsoft.com/office/officeart/2005/8/layout/bProcess2"/>
    <dgm:cxn modelId="{BEFB6235-ED11-4B00-8920-5041DF24C0E6}" type="presParOf" srcId="{6EE60DBD-9A88-4352-B601-2DAECFC31860}" destId="{297FDFB9-4EF7-41BA-99CE-CBBCB5A2C1DF}" srcOrd="10" destOrd="0" presId="urn:microsoft.com/office/officeart/2005/8/layout/bProcess2"/>
    <dgm:cxn modelId="{2C06C942-8A93-46F8-A748-427D574363BF}" type="presParOf" srcId="{297FDFB9-4EF7-41BA-99CE-CBBCB5A2C1DF}" destId="{B2E020D7-91DC-4BDF-9A92-8F6F788A5658}" srcOrd="0" destOrd="0" presId="urn:microsoft.com/office/officeart/2005/8/layout/bProcess2"/>
    <dgm:cxn modelId="{285A62D8-E40D-4FD7-A815-9D71906B95D0}" type="presParOf" srcId="{297FDFB9-4EF7-41BA-99CE-CBBCB5A2C1DF}" destId="{8FC72797-C616-4C7D-B76D-A20A5D467CC3}" srcOrd="1" destOrd="0" presId="urn:microsoft.com/office/officeart/2005/8/layout/bProcess2"/>
    <dgm:cxn modelId="{8A5521F5-F3FE-4457-80C9-FEBD2BC6E4E9}" type="presParOf" srcId="{6EE60DBD-9A88-4352-B601-2DAECFC31860}" destId="{37799305-AD97-401A-A636-78E720F0F2B2}" srcOrd="11" destOrd="0" presId="urn:microsoft.com/office/officeart/2005/8/layout/bProcess2"/>
    <dgm:cxn modelId="{BBB3E33F-61B9-4C4C-BA72-6FA4B672FC78}" type="presParOf" srcId="{6EE60DBD-9A88-4352-B601-2DAECFC31860}" destId="{1ABD94FC-44B9-447C-B293-D28AD9EB550B}" srcOrd="12" destOrd="0" presId="urn:microsoft.com/office/officeart/2005/8/layout/bProcess2"/>
    <dgm:cxn modelId="{FB46DA0E-744E-4549-84CE-D471FAC22D58}" type="presParOf" srcId="{1ABD94FC-44B9-447C-B293-D28AD9EB550B}" destId="{584AD888-A3C5-4265-AE28-0790BD85D7D3}" srcOrd="0" destOrd="0" presId="urn:microsoft.com/office/officeart/2005/8/layout/bProcess2"/>
    <dgm:cxn modelId="{1D86CFF7-6DAF-4F0F-A372-99D71A2B56A6}" type="presParOf" srcId="{1ABD94FC-44B9-447C-B293-D28AD9EB550B}" destId="{669B3316-826E-4E60-9EF9-5A12980DF449}" srcOrd="1" destOrd="0" presId="urn:microsoft.com/office/officeart/2005/8/layout/bProcess2"/>
    <dgm:cxn modelId="{3ADBAB15-5353-429D-BF52-7389BD10F50A}" type="presParOf" srcId="{6EE60DBD-9A88-4352-B601-2DAECFC31860}" destId="{F1CA336B-0944-4E44-A5DA-E98CD0F87FC1}" srcOrd="13" destOrd="0" presId="urn:microsoft.com/office/officeart/2005/8/layout/bProcess2"/>
    <dgm:cxn modelId="{DB6E263A-FD32-41AD-A823-14E9BF680653}" type="presParOf" srcId="{6EE60DBD-9A88-4352-B601-2DAECFC31860}" destId="{8A4BAEA3-8727-4F25-AAF1-FAA00BAB02DA}" srcOrd="14" destOrd="0" presId="urn:microsoft.com/office/officeart/2005/8/layout/bProcess2"/>
    <dgm:cxn modelId="{A3588B77-FB35-487C-AEAD-B2B47B265B33}" type="presParOf" srcId="{8A4BAEA3-8727-4F25-AAF1-FAA00BAB02DA}" destId="{A5ADE7A2-AE77-4AAA-9E2C-7B65D1ECB5F4}" srcOrd="0" destOrd="0" presId="urn:microsoft.com/office/officeart/2005/8/layout/bProcess2"/>
    <dgm:cxn modelId="{A04739C1-14B0-4F11-B277-83BE7582230A}" type="presParOf" srcId="{8A4BAEA3-8727-4F25-AAF1-FAA00BAB02DA}" destId="{54F943EC-6C4C-4ADD-8E47-36D6D9F0EAC9}" srcOrd="1" destOrd="0" presId="urn:microsoft.com/office/officeart/2005/8/layout/bProcess2"/>
    <dgm:cxn modelId="{EBB96DAA-6779-4D93-8EB3-09379595BA7A}" type="presParOf" srcId="{6EE60DBD-9A88-4352-B601-2DAECFC31860}" destId="{2B4C27AC-F6DA-4959-B8D4-D2912321DB34}" srcOrd="15" destOrd="0" presId="urn:microsoft.com/office/officeart/2005/8/layout/bProcess2"/>
    <dgm:cxn modelId="{78B9CA5C-2430-4B5E-B40D-2A989E81B787}" type="presParOf" srcId="{6EE60DBD-9A88-4352-B601-2DAECFC31860}" destId="{8EDF671D-AF8B-405F-970F-7CB4C0146088}" srcOrd="16" destOrd="0" presId="urn:microsoft.com/office/officeart/2005/8/layout/bProcess2"/>
  </dgm:cxnLst>
  <dgm:bg/>
  <dgm:whole/>
  <dgm:extLst>
    <a:ext uri="http://schemas.microsoft.com/office/drawing/2008/diagram">
      <dsp:dataModelExt xmlns:dsp="http://schemas.microsoft.com/office/drawing/2008/diagram" relId="rId3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781E86D-830E-4F75-8EC3-08AF7224DEF9}">
      <dsp:nvSpPr>
        <dsp:cNvPr id="0" name=""/>
        <dsp:cNvSpPr/>
      </dsp:nvSpPr>
      <dsp:spPr>
        <a:xfrm>
          <a:off x="126708" y="96640"/>
          <a:ext cx="880784" cy="568904"/>
        </a:xfrm>
        <a:prstGeom prst="ellipse">
          <a:avLst/>
        </a:prstGeom>
        <a:gradFill rotWithShape="1">
          <a:gsLst>
            <a:gs pos="0">
              <a:srgbClr val="4F81BD">
                <a:tint val="50000"/>
                <a:satMod val="300000"/>
              </a:srgbClr>
            </a:gs>
            <a:gs pos="35000">
              <a:srgbClr val="4F81BD">
                <a:tint val="37000"/>
                <a:satMod val="300000"/>
              </a:srgbClr>
            </a:gs>
            <a:gs pos="100000">
              <a:srgbClr val="4F81BD">
                <a:tint val="15000"/>
                <a:satMod val="350000"/>
              </a:srgbClr>
            </a:gs>
          </a:gsLst>
          <a:lin ang="16200000" scaled="1"/>
        </a:gradFill>
        <a:ln w="9525" cap="flat" cmpd="sng" algn="ctr">
          <a:solidFill>
            <a:srgbClr val="4F81BD">
              <a:shade val="95000"/>
              <a:satMod val="105000"/>
            </a:srgbClr>
          </a:solidFill>
          <a:prstDash val="solid"/>
        </a:ln>
        <a:effectLst>
          <a:outerShdw blurRad="40000" dist="20000" dir="5400000" rotWithShape="0">
            <a:srgbClr val="000000">
              <a:alpha val="38000"/>
            </a:srgbClr>
          </a:outerShdw>
        </a:effectLst>
        <a:scene3d>
          <a:camera prst="orthographicFront"/>
          <a:lightRig rig="flat" dir="t"/>
        </a:scene3d>
        <a:sp3d/>
      </dsp:spPr>
      <dsp:style>
        <a:lnRef idx="1">
          <a:schemeClr val="accent1"/>
        </a:lnRef>
        <a:fillRef idx="2">
          <a:schemeClr val="accent1"/>
        </a:fillRef>
        <a:effectRef idx="1">
          <a:schemeClr val="accent1"/>
        </a:effectRef>
        <a:fontRef idx="minor">
          <a:schemeClr val="dk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b="1" kern="1200">
              <a:solidFill>
                <a:sysClr val="windowText" lastClr="000000"/>
              </a:solidFill>
              <a:latin typeface="Times New Roman" pitchFamily="18" charset="0"/>
              <a:ea typeface="+mn-ea"/>
              <a:cs typeface="Times New Roman" pitchFamily="18" charset="0"/>
            </a:rPr>
            <a:t>Honesty</a:t>
          </a:r>
        </a:p>
      </dsp:txBody>
      <dsp:txXfrm>
        <a:off x="255696" y="179954"/>
        <a:ext cx="622808" cy="402276"/>
      </dsp:txXfrm>
    </dsp:sp>
    <dsp:sp modelId="{FFFCF60F-25DC-476A-A020-93AE6DB3C658}">
      <dsp:nvSpPr>
        <dsp:cNvPr id="0" name=""/>
        <dsp:cNvSpPr/>
      </dsp:nvSpPr>
      <dsp:spPr>
        <a:xfrm rot="10800000">
          <a:off x="467542" y="749403"/>
          <a:ext cx="199116" cy="133691"/>
        </a:xfrm>
        <a:prstGeom prst="triangle">
          <a:avLst/>
        </a:prstGeom>
        <a:solidFill>
          <a:srgbClr val="9BBB59"/>
        </a:solidFill>
        <a:ln w="38100" cap="flat" cmpd="sng" algn="ctr">
          <a:solidFill>
            <a:sysClr val="window" lastClr="FFFFFF"/>
          </a:solidFill>
          <a:prstDash val="solid"/>
        </a:ln>
        <a:effectLst>
          <a:outerShdw blurRad="40000" dist="20000" dir="5400000" rotWithShape="0">
            <a:srgbClr val="000000">
              <a:alpha val="38000"/>
            </a:srgbClr>
          </a:outerShdw>
        </a:effectLst>
      </dsp:spPr>
      <dsp:style>
        <a:lnRef idx="3">
          <a:schemeClr val="lt1"/>
        </a:lnRef>
        <a:fillRef idx="1">
          <a:schemeClr val="accent3"/>
        </a:fillRef>
        <a:effectRef idx="1">
          <a:schemeClr val="accent3"/>
        </a:effectRef>
        <a:fontRef idx="minor">
          <a:schemeClr val="lt1"/>
        </a:fontRef>
      </dsp:style>
    </dsp:sp>
    <dsp:sp modelId="{A745EA67-2326-4C13-9065-BD4904714F1F}">
      <dsp:nvSpPr>
        <dsp:cNvPr id="0" name=""/>
        <dsp:cNvSpPr/>
      </dsp:nvSpPr>
      <dsp:spPr>
        <a:xfrm>
          <a:off x="122732" y="959384"/>
          <a:ext cx="888735" cy="379459"/>
        </a:xfrm>
        <a:prstGeom prst="ellipse">
          <a:avLst/>
        </a:prstGeom>
        <a:gradFill rotWithShape="1">
          <a:gsLst>
            <a:gs pos="0">
              <a:srgbClr val="8064A2">
                <a:tint val="50000"/>
                <a:satMod val="300000"/>
              </a:srgbClr>
            </a:gs>
            <a:gs pos="35000">
              <a:srgbClr val="8064A2">
                <a:tint val="37000"/>
                <a:satMod val="300000"/>
              </a:srgbClr>
            </a:gs>
            <a:gs pos="100000">
              <a:srgbClr val="8064A2">
                <a:tint val="15000"/>
                <a:satMod val="350000"/>
              </a:srgbClr>
            </a:gs>
          </a:gsLst>
          <a:lin ang="16200000" scaled="1"/>
        </a:gradFill>
        <a:ln w="9525" cap="flat" cmpd="sng" algn="ctr">
          <a:solidFill>
            <a:srgbClr val="8064A2">
              <a:shade val="95000"/>
              <a:satMod val="105000"/>
            </a:srgbClr>
          </a:solidFill>
          <a:prstDash val="solid"/>
        </a:ln>
        <a:effectLst>
          <a:outerShdw blurRad="40000" dist="20000" dir="5400000" rotWithShape="0">
            <a:srgbClr val="000000">
              <a:alpha val="38000"/>
            </a:srgbClr>
          </a:outerShdw>
        </a:effectLst>
        <a:scene3d>
          <a:camera prst="orthographicFront"/>
          <a:lightRig rig="flat" dir="t"/>
        </a:scene3d>
        <a:sp3d/>
      </dsp:spPr>
      <dsp:style>
        <a:lnRef idx="1">
          <a:schemeClr val="accent4"/>
        </a:lnRef>
        <a:fillRef idx="2">
          <a:schemeClr val="accent4"/>
        </a:fillRef>
        <a:effectRef idx="1">
          <a:schemeClr val="accent4"/>
        </a:effectRef>
        <a:fontRef idx="minor">
          <a:schemeClr val="dk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b="1" kern="1200">
              <a:solidFill>
                <a:sysClr val="windowText" lastClr="000000"/>
              </a:solidFill>
              <a:latin typeface="Times New Roman" pitchFamily="18" charset="0"/>
              <a:ea typeface="+mn-ea"/>
              <a:cs typeface="Times New Roman" pitchFamily="18" charset="0"/>
            </a:rPr>
            <a:t>Efficiency</a:t>
          </a:r>
        </a:p>
      </dsp:txBody>
      <dsp:txXfrm>
        <a:off x="252884" y="1014954"/>
        <a:ext cx="628431" cy="268319"/>
      </dsp:txXfrm>
    </dsp:sp>
    <dsp:sp modelId="{267F4E5C-2A0F-49C6-A24B-840A138F7B35}">
      <dsp:nvSpPr>
        <dsp:cNvPr id="0" name=""/>
        <dsp:cNvSpPr/>
      </dsp:nvSpPr>
      <dsp:spPr>
        <a:xfrm rot="10800000">
          <a:off x="467542" y="1444493"/>
          <a:ext cx="199116" cy="133691"/>
        </a:xfrm>
        <a:prstGeom prst="triangle">
          <a:avLst/>
        </a:prstGeom>
        <a:gradFill rotWithShape="1">
          <a:gsLst>
            <a:gs pos="0">
              <a:srgbClr val="9BBB59">
                <a:shade val="51000"/>
                <a:satMod val="130000"/>
              </a:srgbClr>
            </a:gs>
            <a:gs pos="80000">
              <a:srgbClr val="9BBB59">
                <a:shade val="93000"/>
                <a:satMod val="130000"/>
              </a:srgbClr>
            </a:gs>
            <a:gs pos="100000">
              <a:srgbClr val="9BBB59">
                <a:shade val="94000"/>
                <a:satMod val="135000"/>
              </a:srgbClr>
            </a:gs>
          </a:gsLst>
          <a:lin ang="16200000" scaled="0"/>
        </a:gradFill>
        <a:ln w="9525" cap="flat" cmpd="sng" algn="ctr">
          <a:solidFill>
            <a:srgbClr val="9BBB59">
              <a:shade val="95000"/>
              <a:satMod val="105000"/>
            </a:srgbClr>
          </a:solidFill>
          <a:prstDash val="solid"/>
        </a:ln>
        <a:effectLst>
          <a:outerShdw blurRad="40000" dist="23000" dir="5400000" rotWithShape="0">
            <a:srgbClr val="000000">
              <a:alpha val="35000"/>
            </a:srgbClr>
          </a:outerShdw>
        </a:effectLst>
      </dsp:spPr>
      <dsp:style>
        <a:lnRef idx="1">
          <a:schemeClr val="accent3"/>
        </a:lnRef>
        <a:fillRef idx="3">
          <a:schemeClr val="accent3"/>
        </a:fillRef>
        <a:effectRef idx="2">
          <a:schemeClr val="accent3"/>
        </a:effectRef>
        <a:fontRef idx="minor">
          <a:schemeClr val="lt1"/>
        </a:fontRef>
      </dsp:style>
    </dsp:sp>
    <dsp:sp modelId="{46B2FD4E-A61A-4A88-8403-0D29B64400F9}">
      <dsp:nvSpPr>
        <dsp:cNvPr id="0" name=""/>
        <dsp:cNvSpPr/>
      </dsp:nvSpPr>
      <dsp:spPr>
        <a:xfrm>
          <a:off x="2808" y="1676266"/>
          <a:ext cx="1128584" cy="481739"/>
        </a:xfrm>
        <a:prstGeom prst="ellipse">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a:scene3d>
          <a:camera prst="orthographicFront"/>
          <a:lightRig rig="flat" dir="t"/>
        </a:scene3d>
        <a:sp3d/>
      </dsp:spPr>
      <dsp:style>
        <a:lnRef idx="1">
          <a:schemeClr val="accent5"/>
        </a:lnRef>
        <a:fillRef idx="2">
          <a:schemeClr val="accent5"/>
        </a:fillRef>
        <a:effectRef idx="1">
          <a:schemeClr val="accent5"/>
        </a:effectRef>
        <a:fontRef idx="minor">
          <a:schemeClr val="dk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b="1" kern="1200">
              <a:solidFill>
                <a:sysClr val="windowText" lastClr="000000"/>
              </a:solidFill>
              <a:latin typeface="Times New Roman" pitchFamily="18" charset="0"/>
              <a:ea typeface="+mn-ea"/>
              <a:cs typeface="Times New Roman" pitchFamily="18" charset="0"/>
            </a:rPr>
            <a:t>Accountability</a:t>
          </a:r>
        </a:p>
      </dsp:txBody>
      <dsp:txXfrm>
        <a:off x="168085" y="1746815"/>
        <a:ext cx="798030" cy="340641"/>
      </dsp:txXfrm>
    </dsp:sp>
    <dsp:sp modelId="{99E02620-0811-4D7A-922A-DE2ECF8505FF}">
      <dsp:nvSpPr>
        <dsp:cNvPr id="0" name=""/>
        <dsp:cNvSpPr/>
      </dsp:nvSpPr>
      <dsp:spPr>
        <a:xfrm rot="5374127">
          <a:off x="1177835" y="1844944"/>
          <a:ext cx="199116" cy="133691"/>
        </a:xfrm>
        <a:prstGeom prst="triangle">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dsp:spPr>
      <dsp:style>
        <a:lnRef idx="1">
          <a:schemeClr val="accent3"/>
        </a:lnRef>
        <a:fillRef idx="2">
          <a:schemeClr val="accent3"/>
        </a:fillRef>
        <a:effectRef idx="1">
          <a:schemeClr val="accent3"/>
        </a:effectRef>
        <a:fontRef idx="minor">
          <a:schemeClr val="dk1"/>
        </a:fontRef>
      </dsp:style>
    </dsp:sp>
    <dsp:sp modelId="{90D55262-6312-41D1-AF60-D297FFB91545}">
      <dsp:nvSpPr>
        <dsp:cNvPr id="0" name=""/>
        <dsp:cNvSpPr/>
      </dsp:nvSpPr>
      <dsp:spPr>
        <a:xfrm>
          <a:off x="1415845" y="1610929"/>
          <a:ext cx="1192982" cy="590659"/>
        </a:xfrm>
        <a:prstGeom prst="ellipse">
          <a:avLst/>
        </a:prstGeom>
        <a:gradFill rotWithShape="1">
          <a:gsLst>
            <a:gs pos="0">
              <a:sysClr val="windowText" lastClr="000000">
                <a:tint val="50000"/>
                <a:satMod val="300000"/>
              </a:sysClr>
            </a:gs>
            <a:gs pos="35000">
              <a:sysClr val="windowText" lastClr="000000">
                <a:tint val="37000"/>
                <a:satMod val="300000"/>
              </a:sysClr>
            </a:gs>
            <a:gs pos="100000">
              <a:sysClr val="windowText" lastClr="000000">
                <a:tint val="15000"/>
                <a:satMod val="350000"/>
              </a:sysClr>
            </a:gs>
          </a:gsLst>
          <a:lin ang="16200000" scaled="1"/>
        </a:gradFill>
        <a:ln w="9525" cap="flat" cmpd="sng" algn="ctr">
          <a:solidFill>
            <a:sysClr val="windowText" lastClr="000000">
              <a:shade val="95000"/>
              <a:satMod val="105000"/>
            </a:sysClr>
          </a:solidFill>
          <a:prstDash val="solid"/>
        </a:ln>
        <a:effectLst>
          <a:outerShdw blurRad="40000" dist="20000" dir="5400000" rotWithShape="0">
            <a:srgbClr val="000000">
              <a:alpha val="38000"/>
            </a:srgbClr>
          </a:outerShdw>
        </a:effectLst>
        <a:scene3d>
          <a:camera prst="orthographicFront"/>
          <a:lightRig rig="flat" dir="t"/>
        </a:scene3d>
        <a:sp3d/>
      </dsp:spPr>
      <dsp:style>
        <a:lnRef idx="1">
          <a:schemeClr val="dk1"/>
        </a:lnRef>
        <a:fillRef idx="2">
          <a:schemeClr val="dk1"/>
        </a:fillRef>
        <a:effectRef idx="1">
          <a:schemeClr val="dk1"/>
        </a:effectRef>
        <a:fontRef idx="minor">
          <a:schemeClr val="dk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b="1" kern="1200">
              <a:solidFill>
                <a:sysClr val="windowText" lastClr="000000"/>
              </a:solidFill>
              <a:latin typeface="Times New Roman" pitchFamily="18" charset="0"/>
              <a:ea typeface="+mn-ea"/>
              <a:cs typeface="Times New Roman" pitchFamily="18" charset="0"/>
            </a:rPr>
            <a:t>Religiousness</a:t>
          </a:r>
        </a:p>
      </dsp:txBody>
      <dsp:txXfrm>
        <a:off x="1590553" y="1697429"/>
        <a:ext cx="843566" cy="417659"/>
      </dsp:txXfrm>
    </dsp:sp>
    <dsp:sp modelId="{DE056DAE-A4D2-4B3D-9847-3C3FA1C35C82}">
      <dsp:nvSpPr>
        <dsp:cNvPr id="0" name=""/>
        <dsp:cNvSpPr/>
      </dsp:nvSpPr>
      <dsp:spPr>
        <a:xfrm>
          <a:off x="1912778" y="1393380"/>
          <a:ext cx="199116" cy="133691"/>
        </a:xfrm>
        <a:prstGeom prst="triangle">
          <a:avLst/>
        </a:prstGeom>
        <a:solidFill>
          <a:srgbClr val="9BBB59"/>
        </a:solidFill>
        <a:ln w="38100" cap="flat" cmpd="sng" algn="ctr">
          <a:solidFill>
            <a:sysClr val="window" lastClr="FFFFFF"/>
          </a:solidFill>
          <a:prstDash val="solid"/>
        </a:ln>
        <a:effectLst>
          <a:outerShdw blurRad="40000" dist="20000" dir="5400000" rotWithShape="0">
            <a:srgbClr val="000000">
              <a:alpha val="38000"/>
            </a:srgbClr>
          </a:outerShdw>
        </a:effectLst>
      </dsp:spPr>
      <dsp:style>
        <a:lnRef idx="3">
          <a:schemeClr val="lt1"/>
        </a:lnRef>
        <a:fillRef idx="1">
          <a:schemeClr val="accent3"/>
        </a:fillRef>
        <a:effectRef idx="1">
          <a:schemeClr val="accent3"/>
        </a:effectRef>
        <a:fontRef idx="minor">
          <a:schemeClr val="lt1"/>
        </a:fontRef>
      </dsp:style>
    </dsp:sp>
    <dsp:sp modelId="{5974C009-6E4E-4A53-AB34-202AAAAF9B23}">
      <dsp:nvSpPr>
        <dsp:cNvPr id="0" name=""/>
        <dsp:cNvSpPr/>
      </dsp:nvSpPr>
      <dsp:spPr>
        <a:xfrm>
          <a:off x="1520925" y="937630"/>
          <a:ext cx="982822" cy="379459"/>
        </a:xfrm>
        <a:prstGeom prst="ellipse">
          <a:avLst/>
        </a:prstGeom>
        <a:gradFill rotWithShape="1">
          <a:gsLst>
            <a:gs pos="0">
              <a:srgbClr val="F79646">
                <a:tint val="50000"/>
                <a:satMod val="300000"/>
              </a:srgbClr>
            </a:gs>
            <a:gs pos="35000">
              <a:srgbClr val="F79646">
                <a:tint val="37000"/>
                <a:satMod val="300000"/>
              </a:srgbClr>
            </a:gs>
            <a:gs pos="100000">
              <a:srgbClr val="F79646">
                <a:tint val="15000"/>
                <a:satMod val="350000"/>
              </a:srgbClr>
            </a:gs>
          </a:gsLst>
          <a:lin ang="16200000" scaled="1"/>
        </a:gradFill>
        <a:ln w="9525" cap="flat" cmpd="sng" algn="ctr">
          <a:solidFill>
            <a:srgbClr val="F79646">
              <a:shade val="95000"/>
              <a:satMod val="105000"/>
            </a:srgbClr>
          </a:solidFill>
          <a:prstDash val="solid"/>
        </a:ln>
        <a:effectLst>
          <a:outerShdw blurRad="40000" dist="20000" dir="5400000" rotWithShape="0">
            <a:srgbClr val="000000">
              <a:alpha val="38000"/>
            </a:srgbClr>
          </a:outerShdw>
        </a:effectLst>
        <a:scene3d>
          <a:camera prst="orthographicFront"/>
          <a:lightRig rig="flat" dir="t"/>
        </a:scene3d>
        <a:sp3d/>
      </dsp:spPr>
      <dsp:style>
        <a:lnRef idx="1">
          <a:schemeClr val="accent6"/>
        </a:lnRef>
        <a:fillRef idx="2">
          <a:schemeClr val="accent6"/>
        </a:fillRef>
        <a:effectRef idx="1">
          <a:schemeClr val="accent6"/>
        </a:effectRef>
        <a:fontRef idx="minor">
          <a:schemeClr val="dk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b="1" kern="1200">
              <a:solidFill>
                <a:sysClr val="windowText" lastClr="000000"/>
              </a:solidFill>
              <a:latin typeface="Times New Roman" pitchFamily="18" charset="0"/>
              <a:ea typeface="+mn-ea"/>
              <a:cs typeface="Times New Roman" pitchFamily="18" charset="0"/>
            </a:rPr>
            <a:t>Innovation</a:t>
          </a:r>
        </a:p>
      </dsp:txBody>
      <dsp:txXfrm>
        <a:off x="1664856" y="993200"/>
        <a:ext cx="694960" cy="268319"/>
      </dsp:txXfrm>
    </dsp:sp>
    <dsp:sp modelId="{8E877D84-8A21-446E-9824-B4A66992E7A7}">
      <dsp:nvSpPr>
        <dsp:cNvPr id="0" name=""/>
        <dsp:cNvSpPr/>
      </dsp:nvSpPr>
      <dsp:spPr>
        <a:xfrm>
          <a:off x="1912778" y="672719"/>
          <a:ext cx="199116" cy="133691"/>
        </a:xfrm>
        <a:prstGeom prst="triangle">
          <a:avLst/>
        </a:prstGeom>
        <a:solidFill>
          <a:srgbClr val="F79646"/>
        </a:solidFill>
        <a:ln w="38100" cap="flat" cmpd="sng" algn="ctr">
          <a:solidFill>
            <a:sysClr val="window" lastClr="FFFFFF"/>
          </a:solidFill>
          <a:prstDash val="solid"/>
        </a:ln>
        <a:effectLst>
          <a:outerShdw blurRad="40000" dist="20000" dir="5400000" rotWithShape="0">
            <a:srgbClr val="000000">
              <a:alpha val="38000"/>
            </a:srgbClr>
          </a:outerShdw>
        </a:effectLst>
      </dsp:spPr>
      <dsp:style>
        <a:lnRef idx="3">
          <a:schemeClr val="lt1"/>
        </a:lnRef>
        <a:fillRef idx="1">
          <a:schemeClr val="accent6"/>
        </a:fillRef>
        <a:effectRef idx="1">
          <a:schemeClr val="accent6"/>
        </a:effectRef>
        <a:fontRef idx="minor">
          <a:schemeClr val="lt1"/>
        </a:fontRef>
      </dsp:style>
    </dsp:sp>
    <dsp:sp modelId="{8FC72797-C616-4C7D-B76D-A20A5D467CC3}">
      <dsp:nvSpPr>
        <dsp:cNvPr id="0" name=""/>
        <dsp:cNvSpPr/>
      </dsp:nvSpPr>
      <dsp:spPr>
        <a:xfrm>
          <a:off x="1590749" y="169609"/>
          <a:ext cx="843174" cy="379459"/>
        </a:xfrm>
        <a:prstGeom prst="ellipse">
          <a:avLst/>
        </a:prstGeom>
        <a:solidFill>
          <a:sysClr val="window" lastClr="FFFFFF"/>
        </a:solidFill>
        <a:ln w="25400" cap="flat" cmpd="sng" algn="ctr">
          <a:solidFill>
            <a:srgbClr val="9BBB59"/>
          </a:solidFill>
          <a:prstDash val="solid"/>
        </a:ln>
        <a:effectLst/>
        <a:scene3d>
          <a:camera prst="orthographicFront"/>
          <a:lightRig rig="flat" dir="t"/>
        </a:scene3d>
        <a:sp3d/>
      </dsp:spPr>
      <dsp:style>
        <a:lnRef idx="2">
          <a:schemeClr val="accent3"/>
        </a:lnRef>
        <a:fillRef idx="1">
          <a:schemeClr val="lt1"/>
        </a:fillRef>
        <a:effectRef idx="0">
          <a:schemeClr val="accent3"/>
        </a:effectRef>
        <a:fontRef idx="minor">
          <a:schemeClr val="dk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b="1" kern="1200">
              <a:solidFill>
                <a:sysClr val="windowText" lastClr="000000"/>
              </a:solidFill>
              <a:latin typeface="Times New Roman" pitchFamily="18" charset="0"/>
              <a:ea typeface="+mn-ea"/>
              <a:cs typeface="Times New Roman" pitchFamily="18" charset="0"/>
            </a:rPr>
            <a:t>Flexibility</a:t>
          </a:r>
        </a:p>
      </dsp:txBody>
      <dsp:txXfrm>
        <a:off x="1714229" y="225179"/>
        <a:ext cx="596214" cy="268319"/>
      </dsp:txXfrm>
    </dsp:sp>
    <dsp:sp modelId="{37799305-AD97-401A-A636-78E720F0F2B2}">
      <dsp:nvSpPr>
        <dsp:cNvPr id="0" name=""/>
        <dsp:cNvSpPr/>
      </dsp:nvSpPr>
      <dsp:spPr>
        <a:xfrm rot="5400000">
          <a:off x="2567827" y="292492"/>
          <a:ext cx="199116" cy="133691"/>
        </a:xfrm>
        <a:prstGeom prst="triangle">
          <a:avLst/>
        </a:prstGeom>
        <a:gradFill rotWithShape="1">
          <a:gsLst>
            <a:gs pos="0">
              <a:srgbClr val="9BBB59">
                <a:tint val="50000"/>
                <a:satMod val="300000"/>
              </a:srgbClr>
            </a:gs>
            <a:gs pos="35000">
              <a:srgbClr val="9BBB59">
                <a:tint val="37000"/>
                <a:satMod val="300000"/>
              </a:srgbClr>
            </a:gs>
            <a:gs pos="100000">
              <a:srgbClr val="9BBB59">
                <a:tint val="15000"/>
                <a:satMod val="350000"/>
              </a:srgbClr>
            </a:gs>
          </a:gsLst>
          <a:lin ang="16200000" scaled="1"/>
        </a:gradFill>
        <a:ln w="9525" cap="flat" cmpd="sng" algn="ctr">
          <a:solidFill>
            <a:srgbClr val="9BBB59">
              <a:shade val="95000"/>
              <a:satMod val="105000"/>
            </a:srgbClr>
          </a:solidFill>
          <a:prstDash val="solid"/>
        </a:ln>
        <a:effectLst>
          <a:outerShdw blurRad="40000" dist="20000" dir="5400000" rotWithShape="0">
            <a:srgbClr val="000000">
              <a:alpha val="38000"/>
            </a:srgbClr>
          </a:outerShdw>
        </a:effectLst>
      </dsp:spPr>
      <dsp:style>
        <a:lnRef idx="1">
          <a:schemeClr val="accent3"/>
        </a:lnRef>
        <a:fillRef idx="2">
          <a:schemeClr val="accent3"/>
        </a:fillRef>
        <a:effectRef idx="1">
          <a:schemeClr val="accent3"/>
        </a:effectRef>
        <a:fontRef idx="minor">
          <a:schemeClr val="dk1"/>
        </a:fontRef>
      </dsp:style>
    </dsp:sp>
    <dsp:sp modelId="{669B3316-826E-4E60-9EF9-5A12980DF449}">
      <dsp:nvSpPr>
        <dsp:cNvPr id="0" name=""/>
        <dsp:cNvSpPr/>
      </dsp:nvSpPr>
      <dsp:spPr>
        <a:xfrm>
          <a:off x="2893280" y="84782"/>
          <a:ext cx="1333010" cy="549112"/>
        </a:xfrm>
        <a:prstGeom prst="ellipse">
          <a:avLst/>
        </a:prstGeom>
        <a:solidFill>
          <a:sysClr val="window" lastClr="FFFFFF"/>
        </a:solidFill>
        <a:ln w="25400" cap="flat" cmpd="sng" algn="ctr">
          <a:solidFill>
            <a:srgbClr val="4F81BD"/>
          </a:solidFill>
          <a:prstDash val="solid"/>
        </a:ln>
        <a:effectLst/>
        <a:scene3d>
          <a:camera prst="orthographicFront"/>
          <a:lightRig rig="flat" dir="t"/>
        </a:scene3d>
        <a:sp3d/>
      </dsp:spPr>
      <dsp:style>
        <a:lnRef idx="2">
          <a:schemeClr val="accent1"/>
        </a:lnRef>
        <a:fillRef idx="1">
          <a:schemeClr val="lt1"/>
        </a:fillRef>
        <a:effectRef idx="0">
          <a:schemeClr val="accent1"/>
        </a:effectRef>
        <a:fontRef idx="minor">
          <a:schemeClr val="dk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b="1" kern="1200">
              <a:solidFill>
                <a:sysClr val="windowText" lastClr="000000"/>
              </a:solidFill>
              <a:latin typeface="Times New Roman" pitchFamily="18" charset="0"/>
              <a:ea typeface="+mn-ea"/>
              <a:cs typeface="Times New Roman" pitchFamily="18" charset="0"/>
            </a:rPr>
            <a:t>Transparency</a:t>
          </a:r>
        </a:p>
      </dsp:txBody>
      <dsp:txXfrm>
        <a:off x="3088495" y="165198"/>
        <a:ext cx="942580" cy="388280"/>
      </dsp:txXfrm>
    </dsp:sp>
    <dsp:sp modelId="{F1CA336B-0944-4E44-A5DA-E98CD0F87FC1}">
      <dsp:nvSpPr>
        <dsp:cNvPr id="0" name=""/>
        <dsp:cNvSpPr/>
      </dsp:nvSpPr>
      <dsp:spPr>
        <a:xfrm rot="10800000">
          <a:off x="3460227" y="701905"/>
          <a:ext cx="199116" cy="133691"/>
        </a:xfrm>
        <a:prstGeom prst="triangle">
          <a:avLst/>
        </a:prstGeom>
        <a:gradFill rotWithShape="1">
          <a:gsLst>
            <a:gs pos="0">
              <a:srgbClr val="9BBB59">
                <a:shade val="51000"/>
                <a:satMod val="130000"/>
              </a:srgbClr>
            </a:gs>
            <a:gs pos="80000">
              <a:srgbClr val="9BBB59">
                <a:shade val="93000"/>
                <a:satMod val="130000"/>
              </a:srgbClr>
            </a:gs>
            <a:gs pos="100000">
              <a:srgbClr val="9BBB59">
                <a:shade val="94000"/>
                <a:satMod val="135000"/>
              </a:srgbClr>
            </a:gs>
          </a:gsLst>
          <a:lin ang="16200000" scaled="0"/>
        </a:gradFill>
        <a:ln w="9525" cap="flat" cmpd="sng" algn="ctr">
          <a:solidFill>
            <a:srgbClr val="9BBB59">
              <a:shade val="95000"/>
              <a:satMod val="105000"/>
            </a:srgbClr>
          </a:solidFill>
          <a:prstDash val="solid"/>
        </a:ln>
        <a:effectLst>
          <a:outerShdw blurRad="40000" dist="23000" dir="5400000" rotWithShape="0">
            <a:srgbClr val="000000">
              <a:alpha val="35000"/>
            </a:srgbClr>
          </a:outerShdw>
        </a:effectLst>
      </dsp:spPr>
      <dsp:style>
        <a:lnRef idx="1">
          <a:schemeClr val="accent3"/>
        </a:lnRef>
        <a:fillRef idx="3">
          <a:schemeClr val="accent3"/>
        </a:fillRef>
        <a:effectRef idx="2">
          <a:schemeClr val="accent3"/>
        </a:effectRef>
        <a:fontRef idx="minor">
          <a:schemeClr val="lt1"/>
        </a:fontRef>
      </dsp:style>
    </dsp:sp>
    <dsp:sp modelId="{54F943EC-6C4C-4ADD-8E47-36D6D9F0EAC9}">
      <dsp:nvSpPr>
        <dsp:cNvPr id="0" name=""/>
        <dsp:cNvSpPr/>
      </dsp:nvSpPr>
      <dsp:spPr>
        <a:xfrm>
          <a:off x="3195874" y="896039"/>
          <a:ext cx="727822" cy="462640"/>
        </a:xfrm>
        <a:prstGeom prst="ellipse">
          <a:avLst/>
        </a:prstGeom>
        <a:solidFill>
          <a:srgbClr val="8064A2"/>
        </a:solidFill>
        <a:ln w="38100" cap="flat" cmpd="sng" algn="ctr">
          <a:solidFill>
            <a:sysClr val="window" lastClr="FFFFFF"/>
          </a:solidFill>
          <a:prstDash val="solid"/>
        </a:ln>
        <a:effectLst>
          <a:outerShdw blurRad="40000" dist="20000" dir="5400000" rotWithShape="0">
            <a:srgbClr val="000000">
              <a:alpha val="38000"/>
            </a:srgbClr>
          </a:outerShdw>
        </a:effectLst>
        <a:scene3d>
          <a:camera prst="orthographicFront"/>
          <a:lightRig rig="flat" dir="t"/>
        </a:scene3d>
        <a:sp3d/>
      </dsp:spPr>
      <dsp:style>
        <a:lnRef idx="3">
          <a:schemeClr val="lt1"/>
        </a:lnRef>
        <a:fillRef idx="1">
          <a:schemeClr val="accent4"/>
        </a:fillRef>
        <a:effectRef idx="1">
          <a:schemeClr val="accent4"/>
        </a:effectRef>
        <a:fontRef idx="minor">
          <a:schemeClr val="lt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b="1" kern="1200">
              <a:solidFill>
                <a:sysClr val="window" lastClr="FFFFFF"/>
              </a:solidFill>
              <a:latin typeface="Times New Roman" pitchFamily="18" charset="0"/>
              <a:ea typeface="+mn-ea"/>
              <a:cs typeface="Times New Roman" pitchFamily="18" charset="0"/>
            </a:rPr>
            <a:t>Security</a:t>
          </a:r>
        </a:p>
      </dsp:txBody>
      <dsp:txXfrm>
        <a:off x="3302461" y="963791"/>
        <a:ext cx="514648" cy="327136"/>
      </dsp:txXfrm>
    </dsp:sp>
    <dsp:sp modelId="{2B4C27AC-F6DA-4959-B8D4-D2912321DB34}">
      <dsp:nvSpPr>
        <dsp:cNvPr id="0" name=""/>
        <dsp:cNvSpPr/>
      </dsp:nvSpPr>
      <dsp:spPr>
        <a:xfrm rot="10800000">
          <a:off x="3460227" y="1421742"/>
          <a:ext cx="199116" cy="133691"/>
        </a:xfrm>
        <a:prstGeom prst="triangle">
          <a:avLst/>
        </a:prstGeom>
        <a:solidFill>
          <a:srgbClr val="F79646"/>
        </a:solidFill>
        <a:ln w="38100" cap="flat" cmpd="sng" algn="ctr">
          <a:solidFill>
            <a:sysClr val="window" lastClr="FFFFFF"/>
          </a:solidFill>
          <a:prstDash val="solid"/>
        </a:ln>
        <a:effectLst>
          <a:outerShdw blurRad="40000" dist="20000" dir="5400000" rotWithShape="0">
            <a:srgbClr val="000000">
              <a:alpha val="38000"/>
            </a:srgbClr>
          </a:outerShdw>
        </a:effectLst>
      </dsp:spPr>
      <dsp:style>
        <a:lnRef idx="3">
          <a:schemeClr val="lt1"/>
        </a:lnRef>
        <a:fillRef idx="1">
          <a:schemeClr val="accent6"/>
        </a:fillRef>
        <a:effectRef idx="1">
          <a:schemeClr val="accent6"/>
        </a:effectRef>
        <a:fontRef idx="minor">
          <a:schemeClr val="lt1"/>
        </a:fontRef>
      </dsp:style>
    </dsp:sp>
    <dsp:sp modelId="{8EDF671D-AF8B-405F-970F-7CB4C0146088}">
      <dsp:nvSpPr>
        <dsp:cNvPr id="0" name=""/>
        <dsp:cNvSpPr/>
      </dsp:nvSpPr>
      <dsp:spPr>
        <a:xfrm>
          <a:off x="3119394" y="1610929"/>
          <a:ext cx="880784" cy="568904"/>
        </a:xfrm>
        <a:prstGeom prst="ellipse">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a:scene3d>
          <a:camera prst="orthographicFront"/>
          <a:lightRig rig="flat" dir="t"/>
        </a:scene3d>
        <a:sp3d/>
      </dsp:spPr>
      <dsp:style>
        <a:lnRef idx="1">
          <a:schemeClr val="accent5"/>
        </a:lnRef>
        <a:fillRef idx="2">
          <a:schemeClr val="accent5"/>
        </a:fillRef>
        <a:effectRef idx="1">
          <a:schemeClr val="accent5"/>
        </a:effectRef>
        <a:fontRef idx="minor">
          <a:schemeClr val="dk1"/>
        </a:fontRef>
      </dsp:style>
      <dsp:txBody>
        <a:bodyPr spcFirstLastPara="0" vert="horz" wrap="square" lIns="12700" tIns="12700" rIns="12700" bIns="12700" numCol="1" spcCol="1270" anchor="ctr" anchorCtr="0">
          <a:noAutofit/>
        </a:bodyPr>
        <a:lstStyle/>
        <a:p>
          <a:pPr lvl="0" algn="ctr" defTabSz="444500">
            <a:lnSpc>
              <a:spcPct val="90000"/>
            </a:lnSpc>
            <a:spcBef>
              <a:spcPct val="0"/>
            </a:spcBef>
            <a:spcAft>
              <a:spcPct val="35000"/>
            </a:spcAft>
          </a:pPr>
          <a:r>
            <a:rPr lang="en-US" sz="1000" b="1" kern="1200">
              <a:solidFill>
                <a:sysClr val="windowText" lastClr="000000"/>
              </a:solidFill>
              <a:latin typeface="Times New Roman" pitchFamily="18" charset="0"/>
              <a:ea typeface="+mn-ea"/>
              <a:cs typeface="Times New Roman" pitchFamily="18" charset="0"/>
            </a:rPr>
            <a:t>Technology</a:t>
          </a:r>
        </a:p>
      </dsp:txBody>
      <dsp:txXfrm>
        <a:off x="3248382" y="1694243"/>
        <a:ext cx="622808" cy="402276"/>
      </dsp:txXfrm>
    </dsp:sp>
  </dsp:spTree>
</dsp:drawing>
</file>

<file path=word/diagrams/layout1.xml><?xml version="1.0" encoding="utf-8"?>
<dgm:layoutDef xmlns:dgm="http://schemas.openxmlformats.org/drawingml/2006/diagram" xmlns:a="http://schemas.openxmlformats.org/drawingml/2006/main" uniqueId="urn:microsoft.com/office/officeart/2005/8/layout/bProcess2">
  <dgm:title val=""/>
  <dgm:desc val=""/>
  <dgm:catLst>
    <dgm:cat type="process" pri="24000"/>
  </dgm:catLst>
  <dgm:sampData>
    <dgm:dataModel>
      <dgm:ptLst>
        <dgm:pt modelId="0" type="doc"/>
        <dgm:pt modelId="1">
          <dgm:prSet phldr="1"/>
        </dgm:pt>
        <dgm:pt modelId="2">
          <dgm:prSet phldr="1"/>
        </dgm:pt>
        <dgm:pt modelId="3">
          <dgm:prSet phldr="1"/>
        </dgm:pt>
        <dgm:pt modelId="4">
          <dgm:prSet phldr="1"/>
        </dgm:pt>
        <dgm:pt modelId="5">
          <dgm:prSet phldr="1"/>
        </dgm:pt>
        <dgm:pt modelId="6">
          <dgm:prSet phldr="1"/>
        </dgm:pt>
        <dgm:pt modelId="7">
          <dgm:prSet phldr="1"/>
        </dgm:pt>
        <dgm:pt modelId="8">
          <dgm:prSet phldr="1"/>
        </dgm:pt>
        <dgm:pt modelId="9">
          <dgm:prSet phldr="1"/>
        </dgm:pt>
      </dgm:ptLst>
      <dgm:cxnLst>
        <dgm:cxn modelId="10" srcId="0" destId="1" srcOrd="0" destOrd="0"/>
        <dgm:cxn modelId="11" srcId="0" destId="2" srcOrd="1" destOrd="0"/>
        <dgm:cxn modelId="12" srcId="0" destId="3" srcOrd="2" destOrd="0"/>
        <dgm:cxn modelId="13" srcId="0" destId="4" srcOrd="3" destOrd="0"/>
        <dgm:cxn modelId="14" srcId="0" destId="5" srcOrd="4" destOrd="0"/>
        <dgm:cxn modelId="15" srcId="0" destId="6" srcOrd="5" destOrd="0"/>
        <dgm:cxn modelId="16" srcId="0" destId="7" srcOrd="6" destOrd="0"/>
        <dgm:cxn modelId="17" srcId="0" destId="8" srcOrd="7" destOrd="0"/>
        <dgm:cxn modelId="18" srcId="0" destId="9" srcOrd="8"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dgm:varLst>
    <dgm:choose name="Name0">
      <dgm:if name="Name1" func="var" arg="dir" op="equ" val="norm">
        <dgm:alg type="snake">
          <dgm:param type="grDir" val="tL"/>
          <dgm:param type="flowDir" val="col"/>
          <dgm:param type="contDir" val="revDir"/>
        </dgm:alg>
      </dgm:if>
      <dgm:else name="Name2">
        <dgm:alg type="snake">
          <dgm:param type="grDir" val="tR"/>
          <dgm:param type="flowDir" val="col"/>
          <dgm:param type="contDir" val="revDir"/>
        </dgm:alg>
      </dgm:else>
    </dgm:choose>
    <dgm:shape xmlns:r="http://schemas.openxmlformats.org/officeDocument/2006/relationships" r:blip="">
      <dgm:adjLst/>
    </dgm:shape>
    <dgm:presOf/>
    <dgm:constrLst>
      <dgm:constr type="w" for="ch" forName="firstNode" refType="w"/>
      <dgm:constr type="w" for="ch" forName="lastNode" refType="w" refFor="ch" refForName="firstNode" op="equ"/>
      <dgm:constr type="w" for="ch" forName="middleNode" refType="w" refFor="ch" refForName="firstNode" op="equ"/>
      <dgm:constr type="h" for="ch" ptType="sibTrans" refType="w" refFor="ch" refForName="middleNode" op="equ" fact="0.35"/>
      <dgm:constr type="sp" refType="w" refFor="ch" refForName="middleNode" fact="0.5"/>
      <dgm:constr type="connDist" for="des" ptType="sibTrans" op="equ"/>
      <dgm:constr type="primFontSz" for="ch" forName="firstNode" val="65"/>
      <dgm:constr type="primFontSz" for="ch" forName="lastNode" refType="primFontSz" refFor="ch" refForName="firstNode" op="equ"/>
      <dgm:constr type="primFontSz" for="des" forName="shape" val="65"/>
      <dgm:constr type="primFontSz" for="des" forName="shape" refType="primFontSz" refFor="ch" refForName="firstNode" op="lte"/>
      <dgm:constr type="primFontSz" for="des" forName="shape" refType="primFontSz" refFor="ch" refForName="lastNode" op="lte"/>
    </dgm:constrLst>
    <dgm:ruleLst/>
    <dgm:forEach name="Name3" axis="ch" ptType="node">
      <dgm:choose name="Name4">
        <dgm:if name="Name5" axis="self" ptType="node" func="pos" op="equ" val="1">
          <dgm:layoutNode name="first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if>
        <dgm:if name="Name6" axis="self" ptType="node" func="revPos" op="equ" val="1">
          <dgm:layoutNode name="lastNod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if>
        <dgm:else name="Name7">
          <dgm:layoutNode name="middleNode">
            <dgm:alg type="composite"/>
            <dgm:shape xmlns:r="http://schemas.openxmlformats.org/officeDocument/2006/relationships" r:blip="">
              <dgm:adjLst/>
            </dgm:shape>
            <dgm:presOf/>
            <dgm:constrLst>
              <dgm:constr type="h" refType="w"/>
              <dgm:constr type="w" for="ch" forName="padding" refType="w"/>
              <dgm:constr type="h" for="ch" forName="padding" refType="h"/>
              <dgm:constr type="w" for="ch" forName="shape" refType="w" fact="0.667"/>
              <dgm:constr type="h" for="ch" forName="shape" refType="h" fact="0.667"/>
              <dgm:constr type="ctrX" for="ch" forName="shape" refType="w" fact="0.5"/>
              <dgm:constr type="ctrY" for="ch" forName="shape" refType="h" fact="0.5"/>
            </dgm:constrLst>
            <dgm:ruleLst/>
            <dgm:layoutNode name="padding">
              <dgm:alg type="sp"/>
              <dgm:shape xmlns:r="http://schemas.openxmlformats.org/officeDocument/2006/relationships" type="ellipse" r:blip="" hideGeom="1">
                <dgm:adjLst/>
              </dgm:shape>
              <dgm:presOf/>
              <dgm:constrLst/>
              <dgm:ruleLst/>
            </dgm:layoutNode>
            <dgm:layoutNode name="shape">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1"/>
                <dgm:constr type="bMarg" refType="primFontSz" fact="0.1"/>
                <dgm:constr type="lMarg" refType="primFontSz" fact="0.1"/>
                <dgm:constr type="rMarg" refType="primFontSz" fact="0.1"/>
              </dgm:constrLst>
              <dgm:ruleLst>
                <dgm:rule type="primFontSz" val="5" fact="NaN" max="NaN"/>
              </dgm:ruleLst>
            </dgm:layoutNode>
          </dgm:layoutNode>
        </dgm:else>
      </dgm:choose>
      <dgm:forEach name="Name8" axis="followSib" ptType="sibTrans" cnt="1">
        <dgm:layoutNode name="sibTrans">
          <dgm:choose name="Name9">
            <dgm:if name="Name10" func="var" arg="dir" op="equ" val="norm">
              <dgm:choose name="Name11">
                <dgm:if name="Name12" axis="self" ptType="sibTrans" func="pos" op="equ" val="1">
                  <dgm:alg type="conn">
                    <dgm:param type="begPts" val="auto"/>
                    <dgm:param type="endPts" val="auto"/>
                    <dgm:param type="srcNode" val="firstNode"/>
                    <dgm:param type="dstNode" val="shape"/>
                  </dgm:alg>
                </dgm:if>
                <dgm:if name="Name13" axis="self" ptType="sibTrans" func="revPos" op="equ" val="1">
                  <dgm:alg type="conn">
                    <dgm:param type="begPts" val="auto"/>
                    <dgm:param type="endPts" val="auto"/>
                    <dgm:param type="srcNode" val="shape"/>
                    <dgm:param type="dstNode" val="lastNode"/>
                  </dgm:alg>
                </dgm:if>
                <dgm:else name="Name14">
                  <dgm:alg type="conn">
                    <dgm:param type="begPts" val="auto"/>
                    <dgm:param type="endPts" val="auto"/>
                    <dgm:param type="srcNode" val="shape"/>
                    <dgm:param type="dstNode" val="shape"/>
                  </dgm:alg>
                </dgm:else>
              </dgm:choose>
            </dgm:if>
            <dgm:else name="Name15">
              <dgm:choose name="Name16">
                <dgm:if name="Name17" axis="self" ptType="sibTrans" func="pos" op="equ" val="1">
                  <dgm:alg type="conn">
                    <dgm:param type="begPts" val="auto"/>
                    <dgm:param type="endPts" val="auto"/>
                    <dgm:param type="srcNode" val="firstNode"/>
                    <dgm:param type="dstNode" val="shape"/>
                  </dgm:alg>
                </dgm:if>
                <dgm:if name="Name18" axis="self" ptType="sibTrans" func="revPos" op="equ" val="1">
                  <dgm:alg type="conn">
                    <dgm:param type="begPts" val="auto"/>
                    <dgm:param type="endPts" val="auto"/>
                    <dgm:param type="srcNode" val="shape"/>
                    <dgm:param type="dstNode" val="lastNode"/>
                  </dgm:alg>
                </dgm:if>
                <dgm:else name="Name19">
                  <dgm:alg type="conn">
                    <dgm:param type="begPts" val="auto"/>
                    <dgm:param type="endPts" val="auto"/>
                    <dgm:param type="srcNode" val="shape"/>
                    <dgm:param type="dstNode" val="shape"/>
                  </dgm:alg>
                </dgm:else>
              </dgm:choose>
            </dgm:else>
          </dgm:choose>
          <dgm:shape xmlns:r="http://schemas.openxmlformats.org/officeDocument/2006/relationships" rot="90" type="triangle" r:blip="">
            <dgm:adjLst/>
          </dgm:shape>
          <dgm:presOf axis="self"/>
          <dgm:constrLst>
            <dgm:constr type="w" refType="h"/>
            <dgm:constr type="connDist"/>
            <dgm:constr type="begPad" refType="connDist" fact="0.25"/>
            <dgm:constr type="endPad" refType="connDist" fact="0.22"/>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A6980D-9368-40ED-BC1A-2EE4DE48CA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66</Pages>
  <Words>13698</Words>
  <Characters>78082</Characters>
  <Application>Microsoft Office Word</Application>
  <DocSecurity>0</DocSecurity>
  <Lines>650</Lines>
  <Paragraphs>183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91597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Junayed Ahamed Soumik</dc:creator>
  <cp:lastModifiedBy>hp</cp:lastModifiedBy>
  <cp:revision>15</cp:revision>
  <cp:lastPrinted>2021-01-20T19:13:00Z</cp:lastPrinted>
  <dcterms:created xsi:type="dcterms:W3CDTF">2021-04-30T18:28:00Z</dcterms:created>
  <dcterms:modified xsi:type="dcterms:W3CDTF">2021-04-30T20:17:00Z</dcterms:modified>
</cp:coreProperties>
</file>